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heme="majorEastAsia" w:hAnsi="Arial" w:cs="Arial"/>
          <w:sz w:val="72"/>
          <w:szCs w:val="72"/>
        </w:rPr>
        <w:id w:val="1541018593"/>
        <w:docPartObj>
          <w:docPartGallery w:val="Cover Pages"/>
          <w:docPartUnique/>
        </w:docPartObj>
      </w:sdtPr>
      <w:sdtEndPr>
        <w:rPr>
          <w:rFonts w:eastAsia="Times New Roman"/>
          <w:sz w:val="22"/>
          <w:szCs w:val="22"/>
        </w:rPr>
      </w:sdtEndPr>
      <w:sdtContent>
        <w:p w:rsidR="00242891" w:rsidRPr="0084580C" w:rsidRDefault="00242891">
          <w:pPr>
            <w:pStyle w:val="Sinespaciado"/>
            <w:rPr>
              <w:rFonts w:ascii="Arial" w:eastAsiaTheme="majorEastAsia" w:hAnsi="Arial" w:cs="Arial"/>
              <w:sz w:val="20"/>
              <w:szCs w:val="20"/>
            </w:rPr>
          </w:pPr>
        </w:p>
        <w:p w:rsidR="00EF5E68" w:rsidRPr="0077710A" w:rsidRDefault="00A87E01" w:rsidP="00EF5E68">
          <w:pPr>
            <w:widowControl w:val="0"/>
            <w:jc w:val="right"/>
            <w:rPr>
              <w:rFonts w:ascii="Book Antiqua" w:hAnsi="Book Antiqua" w:cs="Arial"/>
              <w:snapToGrid w:val="0"/>
            </w:rPr>
          </w:pPr>
          <w:r>
            <w:rPr>
              <w:rFonts w:ascii="Book Antiqua" w:hAnsi="Book Antiqua" w:cs="Arial"/>
              <w:snapToGrid w:val="0"/>
            </w:rPr>
            <w:t>103</w:t>
          </w:r>
          <w:r w:rsidR="00EF5E68" w:rsidRPr="0077710A">
            <w:rPr>
              <w:rFonts w:ascii="Book Antiqua" w:hAnsi="Book Antiqua" w:cs="Arial"/>
              <w:snapToGrid w:val="0"/>
            </w:rPr>
            <w:t>-PLA-</w:t>
          </w:r>
          <w:r w:rsidR="00E13BDE">
            <w:rPr>
              <w:rFonts w:ascii="Book Antiqua" w:hAnsi="Book Antiqua" w:cs="Arial"/>
              <w:snapToGrid w:val="0"/>
            </w:rPr>
            <w:t>EV-</w:t>
          </w:r>
          <w:r w:rsidR="00EF5E68" w:rsidRPr="0077710A">
            <w:rPr>
              <w:rFonts w:ascii="Book Antiqua" w:hAnsi="Book Antiqua" w:cs="Arial"/>
              <w:snapToGrid w:val="0"/>
            </w:rPr>
            <w:t>2019</w:t>
          </w:r>
        </w:p>
        <w:p w:rsidR="00EF5E68" w:rsidRPr="00E17887" w:rsidRDefault="00EF5E68" w:rsidP="00EF5E68">
          <w:pPr>
            <w:widowControl w:val="0"/>
            <w:jc w:val="right"/>
            <w:rPr>
              <w:rFonts w:ascii="Book Antiqua" w:hAnsi="Book Antiqua" w:cs="Arial"/>
              <w:snapToGrid w:val="0"/>
            </w:rPr>
          </w:pPr>
          <w:r w:rsidRPr="00E17887">
            <w:rPr>
              <w:rFonts w:ascii="Book Antiqua" w:hAnsi="Book Antiqua" w:cs="Arial"/>
            </w:rPr>
            <w:t>Ref. SICE: 2022-18</w:t>
          </w:r>
        </w:p>
        <w:p w:rsidR="00EF5E68" w:rsidRPr="004A25EE" w:rsidRDefault="00EF5E68" w:rsidP="00EF5E68">
          <w:pPr>
            <w:widowControl w:val="0"/>
            <w:rPr>
              <w:rFonts w:ascii="Book Antiqua" w:hAnsi="Book Antiqua" w:cs="Arial"/>
              <w:snapToGrid w:val="0"/>
            </w:rPr>
          </w:pPr>
        </w:p>
        <w:p w:rsidR="00EF5E68" w:rsidRPr="0084580C" w:rsidRDefault="00881B88" w:rsidP="00FA77EB">
          <w:pPr>
            <w:widowControl w:val="0"/>
            <w:rPr>
              <w:rFonts w:ascii="Book Antiqua" w:hAnsi="Book Antiqua" w:cs="Arial"/>
              <w:snapToGrid w:val="0"/>
            </w:rPr>
          </w:pPr>
          <w:r>
            <w:rPr>
              <w:rFonts w:ascii="Book Antiqua" w:hAnsi="Book Antiqua" w:cs="Arial"/>
              <w:snapToGrid w:val="0"/>
            </w:rPr>
            <w:t>23 de enero de 2019</w:t>
          </w:r>
        </w:p>
        <w:p w:rsidR="00EF5E68" w:rsidRPr="0084580C" w:rsidRDefault="00EF5E68" w:rsidP="00FA77EB">
          <w:pPr>
            <w:widowControl w:val="0"/>
            <w:rPr>
              <w:rFonts w:ascii="Book Antiqua" w:hAnsi="Book Antiqua" w:cs="Arial"/>
              <w:snapToGrid w:val="0"/>
            </w:rPr>
          </w:pPr>
        </w:p>
        <w:p w:rsidR="00EF5E68" w:rsidRPr="0084580C" w:rsidRDefault="00EF5E68" w:rsidP="00FA77EB">
          <w:pPr>
            <w:widowControl w:val="0"/>
            <w:rPr>
              <w:rFonts w:ascii="Book Antiqua" w:hAnsi="Book Antiqua" w:cs="Arial"/>
              <w:snapToGrid w:val="0"/>
            </w:rPr>
          </w:pPr>
        </w:p>
        <w:p w:rsidR="00EF5E68" w:rsidRPr="0084580C" w:rsidRDefault="00EF5E68" w:rsidP="00FA77EB">
          <w:pPr>
            <w:widowControl w:val="0"/>
            <w:rPr>
              <w:rFonts w:ascii="Book Antiqua" w:hAnsi="Book Antiqua" w:cs="Arial"/>
              <w:snapToGrid w:val="0"/>
            </w:rPr>
          </w:pPr>
        </w:p>
        <w:p w:rsidR="00EF5E68" w:rsidRPr="0084580C" w:rsidRDefault="00EF5E68" w:rsidP="00FA77EB">
          <w:pPr>
            <w:pStyle w:val="Textoindependiente2"/>
            <w:spacing w:after="0" w:line="240" w:lineRule="auto"/>
            <w:rPr>
              <w:rFonts w:ascii="Book Antiqua" w:hAnsi="Book Antiqua" w:cs="Arial"/>
              <w:color w:val="000000"/>
              <w:lang w:val="es-CR"/>
            </w:rPr>
          </w:pPr>
          <w:r w:rsidRPr="0084580C">
            <w:rPr>
              <w:rFonts w:ascii="Book Antiqua" w:hAnsi="Book Antiqua" w:cs="Arial"/>
              <w:color w:val="000000"/>
              <w:lang w:val="es-CR"/>
            </w:rPr>
            <w:t>Licenciada</w:t>
          </w:r>
        </w:p>
        <w:p w:rsidR="00EF5E68" w:rsidRPr="0084580C" w:rsidRDefault="00EF5E68" w:rsidP="00FA77EB">
          <w:pPr>
            <w:pStyle w:val="Textoindependiente2"/>
            <w:spacing w:after="0" w:line="240" w:lineRule="auto"/>
            <w:rPr>
              <w:rFonts w:ascii="Book Antiqua" w:hAnsi="Book Antiqua" w:cs="Arial"/>
              <w:color w:val="000000"/>
              <w:lang w:val="es-CR"/>
            </w:rPr>
          </w:pPr>
          <w:r w:rsidRPr="0084580C">
            <w:rPr>
              <w:rFonts w:ascii="Book Antiqua" w:hAnsi="Book Antiqua" w:cs="Arial"/>
              <w:color w:val="000000"/>
              <w:lang w:val="es-CR"/>
            </w:rPr>
            <w:t>Silvia Navarro Romanini</w:t>
          </w:r>
        </w:p>
        <w:p w:rsidR="00EF5E68" w:rsidRPr="0084580C" w:rsidRDefault="00EF5E68" w:rsidP="00FA77EB">
          <w:pPr>
            <w:pStyle w:val="Textoindependiente2"/>
            <w:spacing w:after="0" w:line="240" w:lineRule="auto"/>
            <w:rPr>
              <w:rFonts w:ascii="Book Antiqua" w:hAnsi="Book Antiqua" w:cs="Arial"/>
              <w:color w:val="000000"/>
              <w:lang w:val="es-CR"/>
            </w:rPr>
          </w:pPr>
          <w:r w:rsidRPr="0084580C">
            <w:rPr>
              <w:rFonts w:ascii="Book Antiqua" w:hAnsi="Book Antiqua" w:cs="Arial"/>
              <w:color w:val="000000"/>
              <w:lang w:val="es-CR"/>
            </w:rPr>
            <w:t>Secretaría General de la Corte</w:t>
          </w:r>
        </w:p>
        <w:p w:rsidR="00EF5E68" w:rsidRPr="0084580C" w:rsidRDefault="00EF5E68" w:rsidP="00FA77EB">
          <w:pPr>
            <w:widowControl w:val="0"/>
            <w:rPr>
              <w:rFonts w:ascii="Book Antiqua" w:hAnsi="Book Antiqua" w:cs="Arial"/>
            </w:rPr>
          </w:pPr>
        </w:p>
        <w:p w:rsidR="00EF5E68" w:rsidRPr="0084580C" w:rsidRDefault="00EF5E68" w:rsidP="00FA77EB">
          <w:pPr>
            <w:widowControl w:val="0"/>
            <w:rPr>
              <w:rFonts w:ascii="Book Antiqua" w:hAnsi="Book Antiqua" w:cs="Arial"/>
              <w:snapToGrid w:val="0"/>
              <w:color w:val="000000"/>
            </w:rPr>
          </w:pPr>
        </w:p>
        <w:p w:rsidR="00EF5E68" w:rsidRPr="0084580C" w:rsidRDefault="00EF5E68" w:rsidP="00FA77EB">
          <w:pPr>
            <w:widowControl w:val="0"/>
            <w:rPr>
              <w:rFonts w:ascii="Book Antiqua" w:hAnsi="Book Antiqua" w:cs="Arial"/>
              <w:snapToGrid w:val="0"/>
              <w:color w:val="000000"/>
            </w:rPr>
          </w:pPr>
          <w:r w:rsidRPr="0084580C">
            <w:rPr>
              <w:rFonts w:ascii="Book Antiqua" w:hAnsi="Book Antiqua" w:cs="Arial"/>
              <w:snapToGrid w:val="0"/>
              <w:color w:val="000000"/>
            </w:rPr>
            <w:t>Estimada señora:</w:t>
          </w:r>
        </w:p>
        <w:p w:rsidR="00EF5E68" w:rsidRPr="0084580C" w:rsidRDefault="00EF5E68" w:rsidP="00EF5E68">
          <w:pPr>
            <w:widowControl w:val="0"/>
            <w:jc w:val="both"/>
            <w:rPr>
              <w:rFonts w:ascii="Book Antiqua" w:hAnsi="Book Antiqua" w:cs="Arial"/>
            </w:rPr>
          </w:pPr>
        </w:p>
        <w:p w:rsidR="00EF5E68" w:rsidRPr="0084580C" w:rsidRDefault="00EF5E68" w:rsidP="00EF5E68">
          <w:pPr>
            <w:widowControl w:val="0"/>
            <w:ind w:firstLine="708"/>
            <w:jc w:val="both"/>
            <w:rPr>
              <w:rFonts w:ascii="Book Antiqua" w:hAnsi="Book Antiqua" w:cs="Arial"/>
            </w:rPr>
          </w:pPr>
          <w:r w:rsidRPr="0084580C">
            <w:rPr>
              <w:rFonts w:ascii="Book Antiqua" w:hAnsi="Book Antiqua" w:cs="Arial"/>
            </w:rPr>
            <w:t xml:space="preserve">En atención a los </w:t>
          </w:r>
          <w:r w:rsidRPr="0084580C">
            <w:rPr>
              <w:rFonts w:ascii="Book Antiqua" w:hAnsi="Book Antiqua" w:cs="Arial"/>
              <w:i/>
            </w:rPr>
            <w:t>Lineamientos sobre Formulación, Ejecución y Evaluación del Presupuesto de la República</w:t>
          </w:r>
          <w:r w:rsidRPr="0084580C">
            <w:rPr>
              <w:rFonts w:ascii="Book Antiqua" w:hAnsi="Book Antiqua" w:cs="Arial"/>
            </w:rPr>
            <w:t>, en su capítulo VI “</w:t>
          </w:r>
          <w:r w:rsidRPr="0084580C">
            <w:rPr>
              <w:rFonts w:ascii="Book Antiqua" w:hAnsi="Book Antiqua" w:cs="Arial"/>
              <w:i/>
            </w:rPr>
            <w:t>Seguimiento y Evaluación</w:t>
          </w:r>
          <w:r w:rsidRPr="0084580C">
            <w:rPr>
              <w:rFonts w:ascii="Book Antiqua" w:hAnsi="Book Antiqua" w:cs="Arial"/>
            </w:rPr>
            <w:t xml:space="preserve">”, artículo 78, dictado por parte de la Dirección General de Presupuesto Nacional del Ministerio de Hacienda, mediante el cual se solicita el “Informe de Seguimiento Presupuestario Anual 2018”, le remito el informe </w:t>
          </w:r>
          <w:r w:rsidRPr="008F070F">
            <w:rPr>
              <w:rFonts w:ascii="Book Antiqua" w:hAnsi="Book Antiqua" w:cs="Arial"/>
            </w:rPr>
            <w:t xml:space="preserve">suscrito por el Lic. Erick Monge Sandí, Jefe del Subproceso de Evaluación, con </w:t>
          </w:r>
          <w:r w:rsidRPr="004A25EE">
            <w:rPr>
              <w:rFonts w:ascii="Book Antiqua" w:hAnsi="Book Antiqua" w:cs="Arial"/>
            </w:rPr>
            <w:t xml:space="preserve"> el resultado del seguimiento realizado a los programas presupuestarios del Título 301 Poder Judicial</w:t>
          </w:r>
          <w:r w:rsidRPr="0084580C">
            <w:rPr>
              <w:rFonts w:ascii="Book Antiqua" w:hAnsi="Book Antiqua" w:cs="Arial"/>
              <w:vertAlign w:val="superscript"/>
            </w:rPr>
            <w:t>(</w:t>
          </w:r>
          <w:r w:rsidRPr="0084580C">
            <w:rPr>
              <w:rFonts w:ascii="Book Antiqua" w:hAnsi="Book Antiqua" w:cs="Arial"/>
              <w:vertAlign w:val="superscript"/>
            </w:rPr>
            <w:footnoteReference w:customMarkFollows="1" w:id="1"/>
            <w:t>1),</w:t>
          </w:r>
          <w:r w:rsidRPr="0084580C">
            <w:rPr>
              <w:rFonts w:ascii="Book Antiqua" w:hAnsi="Book Antiqua" w:cs="Arial"/>
            </w:rPr>
            <w:t xml:space="preserve"> atendiendo la metodología incorporada en el instrumento suministrado por la Dirección General de Presupuesto Nacional del Ministerio de Hacienda, con corte al 31 de diciembre del 2018.</w:t>
          </w:r>
        </w:p>
        <w:p w:rsidR="00EF5E68" w:rsidRPr="0084580C" w:rsidRDefault="00EF5E68" w:rsidP="00EF5E68">
          <w:pPr>
            <w:ind w:firstLine="708"/>
            <w:jc w:val="both"/>
            <w:rPr>
              <w:rFonts w:ascii="Book Antiqua" w:hAnsi="Book Antiqua" w:cs="Arial"/>
              <w:color w:val="000000"/>
            </w:rPr>
          </w:pPr>
        </w:p>
        <w:p w:rsidR="00375150" w:rsidRPr="00333242" w:rsidRDefault="00EF5E68" w:rsidP="00EF5E68">
          <w:pPr>
            <w:ind w:firstLine="708"/>
            <w:jc w:val="both"/>
            <w:rPr>
              <w:rFonts w:ascii="Book Antiqua" w:hAnsi="Book Antiqua" w:cs="Arial"/>
              <w:color w:val="000000"/>
            </w:rPr>
          </w:pPr>
          <w:r w:rsidRPr="0084580C">
            <w:rPr>
              <w:rFonts w:ascii="Book Antiqua" w:hAnsi="Book Antiqua" w:cs="Arial"/>
              <w:color w:val="000000"/>
            </w:rPr>
            <w:t xml:space="preserve">Se debe aclarar que </w:t>
          </w:r>
          <w:r w:rsidR="00333242">
            <w:rPr>
              <w:rFonts w:ascii="Book Antiqua" w:hAnsi="Book Antiqua" w:cs="Arial"/>
              <w:color w:val="000000"/>
            </w:rPr>
            <w:t>para la elaboración del presente</w:t>
          </w:r>
          <w:r w:rsidRPr="00333242">
            <w:rPr>
              <w:rFonts w:ascii="Book Antiqua" w:hAnsi="Book Antiqua" w:cs="Arial"/>
              <w:color w:val="000000"/>
            </w:rPr>
            <w:t xml:space="preserve"> informe se </w:t>
          </w:r>
          <w:r w:rsidR="008E5C78">
            <w:rPr>
              <w:rFonts w:ascii="Book Antiqua" w:hAnsi="Book Antiqua" w:cs="Arial"/>
              <w:color w:val="000000"/>
            </w:rPr>
            <w:t>remitió</w:t>
          </w:r>
          <w:r w:rsidR="005C0B69">
            <w:rPr>
              <w:rFonts w:ascii="Book Antiqua" w:hAnsi="Book Antiqua" w:cs="Arial"/>
              <w:color w:val="000000"/>
            </w:rPr>
            <w:t xml:space="preserve"> </w:t>
          </w:r>
          <w:r w:rsidR="00F840D7">
            <w:rPr>
              <w:rFonts w:ascii="Book Antiqua" w:hAnsi="Book Antiqua" w:cs="Arial"/>
              <w:color w:val="000000"/>
            </w:rPr>
            <w:t xml:space="preserve">por </w:t>
          </w:r>
          <w:r w:rsidR="005C0B69">
            <w:rPr>
              <w:rFonts w:ascii="Book Antiqua" w:hAnsi="Book Antiqua" w:cs="Arial"/>
              <w:color w:val="000000"/>
            </w:rPr>
            <w:t>parte de la Dirección de Planifiación</w:t>
          </w:r>
          <w:r w:rsidR="008E5C78">
            <w:rPr>
              <w:rFonts w:ascii="Book Antiqua" w:hAnsi="Book Antiqua" w:cs="Arial"/>
              <w:color w:val="000000"/>
            </w:rPr>
            <w:t xml:space="preserve"> el 19 de diciembre del 2018 a l</w:t>
          </w:r>
          <w:r w:rsidR="00E77094">
            <w:rPr>
              <w:rFonts w:ascii="Book Antiqua" w:hAnsi="Book Antiqua" w:cs="Arial"/>
              <w:color w:val="000000"/>
            </w:rPr>
            <w:t>as personas</w:t>
          </w:r>
          <w:r w:rsidR="008E5C78">
            <w:rPr>
              <w:rFonts w:ascii="Book Antiqua" w:hAnsi="Book Antiqua" w:cs="Arial"/>
              <w:color w:val="000000"/>
            </w:rPr>
            <w:t xml:space="preserve"> encargad</w:t>
          </w:r>
          <w:r w:rsidR="00E77094">
            <w:rPr>
              <w:rFonts w:ascii="Book Antiqua" w:hAnsi="Book Antiqua" w:cs="Arial"/>
              <w:color w:val="000000"/>
            </w:rPr>
            <w:t>a</w:t>
          </w:r>
          <w:r w:rsidR="008E5C78">
            <w:rPr>
              <w:rFonts w:ascii="Book Antiqua" w:hAnsi="Book Antiqua" w:cs="Arial"/>
              <w:color w:val="000000"/>
            </w:rPr>
            <w:t xml:space="preserve">s de cada uno de </w:t>
          </w:r>
          <w:r w:rsidR="00E77094">
            <w:rPr>
              <w:rFonts w:ascii="Book Antiqua" w:hAnsi="Book Antiqua" w:cs="Arial"/>
              <w:color w:val="000000"/>
            </w:rPr>
            <w:t>P</w:t>
          </w:r>
          <w:r w:rsidR="008E5C78">
            <w:rPr>
              <w:rFonts w:ascii="Book Antiqua" w:hAnsi="Book Antiqua" w:cs="Arial"/>
              <w:color w:val="000000"/>
            </w:rPr>
            <w:t xml:space="preserve">rogramas un correo con el </w:t>
          </w:r>
          <w:r w:rsidR="00775F45">
            <w:rPr>
              <w:rFonts w:ascii="Book Antiqua" w:hAnsi="Book Antiqua" w:cs="Arial"/>
              <w:color w:val="000000"/>
            </w:rPr>
            <w:t>instrumento de evaluación de la ejecución presupuestaria</w:t>
          </w:r>
          <w:r w:rsidR="00114E3E">
            <w:rPr>
              <w:rFonts w:ascii="Book Antiqua" w:hAnsi="Book Antiqua" w:cs="Arial"/>
              <w:color w:val="000000"/>
            </w:rPr>
            <w:t xml:space="preserve">, a efectos de agilizar la confección de los informes que son el insumo </w:t>
          </w:r>
          <w:r w:rsidR="006D48E6">
            <w:rPr>
              <w:rFonts w:ascii="Book Antiqua" w:hAnsi="Book Antiqua" w:cs="Arial"/>
              <w:color w:val="000000"/>
            </w:rPr>
            <w:t>para dar respuesta a los requerimientos del Ministerio de Hacie</w:t>
          </w:r>
          <w:r w:rsidR="009F4DBA">
            <w:rPr>
              <w:rFonts w:ascii="Book Antiqua" w:hAnsi="Book Antiqua" w:cs="Arial"/>
              <w:color w:val="000000"/>
            </w:rPr>
            <w:t xml:space="preserve">nda.  No obstante una vez remitidos los informes iniciales a la Dirección de Planificación fue necesaria la devolución a cada uno de los programas para </w:t>
          </w:r>
          <w:r w:rsidR="00D41B77">
            <w:rPr>
              <w:rFonts w:ascii="Book Antiqua" w:hAnsi="Book Antiqua" w:cs="Arial"/>
              <w:color w:val="000000"/>
            </w:rPr>
            <w:t xml:space="preserve">la corrección de errores </w:t>
          </w:r>
          <w:r w:rsidR="00A4513E">
            <w:rPr>
              <w:rFonts w:ascii="Book Antiqua" w:hAnsi="Book Antiqua" w:cs="Arial"/>
              <w:color w:val="000000"/>
            </w:rPr>
            <w:t>y ajustes de formato</w:t>
          </w:r>
          <w:r w:rsidR="00175685" w:rsidRPr="00175685">
            <w:rPr>
              <w:rFonts w:ascii="Book Antiqua" w:hAnsi="Book Antiqua" w:cs="Arial"/>
              <w:color w:val="000000"/>
            </w:rPr>
            <w:t xml:space="preserve"> </w:t>
          </w:r>
          <w:r w:rsidR="00175685">
            <w:rPr>
              <w:rFonts w:ascii="Book Antiqua" w:hAnsi="Book Antiqua" w:cs="Arial"/>
              <w:color w:val="000000"/>
            </w:rPr>
            <w:t xml:space="preserve">lo que </w:t>
          </w:r>
          <w:r w:rsidR="00175685" w:rsidRPr="00333242">
            <w:rPr>
              <w:rFonts w:ascii="Book Antiqua" w:hAnsi="Book Antiqua" w:cs="Arial"/>
              <w:color w:val="000000"/>
            </w:rPr>
            <w:t>ocasionó una demora en la entrega proyectada al inicio por parte de la Dirección de Planificación</w:t>
          </w:r>
          <w:r w:rsidR="00401F9C">
            <w:rPr>
              <w:rFonts w:ascii="Book Antiqua" w:hAnsi="Book Antiqua" w:cs="Arial"/>
              <w:color w:val="000000"/>
            </w:rPr>
            <w:t>, y fue hasta el 22 de enero que se recibió el último</w:t>
          </w:r>
          <w:r w:rsidR="00F840D7">
            <w:rPr>
              <w:rFonts w:ascii="Book Antiqua" w:hAnsi="Book Antiqua" w:cs="Arial"/>
              <w:color w:val="000000"/>
            </w:rPr>
            <w:t xml:space="preserve"> informe </w:t>
          </w:r>
          <w:r w:rsidR="00F840D7">
            <w:rPr>
              <w:rFonts w:ascii="Book Antiqua" w:hAnsi="Book Antiqua" w:cs="Arial"/>
              <w:color w:val="000000"/>
            </w:rPr>
            <w:lastRenderedPageBreak/>
            <w:t>corregido</w:t>
          </w:r>
          <w:r w:rsidR="00807341">
            <w:rPr>
              <w:rFonts w:ascii="Book Antiqua" w:hAnsi="Book Antiqua" w:cs="Arial"/>
              <w:color w:val="000000"/>
            </w:rPr>
            <w:t>, razón por la</w:t>
          </w:r>
          <w:r w:rsidR="00D110E0">
            <w:rPr>
              <w:rFonts w:ascii="Book Antiqua" w:hAnsi="Book Antiqua" w:cs="Arial"/>
              <w:color w:val="000000"/>
            </w:rPr>
            <w:t xml:space="preserve"> cual</w:t>
          </w:r>
          <w:r w:rsidR="00807341">
            <w:rPr>
              <w:rFonts w:ascii="Book Antiqua" w:hAnsi="Book Antiqua" w:cs="Arial"/>
              <w:color w:val="000000"/>
            </w:rPr>
            <w:t xml:space="preserve"> se está </w:t>
          </w:r>
          <w:r w:rsidRPr="00333242">
            <w:rPr>
              <w:rFonts w:ascii="Book Antiqua" w:hAnsi="Book Antiqua" w:cs="Arial"/>
              <w:color w:val="000000"/>
            </w:rPr>
            <w:t xml:space="preserve">remitiendo </w:t>
          </w:r>
          <w:r w:rsidR="00C33765">
            <w:rPr>
              <w:rFonts w:ascii="Book Antiqua" w:hAnsi="Book Antiqua" w:cs="Arial"/>
              <w:color w:val="000000"/>
            </w:rPr>
            <w:t xml:space="preserve">el presente  informe </w:t>
          </w:r>
          <w:r w:rsidRPr="00333242">
            <w:rPr>
              <w:rFonts w:ascii="Book Antiqua" w:hAnsi="Book Antiqua" w:cs="Arial"/>
              <w:color w:val="000000"/>
            </w:rPr>
            <w:t>con fech</w:t>
          </w:r>
          <w:r w:rsidR="00375150" w:rsidRPr="00333242">
            <w:rPr>
              <w:rFonts w:ascii="Book Antiqua" w:hAnsi="Book Antiqua" w:cs="Arial"/>
              <w:color w:val="000000"/>
            </w:rPr>
            <w:t>a del 23 de enero</w:t>
          </w:r>
          <w:r w:rsidR="00C33765">
            <w:rPr>
              <w:rFonts w:ascii="Book Antiqua" w:hAnsi="Book Antiqua" w:cs="Arial"/>
              <w:color w:val="000000"/>
            </w:rPr>
            <w:t>.</w:t>
          </w:r>
          <w:r w:rsidR="00375150" w:rsidRPr="00333242">
            <w:rPr>
              <w:rFonts w:ascii="Book Antiqua" w:hAnsi="Book Antiqua" w:cs="Arial"/>
              <w:color w:val="000000"/>
            </w:rPr>
            <w:t xml:space="preserve"> </w:t>
          </w:r>
        </w:p>
        <w:p w:rsidR="00EF5E68" w:rsidRPr="0084580C" w:rsidRDefault="00375150" w:rsidP="00EF5E68">
          <w:pPr>
            <w:ind w:firstLine="708"/>
            <w:jc w:val="both"/>
            <w:rPr>
              <w:rFonts w:ascii="Book Antiqua" w:hAnsi="Book Antiqua" w:cs="Arial"/>
              <w:color w:val="000000"/>
            </w:rPr>
          </w:pPr>
          <w:r w:rsidRPr="0084580C">
            <w:rPr>
              <w:rFonts w:ascii="Book Antiqua" w:hAnsi="Book Antiqua" w:cs="Arial"/>
              <w:color w:val="000000"/>
            </w:rPr>
            <w:t xml:space="preserve"> </w:t>
          </w:r>
        </w:p>
        <w:p w:rsidR="00EF5E68" w:rsidRPr="00E17887" w:rsidRDefault="00EF5E68" w:rsidP="00EF5E68">
          <w:pPr>
            <w:pStyle w:val="Default"/>
            <w:ind w:firstLine="708"/>
            <w:jc w:val="both"/>
            <w:rPr>
              <w:rFonts w:ascii="Book Antiqua" w:hAnsi="Book Antiqua"/>
            </w:rPr>
          </w:pPr>
          <w:r w:rsidRPr="00375150">
            <w:rPr>
              <w:rFonts w:ascii="Book Antiqua" w:hAnsi="Book Antiqua"/>
            </w:rPr>
            <w:t>Cabe indicar que una vez conocido y aprobado este informe por el Consejo Superior, se debe remitir a la Dirección General de Presupuesto Nacional y conforme lo indicado mediante nota DFOE</w:t>
          </w:r>
          <w:r w:rsidRPr="00375150">
            <w:rPr>
              <w:rFonts w:ascii="Book Antiqua" w:hAnsi="Book Antiqua"/>
              <w:bCs/>
            </w:rPr>
            <w:t>-SAF-0057</w:t>
          </w:r>
          <w:r w:rsidR="005C291F">
            <w:rPr>
              <w:rFonts w:ascii="Book Antiqua" w:hAnsi="Book Antiqua"/>
              <w:bCs/>
            </w:rPr>
            <w:t>,</w:t>
          </w:r>
          <w:r w:rsidRPr="00375150">
            <w:rPr>
              <w:rFonts w:ascii="Book Antiqua" w:hAnsi="Book Antiqua"/>
            </w:rPr>
            <w:t xml:space="preserve"> una copia a la Contraloría General de la República, División de Fiscalización Operativa y Evaluativa, Área de Fiscalización del Sistema de Administración Financiera de la República.</w:t>
          </w:r>
        </w:p>
        <w:p w:rsidR="00EF5E68" w:rsidRPr="00375150" w:rsidRDefault="00EF5E68" w:rsidP="00EF5E68">
          <w:pPr>
            <w:pStyle w:val="Default"/>
            <w:ind w:firstLine="708"/>
            <w:jc w:val="both"/>
            <w:rPr>
              <w:rFonts w:ascii="Book Antiqua" w:hAnsi="Book Antiqua"/>
            </w:rPr>
          </w:pPr>
        </w:p>
        <w:p w:rsidR="00EF5E68" w:rsidRDefault="00EF5E68" w:rsidP="00EF5E68">
          <w:pPr>
            <w:pStyle w:val="Default"/>
            <w:ind w:firstLine="708"/>
            <w:jc w:val="both"/>
            <w:rPr>
              <w:rFonts w:ascii="Book Antiqua" w:hAnsi="Book Antiqua"/>
            </w:rPr>
          </w:pPr>
          <w:r w:rsidRPr="00375150">
            <w:rPr>
              <w:rFonts w:ascii="Book Antiqua" w:hAnsi="Book Antiqua"/>
            </w:rPr>
            <w:t xml:space="preserve">El plazo de presentación ante el Ministerio de Hacienda es el </w:t>
          </w:r>
          <w:r w:rsidR="00FD5B31">
            <w:rPr>
              <w:rFonts w:ascii="Book Antiqua" w:hAnsi="Book Antiqua"/>
            </w:rPr>
            <w:t xml:space="preserve">jueves 31 de enero 2019. </w:t>
          </w:r>
        </w:p>
        <w:p w:rsidR="00403BB7" w:rsidRPr="0077710A" w:rsidRDefault="00403BB7" w:rsidP="00EF5E68">
          <w:pPr>
            <w:pStyle w:val="Default"/>
            <w:ind w:firstLine="708"/>
            <w:jc w:val="both"/>
            <w:rPr>
              <w:rFonts w:ascii="Book Antiqua" w:hAnsi="Book Antiqua"/>
            </w:rPr>
          </w:pPr>
        </w:p>
        <w:p w:rsidR="00EF5E68" w:rsidRPr="0077710A" w:rsidRDefault="00403BB7" w:rsidP="00EF5E68">
          <w:pPr>
            <w:ind w:firstLine="708"/>
            <w:jc w:val="both"/>
            <w:rPr>
              <w:rFonts w:ascii="Book Antiqua" w:hAnsi="Book Antiqua" w:cs="Arial"/>
              <w:color w:val="000000"/>
            </w:rPr>
          </w:pPr>
          <w:r>
            <w:rPr>
              <w:rFonts w:ascii="Book Antiqua" w:hAnsi="Book Antiqua" w:cs="Arial"/>
              <w:color w:val="000000"/>
            </w:rPr>
            <w:t>Se adjunta el libro de Excel del 301- Poder Judicial  y los archivos PDF</w:t>
          </w:r>
          <w:r w:rsidR="005E7C34">
            <w:rPr>
              <w:rFonts w:ascii="Book Antiqua" w:hAnsi="Book Antiqua" w:cs="Arial"/>
              <w:color w:val="000000"/>
            </w:rPr>
            <w:t xml:space="preserve"> de los Programas</w:t>
          </w:r>
          <w:r>
            <w:rPr>
              <w:rFonts w:ascii="Book Antiqua" w:hAnsi="Book Antiqua" w:cs="Arial"/>
              <w:color w:val="000000"/>
            </w:rPr>
            <w:t>.</w:t>
          </w:r>
        </w:p>
        <w:p w:rsidR="00EF5E68" w:rsidRPr="00E17887" w:rsidRDefault="00EF5E68" w:rsidP="004F2F91">
          <w:pPr>
            <w:rPr>
              <w:rFonts w:ascii="Book Antiqua" w:hAnsi="Book Antiqua" w:cs="Arial"/>
              <w:color w:val="000000"/>
            </w:rPr>
          </w:pPr>
        </w:p>
        <w:p w:rsidR="00375150" w:rsidRDefault="002D7B4C" w:rsidP="004F2F91">
          <w:pPr>
            <w:rPr>
              <w:rFonts w:ascii="Book Antiqua" w:hAnsi="Book Antiqua" w:cs="Arial"/>
              <w:color w:val="000000"/>
            </w:rPr>
          </w:pPr>
          <w:r w:rsidRPr="00A510C3">
            <w:rPr>
              <w:rFonts w:ascii="Book Antiqua" w:hAnsi="Book Antiqua" w:cs="Arial"/>
              <w:color w:val="000000"/>
            </w:rPr>
            <w:object w:dxaOrig="152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1pt" o:ole="">
                <v:imagedata r:id="rId8" o:title=""/>
              </v:shape>
              <o:OLEObject Type="Embed" ProgID="Excel.Sheet.12" ShapeID="_x0000_i1025" DrawAspect="Icon" ObjectID="_1609768429" r:id="rId9"/>
            </w:object>
          </w:r>
          <w:r w:rsidR="005E7C34">
            <w:rPr>
              <w:rFonts w:ascii="Book Antiqua" w:hAnsi="Book Antiqua" w:cs="Arial"/>
              <w:color w:val="000000"/>
            </w:rPr>
            <w:t xml:space="preserve">    </w:t>
          </w:r>
          <w:r w:rsidR="001830B8" w:rsidRPr="00A510C3">
            <w:rPr>
              <w:rFonts w:ascii="Book Antiqua" w:hAnsi="Book Antiqua" w:cs="Arial"/>
              <w:color w:val="000000"/>
            </w:rPr>
            <w:object w:dxaOrig="1525" w:dyaOrig="993">
              <v:shape id="_x0000_i1026" type="#_x0000_t75" style="width:75.75pt;height:50.1pt" o:ole="">
                <v:imagedata r:id="rId10" o:title=""/>
              </v:shape>
              <o:OLEObject Type="Embed" ProgID="AcroExch.Document.DC" ShapeID="_x0000_i1026" DrawAspect="Icon" ObjectID="_1609768430" r:id="rId11"/>
            </w:object>
          </w:r>
          <w:r w:rsidR="00054BA6" w:rsidRPr="00A510C3">
            <w:rPr>
              <w:rFonts w:ascii="Book Antiqua" w:hAnsi="Book Antiqua" w:cs="Arial"/>
              <w:color w:val="000000"/>
            </w:rPr>
            <w:object w:dxaOrig="1525" w:dyaOrig="993">
              <v:shape id="_x0000_i1027" type="#_x0000_t75" style="width:75.75pt;height:50.1pt" o:ole="">
                <v:imagedata r:id="rId12" o:title=""/>
              </v:shape>
              <o:OLEObject Type="Embed" ProgID="AcroExch.Document.DC" ShapeID="_x0000_i1027" DrawAspect="Icon" ObjectID="_1609768431" r:id="rId13"/>
            </w:object>
          </w:r>
          <w:r w:rsidR="00054BA6" w:rsidRPr="00A510C3">
            <w:rPr>
              <w:rFonts w:ascii="Book Antiqua" w:hAnsi="Book Antiqua" w:cs="Arial"/>
              <w:color w:val="000000"/>
            </w:rPr>
            <w:object w:dxaOrig="1525" w:dyaOrig="993">
              <v:shape id="_x0000_i1028" type="#_x0000_t75" style="width:75.75pt;height:50.1pt" o:ole="">
                <v:imagedata r:id="rId14" o:title=""/>
              </v:shape>
              <o:OLEObject Type="Embed" ProgID="AcroExch.Document.DC" ShapeID="_x0000_i1028" DrawAspect="Icon" ObjectID="_1609768432" r:id="rId15"/>
            </w:object>
          </w:r>
          <w:r w:rsidR="00814806" w:rsidRPr="00A510C3">
            <w:rPr>
              <w:rFonts w:ascii="Book Antiqua" w:hAnsi="Book Antiqua" w:cs="Arial"/>
              <w:color w:val="000000"/>
            </w:rPr>
            <w:object w:dxaOrig="1525" w:dyaOrig="993">
              <v:shape id="_x0000_i1029" type="#_x0000_t75" style="width:75.75pt;height:50.1pt" o:ole="">
                <v:imagedata r:id="rId16" o:title=""/>
              </v:shape>
              <o:OLEObject Type="Embed" ProgID="AcroExch.Document.DC" ShapeID="_x0000_i1029" DrawAspect="Icon" ObjectID="_1609768433" r:id="rId17"/>
            </w:object>
          </w:r>
        </w:p>
        <w:p w:rsidR="00375150" w:rsidRPr="0077710A" w:rsidRDefault="00375150" w:rsidP="004F2F91">
          <w:pPr>
            <w:rPr>
              <w:rFonts w:ascii="Book Antiqua" w:hAnsi="Book Antiqua" w:cs="Arial"/>
              <w:color w:val="000000"/>
            </w:rPr>
          </w:pPr>
        </w:p>
        <w:p w:rsidR="00EF5E68" w:rsidRPr="00E17887" w:rsidRDefault="00EF5E68" w:rsidP="00EF5E68">
          <w:pPr>
            <w:widowControl w:val="0"/>
            <w:rPr>
              <w:rFonts w:ascii="Book Antiqua" w:hAnsi="Book Antiqua" w:cs="Arial"/>
              <w:snapToGrid w:val="0"/>
              <w:lang w:val="pt-BR"/>
            </w:rPr>
          </w:pPr>
          <w:r w:rsidRPr="00E17887">
            <w:rPr>
              <w:rFonts w:ascii="Book Antiqua" w:hAnsi="Book Antiqua" w:cs="Arial"/>
              <w:snapToGrid w:val="0"/>
              <w:lang w:val="pt-BR"/>
            </w:rPr>
            <w:t>Atentamente,</w:t>
          </w:r>
        </w:p>
        <w:p w:rsidR="00EF5E68" w:rsidRPr="00054BA6" w:rsidRDefault="00EF5E68" w:rsidP="00EF5E68">
          <w:pPr>
            <w:widowControl w:val="0"/>
            <w:jc w:val="center"/>
            <w:rPr>
              <w:rFonts w:ascii="Book Antiqua" w:hAnsi="Book Antiqua" w:cs="Arial"/>
              <w:b/>
              <w:bCs/>
              <w:snapToGrid w:val="0"/>
              <w:lang w:val="pt-BR"/>
            </w:rPr>
          </w:pPr>
        </w:p>
        <w:p w:rsidR="00EF5E68" w:rsidRPr="004A25EE" w:rsidRDefault="00EF5E68" w:rsidP="00EF5E68">
          <w:pPr>
            <w:widowControl w:val="0"/>
            <w:rPr>
              <w:rFonts w:ascii="Book Antiqua" w:hAnsi="Book Antiqua" w:cs="Arial"/>
              <w:snapToGrid w:val="0"/>
              <w:lang w:val="pt-BR"/>
            </w:rPr>
          </w:pPr>
        </w:p>
        <w:p w:rsidR="00EF5E68" w:rsidRPr="0084580C" w:rsidRDefault="00EF5E68" w:rsidP="00EF5E68">
          <w:pPr>
            <w:rPr>
              <w:rFonts w:ascii="Book Antiqua" w:hAnsi="Book Antiqua" w:cs="Arial"/>
              <w:snapToGrid w:val="0"/>
              <w:lang w:val="pt-BR"/>
            </w:rPr>
          </w:pPr>
        </w:p>
        <w:p w:rsidR="00EF5E68" w:rsidRPr="0084580C" w:rsidRDefault="00375150" w:rsidP="00EF5E68">
          <w:pPr>
            <w:rPr>
              <w:rFonts w:ascii="Book Antiqua" w:hAnsi="Book Antiqua" w:cs="Arial"/>
              <w:snapToGrid w:val="0"/>
              <w:lang w:val="pt-BR"/>
            </w:rPr>
          </w:pPr>
          <w:r w:rsidRPr="0084580C">
            <w:rPr>
              <w:rFonts w:ascii="Book Antiqua" w:hAnsi="Book Antiqua" w:cs="Arial"/>
              <w:snapToGrid w:val="0"/>
              <w:lang w:val="pt-BR"/>
            </w:rPr>
            <w:t xml:space="preserve">Nacira Valverde </w:t>
          </w:r>
          <w:proofErr w:type="spellStart"/>
          <w:r w:rsidRPr="0084580C">
            <w:rPr>
              <w:rFonts w:ascii="Book Antiqua" w:hAnsi="Book Antiqua" w:cs="Arial"/>
              <w:snapToGrid w:val="0"/>
              <w:lang w:val="pt-BR"/>
            </w:rPr>
            <w:t>Bermudez</w:t>
          </w:r>
          <w:proofErr w:type="spellEnd"/>
          <w:r w:rsidRPr="0084580C">
            <w:rPr>
              <w:rFonts w:ascii="Book Antiqua" w:hAnsi="Book Antiqua" w:cs="Arial"/>
              <w:snapToGrid w:val="0"/>
              <w:lang w:val="pt-BR"/>
            </w:rPr>
            <w:t>, Directora</w:t>
          </w:r>
          <w:r w:rsidR="00595454">
            <w:rPr>
              <w:rFonts w:ascii="Book Antiqua" w:hAnsi="Book Antiqua" w:cs="Arial"/>
              <w:snapToGrid w:val="0"/>
              <w:lang w:val="pt-BR"/>
            </w:rPr>
            <w:t xml:space="preserve"> a.i. </w:t>
          </w:r>
        </w:p>
        <w:p w:rsidR="00375150" w:rsidRPr="0084580C" w:rsidRDefault="00375150" w:rsidP="00EF5E68">
          <w:pPr>
            <w:rPr>
              <w:rFonts w:ascii="Book Antiqua" w:hAnsi="Book Antiqua" w:cs="Arial"/>
              <w:snapToGrid w:val="0"/>
              <w:lang w:val="pt-BR"/>
            </w:rPr>
          </w:pPr>
          <w:r w:rsidRPr="0084580C">
            <w:rPr>
              <w:rFonts w:ascii="Book Antiqua" w:hAnsi="Book Antiqua" w:cs="Arial"/>
              <w:snapToGrid w:val="0"/>
              <w:lang w:val="pt-BR"/>
            </w:rPr>
            <w:t>Dirección de Planificación</w:t>
          </w:r>
        </w:p>
        <w:p w:rsidR="00EF5E68" w:rsidRPr="0084580C" w:rsidRDefault="00EF5E68" w:rsidP="00EF5E68">
          <w:pPr>
            <w:widowControl w:val="0"/>
            <w:rPr>
              <w:rFonts w:ascii="Book Antiqua" w:hAnsi="Book Antiqua" w:cs="Arial"/>
              <w:snapToGrid w:val="0"/>
              <w:lang w:val="pt-BR"/>
            </w:rPr>
          </w:pPr>
        </w:p>
        <w:p w:rsidR="00EF5E68" w:rsidRPr="0084580C" w:rsidRDefault="00EF5E68" w:rsidP="00EF5E68">
          <w:pPr>
            <w:widowControl w:val="0"/>
            <w:jc w:val="center"/>
            <w:rPr>
              <w:rFonts w:ascii="Book Antiqua" w:hAnsi="Book Antiqua" w:cs="Arial"/>
              <w:b/>
              <w:bCs/>
              <w:snapToGrid w:val="0"/>
              <w:lang w:val="pt-BR"/>
            </w:rPr>
          </w:pPr>
        </w:p>
        <w:p w:rsidR="00EF5E68" w:rsidRPr="0084580C" w:rsidRDefault="00EF5E68" w:rsidP="00EF5E68">
          <w:pPr>
            <w:rPr>
              <w:rFonts w:ascii="Book Antiqua" w:hAnsi="Book Antiqua" w:cs="Arial"/>
            </w:rPr>
          </w:pPr>
          <w:r w:rsidRPr="0084580C">
            <w:rPr>
              <w:rFonts w:ascii="Book Antiqua" w:hAnsi="Book Antiqua" w:cs="Arial"/>
            </w:rPr>
            <w:t>Copias:</w:t>
          </w:r>
        </w:p>
        <w:p w:rsidR="00EF5E68" w:rsidRPr="0084580C" w:rsidRDefault="00EF5E68" w:rsidP="00EF5E68">
          <w:pPr>
            <w:numPr>
              <w:ilvl w:val="0"/>
              <w:numId w:val="19"/>
            </w:numPr>
            <w:rPr>
              <w:rFonts w:ascii="Book Antiqua" w:hAnsi="Book Antiqua" w:cs="Arial"/>
            </w:rPr>
          </w:pPr>
          <w:r w:rsidRPr="0084580C">
            <w:rPr>
              <w:rFonts w:ascii="Book Antiqua" w:hAnsi="Book Antiqua" w:cs="Arial"/>
            </w:rPr>
            <w:t>Dirección Ejecutiva</w:t>
          </w:r>
        </w:p>
        <w:p w:rsidR="000D223F" w:rsidRPr="00FA77EB" w:rsidRDefault="00EF5E68" w:rsidP="00FA77EB">
          <w:pPr>
            <w:numPr>
              <w:ilvl w:val="0"/>
              <w:numId w:val="19"/>
            </w:numPr>
            <w:rPr>
              <w:rFonts w:ascii="Book Antiqua" w:hAnsi="Book Antiqua" w:cs="Arial"/>
            </w:rPr>
          </w:pPr>
          <w:r w:rsidRPr="0084580C">
            <w:rPr>
              <w:rFonts w:ascii="Book Antiqua" w:hAnsi="Book Antiqua" w:cs="Arial"/>
            </w:rPr>
            <w:t>Defensa Pública</w:t>
          </w:r>
        </w:p>
        <w:p w:rsidR="00EF5E68" w:rsidRPr="0084580C" w:rsidRDefault="00EF5E68" w:rsidP="00EF5E68">
          <w:pPr>
            <w:numPr>
              <w:ilvl w:val="0"/>
              <w:numId w:val="19"/>
            </w:numPr>
            <w:rPr>
              <w:rFonts w:ascii="Book Antiqua" w:hAnsi="Book Antiqua" w:cs="Arial"/>
            </w:rPr>
          </w:pPr>
          <w:r w:rsidRPr="0084580C">
            <w:rPr>
              <w:rFonts w:ascii="Book Antiqua" w:hAnsi="Book Antiqua" w:cs="Arial"/>
            </w:rPr>
            <w:t>Centro de Apoyo, Coordinación y Mejoramiento de la Función Jurisdiccional</w:t>
          </w:r>
        </w:p>
        <w:p w:rsidR="00EF5E68" w:rsidRPr="0084580C" w:rsidRDefault="00EF5E68" w:rsidP="00EF5E68">
          <w:pPr>
            <w:numPr>
              <w:ilvl w:val="0"/>
              <w:numId w:val="19"/>
            </w:numPr>
            <w:rPr>
              <w:rFonts w:ascii="Book Antiqua" w:hAnsi="Book Antiqua" w:cs="Arial"/>
            </w:rPr>
          </w:pPr>
          <w:r w:rsidRPr="0084580C">
            <w:rPr>
              <w:rFonts w:ascii="Book Antiqua" w:hAnsi="Book Antiqua" w:cs="Arial"/>
            </w:rPr>
            <w:t>Servicio de Atención y Protección de Víctimas y Testigos</w:t>
          </w:r>
        </w:p>
        <w:p w:rsidR="00EF5E68" w:rsidRPr="0084580C" w:rsidRDefault="00EF5E68" w:rsidP="00EF5E68">
          <w:pPr>
            <w:numPr>
              <w:ilvl w:val="0"/>
              <w:numId w:val="19"/>
            </w:numPr>
            <w:rPr>
              <w:rFonts w:ascii="Book Antiqua" w:hAnsi="Book Antiqua" w:cs="Arial"/>
            </w:rPr>
          </w:pPr>
          <w:r w:rsidRPr="0084580C">
            <w:rPr>
              <w:rFonts w:ascii="Book Antiqua" w:hAnsi="Book Antiqua" w:cs="Arial"/>
            </w:rPr>
            <w:t xml:space="preserve"> Archivo</w:t>
          </w:r>
        </w:p>
        <w:p w:rsidR="00EF5E68" w:rsidRPr="0084580C" w:rsidRDefault="00EF5E68" w:rsidP="00EF5E68">
          <w:pPr>
            <w:rPr>
              <w:rFonts w:ascii="Book Antiqua" w:hAnsi="Book Antiqua" w:cs="Arial"/>
            </w:rPr>
          </w:pPr>
        </w:p>
        <w:p w:rsidR="000D223F" w:rsidRPr="00B45C44" w:rsidRDefault="000D223F" w:rsidP="000D223F">
          <w:pPr>
            <w:rPr>
              <w:rFonts w:ascii="Book Antiqua" w:hAnsi="Book Antiqua" w:cs="Book Antiqua"/>
              <w:snapToGrid w:val="0"/>
            </w:rPr>
          </w:pPr>
        </w:p>
        <w:p w:rsidR="000D223F" w:rsidRPr="00B45C44" w:rsidRDefault="00FA77EB" w:rsidP="000D223F">
          <w:pPr>
            <w:rPr>
              <w:rFonts w:ascii="Book Antiqua" w:hAnsi="Book Antiqua" w:cs="Book Antiqua"/>
              <w:snapToGrid w:val="0"/>
            </w:rPr>
          </w:pPr>
          <w:proofErr w:type="spellStart"/>
          <w:proofErr w:type="gramStart"/>
          <w:r>
            <w:rPr>
              <w:rFonts w:ascii="Book Antiqua" w:hAnsi="Book Antiqua" w:cs="Book Antiqua"/>
              <w:snapToGrid w:val="0"/>
            </w:rPr>
            <w:t>pvv</w:t>
          </w:r>
          <w:proofErr w:type="spellEnd"/>
          <w:proofErr w:type="gramEnd"/>
        </w:p>
        <w:p w:rsidR="00FA77EB" w:rsidRPr="0084580C" w:rsidRDefault="000D223F" w:rsidP="00FA77EB">
          <w:pPr>
            <w:rPr>
              <w:rFonts w:ascii="Book Antiqua" w:hAnsi="Book Antiqua" w:cs="Arial"/>
            </w:rPr>
          </w:pPr>
          <w:r w:rsidRPr="00B45C44">
            <w:rPr>
              <w:rFonts w:ascii="Book Antiqua" w:hAnsi="Book Antiqua" w:cs="Book Antiqua"/>
              <w:snapToGrid w:val="0"/>
            </w:rPr>
            <w:t>Ref.</w:t>
          </w:r>
          <w:r w:rsidR="00FA77EB" w:rsidRPr="00FA77EB">
            <w:rPr>
              <w:rFonts w:ascii="Book Antiqua" w:hAnsi="Book Antiqua" w:cs="Arial"/>
            </w:rPr>
            <w:t xml:space="preserve"> </w:t>
          </w:r>
          <w:r w:rsidR="00FA77EB" w:rsidRPr="00595454">
            <w:rPr>
              <w:rFonts w:ascii="Book Antiqua" w:hAnsi="Book Antiqua" w:cs="Arial"/>
              <w:b/>
            </w:rPr>
            <w:t>2022-18</w:t>
          </w:r>
        </w:p>
        <w:p w:rsidR="000D223F" w:rsidRPr="00B45C44" w:rsidRDefault="000D223F" w:rsidP="000D223F">
          <w:pPr>
            <w:rPr>
              <w:rFonts w:ascii="Book Antiqua" w:hAnsi="Book Antiqua" w:cs="Book Antiqua"/>
              <w:snapToGrid w:val="0"/>
            </w:rPr>
          </w:pPr>
        </w:p>
        <w:p w:rsidR="00EF5E68" w:rsidRPr="0084580C" w:rsidRDefault="00EF5E68">
          <w:pPr>
            <w:rPr>
              <w:rFonts w:ascii="Book Antiqua" w:eastAsiaTheme="majorEastAsia" w:hAnsi="Book Antiqua" w:cs="Arial"/>
              <w:sz w:val="72"/>
              <w:szCs w:val="72"/>
            </w:rPr>
          </w:pPr>
        </w:p>
        <w:p w:rsidR="00242891" w:rsidRPr="0084580C" w:rsidRDefault="00242891">
          <w:pPr>
            <w:pStyle w:val="Sinespaciado"/>
            <w:rPr>
              <w:rFonts w:ascii="Arial" w:eastAsiaTheme="majorEastAsia" w:hAnsi="Arial" w:cs="Arial"/>
              <w:sz w:val="72"/>
              <w:szCs w:val="72"/>
            </w:rPr>
          </w:pPr>
        </w:p>
        <w:p w:rsidR="00242891" w:rsidRPr="0084580C" w:rsidRDefault="00242891">
          <w:pPr>
            <w:pStyle w:val="Sinespaciado"/>
            <w:rPr>
              <w:rFonts w:ascii="Arial" w:eastAsiaTheme="majorEastAsia" w:hAnsi="Arial" w:cs="Arial"/>
              <w:sz w:val="72"/>
              <w:szCs w:val="72"/>
            </w:rPr>
          </w:pPr>
        </w:p>
        <w:p w:rsidR="00242891" w:rsidRPr="0084580C" w:rsidRDefault="00337C33">
          <w:pPr>
            <w:pStyle w:val="Sinespaciado"/>
            <w:rPr>
              <w:rFonts w:ascii="Arial" w:eastAsiaTheme="majorEastAsia" w:hAnsi="Arial" w:cs="Arial"/>
              <w:sz w:val="72"/>
              <w:szCs w:val="72"/>
            </w:rPr>
          </w:pPr>
          <w:r w:rsidRPr="00337C33">
            <w:rPr>
              <w:rFonts w:ascii="Arial" w:hAnsi="Arial" w:cs="Arial"/>
              <w:noProof/>
              <w:lang w:val="es-CR" w:eastAsia="es-CR"/>
            </w:rPr>
            <w:pict>
              <v:rect id="Rectángulo 2" o:spid="_x0000_s1026" style="position:absolute;margin-left:0;margin-top:0;width:642.6pt;height:64.4pt;z-index:25165926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" o:allowincell="f" fillcolor="#4bacc6 [3208]" strokecolor="#4f81bd [3204]">
                <w10:wrap anchorx="page" anchory="page"/>
              </v:rect>
            </w:pict>
          </w:r>
          <w:r w:rsidRPr="00337C33">
            <w:rPr>
              <w:rFonts w:ascii="Arial" w:hAnsi="Arial" w:cs="Arial"/>
              <w:noProof/>
              <w:lang w:val="es-CR" w:eastAsia="es-CR"/>
            </w:rPr>
            <w:pict>
              <v:rect id="Rectángulo 5" o:spid="_x0000_s1029" style="position:absolute;margin-left:0;margin-top:0;width:7.15pt;height:831.2pt;z-index:25166233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ynK1/y0CAABBBAAADgAAAAAAAAAAAAAAAAAuAgAAZHJz&#10;L2Uyb0RvYy54bWxQSwECLQAUAAYACAAAACEAfSHic90AAAAFAQAADwAAAAAAAAAAAAAAAACHBAAA&#10;ZHJzL2Rvd25yZXYueG1sUEsFBgAAAAAEAAQA8wAAAJEFAAAAAA==&#10;" o:allowincell="f" strokecolor="#4f81bd [3204]">
                <w10:wrap anchorx="margin" anchory="page"/>
              </v:rect>
            </w:pict>
          </w:r>
          <w:r w:rsidRPr="00337C33">
            <w:rPr>
              <w:rFonts w:ascii="Arial" w:hAnsi="Arial" w:cs="Arial"/>
              <w:noProof/>
              <w:lang w:val="es-CR" w:eastAsia="es-CR"/>
            </w:rPr>
            <w:pict>
              <v:rect id="Rectángulo 4" o:spid="_x0000_s1028" style="position:absolute;margin-left:0;margin-top:0;width:7.15pt;height:831.2pt;z-index:25166131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DDVvwsuAgAAQQQAAA4AAAAAAAAAAAAAAAAALgIAAGRy&#10;cy9lMm9Eb2MueG1sUEsBAi0AFAAGAAgAAAAhAH0h4nPdAAAABQEAAA8AAAAAAAAAAAAAAAAAiAQA&#10;AGRycy9kb3ducmV2LnhtbFBLBQYAAAAABAAEAPMAAACSBQAAAAA=&#10;" o:allowincell="f" strokecolor="#4f81bd [3204]">
                <w10:wrap anchorx="margin" anchory="page"/>
              </v:rect>
            </w:pict>
          </w:r>
          <w:r w:rsidRPr="00337C33">
            <w:rPr>
              <w:rFonts w:ascii="Arial" w:hAnsi="Arial" w:cs="Arial"/>
              <w:noProof/>
              <w:lang w:val="es-CR" w:eastAsia="es-CR"/>
            </w:rPr>
            <w:pict>
              <v:rect id="Rectángulo 3" o:spid="_x0000_s1027" style="position:absolute;margin-left:0;margin-top:0;width:642.6pt;height:64.8pt;z-index:25166028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" o:allowincell="f" fillcolor="#4bacc6 [3208]" strokecolor="#4f81bd [3204]">
                <w10:wrap anchorx="page" anchory="margin"/>
              </v:rect>
            </w:pict>
          </w:r>
        </w:p>
        <w:sdt>
          <w:sdtPr>
            <w:rPr>
              <w:rFonts w:ascii="Arial" w:eastAsiaTheme="majorEastAsia" w:hAnsi="Arial" w:cs="Arial"/>
              <w:sz w:val="52"/>
              <w:szCs w:val="72"/>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242891" w:rsidRPr="0077710A" w:rsidRDefault="00242891" w:rsidP="00242891">
              <w:pPr>
                <w:pStyle w:val="Sinespaciado"/>
                <w:jc w:val="center"/>
                <w:rPr>
                  <w:rFonts w:ascii="Arial" w:eastAsiaTheme="majorEastAsia" w:hAnsi="Arial" w:cs="Arial"/>
                  <w:sz w:val="52"/>
                  <w:szCs w:val="72"/>
                </w:rPr>
              </w:pPr>
              <w:r w:rsidRPr="0077710A">
                <w:rPr>
                  <w:rFonts w:ascii="Arial" w:eastAsiaTheme="majorEastAsia" w:hAnsi="Arial" w:cs="Arial"/>
                  <w:sz w:val="52"/>
                  <w:szCs w:val="72"/>
                </w:rPr>
                <w:t>Instrumento para elaborar el informe anual de resultados físicos y financieros 2018</w:t>
              </w:r>
            </w:p>
          </w:sdtContent>
        </w:sdt>
        <w:p w:rsidR="00242891" w:rsidRPr="0084580C" w:rsidRDefault="00242891">
          <w:pPr>
            <w:pStyle w:val="Sinespaciado"/>
            <w:rPr>
              <w:rFonts w:ascii="Arial" w:eastAsiaTheme="majorEastAsia" w:hAnsi="Arial" w:cs="Arial"/>
              <w:sz w:val="36"/>
              <w:szCs w:val="36"/>
            </w:rPr>
          </w:pPr>
        </w:p>
        <w:p w:rsidR="00242891" w:rsidRPr="0084580C" w:rsidRDefault="00242891">
          <w:pPr>
            <w:pStyle w:val="Sinespaciado"/>
            <w:rPr>
              <w:rFonts w:ascii="Arial" w:eastAsiaTheme="majorEastAsia" w:hAnsi="Arial" w:cs="Arial"/>
              <w:sz w:val="36"/>
              <w:szCs w:val="36"/>
            </w:rPr>
          </w:pPr>
        </w:p>
        <w:p w:rsidR="00242891" w:rsidRPr="0084580C" w:rsidRDefault="00242891">
          <w:pPr>
            <w:pStyle w:val="Sinespaciado"/>
            <w:rPr>
              <w:rFonts w:ascii="Arial" w:eastAsiaTheme="majorEastAsia" w:hAnsi="Arial" w:cs="Arial"/>
              <w:sz w:val="36"/>
              <w:szCs w:val="36"/>
            </w:rPr>
          </w:pPr>
        </w:p>
        <w:p w:rsidR="00242891" w:rsidRPr="0084580C" w:rsidRDefault="00242891">
          <w:pPr>
            <w:pStyle w:val="Sinespaciado"/>
            <w:rPr>
              <w:rFonts w:ascii="Arial" w:hAnsi="Arial" w:cs="Arial"/>
            </w:rPr>
          </w:pPr>
        </w:p>
        <w:sdt>
          <w:sdtPr>
            <w:rPr>
              <w:rFonts w:ascii="Arial" w:hAnsi="Arial" w:cs="Arial"/>
              <w:b/>
              <w:sz w:val="28"/>
            </w:rPr>
            <w:alias w:val="Compañía"/>
            <w:id w:val="14700089"/>
            <w:dataBinding w:prefixMappings="xmlns:ns0='http://schemas.openxmlformats.org/officeDocument/2006/extended-properties'" w:xpath="/ns0:Properties[1]/ns0:Company[1]" w:storeItemID="{6668398D-A668-4E3E-A5EB-62B293D839F1}"/>
            <w:text/>
          </w:sdtPr>
          <w:sdtContent>
            <w:p w:rsidR="00242891" w:rsidRPr="0077710A" w:rsidRDefault="00242891" w:rsidP="00242891">
              <w:pPr>
                <w:pStyle w:val="Sinespaciado"/>
                <w:jc w:val="center"/>
                <w:rPr>
                  <w:rFonts w:ascii="Arial" w:hAnsi="Arial" w:cs="Arial"/>
                  <w:b/>
                  <w:sz w:val="28"/>
                </w:rPr>
              </w:pPr>
              <w:r w:rsidRPr="0077710A">
                <w:rPr>
                  <w:rFonts w:ascii="Arial" w:hAnsi="Arial" w:cs="Arial"/>
                  <w:b/>
                  <w:sz w:val="28"/>
                </w:rPr>
                <w:t xml:space="preserve">DIRECCIÓN GENERAL DE PRESUPUESTO NACIONAL   </w:t>
              </w:r>
              <w:r w:rsidRPr="0077710A">
                <w:rPr>
                  <w:rFonts w:ascii="Arial" w:hAnsi="Arial" w:cs="Arial"/>
                  <w:b/>
                  <w:sz w:val="28"/>
                  <w:lang w:val="es-CR"/>
                </w:rPr>
                <w:t>MINISTERIO HACIENDA</w:t>
              </w:r>
            </w:p>
          </w:sdtContent>
        </w:sdt>
        <w:p w:rsidR="00242891" w:rsidRPr="0084580C" w:rsidRDefault="00242891">
          <w:pPr>
            <w:rPr>
              <w:rFonts w:ascii="Arial" w:hAnsi="Arial" w:cs="Arial"/>
            </w:rPr>
          </w:pPr>
        </w:p>
        <w:p w:rsidR="00242891" w:rsidRPr="0084580C" w:rsidRDefault="00242891">
          <w:pPr>
            <w:rPr>
              <w:rFonts w:ascii="Arial" w:hAnsi="Arial" w:cs="Arial"/>
            </w:rPr>
          </w:pPr>
        </w:p>
        <w:p w:rsidR="00242891" w:rsidRPr="0084580C" w:rsidRDefault="00242891">
          <w:pPr>
            <w:rPr>
              <w:rFonts w:ascii="Arial" w:hAnsi="Arial" w:cs="Arial"/>
            </w:rPr>
          </w:pPr>
        </w:p>
        <w:p w:rsidR="00242891" w:rsidRPr="0084580C" w:rsidRDefault="00242891">
          <w:pPr>
            <w:rPr>
              <w:rFonts w:ascii="Arial" w:hAnsi="Arial" w:cs="Arial"/>
            </w:rPr>
          </w:pPr>
        </w:p>
        <w:p w:rsidR="00242891" w:rsidRPr="0084580C" w:rsidRDefault="00242891">
          <w:pPr>
            <w:rPr>
              <w:rFonts w:ascii="Arial" w:hAnsi="Arial" w:cs="Arial"/>
            </w:rPr>
          </w:pPr>
        </w:p>
        <w:p w:rsidR="00242891" w:rsidRPr="0084580C" w:rsidRDefault="00242891">
          <w:pPr>
            <w:rPr>
              <w:rFonts w:ascii="Arial" w:hAnsi="Arial" w:cs="Arial"/>
            </w:rPr>
          </w:pPr>
        </w:p>
        <w:p w:rsidR="00242891" w:rsidRPr="0084580C" w:rsidRDefault="00242891">
          <w:pPr>
            <w:rPr>
              <w:rFonts w:ascii="Arial" w:hAnsi="Arial" w:cs="Arial"/>
            </w:rPr>
          </w:pPr>
        </w:p>
        <w:p w:rsidR="00242891" w:rsidRPr="0084580C" w:rsidRDefault="00242891">
          <w:pPr>
            <w:rPr>
              <w:rFonts w:ascii="Arial" w:hAnsi="Arial" w:cs="Arial"/>
            </w:rPr>
          </w:pPr>
        </w:p>
        <w:p w:rsidR="00242891" w:rsidRPr="0084580C" w:rsidRDefault="00242891">
          <w:pPr>
            <w:rPr>
              <w:rFonts w:ascii="Arial" w:hAnsi="Arial" w:cs="Arial"/>
            </w:rPr>
          </w:pPr>
        </w:p>
        <w:p w:rsidR="00242891" w:rsidRPr="0084580C" w:rsidRDefault="00242891">
          <w:pPr>
            <w:rPr>
              <w:rFonts w:ascii="Arial" w:hAnsi="Arial" w:cs="Arial"/>
            </w:rPr>
          </w:pPr>
        </w:p>
        <w:sdt>
          <w:sdtPr>
            <w:rPr>
              <w:rFonts w:ascii="Arial" w:hAnsi="Arial" w:cs="Arial"/>
              <w:b/>
              <w:sz w:val="36"/>
            </w:rPr>
            <w:alias w:val="Autor"/>
            <w:id w:val="14700094"/>
            <w:dataBinding w:prefixMappings="xmlns:ns0='http://schemas.openxmlformats.org/package/2006/metadata/core-properties' xmlns:ns1='http://purl.org/dc/elements/1.1/'" w:xpath="/ns0:coreProperties[1]/ns1:creator[1]" w:storeItemID="{6C3C8BC8-F283-45AE-878A-BAB7291924A1}"/>
            <w:text/>
          </w:sdtPr>
          <w:sdtContent>
            <w:p w:rsidR="00242891" w:rsidRPr="0077710A" w:rsidRDefault="00242891" w:rsidP="00242891">
              <w:pPr>
                <w:pStyle w:val="Sinespaciado"/>
                <w:jc w:val="center"/>
                <w:rPr>
                  <w:rFonts w:ascii="Arial" w:hAnsi="Arial" w:cs="Arial"/>
                  <w:b/>
                </w:rPr>
              </w:pPr>
              <w:r w:rsidRPr="0077710A">
                <w:rPr>
                  <w:rFonts w:ascii="Arial" w:hAnsi="Arial" w:cs="Arial"/>
                  <w:b/>
                  <w:sz w:val="36"/>
                  <w:lang w:val="es-CR"/>
                </w:rPr>
                <w:t>Noviembre 2018</w:t>
              </w:r>
            </w:p>
          </w:sdtContent>
        </w:sdt>
        <w:p w:rsidR="00242891" w:rsidRPr="0077710A" w:rsidRDefault="00242891" w:rsidP="00242891">
          <w:pPr>
            <w:rPr>
              <w:rFonts w:ascii="Arial" w:hAnsi="Arial" w:cs="Arial"/>
              <w:b/>
              <w:bCs/>
              <w:sz w:val="22"/>
              <w:szCs w:val="22"/>
              <w:u w:val="single"/>
              <w:lang w:val="es-MX"/>
            </w:rPr>
          </w:pPr>
          <w:r w:rsidRPr="0077710A">
            <w:rPr>
              <w:rFonts w:ascii="Arial" w:hAnsi="Arial" w:cs="Arial"/>
              <w:sz w:val="22"/>
              <w:szCs w:val="22"/>
            </w:rPr>
            <w:t xml:space="preserve"> </w:t>
          </w:r>
          <w:r w:rsidRPr="0077710A">
            <w:rPr>
              <w:rFonts w:ascii="Arial" w:hAnsi="Arial" w:cs="Arial"/>
              <w:sz w:val="22"/>
              <w:szCs w:val="22"/>
            </w:rPr>
            <w:br w:type="page"/>
          </w:r>
        </w:p>
      </w:sdtContent>
    </w:sdt>
    <w:p w:rsidR="004E41A3" w:rsidRPr="0077710A" w:rsidRDefault="004E41A3" w:rsidP="00B1362A">
      <w:pPr>
        <w:pStyle w:val="TDC1"/>
        <w:rPr>
          <w:rFonts w:cs="Arial"/>
          <w:sz w:val="32"/>
        </w:rPr>
      </w:pPr>
      <w:r w:rsidRPr="0077710A">
        <w:rPr>
          <w:rFonts w:cs="Arial"/>
          <w:sz w:val="32"/>
        </w:rPr>
        <w:lastRenderedPageBreak/>
        <w:t>Contenido</w:t>
      </w:r>
    </w:p>
    <w:p w:rsidR="004E41A3" w:rsidRPr="00E17887" w:rsidRDefault="004E41A3" w:rsidP="00B1362A">
      <w:pPr>
        <w:pStyle w:val="TDC1"/>
        <w:rPr>
          <w:rFonts w:cs="Arial"/>
        </w:rPr>
      </w:pPr>
    </w:p>
    <w:p w:rsidR="00A03DA8" w:rsidRPr="0084580C" w:rsidRDefault="00A03DA8" w:rsidP="00A03DA8">
      <w:pPr>
        <w:rPr>
          <w:rFonts w:ascii="Arial" w:hAnsi="Arial" w:cs="Arial"/>
          <w:lang w:val="es-MX"/>
        </w:rPr>
      </w:pPr>
    </w:p>
    <w:p w:rsidR="00C05F4D" w:rsidRPr="0084580C" w:rsidRDefault="00337C33">
      <w:pPr>
        <w:pStyle w:val="TDC1"/>
        <w:rPr>
          <w:rFonts w:eastAsiaTheme="minorEastAsia" w:cs="Arial"/>
          <w:bCs w:val="0"/>
          <w:smallCaps w:val="0"/>
          <w:color w:val="auto"/>
          <w:spacing w:val="0"/>
          <w:sz w:val="22"/>
          <w:szCs w:val="22"/>
          <w:lang w:val="es-CR" w:eastAsia="es-CR"/>
        </w:rPr>
      </w:pPr>
      <w:r w:rsidRPr="00337C33">
        <w:rPr>
          <w:rFonts w:cs="Arial"/>
          <w:color w:val="auto"/>
          <w:lang w:val="es-ES"/>
        </w:rPr>
        <w:fldChar w:fldCharType="begin"/>
      </w:r>
      <w:r w:rsidR="004E41A3" w:rsidRPr="00375150">
        <w:rPr>
          <w:rFonts w:cs="Arial"/>
        </w:rPr>
        <w:instrText xml:space="preserve"> TOC \o "1-3" \h \z \u </w:instrText>
      </w:r>
      <w:r w:rsidRPr="00337C33">
        <w:rPr>
          <w:rFonts w:cs="Arial"/>
          <w:color w:val="auto"/>
          <w:lang w:val="es-ES"/>
        </w:rPr>
        <w:fldChar w:fldCharType="separate"/>
      </w:r>
      <w:hyperlink w:anchor="_Toc531253878" w:history="1">
        <w:r w:rsidR="00C05F4D" w:rsidRPr="00E17887">
          <w:rPr>
            <w:rStyle w:val="Hipervnculo"/>
            <w:rFonts w:cs="Arial"/>
          </w:rPr>
          <w:t xml:space="preserve">INFORME ANUAL DE EVALUACIÓN DE LOS </w:t>
        </w:r>
        <w:r w:rsidR="00C05F4D" w:rsidRPr="00054BA6">
          <w:rPr>
            <w:rStyle w:val="Hipervnculo"/>
            <w:rFonts w:cs="Arial"/>
          </w:rPr>
          <w:t>RESULTADOS FÍSICOS Y FINANCIEROS 2018</w:t>
        </w:r>
        <w:r w:rsidR="00C05F4D" w:rsidRPr="00054BA6">
          <w:rPr>
            <w:rFonts w:cs="Arial"/>
            <w:webHidden/>
          </w:rPr>
          <w:tab/>
        </w:r>
        <w:r w:rsidRPr="00054BA6">
          <w:rPr>
            <w:rFonts w:cs="Arial"/>
            <w:webHidden/>
          </w:rPr>
          <w:fldChar w:fldCharType="begin"/>
        </w:r>
        <w:r w:rsidR="00C05F4D" w:rsidRPr="0084580C">
          <w:rPr>
            <w:rFonts w:cs="Arial"/>
            <w:webHidden/>
          </w:rPr>
          <w:instrText xml:space="preserve"> PAGEREF _Toc531253878 \h </w:instrText>
        </w:r>
        <w:r w:rsidRPr="00054BA6">
          <w:rPr>
            <w:rFonts w:cs="Arial"/>
            <w:webHidden/>
          </w:rPr>
        </w:r>
        <w:r w:rsidRPr="00054BA6">
          <w:rPr>
            <w:rFonts w:cs="Arial"/>
            <w:webHidden/>
          </w:rPr>
          <w:fldChar w:fldCharType="separate"/>
        </w:r>
        <w:r w:rsidR="007D00F9" w:rsidRPr="00054BA6">
          <w:rPr>
            <w:rFonts w:cs="Arial"/>
            <w:webHidden/>
          </w:rPr>
          <w:t>2</w:t>
        </w:r>
        <w:r w:rsidRPr="00054BA6">
          <w:rPr>
            <w:rFonts w:cs="Arial"/>
            <w:webHidden/>
          </w:rPr>
          <w:fldChar w:fldCharType="end"/>
        </w:r>
      </w:hyperlink>
    </w:p>
    <w:p w:rsidR="00C05F4D" w:rsidRPr="0084580C" w:rsidRDefault="00337C33">
      <w:pPr>
        <w:pStyle w:val="TDC2"/>
        <w:tabs>
          <w:tab w:val="left" w:pos="660"/>
          <w:tab w:val="right" w:leader="dot" w:pos="8494"/>
        </w:tabs>
        <w:rPr>
          <w:rFonts w:ascii="Arial" w:eastAsiaTheme="minorEastAsia" w:hAnsi="Arial" w:cs="Arial"/>
          <w:noProof/>
          <w:sz w:val="22"/>
          <w:szCs w:val="22"/>
          <w:lang w:val="es-CR" w:eastAsia="es-CR"/>
        </w:rPr>
      </w:pPr>
      <w:hyperlink w:anchor="_Toc531253879" w:history="1">
        <w:r w:rsidR="00C05F4D" w:rsidRPr="0077710A">
          <w:rPr>
            <w:rStyle w:val="Hipervnculo"/>
            <w:rFonts w:ascii="Arial" w:hAnsi="Arial" w:cs="Arial"/>
            <w:smallCaps/>
            <w:noProof/>
            <w:spacing w:val="5"/>
          </w:rPr>
          <w:t>I.</w:t>
        </w:r>
        <w:r w:rsidR="00C05F4D" w:rsidRPr="0084580C">
          <w:rPr>
            <w:rFonts w:ascii="Arial" w:eastAsiaTheme="minorEastAsia" w:hAnsi="Arial" w:cs="Arial"/>
            <w:noProof/>
            <w:sz w:val="22"/>
            <w:szCs w:val="22"/>
            <w:lang w:val="es-CR" w:eastAsia="es-CR"/>
          </w:rPr>
          <w:tab/>
        </w:r>
        <w:r w:rsidR="00C05F4D" w:rsidRPr="0077710A">
          <w:rPr>
            <w:rStyle w:val="Hipervnculo"/>
            <w:rFonts w:ascii="Arial" w:hAnsi="Arial" w:cs="Arial"/>
            <w:smallCaps/>
            <w:noProof/>
            <w:spacing w:val="5"/>
          </w:rPr>
          <w:t>ANALISIS INSTITUCIONAL</w:t>
        </w:r>
        <w:r w:rsidR="00C05F4D" w:rsidRPr="0084580C">
          <w:rPr>
            <w:rFonts w:ascii="Arial" w:hAnsi="Arial" w:cs="Arial"/>
            <w:noProof/>
            <w:webHidden/>
          </w:rPr>
          <w:tab/>
        </w:r>
        <w:r w:rsidRPr="0084580C">
          <w:rPr>
            <w:rFonts w:ascii="Arial" w:hAnsi="Arial" w:cs="Arial"/>
            <w:noProof/>
            <w:webHidden/>
          </w:rPr>
          <w:fldChar w:fldCharType="begin"/>
        </w:r>
        <w:r w:rsidR="00C05F4D" w:rsidRPr="0084580C">
          <w:rPr>
            <w:rFonts w:ascii="Arial" w:hAnsi="Arial" w:cs="Arial"/>
            <w:noProof/>
            <w:webHidden/>
          </w:rPr>
          <w:instrText xml:space="preserve"> PAGEREF _Toc531253879 \h </w:instrText>
        </w:r>
        <w:r w:rsidRPr="0084580C">
          <w:rPr>
            <w:rFonts w:ascii="Arial" w:hAnsi="Arial" w:cs="Arial"/>
            <w:noProof/>
            <w:webHidden/>
          </w:rPr>
        </w:r>
        <w:r w:rsidRPr="0084580C">
          <w:rPr>
            <w:rFonts w:ascii="Arial" w:hAnsi="Arial" w:cs="Arial"/>
            <w:noProof/>
            <w:webHidden/>
          </w:rPr>
          <w:fldChar w:fldCharType="separate"/>
        </w:r>
        <w:r w:rsidR="007D00F9" w:rsidRPr="0084580C">
          <w:rPr>
            <w:rFonts w:ascii="Arial" w:hAnsi="Arial" w:cs="Arial"/>
            <w:noProof/>
            <w:webHidden/>
          </w:rPr>
          <w:t>4</w:t>
        </w:r>
        <w:r w:rsidRPr="0084580C">
          <w:rPr>
            <w:rFonts w:ascii="Arial" w:hAnsi="Arial" w:cs="Arial"/>
            <w:noProof/>
            <w:webHidden/>
          </w:rPr>
          <w:fldChar w:fldCharType="end"/>
        </w:r>
      </w:hyperlink>
    </w:p>
    <w:p w:rsidR="00C05F4D" w:rsidRPr="0084580C" w:rsidRDefault="00337C33">
      <w:pPr>
        <w:pStyle w:val="TDC2"/>
        <w:tabs>
          <w:tab w:val="left" w:pos="880"/>
          <w:tab w:val="right" w:leader="dot" w:pos="8494"/>
        </w:tabs>
        <w:rPr>
          <w:rFonts w:ascii="Arial" w:eastAsiaTheme="minorEastAsia" w:hAnsi="Arial" w:cs="Arial"/>
          <w:noProof/>
          <w:sz w:val="22"/>
          <w:szCs w:val="22"/>
          <w:lang w:val="es-CR" w:eastAsia="es-CR"/>
        </w:rPr>
      </w:pPr>
      <w:hyperlink w:anchor="_Toc531253880" w:history="1">
        <w:r w:rsidR="00C05F4D" w:rsidRPr="0077710A">
          <w:rPr>
            <w:rStyle w:val="Hipervnculo"/>
            <w:rFonts w:ascii="Arial" w:hAnsi="Arial" w:cs="Arial"/>
            <w:smallCaps/>
            <w:noProof/>
            <w:spacing w:val="5"/>
          </w:rPr>
          <w:t>II.</w:t>
        </w:r>
        <w:r w:rsidR="00C05F4D" w:rsidRPr="0084580C">
          <w:rPr>
            <w:rFonts w:ascii="Arial" w:eastAsiaTheme="minorEastAsia" w:hAnsi="Arial" w:cs="Arial"/>
            <w:noProof/>
            <w:sz w:val="22"/>
            <w:szCs w:val="22"/>
            <w:lang w:val="es-CR" w:eastAsia="es-CR"/>
          </w:rPr>
          <w:tab/>
        </w:r>
        <w:r w:rsidR="00C05F4D" w:rsidRPr="0077710A">
          <w:rPr>
            <w:rStyle w:val="Hipervnculo"/>
            <w:rFonts w:ascii="Arial" w:hAnsi="Arial" w:cs="Arial"/>
            <w:smallCaps/>
            <w:noProof/>
            <w:spacing w:val="5"/>
          </w:rPr>
          <w:t>APARTADO GESTIÓN FINANCIERA</w:t>
        </w:r>
        <w:r w:rsidR="00C05F4D" w:rsidRPr="0084580C">
          <w:rPr>
            <w:rFonts w:ascii="Arial" w:hAnsi="Arial" w:cs="Arial"/>
            <w:noProof/>
            <w:webHidden/>
          </w:rPr>
          <w:tab/>
        </w:r>
        <w:r w:rsidRPr="0084580C">
          <w:rPr>
            <w:rFonts w:ascii="Arial" w:hAnsi="Arial" w:cs="Arial"/>
            <w:noProof/>
            <w:webHidden/>
          </w:rPr>
          <w:fldChar w:fldCharType="begin"/>
        </w:r>
        <w:r w:rsidR="00C05F4D" w:rsidRPr="0084580C">
          <w:rPr>
            <w:rFonts w:ascii="Arial" w:hAnsi="Arial" w:cs="Arial"/>
            <w:noProof/>
            <w:webHidden/>
          </w:rPr>
          <w:instrText xml:space="preserve"> PAGEREF _Toc531253880 \h </w:instrText>
        </w:r>
        <w:r w:rsidRPr="0084580C">
          <w:rPr>
            <w:rFonts w:ascii="Arial" w:hAnsi="Arial" w:cs="Arial"/>
            <w:noProof/>
            <w:webHidden/>
          </w:rPr>
        </w:r>
        <w:r w:rsidRPr="0084580C">
          <w:rPr>
            <w:rFonts w:ascii="Arial" w:hAnsi="Arial" w:cs="Arial"/>
            <w:noProof/>
            <w:webHidden/>
          </w:rPr>
          <w:fldChar w:fldCharType="separate"/>
        </w:r>
        <w:r w:rsidR="007D00F9" w:rsidRPr="0084580C">
          <w:rPr>
            <w:rFonts w:ascii="Arial" w:hAnsi="Arial" w:cs="Arial"/>
            <w:noProof/>
            <w:webHidden/>
          </w:rPr>
          <w:t>4</w:t>
        </w:r>
        <w:r w:rsidRPr="0084580C">
          <w:rPr>
            <w:rFonts w:ascii="Arial" w:hAnsi="Arial" w:cs="Arial"/>
            <w:noProof/>
            <w:webHidden/>
          </w:rPr>
          <w:fldChar w:fldCharType="end"/>
        </w:r>
      </w:hyperlink>
    </w:p>
    <w:p w:rsidR="00C05F4D" w:rsidRPr="0084580C" w:rsidRDefault="00337C33">
      <w:pPr>
        <w:pStyle w:val="TDC2"/>
        <w:tabs>
          <w:tab w:val="right" w:leader="dot" w:pos="8494"/>
        </w:tabs>
        <w:rPr>
          <w:rFonts w:ascii="Arial" w:eastAsiaTheme="minorEastAsia" w:hAnsi="Arial" w:cs="Arial"/>
          <w:noProof/>
          <w:sz w:val="22"/>
          <w:szCs w:val="22"/>
          <w:lang w:val="es-CR" w:eastAsia="es-CR"/>
        </w:rPr>
      </w:pPr>
      <w:hyperlink w:anchor="_Toc531253881" w:history="1">
        <w:r w:rsidR="00C05F4D" w:rsidRPr="0084580C">
          <w:rPr>
            <w:rStyle w:val="Hipervnculo"/>
            <w:rFonts w:ascii="Arial" w:eastAsiaTheme="majorEastAsia" w:hAnsi="Arial" w:cs="Arial"/>
            <w:iCs/>
            <w:smallCaps/>
            <w:noProof/>
            <w:spacing w:val="15"/>
          </w:rPr>
          <w:t>Ejecución del Presupuesto 2018 a nivel institucional asociado a recursos internos</w:t>
        </w:r>
        <w:r w:rsidR="00C05F4D" w:rsidRPr="0084580C">
          <w:rPr>
            <w:rFonts w:ascii="Arial" w:hAnsi="Arial" w:cs="Arial"/>
            <w:noProof/>
            <w:webHidden/>
          </w:rPr>
          <w:tab/>
        </w:r>
        <w:r w:rsidRPr="0084580C">
          <w:rPr>
            <w:rFonts w:ascii="Arial" w:hAnsi="Arial" w:cs="Arial"/>
            <w:noProof/>
            <w:webHidden/>
          </w:rPr>
          <w:fldChar w:fldCharType="begin"/>
        </w:r>
        <w:r w:rsidR="00C05F4D" w:rsidRPr="0084580C">
          <w:rPr>
            <w:rFonts w:ascii="Arial" w:hAnsi="Arial" w:cs="Arial"/>
            <w:noProof/>
            <w:webHidden/>
          </w:rPr>
          <w:instrText xml:space="preserve"> PAGEREF _Toc531253881 \h </w:instrText>
        </w:r>
        <w:r w:rsidRPr="0084580C">
          <w:rPr>
            <w:rFonts w:ascii="Arial" w:hAnsi="Arial" w:cs="Arial"/>
            <w:noProof/>
            <w:webHidden/>
          </w:rPr>
        </w:r>
        <w:r w:rsidRPr="0084580C">
          <w:rPr>
            <w:rFonts w:ascii="Arial" w:hAnsi="Arial" w:cs="Arial"/>
            <w:noProof/>
            <w:webHidden/>
          </w:rPr>
          <w:fldChar w:fldCharType="separate"/>
        </w:r>
        <w:r w:rsidR="007D00F9" w:rsidRPr="0084580C">
          <w:rPr>
            <w:rFonts w:ascii="Arial" w:hAnsi="Arial" w:cs="Arial"/>
            <w:noProof/>
            <w:webHidden/>
          </w:rPr>
          <w:t>4</w:t>
        </w:r>
        <w:r w:rsidRPr="0084580C">
          <w:rPr>
            <w:rFonts w:ascii="Arial" w:hAnsi="Arial" w:cs="Arial"/>
            <w:noProof/>
            <w:webHidden/>
          </w:rPr>
          <w:fldChar w:fldCharType="end"/>
        </w:r>
      </w:hyperlink>
    </w:p>
    <w:p w:rsidR="00C05F4D" w:rsidRPr="0084580C" w:rsidRDefault="00337C33">
      <w:pPr>
        <w:pStyle w:val="TDC2"/>
        <w:tabs>
          <w:tab w:val="right" w:leader="dot" w:pos="8494"/>
        </w:tabs>
        <w:rPr>
          <w:rFonts w:ascii="Arial" w:eastAsiaTheme="minorEastAsia" w:hAnsi="Arial" w:cs="Arial"/>
          <w:noProof/>
          <w:sz w:val="22"/>
          <w:szCs w:val="22"/>
          <w:lang w:val="es-CR" w:eastAsia="es-CR"/>
        </w:rPr>
      </w:pPr>
      <w:hyperlink w:anchor="_Toc531253882" w:history="1">
        <w:r w:rsidR="00C05F4D" w:rsidRPr="0084580C">
          <w:rPr>
            <w:rStyle w:val="Hipervnculo"/>
            <w:rFonts w:ascii="Arial" w:eastAsiaTheme="majorEastAsia" w:hAnsi="Arial" w:cs="Arial"/>
            <w:iCs/>
            <w:smallCaps/>
            <w:noProof/>
            <w:spacing w:val="15"/>
          </w:rPr>
          <w:t>Factores y acciones correctivas de la ejecución financiera  (debe presentarse a nivel de programa y/o subprograma)</w:t>
        </w:r>
        <w:r w:rsidR="00C05F4D" w:rsidRPr="0084580C">
          <w:rPr>
            <w:rFonts w:ascii="Arial" w:hAnsi="Arial" w:cs="Arial"/>
            <w:noProof/>
            <w:webHidden/>
          </w:rPr>
          <w:tab/>
        </w:r>
        <w:r w:rsidRPr="0084580C">
          <w:rPr>
            <w:rFonts w:ascii="Arial" w:hAnsi="Arial" w:cs="Arial"/>
            <w:noProof/>
            <w:webHidden/>
          </w:rPr>
          <w:fldChar w:fldCharType="begin"/>
        </w:r>
        <w:r w:rsidR="00C05F4D" w:rsidRPr="0084580C">
          <w:rPr>
            <w:rFonts w:ascii="Arial" w:hAnsi="Arial" w:cs="Arial"/>
            <w:noProof/>
            <w:webHidden/>
          </w:rPr>
          <w:instrText xml:space="preserve"> PAGEREF _Toc531253882 \h </w:instrText>
        </w:r>
        <w:r w:rsidRPr="0084580C">
          <w:rPr>
            <w:rFonts w:ascii="Arial" w:hAnsi="Arial" w:cs="Arial"/>
            <w:noProof/>
            <w:webHidden/>
          </w:rPr>
        </w:r>
        <w:r w:rsidRPr="0084580C">
          <w:rPr>
            <w:rFonts w:ascii="Arial" w:hAnsi="Arial" w:cs="Arial"/>
            <w:noProof/>
            <w:webHidden/>
          </w:rPr>
          <w:fldChar w:fldCharType="separate"/>
        </w:r>
        <w:r w:rsidR="007D00F9" w:rsidRPr="0084580C">
          <w:rPr>
            <w:rFonts w:ascii="Arial" w:hAnsi="Arial" w:cs="Arial"/>
            <w:noProof/>
            <w:webHidden/>
          </w:rPr>
          <w:t>4</w:t>
        </w:r>
        <w:r w:rsidRPr="0084580C">
          <w:rPr>
            <w:rFonts w:ascii="Arial" w:hAnsi="Arial" w:cs="Arial"/>
            <w:noProof/>
            <w:webHidden/>
          </w:rPr>
          <w:fldChar w:fldCharType="end"/>
        </w:r>
      </w:hyperlink>
    </w:p>
    <w:p w:rsidR="00C05F4D" w:rsidRPr="0084580C" w:rsidRDefault="00337C33">
      <w:pPr>
        <w:pStyle w:val="TDC2"/>
        <w:tabs>
          <w:tab w:val="right" w:leader="dot" w:pos="8494"/>
        </w:tabs>
        <w:rPr>
          <w:rFonts w:ascii="Arial" w:eastAsiaTheme="minorEastAsia" w:hAnsi="Arial" w:cs="Arial"/>
          <w:noProof/>
          <w:sz w:val="22"/>
          <w:szCs w:val="22"/>
          <w:lang w:val="es-CR" w:eastAsia="es-CR"/>
        </w:rPr>
      </w:pPr>
      <w:hyperlink w:anchor="_Toc531253883" w:history="1">
        <w:r w:rsidR="00C05F4D" w:rsidRPr="0084580C">
          <w:rPr>
            <w:rStyle w:val="Hipervnculo"/>
            <w:rFonts w:ascii="Arial" w:eastAsiaTheme="majorEastAsia" w:hAnsi="Arial" w:cs="Arial"/>
            <w:iCs/>
            <w:smallCaps/>
            <w:noProof/>
            <w:spacing w:val="15"/>
          </w:rPr>
          <w:t>Transferencias a órganos desconcentrados e instituciones descentralizadas</w:t>
        </w:r>
        <w:r w:rsidR="00C05F4D" w:rsidRPr="0084580C">
          <w:rPr>
            <w:rFonts w:ascii="Arial" w:hAnsi="Arial" w:cs="Arial"/>
            <w:noProof/>
            <w:webHidden/>
          </w:rPr>
          <w:tab/>
        </w:r>
        <w:r w:rsidRPr="0084580C">
          <w:rPr>
            <w:rFonts w:ascii="Arial" w:hAnsi="Arial" w:cs="Arial"/>
            <w:noProof/>
            <w:webHidden/>
          </w:rPr>
          <w:fldChar w:fldCharType="begin"/>
        </w:r>
        <w:r w:rsidR="00C05F4D" w:rsidRPr="0084580C">
          <w:rPr>
            <w:rFonts w:ascii="Arial" w:hAnsi="Arial" w:cs="Arial"/>
            <w:noProof/>
            <w:webHidden/>
          </w:rPr>
          <w:instrText xml:space="preserve"> PAGEREF _Toc531253883 \h </w:instrText>
        </w:r>
        <w:r w:rsidRPr="0084580C">
          <w:rPr>
            <w:rFonts w:ascii="Arial" w:hAnsi="Arial" w:cs="Arial"/>
            <w:noProof/>
            <w:webHidden/>
          </w:rPr>
        </w:r>
        <w:r w:rsidRPr="0084580C">
          <w:rPr>
            <w:rFonts w:ascii="Arial" w:hAnsi="Arial" w:cs="Arial"/>
            <w:noProof/>
            <w:webHidden/>
          </w:rPr>
          <w:fldChar w:fldCharType="separate"/>
        </w:r>
        <w:r w:rsidR="007D00F9" w:rsidRPr="0084580C">
          <w:rPr>
            <w:rFonts w:ascii="Arial" w:hAnsi="Arial" w:cs="Arial"/>
            <w:noProof/>
            <w:webHidden/>
          </w:rPr>
          <w:t>6</w:t>
        </w:r>
        <w:r w:rsidRPr="0084580C">
          <w:rPr>
            <w:rFonts w:ascii="Arial" w:hAnsi="Arial" w:cs="Arial"/>
            <w:noProof/>
            <w:webHidden/>
          </w:rPr>
          <w:fldChar w:fldCharType="end"/>
        </w:r>
      </w:hyperlink>
    </w:p>
    <w:p w:rsidR="00C05F4D" w:rsidRPr="0084580C" w:rsidRDefault="00337C33">
      <w:pPr>
        <w:pStyle w:val="TDC2"/>
        <w:tabs>
          <w:tab w:val="left" w:pos="880"/>
          <w:tab w:val="right" w:leader="dot" w:pos="8494"/>
        </w:tabs>
        <w:rPr>
          <w:rFonts w:ascii="Arial" w:eastAsiaTheme="minorEastAsia" w:hAnsi="Arial" w:cs="Arial"/>
          <w:noProof/>
          <w:sz w:val="22"/>
          <w:szCs w:val="22"/>
          <w:lang w:val="es-CR" w:eastAsia="es-CR"/>
        </w:rPr>
      </w:pPr>
      <w:hyperlink w:anchor="_Toc531253884" w:history="1">
        <w:r w:rsidR="00C05F4D" w:rsidRPr="0077710A">
          <w:rPr>
            <w:rStyle w:val="Hipervnculo"/>
            <w:rFonts w:ascii="Arial" w:hAnsi="Arial" w:cs="Arial"/>
            <w:smallCaps/>
            <w:noProof/>
            <w:spacing w:val="5"/>
          </w:rPr>
          <w:t>III.</w:t>
        </w:r>
        <w:r w:rsidR="00C05F4D" w:rsidRPr="0084580C">
          <w:rPr>
            <w:rFonts w:ascii="Arial" w:eastAsiaTheme="minorEastAsia" w:hAnsi="Arial" w:cs="Arial"/>
            <w:noProof/>
            <w:sz w:val="22"/>
            <w:szCs w:val="22"/>
            <w:lang w:val="es-CR" w:eastAsia="es-CR"/>
          </w:rPr>
          <w:tab/>
        </w:r>
        <w:r w:rsidR="00C05F4D" w:rsidRPr="0077710A">
          <w:rPr>
            <w:rStyle w:val="Hipervnculo"/>
            <w:rFonts w:ascii="Arial" w:hAnsi="Arial" w:cs="Arial"/>
            <w:smallCaps/>
            <w:noProof/>
            <w:spacing w:val="5"/>
          </w:rPr>
          <w:t>APARTADO PROGRAMÁTICO</w:t>
        </w:r>
        <w:r w:rsidR="00C05F4D" w:rsidRPr="0084580C">
          <w:rPr>
            <w:rFonts w:ascii="Arial" w:hAnsi="Arial" w:cs="Arial"/>
            <w:noProof/>
            <w:webHidden/>
          </w:rPr>
          <w:tab/>
        </w:r>
        <w:r w:rsidRPr="0084580C">
          <w:rPr>
            <w:rFonts w:ascii="Arial" w:hAnsi="Arial" w:cs="Arial"/>
            <w:noProof/>
            <w:webHidden/>
          </w:rPr>
          <w:fldChar w:fldCharType="begin"/>
        </w:r>
        <w:r w:rsidR="00C05F4D" w:rsidRPr="0084580C">
          <w:rPr>
            <w:rFonts w:ascii="Arial" w:hAnsi="Arial" w:cs="Arial"/>
            <w:noProof/>
            <w:webHidden/>
          </w:rPr>
          <w:instrText xml:space="preserve"> PAGEREF _Toc531253884 \h </w:instrText>
        </w:r>
        <w:r w:rsidRPr="0084580C">
          <w:rPr>
            <w:rFonts w:ascii="Arial" w:hAnsi="Arial" w:cs="Arial"/>
            <w:noProof/>
            <w:webHidden/>
          </w:rPr>
        </w:r>
        <w:r w:rsidRPr="0084580C">
          <w:rPr>
            <w:rFonts w:ascii="Arial" w:hAnsi="Arial" w:cs="Arial"/>
            <w:noProof/>
            <w:webHidden/>
          </w:rPr>
          <w:fldChar w:fldCharType="separate"/>
        </w:r>
        <w:r w:rsidR="007D00F9" w:rsidRPr="0084580C">
          <w:rPr>
            <w:rFonts w:ascii="Arial" w:hAnsi="Arial" w:cs="Arial"/>
            <w:noProof/>
            <w:webHidden/>
          </w:rPr>
          <w:t>7</w:t>
        </w:r>
        <w:r w:rsidRPr="0084580C">
          <w:rPr>
            <w:rFonts w:ascii="Arial" w:hAnsi="Arial" w:cs="Arial"/>
            <w:noProof/>
            <w:webHidden/>
          </w:rPr>
          <w:fldChar w:fldCharType="end"/>
        </w:r>
      </w:hyperlink>
    </w:p>
    <w:p w:rsidR="00C05F4D" w:rsidRPr="0084580C" w:rsidRDefault="00337C33">
      <w:pPr>
        <w:pStyle w:val="TDC2"/>
        <w:tabs>
          <w:tab w:val="right" w:leader="dot" w:pos="8494"/>
        </w:tabs>
        <w:rPr>
          <w:rFonts w:ascii="Arial" w:eastAsiaTheme="minorEastAsia" w:hAnsi="Arial" w:cs="Arial"/>
          <w:noProof/>
          <w:sz w:val="22"/>
          <w:szCs w:val="22"/>
          <w:lang w:val="es-CR" w:eastAsia="es-CR"/>
        </w:rPr>
      </w:pPr>
      <w:hyperlink w:anchor="_Toc531253885" w:history="1">
        <w:r w:rsidR="00C05F4D" w:rsidRPr="0077710A">
          <w:rPr>
            <w:rStyle w:val="Hipervnculo"/>
            <w:rFonts w:ascii="Arial" w:eastAsiaTheme="majorEastAsia" w:hAnsi="Arial" w:cs="Arial"/>
            <w:iCs/>
            <w:smallCaps/>
            <w:noProof/>
            <w:spacing w:val="15"/>
          </w:rPr>
          <w:t>Análisis de los logros obtenidos</w:t>
        </w:r>
        <w:r w:rsidR="00C05F4D" w:rsidRPr="0084580C">
          <w:rPr>
            <w:rFonts w:ascii="Arial" w:hAnsi="Arial" w:cs="Arial"/>
            <w:noProof/>
            <w:webHidden/>
          </w:rPr>
          <w:tab/>
        </w:r>
        <w:r w:rsidRPr="0084580C">
          <w:rPr>
            <w:rFonts w:ascii="Arial" w:hAnsi="Arial" w:cs="Arial"/>
            <w:noProof/>
            <w:webHidden/>
          </w:rPr>
          <w:fldChar w:fldCharType="begin"/>
        </w:r>
        <w:r w:rsidR="00C05F4D" w:rsidRPr="0084580C">
          <w:rPr>
            <w:rFonts w:ascii="Arial" w:hAnsi="Arial" w:cs="Arial"/>
            <w:noProof/>
            <w:webHidden/>
          </w:rPr>
          <w:instrText xml:space="preserve"> PAGEREF _Toc531253885 \h </w:instrText>
        </w:r>
        <w:r w:rsidRPr="0084580C">
          <w:rPr>
            <w:rFonts w:ascii="Arial" w:hAnsi="Arial" w:cs="Arial"/>
            <w:noProof/>
            <w:webHidden/>
          </w:rPr>
        </w:r>
        <w:r w:rsidRPr="0084580C">
          <w:rPr>
            <w:rFonts w:ascii="Arial" w:hAnsi="Arial" w:cs="Arial"/>
            <w:noProof/>
            <w:webHidden/>
          </w:rPr>
          <w:fldChar w:fldCharType="separate"/>
        </w:r>
        <w:r w:rsidR="007D00F9" w:rsidRPr="0084580C">
          <w:rPr>
            <w:rFonts w:ascii="Arial" w:hAnsi="Arial" w:cs="Arial"/>
            <w:noProof/>
            <w:webHidden/>
          </w:rPr>
          <w:t>7</w:t>
        </w:r>
        <w:r w:rsidRPr="0084580C">
          <w:rPr>
            <w:rFonts w:ascii="Arial" w:hAnsi="Arial" w:cs="Arial"/>
            <w:noProof/>
            <w:webHidden/>
          </w:rPr>
          <w:fldChar w:fldCharType="end"/>
        </w:r>
      </w:hyperlink>
    </w:p>
    <w:p w:rsidR="00C05F4D" w:rsidRPr="0084580C" w:rsidRDefault="00337C33">
      <w:pPr>
        <w:pStyle w:val="TDC2"/>
        <w:tabs>
          <w:tab w:val="left" w:pos="880"/>
          <w:tab w:val="right" w:leader="dot" w:pos="8494"/>
        </w:tabs>
        <w:rPr>
          <w:rFonts w:ascii="Arial" w:eastAsiaTheme="minorEastAsia" w:hAnsi="Arial" w:cs="Arial"/>
          <w:noProof/>
          <w:sz w:val="22"/>
          <w:szCs w:val="22"/>
          <w:lang w:val="es-CR" w:eastAsia="es-CR"/>
        </w:rPr>
      </w:pPr>
      <w:hyperlink w:anchor="_Toc531253886" w:history="1">
        <w:r w:rsidR="00C05F4D" w:rsidRPr="0084580C">
          <w:rPr>
            <w:rStyle w:val="Hipervnculo"/>
            <w:rFonts w:ascii="Arial" w:hAnsi="Arial" w:cs="Arial"/>
            <w:smallCaps/>
            <w:noProof/>
            <w:spacing w:val="5"/>
          </w:rPr>
          <w:t>IV.</w:t>
        </w:r>
        <w:r w:rsidR="00C05F4D" w:rsidRPr="0084580C">
          <w:rPr>
            <w:rFonts w:ascii="Arial" w:eastAsiaTheme="minorEastAsia" w:hAnsi="Arial" w:cs="Arial"/>
            <w:noProof/>
            <w:sz w:val="22"/>
            <w:szCs w:val="22"/>
            <w:lang w:val="es-CR" w:eastAsia="es-CR"/>
          </w:rPr>
          <w:tab/>
        </w:r>
        <w:r w:rsidR="00C05F4D" w:rsidRPr="00375150">
          <w:rPr>
            <w:rStyle w:val="Hipervnculo"/>
            <w:rFonts w:ascii="Arial" w:hAnsi="Arial" w:cs="Arial"/>
            <w:smallCaps/>
            <w:noProof/>
            <w:spacing w:val="5"/>
          </w:rPr>
          <w:t>METODOLOGÍA QUE SE UTILIZARÁ PARA EVALUAR LA EFECTIVIDAD EN LA EJECUCIÓN DEL PRESUPUESTO Y EN EL CUMPLIMIENTO DE METAS</w:t>
        </w:r>
        <w:r w:rsidR="00C05F4D" w:rsidRPr="0084580C">
          <w:rPr>
            <w:rFonts w:ascii="Arial" w:hAnsi="Arial" w:cs="Arial"/>
            <w:noProof/>
            <w:webHidden/>
          </w:rPr>
          <w:tab/>
        </w:r>
        <w:r w:rsidRPr="0084580C">
          <w:rPr>
            <w:rFonts w:ascii="Arial" w:hAnsi="Arial" w:cs="Arial"/>
            <w:noProof/>
            <w:webHidden/>
          </w:rPr>
          <w:fldChar w:fldCharType="begin"/>
        </w:r>
        <w:r w:rsidR="00C05F4D" w:rsidRPr="0084580C">
          <w:rPr>
            <w:rFonts w:ascii="Arial" w:hAnsi="Arial" w:cs="Arial"/>
            <w:noProof/>
            <w:webHidden/>
          </w:rPr>
          <w:instrText xml:space="preserve"> PAGEREF _Toc531253886 \h </w:instrText>
        </w:r>
        <w:r w:rsidRPr="0084580C">
          <w:rPr>
            <w:rFonts w:ascii="Arial" w:hAnsi="Arial" w:cs="Arial"/>
            <w:noProof/>
            <w:webHidden/>
          </w:rPr>
        </w:r>
        <w:r w:rsidRPr="0084580C">
          <w:rPr>
            <w:rFonts w:ascii="Arial" w:hAnsi="Arial" w:cs="Arial"/>
            <w:noProof/>
            <w:webHidden/>
          </w:rPr>
          <w:fldChar w:fldCharType="separate"/>
        </w:r>
        <w:r w:rsidR="007D00F9" w:rsidRPr="0084580C">
          <w:rPr>
            <w:rFonts w:ascii="Arial" w:hAnsi="Arial" w:cs="Arial"/>
            <w:noProof/>
            <w:webHidden/>
          </w:rPr>
          <w:t>10</w:t>
        </w:r>
        <w:r w:rsidRPr="0084580C">
          <w:rPr>
            <w:rFonts w:ascii="Arial" w:hAnsi="Arial" w:cs="Arial"/>
            <w:noProof/>
            <w:webHidden/>
          </w:rPr>
          <w:fldChar w:fldCharType="end"/>
        </w:r>
      </w:hyperlink>
    </w:p>
    <w:p w:rsidR="00E7391B" w:rsidRPr="0077710A" w:rsidRDefault="00337C33">
      <w:pPr>
        <w:pStyle w:val="Ttulo"/>
        <w:rPr>
          <w:rFonts w:cs="Arial"/>
          <w:szCs w:val="22"/>
        </w:rPr>
      </w:pPr>
      <w:r w:rsidRPr="0077710A">
        <w:rPr>
          <w:rFonts w:cs="Arial"/>
          <w:sz w:val="24"/>
        </w:rPr>
        <w:fldChar w:fldCharType="end"/>
      </w:r>
    </w:p>
    <w:p w:rsidR="00E7391B" w:rsidRPr="00375150" w:rsidRDefault="00E7391B">
      <w:pPr>
        <w:pStyle w:val="Ttulo"/>
        <w:rPr>
          <w:rFonts w:cs="Arial"/>
          <w:szCs w:val="22"/>
        </w:rPr>
      </w:pPr>
    </w:p>
    <w:p w:rsidR="00E7391B" w:rsidRPr="00375150" w:rsidRDefault="00E7391B">
      <w:pPr>
        <w:pStyle w:val="Ttulo"/>
        <w:rPr>
          <w:rFonts w:cs="Arial"/>
          <w:szCs w:val="22"/>
        </w:rPr>
      </w:pPr>
    </w:p>
    <w:p w:rsidR="00E7391B" w:rsidRPr="00375150" w:rsidRDefault="00E7391B">
      <w:pPr>
        <w:pStyle w:val="Ttulo"/>
        <w:rPr>
          <w:rFonts w:cs="Arial"/>
          <w:szCs w:val="22"/>
        </w:rPr>
      </w:pPr>
    </w:p>
    <w:p w:rsidR="00E7391B" w:rsidRPr="0084580C" w:rsidRDefault="00E7391B" w:rsidP="0008081E">
      <w:pPr>
        <w:rPr>
          <w:rStyle w:val="nfasis"/>
          <w:rFonts w:ascii="Arial" w:hAnsi="Arial" w:cs="Arial"/>
        </w:rPr>
      </w:pPr>
    </w:p>
    <w:p w:rsidR="00E7391B" w:rsidRPr="0077710A" w:rsidRDefault="00E7391B">
      <w:pPr>
        <w:pStyle w:val="Ttulo"/>
        <w:rPr>
          <w:rFonts w:cs="Arial"/>
          <w:szCs w:val="22"/>
        </w:rPr>
      </w:pPr>
    </w:p>
    <w:p w:rsidR="00E7391B" w:rsidRPr="00375150" w:rsidRDefault="00E7391B">
      <w:pPr>
        <w:pStyle w:val="Ttulo"/>
        <w:rPr>
          <w:rFonts w:cs="Arial"/>
          <w:szCs w:val="22"/>
        </w:rPr>
      </w:pPr>
    </w:p>
    <w:p w:rsidR="00E7391B" w:rsidRPr="00375150" w:rsidRDefault="00E7391B">
      <w:pPr>
        <w:pStyle w:val="Ttulo"/>
        <w:rPr>
          <w:rFonts w:cs="Arial"/>
          <w:szCs w:val="22"/>
        </w:rPr>
      </w:pPr>
    </w:p>
    <w:p w:rsidR="00E7391B" w:rsidRPr="00375150" w:rsidRDefault="00E7391B">
      <w:pPr>
        <w:pStyle w:val="Ttulo"/>
        <w:rPr>
          <w:rFonts w:cs="Arial"/>
          <w:szCs w:val="22"/>
        </w:rPr>
      </w:pPr>
    </w:p>
    <w:p w:rsidR="00E7391B" w:rsidRPr="00375150" w:rsidRDefault="00E7391B">
      <w:pPr>
        <w:pStyle w:val="Ttulo"/>
        <w:rPr>
          <w:rFonts w:cs="Arial"/>
          <w:szCs w:val="22"/>
        </w:rPr>
      </w:pPr>
    </w:p>
    <w:p w:rsidR="00E7391B" w:rsidRPr="00375150" w:rsidRDefault="00E7391B">
      <w:pPr>
        <w:pStyle w:val="Ttulo"/>
        <w:rPr>
          <w:rFonts w:cs="Arial"/>
          <w:szCs w:val="22"/>
        </w:rPr>
      </w:pPr>
    </w:p>
    <w:p w:rsidR="00E7391B" w:rsidRPr="00375150" w:rsidRDefault="00E7391B">
      <w:pPr>
        <w:pStyle w:val="Ttulo"/>
        <w:rPr>
          <w:rFonts w:cs="Arial"/>
          <w:szCs w:val="22"/>
        </w:rPr>
      </w:pPr>
    </w:p>
    <w:p w:rsidR="00E7391B" w:rsidRPr="00375150" w:rsidRDefault="00E7391B">
      <w:pPr>
        <w:pStyle w:val="Ttulo"/>
        <w:rPr>
          <w:rFonts w:cs="Arial"/>
          <w:szCs w:val="22"/>
        </w:rPr>
      </w:pPr>
    </w:p>
    <w:p w:rsidR="00E7391B" w:rsidRPr="00375150" w:rsidRDefault="00E7391B">
      <w:pPr>
        <w:pStyle w:val="Ttulo"/>
        <w:rPr>
          <w:rFonts w:cs="Arial"/>
          <w:szCs w:val="22"/>
        </w:rPr>
      </w:pPr>
    </w:p>
    <w:p w:rsidR="00E7391B" w:rsidRPr="00375150" w:rsidRDefault="00E7391B">
      <w:pPr>
        <w:pStyle w:val="Ttulo"/>
        <w:rPr>
          <w:rFonts w:cs="Arial"/>
          <w:szCs w:val="22"/>
        </w:rPr>
      </w:pPr>
    </w:p>
    <w:p w:rsidR="00E7391B" w:rsidRPr="00375150" w:rsidRDefault="00E7391B">
      <w:pPr>
        <w:pStyle w:val="Ttulo"/>
        <w:rPr>
          <w:rFonts w:cs="Arial"/>
          <w:szCs w:val="22"/>
        </w:rPr>
      </w:pPr>
    </w:p>
    <w:p w:rsidR="00E7391B" w:rsidRPr="00375150" w:rsidRDefault="00E7391B">
      <w:pPr>
        <w:pStyle w:val="Ttulo"/>
        <w:rPr>
          <w:rFonts w:cs="Arial"/>
          <w:szCs w:val="22"/>
        </w:rPr>
      </w:pPr>
    </w:p>
    <w:p w:rsidR="00E7391B" w:rsidRPr="00375150" w:rsidRDefault="00E7391B">
      <w:pPr>
        <w:pStyle w:val="Ttulo"/>
        <w:rPr>
          <w:rFonts w:cs="Arial"/>
          <w:szCs w:val="22"/>
        </w:rPr>
      </w:pPr>
    </w:p>
    <w:p w:rsidR="00A03DA8" w:rsidRPr="0084580C" w:rsidRDefault="00A03DA8">
      <w:pPr>
        <w:rPr>
          <w:rStyle w:val="Ttulodellibro"/>
          <w:rFonts w:cs="Arial"/>
          <w:bCs w:val="0"/>
          <w:color w:val="000000" w:themeColor="text1"/>
          <w:sz w:val="22"/>
          <w:lang w:val="es-MX"/>
        </w:rPr>
      </w:pPr>
      <w:bookmarkStart w:id="0" w:name="_Toc530474644"/>
      <w:r w:rsidRPr="00E17887">
        <w:rPr>
          <w:rStyle w:val="Ttulodellibro"/>
          <w:rFonts w:cs="Arial"/>
          <w:b w:val="0"/>
          <w:color w:val="000000" w:themeColor="text1"/>
          <w:sz w:val="22"/>
        </w:rPr>
        <w:br w:type="page"/>
      </w:r>
    </w:p>
    <w:p w:rsidR="004975E7" w:rsidRPr="0084580C" w:rsidRDefault="00EB4FF8" w:rsidP="00EB4FF8">
      <w:pPr>
        <w:pStyle w:val="Ttulo1"/>
        <w:ind w:left="0"/>
        <w:jc w:val="center"/>
        <w:rPr>
          <w:rStyle w:val="Ttulodellibro"/>
          <w:rFonts w:cs="Arial"/>
          <w:b/>
          <w:color w:val="000000" w:themeColor="text1"/>
          <w:sz w:val="22"/>
        </w:rPr>
      </w:pPr>
      <w:bookmarkStart w:id="1" w:name="_Toc531253878"/>
      <w:r w:rsidRPr="00E17887">
        <w:rPr>
          <w:rStyle w:val="Ttulodellibro"/>
          <w:rFonts w:cs="Arial"/>
          <w:b/>
          <w:color w:val="000000" w:themeColor="text1"/>
          <w:sz w:val="22"/>
        </w:rPr>
        <w:lastRenderedPageBreak/>
        <w:t>INFORME ANUAL DE EVALUACIÓN DE LOS RESULTADOS FÍSICOS Y FINANCIEROS 2018</w:t>
      </w:r>
      <w:bookmarkEnd w:id="0"/>
      <w:bookmarkEnd w:id="1"/>
    </w:p>
    <w:p w:rsidR="009B3434" w:rsidRPr="00375150" w:rsidRDefault="009B3434" w:rsidP="009B3434">
      <w:pPr>
        <w:rPr>
          <w:rFonts w:ascii="Arial" w:hAnsi="Arial" w:cs="Arial"/>
          <w:b/>
          <w:sz w:val="20"/>
          <w:szCs w:val="20"/>
          <w:u w:val="single"/>
          <w:lang w:val="es-MX"/>
        </w:rPr>
      </w:pPr>
    </w:p>
    <w:p w:rsidR="009470D5" w:rsidRPr="00375150" w:rsidRDefault="00DD5238" w:rsidP="009C4004">
      <w:pPr>
        <w:spacing w:line="360" w:lineRule="auto"/>
        <w:jc w:val="both"/>
        <w:rPr>
          <w:rFonts w:ascii="Arial" w:hAnsi="Arial" w:cs="Arial"/>
          <w:bCs/>
          <w:sz w:val="20"/>
          <w:szCs w:val="20"/>
        </w:rPr>
      </w:pPr>
      <w:r w:rsidRPr="00375150">
        <w:rPr>
          <w:rFonts w:ascii="Arial" w:hAnsi="Arial" w:cs="Arial"/>
          <w:bCs/>
          <w:sz w:val="20"/>
          <w:szCs w:val="20"/>
        </w:rPr>
        <w:t xml:space="preserve">Con </w:t>
      </w:r>
      <w:r w:rsidR="00880227" w:rsidRPr="00375150">
        <w:rPr>
          <w:rFonts w:ascii="Arial" w:hAnsi="Arial" w:cs="Arial"/>
          <w:bCs/>
          <w:sz w:val="20"/>
          <w:szCs w:val="20"/>
        </w:rPr>
        <w:t xml:space="preserve">fundamento en </w:t>
      </w:r>
      <w:r w:rsidR="00F76417" w:rsidRPr="00375150">
        <w:rPr>
          <w:rFonts w:ascii="Arial" w:hAnsi="Arial" w:cs="Arial"/>
          <w:bCs/>
          <w:sz w:val="20"/>
          <w:szCs w:val="20"/>
        </w:rPr>
        <w:t xml:space="preserve">los </w:t>
      </w:r>
      <w:r w:rsidR="00880227" w:rsidRPr="00375150">
        <w:rPr>
          <w:rFonts w:ascii="Arial" w:hAnsi="Arial" w:cs="Arial"/>
          <w:bCs/>
          <w:sz w:val="20"/>
          <w:szCs w:val="20"/>
        </w:rPr>
        <w:t>artículo</w:t>
      </w:r>
      <w:r w:rsidR="00F76417" w:rsidRPr="00375150">
        <w:rPr>
          <w:rFonts w:ascii="Arial" w:hAnsi="Arial" w:cs="Arial"/>
          <w:bCs/>
          <w:sz w:val="20"/>
          <w:szCs w:val="20"/>
        </w:rPr>
        <w:t xml:space="preserve">s 55 y </w:t>
      </w:r>
      <w:r w:rsidR="00880227" w:rsidRPr="00375150">
        <w:rPr>
          <w:rFonts w:ascii="Arial" w:hAnsi="Arial" w:cs="Arial"/>
          <w:bCs/>
          <w:sz w:val="20"/>
          <w:szCs w:val="20"/>
        </w:rPr>
        <w:t>56 de la Ley de Administración Financiera de la República y Presupuestos Públicos</w:t>
      </w:r>
      <w:r w:rsidR="00F76417" w:rsidRPr="00375150">
        <w:rPr>
          <w:rFonts w:ascii="Arial" w:hAnsi="Arial" w:cs="Arial"/>
          <w:bCs/>
          <w:sz w:val="20"/>
          <w:szCs w:val="20"/>
        </w:rPr>
        <w:t xml:space="preserve"> (LAFRPP)</w:t>
      </w:r>
      <w:r w:rsidR="00880227" w:rsidRPr="00375150">
        <w:rPr>
          <w:rFonts w:ascii="Arial" w:hAnsi="Arial" w:cs="Arial"/>
          <w:bCs/>
          <w:sz w:val="20"/>
          <w:szCs w:val="20"/>
        </w:rPr>
        <w:t xml:space="preserve">, </w:t>
      </w:r>
      <w:r w:rsidR="00D73DD9" w:rsidRPr="00375150">
        <w:rPr>
          <w:rFonts w:ascii="Arial" w:hAnsi="Arial" w:cs="Arial"/>
          <w:bCs/>
          <w:sz w:val="20"/>
          <w:szCs w:val="20"/>
        </w:rPr>
        <w:t xml:space="preserve">sobre </w:t>
      </w:r>
      <w:r w:rsidR="00880227" w:rsidRPr="00375150">
        <w:rPr>
          <w:rFonts w:ascii="Arial" w:hAnsi="Arial" w:cs="Arial"/>
          <w:bCs/>
          <w:sz w:val="20"/>
          <w:szCs w:val="20"/>
        </w:rPr>
        <w:t>la evaluación de los resultados de la gestión institucional para garantizar tanto el cumplimiento de objetivos y metas</w:t>
      </w:r>
      <w:r w:rsidR="00D73DD9" w:rsidRPr="00375150">
        <w:rPr>
          <w:rFonts w:ascii="Arial" w:hAnsi="Arial" w:cs="Arial"/>
          <w:bCs/>
          <w:sz w:val="20"/>
          <w:szCs w:val="20"/>
        </w:rPr>
        <w:t xml:space="preserve">, así </w:t>
      </w:r>
      <w:r w:rsidR="00880227" w:rsidRPr="00375150">
        <w:rPr>
          <w:rFonts w:ascii="Arial" w:hAnsi="Arial" w:cs="Arial"/>
          <w:bCs/>
          <w:sz w:val="20"/>
          <w:szCs w:val="20"/>
        </w:rPr>
        <w:t xml:space="preserve"> como </w:t>
      </w:r>
      <w:r w:rsidR="00D73DD9" w:rsidRPr="00375150">
        <w:rPr>
          <w:rFonts w:ascii="Arial" w:hAnsi="Arial" w:cs="Arial"/>
          <w:bCs/>
          <w:sz w:val="20"/>
          <w:szCs w:val="20"/>
        </w:rPr>
        <w:t xml:space="preserve">sobre </w:t>
      </w:r>
      <w:r w:rsidR="00880227" w:rsidRPr="00375150">
        <w:rPr>
          <w:rFonts w:ascii="Arial" w:hAnsi="Arial" w:cs="Arial"/>
          <w:bCs/>
          <w:sz w:val="20"/>
          <w:szCs w:val="20"/>
        </w:rPr>
        <w:t>el uso racional de los recursos públicos</w:t>
      </w:r>
      <w:r w:rsidR="00F76417" w:rsidRPr="00375150">
        <w:rPr>
          <w:rFonts w:ascii="Arial" w:hAnsi="Arial" w:cs="Arial"/>
          <w:bCs/>
          <w:sz w:val="20"/>
          <w:szCs w:val="20"/>
        </w:rPr>
        <w:t xml:space="preserve"> y la presentación de informes periódicos para tales fines, </w:t>
      </w:r>
      <w:r w:rsidR="00880227" w:rsidRPr="00375150">
        <w:rPr>
          <w:rFonts w:ascii="Arial" w:hAnsi="Arial" w:cs="Arial"/>
          <w:bCs/>
          <w:sz w:val="20"/>
          <w:szCs w:val="20"/>
        </w:rPr>
        <w:t>la Dirección General de Presupuesto Nacional</w:t>
      </w:r>
      <w:r w:rsidR="00D73DD9" w:rsidRPr="00375150">
        <w:rPr>
          <w:rFonts w:ascii="Arial" w:hAnsi="Arial" w:cs="Arial"/>
          <w:bCs/>
          <w:sz w:val="20"/>
          <w:szCs w:val="20"/>
        </w:rPr>
        <w:t xml:space="preserve"> (DGPN)</w:t>
      </w:r>
      <w:r w:rsidR="00880227" w:rsidRPr="00375150">
        <w:rPr>
          <w:rFonts w:ascii="Arial" w:hAnsi="Arial" w:cs="Arial"/>
          <w:bCs/>
          <w:sz w:val="20"/>
          <w:szCs w:val="20"/>
        </w:rPr>
        <w:t xml:space="preserve"> presenta el siguiente instrumento </w:t>
      </w:r>
      <w:r w:rsidR="00D73DD9" w:rsidRPr="00375150">
        <w:rPr>
          <w:rFonts w:ascii="Arial" w:hAnsi="Arial" w:cs="Arial"/>
          <w:bCs/>
          <w:sz w:val="20"/>
          <w:szCs w:val="20"/>
        </w:rPr>
        <w:t xml:space="preserve">con el que las </w:t>
      </w:r>
      <w:r w:rsidR="00880227" w:rsidRPr="00375150">
        <w:rPr>
          <w:rFonts w:ascii="Arial" w:hAnsi="Arial" w:cs="Arial"/>
          <w:bCs/>
          <w:sz w:val="20"/>
          <w:szCs w:val="20"/>
        </w:rPr>
        <w:t>entidades</w:t>
      </w:r>
      <w:r w:rsidR="00D73DD9" w:rsidRPr="00375150">
        <w:rPr>
          <w:rFonts w:ascii="Arial" w:hAnsi="Arial" w:cs="Arial"/>
          <w:bCs/>
          <w:sz w:val="20"/>
          <w:szCs w:val="20"/>
        </w:rPr>
        <w:t xml:space="preserve"> rendirán</w:t>
      </w:r>
      <w:r w:rsidR="00880227" w:rsidRPr="00375150">
        <w:rPr>
          <w:rFonts w:ascii="Arial" w:hAnsi="Arial" w:cs="Arial"/>
          <w:bCs/>
          <w:sz w:val="20"/>
          <w:szCs w:val="20"/>
        </w:rPr>
        <w:t xml:space="preserve"> cuentas sobre </w:t>
      </w:r>
      <w:r w:rsidR="00D73DD9" w:rsidRPr="00375150">
        <w:rPr>
          <w:rFonts w:ascii="Arial" w:hAnsi="Arial" w:cs="Arial"/>
          <w:bCs/>
          <w:sz w:val="20"/>
          <w:szCs w:val="20"/>
        </w:rPr>
        <w:t xml:space="preserve">los </w:t>
      </w:r>
      <w:r w:rsidR="00880227" w:rsidRPr="00375150">
        <w:rPr>
          <w:rFonts w:ascii="Arial" w:hAnsi="Arial" w:cs="Arial"/>
          <w:bCs/>
          <w:sz w:val="20"/>
          <w:szCs w:val="20"/>
        </w:rPr>
        <w:t xml:space="preserve">resultados </w:t>
      </w:r>
      <w:r w:rsidR="00D73DD9" w:rsidRPr="00375150">
        <w:rPr>
          <w:rFonts w:ascii="Arial" w:hAnsi="Arial" w:cs="Arial"/>
          <w:bCs/>
          <w:sz w:val="20"/>
          <w:szCs w:val="20"/>
        </w:rPr>
        <w:t xml:space="preserve">correspondientes al </w:t>
      </w:r>
      <w:r w:rsidR="00880227" w:rsidRPr="00375150">
        <w:rPr>
          <w:rFonts w:ascii="Arial" w:hAnsi="Arial" w:cs="Arial"/>
          <w:bCs/>
          <w:sz w:val="20"/>
          <w:szCs w:val="20"/>
        </w:rPr>
        <w:t>ejercicio presupuestario 2018.</w:t>
      </w:r>
    </w:p>
    <w:p w:rsidR="007B16AB" w:rsidRPr="00E17887" w:rsidRDefault="007B16AB" w:rsidP="004E41A3">
      <w:pPr>
        <w:pStyle w:val="Ttulo"/>
        <w:rPr>
          <w:rFonts w:cs="Arial"/>
          <w:color w:val="000000" w:themeColor="text1"/>
        </w:rPr>
      </w:pPr>
    </w:p>
    <w:p w:rsidR="00054F03" w:rsidRPr="0084580C" w:rsidRDefault="00054F03" w:rsidP="004E41A3">
      <w:pPr>
        <w:pStyle w:val="Ttulo"/>
        <w:rPr>
          <w:rFonts w:cs="Arial"/>
          <w:color w:val="000000" w:themeColor="text1"/>
        </w:rPr>
      </w:pPr>
      <w:r w:rsidRPr="004A25EE">
        <w:rPr>
          <w:rFonts w:cs="Arial"/>
          <w:color w:val="000000" w:themeColor="text1"/>
        </w:rPr>
        <w:t>Instrucciones generales</w:t>
      </w:r>
    </w:p>
    <w:p w:rsidR="00054F03" w:rsidRPr="00375150" w:rsidRDefault="00054F03">
      <w:pPr>
        <w:rPr>
          <w:rFonts w:ascii="Arial" w:hAnsi="Arial" w:cs="Arial"/>
        </w:rPr>
      </w:pPr>
    </w:p>
    <w:p w:rsidR="00054F03" w:rsidRPr="00375150" w:rsidRDefault="00054F03" w:rsidP="00161F37">
      <w:pPr>
        <w:spacing w:line="360" w:lineRule="auto"/>
        <w:jc w:val="both"/>
        <w:rPr>
          <w:rFonts w:ascii="Arial" w:hAnsi="Arial" w:cs="Arial"/>
          <w:bCs/>
          <w:sz w:val="20"/>
          <w:szCs w:val="20"/>
        </w:rPr>
      </w:pPr>
      <w:r w:rsidRPr="00375150">
        <w:rPr>
          <w:rFonts w:ascii="Arial" w:hAnsi="Arial" w:cs="Arial"/>
          <w:bCs/>
          <w:sz w:val="20"/>
          <w:szCs w:val="20"/>
        </w:rPr>
        <w:t xml:space="preserve">El informe debe elaborarse de </w:t>
      </w:r>
      <w:r w:rsidR="00D73DD9" w:rsidRPr="00375150">
        <w:rPr>
          <w:rFonts w:ascii="Arial" w:hAnsi="Arial" w:cs="Arial"/>
          <w:bCs/>
          <w:sz w:val="20"/>
          <w:szCs w:val="20"/>
        </w:rPr>
        <w:t xml:space="preserve">tal </w:t>
      </w:r>
      <w:r w:rsidRPr="00375150">
        <w:rPr>
          <w:rFonts w:ascii="Arial" w:hAnsi="Arial" w:cs="Arial"/>
          <w:bCs/>
          <w:sz w:val="20"/>
          <w:szCs w:val="20"/>
        </w:rPr>
        <w:t>forma que muestre los resultados a nivel institucional</w:t>
      </w:r>
      <w:r w:rsidR="00D73DD9" w:rsidRPr="00375150">
        <w:rPr>
          <w:rFonts w:ascii="Arial" w:hAnsi="Arial" w:cs="Arial"/>
          <w:bCs/>
          <w:sz w:val="20"/>
          <w:szCs w:val="20"/>
        </w:rPr>
        <w:t>.</w:t>
      </w:r>
      <w:r w:rsidR="00A4088A" w:rsidRPr="00375150">
        <w:rPr>
          <w:rFonts w:ascii="Arial" w:hAnsi="Arial" w:cs="Arial"/>
          <w:bCs/>
          <w:sz w:val="20"/>
          <w:szCs w:val="20"/>
        </w:rPr>
        <w:t xml:space="preserve"> </w:t>
      </w:r>
      <w:r w:rsidR="00D73DD9" w:rsidRPr="00375150">
        <w:rPr>
          <w:rFonts w:ascii="Arial" w:hAnsi="Arial" w:cs="Arial"/>
          <w:bCs/>
          <w:sz w:val="20"/>
          <w:szCs w:val="20"/>
        </w:rPr>
        <w:t xml:space="preserve">Sin </w:t>
      </w:r>
      <w:r w:rsidRPr="00375150">
        <w:rPr>
          <w:rFonts w:ascii="Arial" w:hAnsi="Arial" w:cs="Arial"/>
          <w:bCs/>
          <w:sz w:val="20"/>
          <w:szCs w:val="20"/>
        </w:rPr>
        <w:t xml:space="preserve">embargo, </w:t>
      </w:r>
      <w:r w:rsidR="00D73DD9" w:rsidRPr="00375150">
        <w:rPr>
          <w:rFonts w:ascii="Arial" w:hAnsi="Arial" w:cs="Arial"/>
          <w:bCs/>
          <w:sz w:val="20"/>
          <w:szCs w:val="20"/>
        </w:rPr>
        <w:t xml:space="preserve">se requiere que el </w:t>
      </w:r>
      <w:r w:rsidRPr="00375150">
        <w:rPr>
          <w:rFonts w:ascii="Arial" w:hAnsi="Arial" w:cs="Arial"/>
          <w:bCs/>
          <w:sz w:val="20"/>
          <w:szCs w:val="20"/>
        </w:rPr>
        <w:t>análisis</w:t>
      </w:r>
      <w:r w:rsidR="002C1B5C" w:rsidRPr="00375150">
        <w:rPr>
          <w:rFonts w:ascii="Arial" w:hAnsi="Arial" w:cs="Arial"/>
          <w:bCs/>
          <w:sz w:val="20"/>
          <w:szCs w:val="20"/>
        </w:rPr>
        <w:t xml:space="preserve"> financiero y de gestión</w:t>
      </w:r>
      <w:r w:rsidRPr="00375150">
        <w:rPr>
          <w:rFonts w:ascii="Arial" w:hAnsi="Arial" w:cs="Arial"/>
          <w:bCs/>
          <w:sz w:val="20"/>
          <w:szCs w:val="20"/>
        </w:rPr>
        <w:t xml:space="preserve"> </w:t>
      </w:r>
      <w:r w:rsidR="00D73DD9" w:rsidRPr="00375150">
        <w:rPr>
          <w:rFonts w:ascii="Arial" w:hAnsi="Arial" w:cs="Arial"/>
          <w:bCs/>
          <w:sz w:val="20"/>
          <w:szCs w:val="20"/>
        </w:rPr>
        <w:t xml:space="preserve">se </w:t>
      </w:r>
      <w:r w:rsidR="00253D9E" w:rsidRPr="00375150">
        <w:rPr>
          <w:rFonts w:ascii="Arial" w:hAnsi="Arial" w:cs="Arial"/>
          <w:bCs/>
          <w:sz w:val="20"/>
          <w:szCs w:val="20"/>
        </w:rPr>
        <w:t>realice</w:t>
      </w:r>
      <w:r w:rsidR="00D73DD9" w:rsidRPr="00375150">
        <w:rPr>
          <w:rFonts w:ascii="Arial" w:hAnsi="Arial" w:cs="Arial"/>
          <w:bCs/>
          <w:sz w:val="20"/>
          <w:szCs w:val="20"/>
        </w:rPr>
        <w:t xml:space="preserve"> </w:t>
      </w:r>
      <w:r w:rsidR="00B51D01" w:rsidRPr="00375150">
        <w:rPr>
          <w:rFonts w:ascii="Arial" w:hAnsi="Arial" w:cs="Arial"/>
          <w:bCs/>
          <w:sz w:val="20"/>
          <w:szCs w:val="20"/>
        </w:rPr>
        <w:t xml:space="preserve">a </w:t>
      </w:r>
      <w:r w:rsidR="00CA6CE9" w:rsidRPr="00375150">
        <w:rPr>
          <w:rFonts w:ascii="Arial" w:hAnsi="Arial" w:cs="Arial"/>
          <w:bCs/>
          <w:sz w:val="20"/>
          <w:szCs w:val="20"/>
        </w:rPr>
        <w:t>nivel de programa y subprograma</w:t>
      </w:r>
      <w:r w:rsidR="00A4088A" w:rsidRPr="00375150">
        <w:rPr>
          <w:rFonts w:ascii="Arial" w:hAnsi="Arial" w:cs="Arial"/>
          <w:bCs/>
          <w:sz w:val="20"/>
          <w:szCs w:val="20"/>
        </w:rPr>
        <w:t>.</w:t>
      </w:r>
    </w:p>
    <w:p w:rsidR="00C23F6F" w:rsidRPr="00375150" w:rsidRDefault="00C23F6F" w:rsidP="002C1B5C">
      <w:pPr>
        <w:spacing w:line="360" w:lineRule="auto"/>
        <w:jc w:val="both"/>
        <w:rPr>
          <w:rFonts w:ascii="Arial" w:hAnsi="Arial" w:cs="Arial"/>
          <w:bCs/>
          <w:sz w:val="20"/>
          <w:szCs w:val="20"/>
        </w:rPr>
      </w:pPr>
    </w:p>
    <w:p w:rsidR="004E0F68" w:rsidRPr="00375150" w:rsidRDefault="004E0F68" w:rsidP="002C1B5C">
      <w:pPr>
        <w:spacing w:line="360" w:lineRule="auto"/>
        <w:jc w:val="both"/>
        <w:rPr>
          <w:rFonts w:ascii="Arial" w:hAnsi="Arial" w:cs="Arial"/>
          <w:bCs/>
          <w:sz w:val="20"/>
          <w:szCs w:val="20"/>
        </w:rPr>
      </w:pPr>
      <w:r w:rsidRPr="00375150">
        <w:rPr>
          <w:rFonts w:ascii="Arial" w:hAnsi="Arial" w:cs="Arial"/>
          <w:bCs/>
          <w:sz w:val="20"/>
          <w:szCs w:val="20"/>
        </w:rPr>
        <w:t>Para la elaboración de este informe se utiliza para los ministerios y Tribunal Supremo de Elecciones los datos de presupuesto actual y devengado del sistema SIGAF, y en el caso del resto de los poderes, el insumo a utilizar es la apropiación actual y devengado del sistema Módulo de Poderes.</w:t>
      </w:r>
    </w:p>
    <w:p w:rsidR="004E0F68" w:rsidRPr="00375150" w:rsidRDefault="004E0F68" w:rsidP="002C1B5C">
      <w:pPr>
        <w:spacing w:line="360" w:lineRule="auto"/>
        <w:jc w:val="both"/>
        <w:rPr>
          <w:rFonts w:ascii="Arial" w:hAnsi="Arial" w:cs="Arial"/>
          <w:bCs/>
          <w:sz w:val="20"/>
          <w:szCs w:val="20"/>
        </w:rPr>
      </w:pPr>
    </w:p>
    <w:p w:rsidR="00356388" w:rsidRPr="00375150" w:rsidRDefault="003F60B0" w:rsidP="002C1B5C">
      <w:pPr>
        <w:spacing w:line="360" w:lineRule="auto"/>
        <w:jc w:val="both"/>
        <w:rPr>
          <w:rFonts w:ascii="Arial" w:hAnsi="Arial" w:cs="Arial"/>
          <w:bCs/>
          <w:sz w:val="20"/>
          <w:szCs w:val="20"/>
        </w:rPr>
      </w:pPr>
      <w:r w:rsidRPr="00375150">
        <w:rPr>
          <w:rFonts w:ascii="Arial" w:hAnsi="Arial" w:cs="Arial"/>
          <w:bCs/>
          <w:sz w:val="20"/>
          <w:szCs w:val="20"/>
        </w:rPr>
        <w:t xml:space="preserve">Para </w:t>
      </w:r>
      <w:r w:rsidR="00BB37C5" w:rsidRPr="00375150">
        <w:rPr>
          <w:rFonts w:ascii="Arial" w:hAnsi="Arial" w:cs="Arial"/>
          <w:bCs/>
          <w:sz w:val="20"/>
          <w:szCs w:val="20"/>
        </w:rPr>
        <w:t>la elabo</w:t>
      </w:r>
      <w:r w:rsidRPr="00375150">
        <w:rPr>
          <w:rFonts w:ascii="Arial" w:hAnsi="Arial" w:cs="Arial"/>
          <w:bCs/>
          <w:sz w:val="20"/>
          <w:szCs w:val="20"/>
        </w:rPr>
        <w:t>r</w:t>
      </w:r>
      <w:r w:rsidR="00BB37C5" w:rsidRPr="00375150">
        <w:rPr>
          <w:rFonts w:ascii="Arial" w:hAnsi="Arial" w:cs="Arial"/>
          <w:bCs/>
          <w:sz w:val="20"/>
          <w:szCs w:val="20"/>
        </w:rPr>
        <w:t>ación</w:t>
      </w:r>
      <w:r w:rsidRPr="00375150">
        <w:rPr>
          <w:rFonts w:ascii="Arial" w:hAnsi="Arial" w:cs="Arial"/>
          <w:bCs/>
          <w:sz w:val="20"/>
          <w:szCs w:val="20"/>
        </w:rPr>
        <w:t xml:space="preserve"> </w:t>
      </w:r>
      <w:r w:rsidR="00BB37C5" w:rsidRPr="00375150">
        <w:rPr>
          <w:rFonts w:ascii="Arial" w:hAnsi="Arial" w:cs="Arial"/>
          <w:bCs/>
          <w:sz w:val="20"/>
          <w:szCs w:val="20"/>
        </w:rPr>
        <w:t>d</w:t>
      </w:r>
      <w:r w:rsidRPr="00375150">
        <w:rPr>
          <w:rFonts w:ascii="Arial" w:hAnsi="Arial" w:cs="Arial"/>
          <w:bCs/>
          <w:sz w:val="20"/>
          <w:szCs w:val="20"/>
        </w:rPr>
        <w:t>el informe de</w:t>
      </w:r>
      <w:r w:rsidR="002C1B5C" w:rsidRPr="00375150">
        <w:rPr>
          <w:rFonts w:ascii="Arial" w:hAnsi="Arial" w:cs="Arial"/>
          <w:bCs/>
          <w:sz w:val="20"/>
          <w:szCs w:val="20"/>
        </w:rPr>
        <w:t xml:space="preserve"> evaluación</w:t>
      </w:r>
      <w:r w:rsidRPr="00375150">
        <w:rPr>
          <w:rFonts w:ascii="Arial" w:hAnsi="Arial" w:cs="Arial"/>
          <w:bCs/>
          <w:sz w:val="20"/>
          <w:szCs w:val="20"/>
        </w:rPr>
        <w:t xml:space="preserve"> anual</w:t>
      </w:r>
      <w:r w:rsidR="002C1B5C" w:rsidRPr="00375150">
        <w:rPr>
          <w:rFonts w:ascii="Arial" w:hAnsi="Arial" w:cs="Arial"/>
          <w:bCs/>
          <w:sz w:val="20"/>
          <w:szCs w:val="20"/>
        </w:rPr>
        <w:t xml:space="preserve">, la </w:t>
      </w:r>
      <w:r w:rsidR="00BC7C29" w:rsidRPr="00375150">
        <w:rPr>
          <w:rFonts w:ascii="Arial" w:hAnsi="Arial" w:cs="Arial"/>
          <w:bCs/>
          <w:sz w:val="20"/>
          <w:szCs w:val="20"/>
        </w:rPr>
        <w:t>DGPN</w:t>
      </w:r>
      <w:r w:rsidR="002C1B5C" w:rsidRPr="00375150">
        <w:rPr>
          <w:rFonts w:ascii="Arial" w:hAnsi="Arial" w:cs="Arial"/>
          <w:bCs/>
          <w:sz w:val="20"/>
          <w:szCs w:val="20"/>
        </w:rPr>
        <w:t xml:space="preserve"> remitirá a las entidades </w:t>
      </w:r>
      <w:r w:rsidR="00A83AEC" w:rsidRPr="00375150">
        <w:rPr>
          <w:rFonts w:ascii="Arial" w:hAnsi="Arial" w:cs="Arial"/>
          <w:bCs/>
          <w:sz w:val="20"/>
          <w:szCs w:val="20"/>
        </w:rPr>
        <w:t xml:space="preserve">el día hábil siguiente </w:t>
      </w:r>
      <w:r w:rsidR="00C23F6F" w:rsidRPr="00375150">
        <w:rPr>
          <w:rFonts w:ascii="Arial" w:hAnsi="Arial" w:cs="Arial"/>
          <w:bCs/>
          <w:sz w:val="20"/>
          <w:szCs w:val="20"/>
        </w:rPr>
        <w:t>a la apertura del sistema</w:t>
      </w:r>
      <w:r w:rsidR="00C30E70" w:rsidRPr="00375150">
        <w:rPr>
          <w:rFonts w:ascii="Arial" w:hAnsi="Arial" w:cs="Arial"/>
          <w:bCs/>
          <w:sz w:val="20"/>
          <w:szCs w:val="20"/>
        </w:rPr>
        <w:t xml:space="preserve"> SIGAF-Módulo de Poderes</w:t>
      </w:r>
      <w:r w:rsidR="002C1B5C" w:rsidRPr="00375150">
        <w:rPr>
          <w:rFonts w:ascii="Arial" w:hAnsi="Arial" w:cs="Arial"/>
          <w:bCs/>
          <w:sz w:val="20"/>
          <w:szCs w:val="20"/>
        </w:rPr>
        <w:t xml:space="preserve">, </w:t>
      </w:r>
      <w:r w:rsidR="00356388" w:rsidRPr="00375150">
        <w:rPr>
          <w:rFonts w:ascii="Arial" w:hAnsi="Arial" w:cs="Arial"/>
          <w:bCs/>
          <w:sz w:val="20"/>
          <w:szCs w:val="20"/>
        </w:rPr>
        <w:t>un archivo en formato Excel compuesto por tres hojas de cálculo:</w:t>
      </w:r>
    </w:p>
    <w:p w:rsidR="00356388" w:rsidRPr="00375150" w:rsidRDefault="00356388" w:rsidP="002C1B5C">
      <w:pPr>
        <w:spacing w:line="360" w:lineRule="auto"/>
        <w:jc w:val="both"/>
        <w:rPr>
          <w:rFonts w:ascii="Arial" w:hAnsi="Arial" w:cs="Arial"/>
          <w:bCs/>
          <w:sz w:val="20"/>
          <w:szCs w:val="20"/>
        </w:rPr>
      </w:pPr>
    </w:p>
    <w:p w:rsidR="00356388" w:rsidRPr="00375150" w:rsidRDefault="00356388" w:rsidP="00356388">
      <w:pPr>
        <w:pStyle w:val="Prrafodelista"/>
        <w:numPr>
          <w:ilvl w:val="0"/>
          <w:numId w:val="5"/>
        </w:numPr>
        <w:spacing w:line="360" w:lineRule="auto"/>
        <w:ind w:left="426"/>
        <w:jc w:val="both"/>
        <w:rPr>
          <w:rFonts w:ascii="Arial" w:hAnsi="Arial" w:cs="Arial"/>
          <w:bCs/>
          <w:sz w:val="20"/>
          <w:szCs w:val="20"/>
        </w:rPr>
      </w:pPr>
      <w:r w:rsidRPr="00375150">
        <w:rPr>
          <w:rFonts w:ascii="Arial" w:hAnsi="Arial" w:cs="Arial"/>
          <w:b/>
          <w:bCs/>
          <w:sz w:val="20"/>
          <w:szCs w:val="20"/>
        </w:rPr>
        <w:t>Hoja</w:t>
      </w:r>
      <w:r w:rsidRPr="00375150">
        <w:rPr>
          <w:rFonts w:ascii="Arial" w:hAnsi="Arial" w:cs="Arial"/>
          <w:bCs/>
          <w:sz w:val="20"/>
          <w:szCs w:val="20"/>
        </w:rPr>
        <w:t xml:space="preserve"> “</w:t>
      </w:r>
      <w:r w:rsidRPr="00375150">
        <w:rPr>
          <w:rFonts w:ascii="Arial" w:hAnsi="Arial" w:cs="Arial"/>
          <w:b/>
          <w:bCs/>
          <w:sz w:val="20"/>
          <w:szCs w:val="20"/>
        </w:rPr>
        <w:t>Liquidación</w:t>
      </w:r>
      <w:r w:rsidRPr="00375150">
        <w:rPr>
          <w:rFonts w:ascii="Arial" w:hAnsi="Arial" w:cs="Arial"/>
          <w:bCs/>
          <w:sz w:val="20"/>
          <w:szCs w:val="20"/>
        </w:rPr>
        <w:t>”: Contiene la información de la liquidación presupuestaria de la entidad al 31 de diciembre del 2018.</w:t>
      </w:r>
      <w:r w:rsidR="004E0F68" w:rsidRPr="00375150">
        <w:rPr>
          <w:rFonts w:ascii="Arial" w:hAnsi="Arial" w:cs="Arial"/>
          <w:bCs/>
          <w:sz w:val="20"/>
          <w:szCs w:val="20"/>
        </w:rPr>
        <w:t xml:space="preserve"> </w:t>
      </w:r>
    </w:p>
    <w:p w:rsidR="00356388" w:rsidRPr="00375150" w:rsidRDefault="00356388" w:rsidP="00356388">
      <w:pPr>
        <w:pStyle w:val="Prrafodelista"/>
        <w:numPr>
          <w:ilvl w:val="0"/>
          <w:numId w:val="5"/>
        </w:numPr>
        <w:spacing w:line="360" w:lineRule="auto"/>
        <w:ind w:left="426"/>
        <w:jc w:val="both"/>
        <w:rPr>
          <w:rFonts w:ascii="Arial" w:hAnsi="Arial" w:cs="Arial"/>
          <w:bCs/>
          <w:sz w:val="20"/>
          <w:szCs w:val="20"/>
        </w:rPr>
      </w:pPr>
      <w:r w:rsidRPr="00375150">
        <w:rPr>
          <w:rFonts w:ascii="Arial" w:hAnsi="Arial" w:cs="Arial"/>
          <w:b/>
          <w:bCs/>
          <w:sz w:val="20"/>
          <w:szCs w:val="20"/>
        </w:rPr>
        <w:t>Hoja</w:t>
      </w:r>
      <w:r w:rsidRPr="00375150">
        <w:rPr>
          <w:rFonts w:ascii="Arial" w:hAnsi="Arial" w:cs="Arial"/>
          <w:bCs/>
          <w:sz w:val="20"/>
          <w:szCs w:val="20"/>
        </w:rPr>
        <w:t xml:space="preserve"> “</w:t>
      </w:r>
      <w:r w:rsidRPr="00375150">
        <w:rPr>
          <w:rFonts w:ascii="Arial" w:hAnsi="Arial" w:cs="Arial"/>
          <w:b/>
          <w:bCs/>
          <w:sz w:val="20"/>
          <w:szCs w:val="20"/>
        </w:rPr>
        <w:t>Financiero</w:t>
      </w:r>
      <w:r w:rsidRPr="00375150">
        <w:rPr>
          <w:rFonts w:ascii="Arial" w:hAnsi="Arial" w:cs="Arial"/>
          <w:bCs/>
          <w:sz w:val="20"/>
          <w:szCs w:val="20"/>
        </w:rPr>
        <w:t>”: Contiene un cuadro a nivel institucional que muestra los resultados de la ejecución financiera por partida. Este cuadro debe ser completado por la entidad considerando la información de la hoja “Liquidación”.</w:t>
      </w:r>
    </w:p>
    <w:p w:rsidR="00356388" w:rsidRPr="00375150" w:rsidRDefault="00356388" w:rsidP="00356388">
      <w:pPr>
        <w:pStyle w:val="Prrafodelista"/>
        <w:numPr>
          <w:ilvl w:val="0"/>
          <w:numId w:val="5"/>
        </w:numPr>
        <w:spacing w:line="360" w:lineRule="auto"/>
        <w:ind w:left="426"/>
        <w:jc w:val="both"/>
        <w:rPr>
          <w:rFonts w:ascii="Arial" w:hAnsi="Arial" w:cs="Arial"/>
          <w:bCs/>
          <w:sz w:val="20"/>
          <w:szCs w:val="20"/>
        </w:rPr>
      </w:pPr>
      <w:r w:rsidRPr="00375150">
        <w:rPr>
          <w:rFonts w:ascii="Arial" w:hAnsi="Arial" w:cs="Arial"/>
          <w:b/>
          <w:bCs/>
          <w:sz w:val="20"/>
          <w:szCs w:val="20"/>
        </w:rPr>
        <w:t>Hoja “Programación</w:t>
      </w:r>
      <w:r w:rsidRPr="00375150">
        <w:rPr>
          <w:rFonts w:ascii="Arial" w:hAnsi="Arial" w:cs="Arial"/>
          <w:bCs/>
          <w:sz w:val="20"/>
          <w:szCs w:val="20"/>
        </w:rPr>
        <w:t xml:space="preserve">: Contiene los productos, unidades de medida e indicadores, contenidos en la Ley de Presupuesto 2018. En este cuadro la entidad debe completar las columnas </w:t>
      </w:r>
      <w:r w:rsidR="00080FDB" w:rsidRPr="00375150">
        <w:rPr>
          <w:rFonts w:ascii="Arial" w:hAnsi="Arial" w:cs="Arial"/>
          <w:bCs/>
          <w:sz w:val="20"/>
          <w:szCs w:val="20"/>
        </w:rPr>
        <w:t>“</w:t>
      </w:r>
      <w:r w:rsidRPr="00375150">
        <w:rPr>
          <w:rFonts w:ascii="Arial" w:hAnsi="Arial" w:cs="Arial"/>
          <w:bCs/>
          <w:sz w:val="20"/>
          <w:szCs w:val="20"/>
        </w:rPr>
        <w:t>Alcanzado</w:t>
      </w:r>
      <w:r w:rsidR="00080FDB" w:rsidRPr="00375150">
        <w:rPr>
          <w:rFonts w:ascii="Arial" w:hAnsi="Arial" w:cs="Arial"/>
          <w:bCs/>
          <w:sz w:val="20"/>
          <w:szCs w:val="20"/>
        </w:rPr>
        <w:t>”.</w:t>
      </w:r>
    </w:p>
    <w:p w:rsidR="00356388" w:rsidRPr="00375150" w:rsidRDefault="00356388" w:rsidP="002C1B5C">
      <w:pPr>
        <w:spacing w:line="360" w:lineRule="auto"/>
        <w:jc w:val="both"/>
        <w:rPr>
          <w:rFonts w:ascii="Arial" w:hAnsi="Arial" w:cs="Arial"/>
          <w:bCs/>
          <w:sz w:val="20"/>
          <w:szCs w:val="20"/>
        </w:rPr>
      </w:pPr>
    </w:p>
    <w:p w:rsidR="00054F03" w:rsidRPr="0077710A" w:rsidRDefault="009F0ADD" w:rsidP="002C1B5C">
      <w:pPr>
        <w:spacing w:line="360" w:lineRule="auto"/>
        <w:jc w:val="both"/>
        <w:rPr>
          <w:rFonts w:ascii="Arial" w:hAnsi="Arial" w:cs="Arial"/>
          <w:bCs/>
          <w:sz w:val="20"/>
          <w:szCs w:val="20"/>
        </w:rPr>
      </w:pPr>
      <w:r w:rsidRPr="00375150">
        <w:rPr>
          <w:rFonts w:ascii="Arial" w:hAnsi="Arial" w:cs="Arial"/>
          <w:bCs/>
          <w:sz w:val="20"/>
          <w:szCs w:val="20"/>
        </w:rPr>
        <w:t>Este mismo archivo</w:t>
      </w:r>
      <w:r w:rsidR="004E6A02" w:rsidRPr="00375150">
        <w:rPr>
          <w:rFonts w:ascii="Arial" w:hAnsi="Arial" w:cs="Arial"/>
          <w:bCs/>
          <w:sz w:val="20"/>
          <w:szCs w:val="20"/>
        </w:rPr>
        <w:t>,</w:t>
      </w:r>
      <w:r w:rsidRPr="00375150">
        <w:rPr>
          <w:rFonts w:ascii="Arial" w:hAnsi="Arial" w:cs="Arial"/>
          <w:bCs/>
          <w:sz w:val="20"/>
          <w:szCs w:val="20"/>
        </w:rPr>
        <w:t xml:space="preserve"> </w:t>
      </w:r>
      <w:r w:rsidR="00B13AEF" w:rsidRPr="00375150">
        <w:rPr>
          <w:rFonts w:ascii="Arial" w:hAnsi="Arial" w:cs="Arial"/>
          <w:bCs/>
          <w:sz w:val="20"/>
          <w:szCs w:val="20"/>
        </w:rPr>
        <w:t>debe ser remitido</w:t>
      </w:r>
      <w:r w:rsidR="004975E7" w:rsidRPr="00375150">
        <w:rPr>
          <w:rFonts w:ascii="Arial" w:hAnsi="Arial" w:cs="Arial"/>
          <w:bCs/>
          <w:sz w:val="20"/>
          <w:szCs w:val="20"/>
        </w:rPr>
        <w:t xml:space="preserve"> como parte del informe de evaluación</w:t>
      </w:r>
      <w:r w:rsidR="00B13AEF" w:rsidRPr="00375150">
        <w:rPr>
          <w:rFonts w:ascii="Arial" w:hAnsi="Arial" w:cs="Arial"/>
          <w:bCs/>
          <w:sz w:val="20"/>
          <w:szCs w:val="20"/>
        </w:rPr>
        <w:t>,</w:t>
      </w:r>
      <w:r w:rsidR="004975E7" w:rsidRPr="00375150">
        <w:rPr>
          <w:rFonts w:ascii="Arial" w:hAnsi="Arial" w:cs="Arial"/>
          <w:bCs/>
          <w:sz w:val="20"/>
          <w:szCs w:val="20"/>
        </w:rPr>
        <w:t xml:space="preserve"> </w:t>
      </w:r>
      <w:r w:rsidR="00B51D01" w:rsidRPr="00375150">
        <w:rPr>
          <w:rFonts w:ascii="Arial" w:hAnsi="Arial" w:cs="Arial"/>
          <w:bCs/>
          <w:sz w:val="20"/>
          <w:szCs w:val="20"/>
        </w:rPr>
        <w:t>a más tardar el 31 de enero 2019</w:t>
      </w:r>
      <w:r w:rsidR="00B13AEF" w:rsidRPr="00375150">
        <w:rPr>
          <w:rFonts w:ascii="Arial" w:hAnsi="Arial" w:cs="Arial"/>
          <w:bCs/>
          <w:sz w:val="20"/>
          <w:szCs w:val="20"/>
        </w:rPr>
        <w:t>,</w:t>
      </w:r>
      <w:r w:rsidR="00B51D01" w:rsidRPr="00375150">
        <w:rPr>
          <w:rFonts w:ascii="Arial" w:hAnsi="Arial" w:cs="Arial"/>
          <w:bCs/>
          <w:sz w:val="20"/>
          <w:szCs w:val="20"/>
        </w:rPr>
        <w:t xml:space="preserve"> a la siguiente dirección de correo: </w:t>
      </w:r>
      <w:hyperlink r:id="rId18" w:history="1">
        <w:r w:rsidRPr="0077710A">
          <w:rPr>
            <w:rStyle w:val="Hipervnculo"/>
            <w:rFonts w:ascii="Arial" w:hAnsi="Arial" w:cs="Arial"/>
            <w:bCs/>
            <w:sz w:val="20"/>
            <w:szCs w:val="20"/>
          </w:rPr>
          <w:t>notifica_presupuesto_nacional@hacienda.go.cr</w:t>
        </w:r>
      </w:hyperlink>
      <w:r w:rsidR="00C30E70" w:rsidRPr="0077710A">
        <w:rPr>
          <w:rFonts w:ascii="Arial" w:hAnsi="Arial" w:cs="Arial"/>
          <w:bCs/>
          <w:sz w:val="20"/>
          <w:szCs w:val="20"/>
        </w:rPr>
        <w:t>.</w:t>
      </w:r>
    </w:p>
    <w:p w:rsidR="000A5D8A" w:rsidRPr="00375150" w:rsidRDefault="000A5D8A" w:rsidP="002C1B5C">
      <w:pPr>
        <w:spacing w:line="360" w:lineRule="auto"/>
        <w:jc w:val="both"/>
        <w:rPr>
          <w:rFonts w:ascii="Arial" w:hAnsi="Arial" w:cs="Arial"/>
          <w:sz w:val="20"/>
          <w:szCs w:val="16"/>
        </w:rPr>
      </w:pPr>
    </w:p>
    <w:p w:rsidR="00035F84" w:rsidRPr="00375150" w:rsidRDefault="0081159E" w:rsidP="00035F84">
      <w:pPr>
        <w:pStyle w:val="Textoindependiente"/>
        <w:spacing w:line="360" w:lineRule="auto"/>
        <w:jc w:val="both"/>
        <w:rPr>
          <w:rFonts w:ascii="Arial" w:hAnsi="Arial" w:cs="Arial"/>
          <w:bCs/>
          <w:sz w:val="20"/>
          <w:szCs w:val="20"/>
        </w:rPr>
      </w:pPr>
      <w:r w:rsidRPr="00375150">
        <w:rPr>
          <w:rFonts w:ascii="Arial" w:hAnsi="Arial" w:cs="Arial"/>
          <w:bCs/>
          <w:sz w:val="20"/>
          <w:szCs w:val="20"/>
        </w:rPr>
        <w:lastRenderedPageBreak/>
        <w:t xml:space="preserve">En todo el documento al hacer referencia a porcentajes y valores absolutos se debe utilizar un decimal. </w:t>
      </w:r>
      <w:r w:rsidR="00A011EA" w:rsidRPr="00375150">
        <w:rPr>
          <w:rFonts w:ascii="Arial" w:hAnsi="Arial" w:cs="Arial"/>
          <w:bCs/>
          <w:sz w:val="20"/>
          <w:szCs w:val="20"/>
        </w:rPr>
        <w:t>Cuando se incorporen datos financieros en los cuadros y texto, se debe separar los miles con punto y los porcentajes con coma.</w:t>
      </w:r>
    </w:p>
    <w:p w:rsidR="00DB40D3" w:rsidRPr="00375150" w:rsidRDefault="00DB40D3" w:rsidP="00035F84">
      <w:pPr>
        <w:pStyle w:val="Textoindependiente"/>
        <w:spacing w:line="360" w:lineRule="auto"/>
        <w:jc w:val="both"/>
        <w:rPr>
          <w:rFonts w:ascii="Arial" w:hAnsi="Arial" w:cs="Arial"/>
          <w:bCs/>
          <w:sz w:val="20"/>
          <w:szCs w:val="20"/>
        </w:rPr>
      </w:pPr>
      <w:r w:rsidRPr="00375150">
        <w:rPr>
          <w:rFonts w:ascii="Arial" w:hAnsi="Arial" w:cs="Arial"/>
          <w:bCs/>
          <w:sz w:val="20"/>
          <w:szCs w:val="20"/>
        </w:rPr>
        <w:t xml:space="preserve">Al momento de incluir datos en cuadros o tablas, cuando no exista información se debe colocar un guion.  </w:t>
      </w:r>
    </w:p>
    <w:p w:rsidR="000F10FC" w:rsidRPr="00375150" w:rsidRDefault="000F10FC" w:rsidP="000F10FC">
      <w:pPr>
        <w:pStyle w:val="Textoindependiente"/>
        <w:spacing w:line="360" w:lineRule="auto"/>
        <w:jc w:val="both"/>
        <w:rPr>
          <w:rFonts w:ascii="Arial" w:hAnsi="Arial" w:cs="Arial"/>
          <w:bCs/>
          <w:sz w:val="20"/>
          <w:szCs w:val="20"/>
        </w:rPr>
      </w:pPr>
      <w:r w:rsidRPr="00375150">
        <w:rPr>
          <w:rFonts w:ascii="Arial" w:hAnsi="Arial" w:cs="Arial"/>
          <w:bCs/>
          <w:sz w:val="20"/>
          <w:szCs w:val="20"/>
        </w:rPr>
        <w:t xml:space="preserve">Es importante señalar que a los centros de gestión que no suministren información de cualquier punto que se solicita, se les emitirá una disposición respecto al incumplimiento presentado y se clasificará como “No Efectivo”. </w:t>
      </w:r>
    </w:p>
    <w:p w:rsidR="002C1B5C" w:rsidRPr="00375150" w:rsidRDefault="000F10FC" w:rsidP="000F10FC">
      <w:pPr>
        <w:pStyle w:val="Textoindependiente"/>
        <w:spacing w:line="360" w:lineRule="auto"/>
        <w:jc w:val="both"/>
        <w:rPr>
          <w:rFonts w:ascii="Arial" w:hAnsi="Arial" w:cs="Arial"/>
          <w:bCs/>
          <w:sz w:val="20"/>
          <w:szCs w:val="20"/>
        </w:rPr>
      </w:pPr>
      <w:r w:rsidRPr="00375150">
        <w:rPr>
          <w:rFonts w:ascii="Arial" w:hAnsi="Arial" w:cs="Arial"/>
          <w:bCs/>
          <w:sz w:val="20"/>
          <w:szCs w:val="20"/>
        </w:rPr>
        <w:t xml:space="preserve">Finalmente, los informes y el archivo Excel deben ser remitidos por medio de correo electrónico a la siguiente dirección de correo: </w:t>
      </w:r>
      <w:hyperlink r:id="rId19" w:history="1">
        <w:r w:rsidRPr="0077710A">
          <w:rPr>
            <w:rStyle w:val="Hipervnculo"/>
            <w:rFonts w:ascii="Arial" w:hAnsi="Arial" w:cs="Arial"/>
            <w:bCs/>
            <w:sz w:val="20"/>
            <w:szCs w:val="20"/>
          </w:rPr>
          <w:t>notifica_presupuesto_nacional@hacienda.go.cr</w:t>
        </w:r>
      </w:hyperlink>
      <w:r w:rsidRPr="0077710A">
        <w:rPr>
          <w:rFonts w:ascii="Arial" w:hAnsi="Arial" w:cs="Arial"/>
          <w:bCs/>
          <w:sz w:val="20"/>
          <w:szCs w:val="20"/>
        </w:rPr>
        <w:t xml:space="preserve"> siempre y cuando cuenten con firma digital certificada; cuando no se cuente con esta herramienta, los informes deben entregarse impresos en la ventanilla de recepción de la DGPN. (Los informes escaneados no se co</w:t>
      </w:r>
      <w:r w:rsidRPr="00375150">
        <w:rPr>
          <w:rFonts w:ascii="Arial" w:hAnsi="Arial" w:cs="Arial"/>
          <w:bCs/>
          <w:sz w:val="20"/>
          <w:szCs w:val="20"/>
        </w:rPr>
        <w:t>nsideran como firmados digitalmente, ni es válido el documento firmado digitalmente que se presenta en forma impresa</w:t>
      </w:r>
      <w:r w:rsidRPr="00375150">
        <w:rPr>
          <w:rFonts w:ascii="Arial" w:hAnsi="Arial" w:cs="Arial"/>
          <w:sz w:val="20"/>
          <w:szCs w:val="20"/>
        </w:rPr>
        <w:t>).</w:t>
      </w:r>
      <w:r w:rsidR="002C1B5C" w:rsidRPr="00375150">
        <w:rPr>
          <w:rFonts w:ascii="Arial" w:hAnsi="Arial" w:cs="Arial"/>
          <w:b/>
          <w:bCs/>
          <w:sz w:val="22"/>
          <w:szCs w:val="22"/>
        </w:rPr>
        <w:br w:type="page"/>
      </w:r>
    </w:p>
    <w:p w:rsidR="00F2368B" w:rsidRPr="0084580C" w:rsidRDefault="00F2368B" w:rsidP="00F2368B">
      <w:pPr>
        <w:pStyle w:val="Ttulo2"/>
        <w:ind w:left="0" w:firstLine="0"/>
        <w:rPr>
          <w:rStyle w:val="Ttulodellibro"/>
          <w:rFonts w:cs="Arial"/>
          <w:b/>
          <w:bCs/>
          <w:color w:val="000000" w:themeColor="text1"/>
        </w:rPr>
      </w:pPr>
      <w:bookmarkStart w:id="2" w:name="_Toc531253879"/>
      <w:bookmarkStart w:id="3" w:name="_Toc530474645"/>
      <w:r w:rsidRPr="00E17887">
        <w:rPr>
          <w:rStyle w:val="Ttulodellibro"/>
          <w:rFonts w:cs="Arial"/>
          <w:b/>
          <w:bCs/>
          <w:color w:val="000000" w:themeColor="text1"/>
        </w:rPr>
        <w:lastRenderedPageBreak/>
        <w:t>ANALISIS INSTITUCIONAL</w:t>
      </w:r>
      <w:bookmarkEnd w:id="2"/>
      <w:r w:rsidRPr="00E17887">
        <w:rPr>
          <w:rStyle w:val="Ttulodellibro"/>
          <w:rFonts w:cs="Arial"/>
          <w:b/>
          <w:bCs/>
          <w:color w:val="000000" w:themeColor="text1"/>
        </w:rPr>
        <w:t xml:space="preserve"> </w:t>
      </w:r>
    </w:p>
    <w:p w:rsidR="00F2368B" w:rsidRPr="0084580C" w:rsidRDefault="00F2368B" w:rsidP="00F2368B">
      <w:pPr>
        <w:rPr>
          <w:rFonts w:ascii="Arial" w:hAnsi="Arial" w:cs="Arial"/>
          <w:lang w:val="es-MX"/>
        </w:rPr>
      </w:pPr>
    </w:p>
    <w:p w:rsidR="00F2368B" w:rsidRPr="0084580C" w:rsidRDefault="00F2368B" w:rsidP="00240E87">
      <w:pPr>
        <w:spacing w:after="120" w:line="360" w:lineRule="auto"/>
        <w:jc w:val="both"/>
        <w:rPr>
          <w:rFonts w:ascii="Arial" w:hAnsi="Arial" w:cs="Arial"/>
          <w:b/>
          <w:sz w:val="20"/>
          <w:szCs w:val="20"/>
          <w:lang w:val="es-ES_tradnl"/>
        </w:rPr>
      </w:pPr>
      <w:r w:rsidRPr="0084580C">
        <w:rPr>
          <w:rFonts w:ascii="Arial" w:hAnsi="Arial" w:cs="Arial"/>
          <w:b/>
          <w:sz w:val="20"/>
          <w:szCs w:val="20"/>
          <w:lang w:val="es-ES_tradnl"/>
        </w:rPr>
        <w:t>Comentar en términos generales las competencias que por ley le corresponden</w:t>
      </w:r>
      <w:r w:rsidR="00035F84" w:rsidRPr="0084580C">
        <w:rPr>
          <w:rFonts w:ascii="Arial" w:hAnsi="Arial" w:cs="Arial"/>
          <w:b/>
          <w:sz w:val="20"/>
          <w:szCs w:val="20"/>
          <w:lang w:val="es-ES_tradnl"/>
        </w:rPr>
        <w:t xml:space="preserve"> a la entidad</w:t>
      </w:r>
      <w:r w:rsidRPr="0084580C">
        <w:rPr>
          <w:rFonts w:ascii="Arial" w:hAnsi="Arial" w:cs="Arial"/>
          <w:b/>
          <w:sz w:val="20"/>
          <w:szCs w:val="20"/>
          <w:lang w:val="es-ES_tradnl"/>
        </w:rPr>
        <w:t xml:space="preserve">. </w:t>
      </w:r>
    </w:p>
    <w:p w:rsidR="00F2368B" w:rsidRPr="0084580C" w:rsidRDefault="00F2368B" w:rsidP="00240E87">
      <w:pPr>
        <w:spacing w:after="120" w:line="360" w:lineRule="auto"/>
        <w:jc w:val="both"/>
        <w:rPr>
          <w:rFonts w:ascii="Arial" w:hAnsi="Arial" w:cs="Arial"/>
          <w:b/>
          <w:sz w:val="20"/>
          <w:szCs w:val="20"/>
          <w:lang w:val="es-ES_tradnl"/>
        </w:rPr>
      </w:pPr>
      <w:r w:rsidRPr="0084580C">
        <w:rPr>
          <w:rFonts w:ascii="Arial" w:hAnsi="Arial" w:cs="Arial"/>
          <w:b/>
          <w:sz w:val="20"/>
          <w:szCs w:val="20"/>
          <w:lang w:val="es-ES_tradnl"/>
        </w:rPr>
        <w:t>En los casos que corresponda, se debe mencionar su contribución o participación en el Plan Nacional de Desarrollo y en los planes sectoriales</w:t>
      </w:r>
      <w:r w:rsidR="00035F84" w:rsidRPr="0084580C">
        <w:rPr>
          <w:rFonts w:ascii="Arial" w:hAnsi="Arial" w:cs="Arial"/>
          <w:b/>
          <w:sz w:val="20"/>
          <w:szCs w:val="20"/>
          <w:lang w:val="es-ES_tradnl"/>
        </w:rPr>
        <w:t xml:space="preserve"> o planes estratégicos en el caso de los Poderes</w:t>
      </w:r>
      <w:r w:rsidRPr="0084580C">
        <w:rPr>
          <w:rFonts w:ascii="Arial" w:hAnsi="Arial" w:cs="Arial"/>
          <w:b/>
          <w:sz w:val="20"/>
          <w:szCs w:val="20"/>
          <w:lang w:val="es-ES_tradnl"/>
        </w:rPr>
        <w:t>. (</w:t>
      </w:r>
      <w:r w:rsidRPr="0084580C">
        <w:rPr>
          <w:rFonts w:ascii="Arial" w:hAnsi="Arial" w:cs="Arial"/>
          <w:b/>
          <w:sz w:val="20"/>
          <w:szCs w:val="20"/>
          <w:u w:val="single"/>
          <w:lang w:val="es-ES_tradnl"/>
        </w:rPr>
        <w:t>Este punto no deberá exceder media página</w:t>
      </w:r>
      <w:r w:rsidRPr="0084580C">
        <w:rPr>
          <w:rFonts w:ascii="Arial" w:hAnsi="Arial" w:cs="Arial"/>
          <w:b/>
          <w:sz w:val="20"/>
          <w:szCs w:val="20"/>
          <w:lang w:val="es-ES_tradnl"/>
        </w:rPr>
        <w:t>).</w:t>
      </w:r>
    </w:p>
    <w:p w:rsidR="00B6692D" w:rsidRPr="0077710A" w:rsidRDefault="00240E87" w:rsidP="00240E87">
      <w:pPr>
        <w:pStyle w:val="Sangradetextonormal"/>
        <w:autoSpaceDE w:val="0"/>
        <w:autoSpaceDN w:val="0"/>
        <w:adjustRightInd w:val="0"/>
        <w:spacing w:line="360" w:lineRule="auto"/>
        <w:ind w:left="0" w:firstLine="0"/>
        <w:jc w:val="both"/>
        <w:rPr>
          <w:rFonts w:ascii="Arial" w:hAnsi="Arial" w:cs="Arial"/>
          <w:sz w:val="20"/>
          <w:szCs w:val="20"/>
          <w:lang w:val="es-ES_tradnl"/>
        </w:rPr>
      </w:pPr>
      <w:r w:rsidRPr="0084580C">
        <w:rPr>
          <w:rFonts w:ascii="Arial" w:hAnsi="Arial" w:cs="Arial"/>
          <w:sz w:val="20"/>
          <w:szCs w:val="20"/>
          <w:lang w:val="es-ES_tradnl"/>
        </w:rPr>
        <w:t>El artículo 153 de la Constitución Política esta</w:t>
      </w:r>
      <w:r w:rsidRPr="0077710A">
        <w:rPr>
          <w:rFonts w:ascii="Arial" w:hAnsi="Arial" w:cs="Arial"/>
          <w:sz w:val="20"/>
          <w:szCs w:val="20"/>
          <w:lang w:val="es-ES_tradnl"/>
        </w:rPr>
        <w:t>blece</w:t>
      </w:r>
      <w:r w:rsidRPr="0084580C">
        <w:rPr>
          <w:rFonts w:ascii="Arial" w:hAnsi="Arial" w:cs="Arial"/>
          <w:sz w:val="20"/>
          <w:szCs w:val="20"/>
          <w:lang w:val="es-ES_tradnl"/>
        </w:rPr>
        <w:t xml:space="preserve"> que </w:t>
      </w:r>
      <w:r w:rsidRPr="0077710A">
        <w:rPr>
          <w:rFonts w:ascii="Arial" w:hAnsi="Arial" w:cs="Arial"/>
          <w:sz w:val="20"/>
          <w:szCs w:val="20"/>
          <w:lang w:val="es-ES_tradnl"/>
        </w:rPr>
        <w:t>c</w:t>
      </w:r>
      <w:r w:rsidRPr="0084580C">
        <w:rPr>
          <w:rFonts w:ascii="Arial" w:hAnsi="Arial" w:cs="Arial"/>
          <w:sz w:val="20"/>
          <w:szCs w:val="20"/>
          <w:lang w:val="es-ES_tradnl"/>
        </w:rPr>
        <w:t>orresponde al Poder Judicial, conocer de las causas civiles, penales, comerciales, de trabajo y contencioso - administrativas, así como de las otras que establezca la ley, cualquiera que sea su naturaleza y la calidad de las personas que intervengan; resolver definitivamente sobre ellas y ejecutar las resoluciones que pronuncie, con la ayuda de la fuerza pública si fuere necesario.</w:t>
      </w:r>
    </w:p>
    <w:p w:rsidR="00240E87" w:rsidRPr="0084580C" w:rsidRDefault="00240E87" w:rsidP="00240E87">
      <w:pPr>
        <w:pStyle w:val="Sangradetextonormal"/>
        <w:autoSpaceDE w:val="0"/>
        <w:autoSpaceDN w:val="0"/>
        <w:adjustRightInd w:val="0"/>
        <w:spacing w:line="360" w:lineRule="auto"/>
        <w:ind w:left="0" w:firstLine="0"/>
        <w:jc w:val="both"/>
        <w:rPr>
          <w:rFonts w:ascii="Arial" w:hAnsi="Arial" w:cs="Arial"/>
          <w:sz w:val="20"/>
          <w:szCs w:val="20"/>
          <w:lang w:val="es-ES_tradnl"/>
        </w:rPr>
      </w:pPr>
    </w:p>
    <w:p w:rsidR="0084626E" w:rsidRPr="0077710A" w:rsidRDefault="00B6692D" w:rsidP="00240E87">
      <w:pPr>
        <w:pStyle w:val="Sangradetextonormal"/>
        <w:tabs>
          <w:tab w:val="num" w:pos="540"/>
        </w:tabs>
        <w:autoSpaceDE w:val="0"/>
        <w:autoSpaceDN w:val="0"/>
        <w:adjustRightInd w:val="0"/>
        <w:spacing w:line="360" w:lineRule="auto"/>
        <w:ind w:left="0" w:firstLine="0"/>
        <w:jc w:val="both"/>
        <w:rPr>
          <w:rFonts w:ascii="Arial" w:hAnsi="Arial" w:cs="Arial"/>
          <w:sz w:val="20"/>
          <w:szCs w:val="20"/>
          <w:lang w:val="es-ES_tradnl"/>
        </w:rPr>
      </w:pPr>
      <w:r w:rsidRPr="0077710A">
        <w:rPr>
          <w:rFonts w:ascii="Arial" w:hAnsi="Arial" w:cs="Arial"/>
          <w:sz w:val="20"/>
          <w:szCs w:val="20"/>
          <w:lang w:val="es-ES_tradnl"/>
        </w:rPr>
        <w:t xml:space="preserve">La misión del Poder Judicial de Costa Rica es </w:t>
      </w:r>
      <w:r w:rsidR="0084626E" w:rsidRPr="0077710A">
        <w:rPr>
          <w:rFonts w:ascii="Arial" w:hAnsi="Arial" w:cs="Arial"/>
          <w:i/>
          <w:sz w:val="20"/>
          <w:szCs w:val="20"/>
          <w:lang w:val="es-ES_tradnl"/>
        </w:rPr>
        <w:t>“Administrar justicia en forma pronta, cumplida, sin denegaci</w:t>
      </w:r>
      <w:r w:rsidR="0084626E" w:rsidRPr="00375150">
        <w:rPr>
          <w:rFonts w:ascii="Arial" w:hAnsi="Arial" w:cs="Arial"/>
          <w:i/>
          <w:sz w:val="20"/>
          <w:szCs w:val="20"/>
          <w:lang w:val="es-ES_tradnl"/>
        </w:rPr>
        <w:t>ón y en estricta conformidad con el ordenamiento jurídico, que garanticen calidad en la prestación de servicios para las personas usuarias que lo requieran”.</w:t>
      </w:r>
      <w:r w:rsidRPr="0077710A">
        <w:rPr>
          <w:rStyle w:val="Refdenotaalpie"/>
          <w:rFonts w:ascii="Arial" w:hAnsi="Arial" w:cs="Arial"/>
          <w:i/>
          <w:sz w:val="20"/>
          <w:szCs w:val="20"/>
          <w:lang w:val="es-ES_tradnl"/>
        </w:rPr>
        <w:footnoteReference w:id="2"/>
      </w:r>
      <w:r w:rsidR="008963FF" w:rsidRPr="0077710A">
        <w:rPr>
          <w:rFonts w:ascii="Arial" w:hAnsi="Arial" w:cs="Arial"/>
          <w:i/>
          <w:sz w:val="20"/>
          <w:szCs w:val="20"/>
          <w:lang w:val="es-ES_tradnl"/>
        </w:rPr>
        <w:t xml:space="preserve"> </w:t>
      </w:r>
      <w:r w:rsidR="008963FF" w:rsidRPr="0077710A">
        <w:rPr>
          <w:rFonts w:ascii="Arial" w:hAnsi="Arial" w:cs="Arial"/>
          <w:sz w:val="20"/>
          <w:szCs w:val="20"/>
          <w:lang w:val="es-ES_tradnl"/>
        </w:rPr>
        <w:t>Esto</w:t>
      </w:r>
      <w:r w:rsidR="008963FF" w:rsidRPr="0077710A">
        <w:rPr>
          <w:rFonts w:ascii="Arial" w:hAnsi="Arial" w:cs="Arial"/>
          <w:i/>
          <w:sz w:val="20"/>
          <w:szCs w:val="20"/>
          <w:lang w:val="es-ES_tradnl"/>
        </w:rPr>
        <w:t xml:space="preserve"> </w:t>
      </w:r>
      <w:r w:rsidR="009F1AF3" w:rsidRPr="0077710A">
        <w:rPr>
          <w:rFonts w:ascii="Arial" w:hAnsi="Arial" w:cs="Arial"/>
          <w:sz w:val="20"/>
          <w:szCs w:val="20"/>
          <w:lang w:val="es-ES_tradnl"/>
        </w:rPr>
        <w:t>esta fundamentado en el Plan Estratégico del Poder Judicial del periodo 2013-2018.</w:t>
      </w:r>
      <w:r w:rsidR="00064B10">
        <w:rPr>
          <w:rFonts w:ascii="Arial" w:hAnsi="Arial" w:cs="Arial"/>
          <w:sz w:val="20"/>
          <w:szCs w:val="20"/>
          <w:lang w:val="es-ES_tradnl"/>
        </w:rPr>
        <w:t xml:space="preserve"> A su vez, dentro de las acciones estratégicas que ha tenido la institución como base consisten en disminuir el retraso judicial, modernizar la gestión judicial mediante rediseños e innovación de procesos, </w:t>
      </w:r>
      <w:r w:rsidR="00680EFA">
        <w:rPr>
          <w:rFonts w:ascii="Arial" w:hAnsi="Arial" w:cs="Arial"/>
          <w:sz w:val="20"/>
          <w:szCs w:val="20"/>
          <w:lang w:val="es-ES_tradnl"/>
        </w:rPr>
        <w:t>propiciar la participación ciudadana e implementar una cultura de comunicación organizacional, entre otras acciones prioritarias.</w:t>
      </w:r>
    </w:p>
    <w:p w:rsidR="00240E87" w:rsidRPr="00375150" w:rsidRDefault="00240E87" w:rsidP="00240E87">
      <w:pPr>
        <w:pStyle w:val="Sangradetextonormal"/>
        <w:tabs>
          <w:tab w:val="num" w:pos="540"/>
        </w:tabs>
        <w:autoSpaceDE w:val="0"/>
        <w:autoSpaceDN w:val="0"/>
        <w:adjustRightInd w:val="0"/>
        <w:spacing w:line="360" w:lineRule="auto"/>
        <w:ind w:left="0" w:firstLine="0"/>
        <w:jc w:val="both"/>
        <w:rPr>
          <w:rFonts w:ascii="Arial" w:hAnsi="Arial" w:cs="Arial"/>
          <w:sz w:val="20"/>
          <w:szCs w:val="20"/>
          <w:lang w:val="es-ES_tradnl"/>
        </w:rPr>
      </w:pPr>
    </w:p>
    <w:p w:rsidR="0084626E" w:rsidRPr="00375150" w:rsidRDefault="00240E87" w:rsidP="00240E87">
      <w:pPr>
        <w:pStyle w:val="Sangradetextonormal"/>
        <w:tabs>
          <w:tab w:val="num" w:pos="540"/>
        </w:tabs>
        <w:autoSpaceDE w:val="0"/>
        <w:autoSpaceDN w:val="0"/>
        <w:adjustRightInd w:val="0"/>
        <w:spacing w:line="360" w:lineRule="auto"/>
        <w:ind w:left="0" w:firstLine="0"/>
        <w:jc w:val="both"/>
        <w:rPr>
          <w:rFonts w:ascii="Arial" w:hAnsi="Arial" w:cs="Arial"/>
          <w:sz w:val="20"/>
          <w:szCs w:val="20"/>
          <w:lang w:val="es-ES_tradnl"/>
        </w:rPr>
      </w:pPr>
      <w:r w:rsidRPr="00375150">
        <w:rPr>
          <w:rFonts w:ascii="Arial" w:hAnsi="Arial" w:cs="Arial"/>
          <w:sz w:val="20"/>
          <w:szCs w:val="20"/>
          <w:lang w:val="es-ES_tradnl"/>
        </w:rPr>
        <w:t>Con este informe se</w:t>
      </w:r>
      <w:r w:rsidR="009F1AF3" w:rsidRPr="00375150">
        <w:rPr>
          <w:rFonts w:ascii="Arial" w:hAnsi="Arial" w:cs="Arial"/>
          <w:sz w:val="20"/>
          <w:szCs w:val="20"/>
          <w:lang w:val="es-ES_tradnl"/>
        </w:rPr>
        <w:t xml:space="preserve"> </w:t>
      </w:r>
      <w:r w:rsidRPr="00375150">
        <w:rPr>
          <w:rFonts w:ascii="Arial" w:hAnsi="Arial" w:cs="Arial"/>
          <w:sz w:val="20"/>
          <w:szCs w:val="20"/>
          <w:lang w:val="es-ES_tradnl"/>
        </w:rPr>
        <w:t>expone</w:t>
      </w:r>
      <w:r w:rsidR="0084626E" w:rsidRPr="00375150">
        <w:rPr>
          <w:rFonts w:ascii="Arial" w:hAnsi="Arial" w:cs="Arial"/>
          <w:sz w:val="20"/>
          <w:szCs w:val="20"/>
          <w:lang w:val="es-ES_tradnl"/>
        </w:rPr>
        <w:t xml:space="preserve"> la situación de la gestión institucional </w:t>
      </w:r>
      <w:r w:rsidR="009F1AF3" w:rsidRPr="00375150">
        <w:rPr>
          <w:rFonts w:ascii="Arial" w:hAnsi="Arial" w:cs="Arial"/>
          <w:sz w:val="20"/>
          <w:szCs w:val="20"/>
          <w:lang w:val="es-ES_tradnl"/>
        </w:rPr>
        <w:t xml:space="preserve">anual </w:t>
      </w:r>
      <w:r w:rsidR="0084626E" w:rsidRPr="00375150">
        <w:rPr>
          <w:rFonts w:ascii="Arial" w:hAnsi="Arial" w:cs="Arial"/>
          <w:sz w:val="20"/>
          <w:szCs w:val="20"/>
          <w:lang w:val="es-ES_tradnl"/>
        </w:rPr>
        <w:t>del ejercicio económico 201</w:t>
      </w:r>
      <w:r w:rsidR="009F1AF3" w:rsidRPr="00375150">
        <w:rPr>
          <w:rFonts w:ascii="Arial" w:hAnsi="Arial" w:cs="Arial"/>
          <w:sz w:val="20"/>
          <w:szCs w:val="20"/>
          <w:lang w:val="es-ES_tradnl"/>
        </w:rPr>
        <w:t>8</w:t>
      </w:r>
      <w:r w:rsidR="0084626E" w:rsidRPr="00375150">
        <w:rPr>
          <w:rFonts w:ascii="Arial" w:hAnsi="Arial" w:cs="Arial"/>
          <w:sz w:val="20"/>
          <w:szCs w:val="20"/>
          <w:lang w:val="es-ES_tradnl"/>
        </w:rPr>
        <w:t xml:space="preserve"> e identificar desviaciones para el establecimiento de medidas correctivas</w:t>
      </w:r>
      <w:r w:rsidR="009F1AF3" w:rsidRPr="00375150">
        <w:rPr>
          <w:rFonts w:ascii="Arial" w:hAnsi="Arial" w:cs="Arial"/>
          <w:sz w:val="20"/>
          <w:szCs w:val="20"/>
          <w:lang w:val="es-ES_tradnl"/>
        </w:rPr>
        <w:t xml:space="preserve"> y a su vez verificar las mejoras aplicadas pendientes del seguimiento semestral.</w:t>
      </w:r>
    </w:p>
    <w:p w:rsidR="009F1AF3" w:rsidRPr="00375150" w:rsidRDefault="009F1AF3" w:rsidP="009F1AF3">
      <w:pPr>
        <w:pStyle w:val="Sangradetextonormal"/>
        <w:tabs>
          <w:tab w:val="num" w:pos="540"/>
        </w:tabs>
        <w:autoSpaceDE w:val="0"/>
        <w:autoSpaceDN w:val="0"/>
        <w:adjustRightInd w:val="0"/>
        <w:spacing w:line="360" w:lineRule="auto"/>
        <w:ind w:left="0" w:firstLine="0"/>
        <w:jc w:val="both"/>
        <w:rPr>
          <w:rFonts w:ascii="Arial" w:hAnsi="Arial" w:cs="Arial"/>
          <w:sz w:val="20"/>
          <w:szCs w:val="20"/>
          <w:lang w:val="es-ES_tradnl"/>
        </w:rPr>
      </w:pPr>
    </w:p>
    <w:p w:rsidR="00F2368B" w:rsidRPr="00375150" w:rsidRDefault="00F2368B" w:rsidP="00F2368B">
      <w:pPr>
        <w:pStyle w:val="Textoindependiente"/>
        <w:spacing w:after="0" w:line="360" w:lineRule="auto"/>
        <w:jc w:val="both"/>
        <w:outlineLvl w:val="0"/>
        <w:rPr>
          <w:rFonts w:ascii="Arial" w:hAnsi="Arial" w:cs="Arial"/>
          <w:bCs/>
          <w:color w:val="FF0000"/>
        </w:rPr>
      </w:pPr>
    </w:p>
    <w:p w:rsidR="002A213D" w:rsidRPr="0084580C" w:rsidRDefault="00B5070B" w:rsidP="00F2368B">
      <w:pPr>
        <w:pStyle w:val="Ttulo2"/>
        <w:ind w:left="0" w:firstLine="0"/>
        <w:rPr>
          <w:rStyle w:val="Ttulodellibro"/>
          <w:rFonts w:cs="Arial"/>
          <w:b/>
          <w:color w:val="000000" w:themeColor="text1"/>
        </w:rPr>
      </w:pPr>
      <w:bookmarkStart w:id="4" w:name="_Toc531253880"/>
      <w:r w:rsidRPr="00375150">
        <w:rPr>
          <w:rStyle w:val="Ttulodellibro"/>
          <w:rFonts w:cs="Arial"/>
          <w:b/>
          <w:color w:val="000000" w:themeColor="text1"/>
        </w:rPr>
        <w:t xml:space="preserve">APARTADO </w:t>
      </w:r>
      <w:r w:rsidR="0046555B" w:rsidRPr="00375150">
        <w:rPr>
          <w:rStyle w:val="Ttulodellibro"/>
          <w:rFonts w:cs="Arial"/>
          <w:b/>
          <w:color w:val="000000" w:themeColor="text1"/>
        </w:rPr>
        <w:t>GESTIÓN FINANCIERA</w:t>
      </w:r>
      <w:bookmarkEnd w:id="3"/>
      <w:bookmarkEnd w:id="4"/>
    </w:p>
    <w:p w:rsidR="002A213D" w:rsidRPr="00E17887" w:rsidRDefault="002A213D" w:rsidP="00500936">
      <w:pPr>
        <w:pStyle w:val="Ttulo2"/>
        <w:numPr>
          <w:ilvl w:val="0"/>
          <w:numId w:val="0"/>
        </w:numPr>
        <w:jc w:val="left"/>
        <w:rPr>
          <w:rFonts w:ascii="Arial" w:eastAsiaTheme="majorEastAsia" w:hAnsi="Arial" w:cs="Arial"/>
          <w:iCs/>
          <w:smallCaps/>
          <w:color w:val="000000" w:themeColor="text1"/>
          <w:spacing w:val="15"/>
          <w:sz w:val="22"/>
        </w:rPr>
      </w:pPr>
    </w:p>
    <w:p w:rsidR="00F2368B" w:rsidRPr="004A25EE" w:rsidRDefault="00F2368B" w:rsidP="002870C5">
      <w:pPr>
        <w:pStyle w:val="Ttulo2"/>
        <w:numPr>
          <w:ilvl w:val="0"/>
          <w:numId w:val="0"/>
        </w:numPr>
        <w:jc w:val="left"/>
        <w:rPr>
          <w:rFonts w:ascii="Arial" w:eastAsiaTheme="majorEastAsia" w:hAnsi="Arial" w:cs="Arial"/>
          <w:b w:val="0"/>
          <w:iCs/>
          <w:smallCaps/>
          <w:color w:val="000000" w:themeColor="text1"/>
          <w:spacing w:val="15"/>
          <w:sz w:val="22"/>
          <w:lang w:val="es-ES"/>
        </w:rPr>
      </w:pPr>
    </w:p>
    <w:p w:rsidR="008D12D0" w:rsidRPr="0084580C" w:rsidRDefault="002A213D" w:rsidP="00A03DA8">
      <w:pPr>
        <w:pStyle w:val="Ttulo2"/>
        <w:numPr>
          <w:ilvl w:val="0"/>
          <w:numId w:val="0"/>
        </w:numPr>
        <w:jc w:val="both"/>
        <w:rPr>
          <w:rFonts w:ascii="Arial" w:eastAsiaTheme="majorEastAsia" w:hAnsi="Arial" w:cs="Arial"/>
          <w:iCs/>
          <w:smallCaps/>
          <w:color w:val="000000" w:themeColor="text1"/>
          <w:spacing w:val="15"/>
          <w:sz w:val="22"/>
        </w:rPr>
      </w:pPr>
      <w:bookmarkStart w:id="5" w:name="_Toc531253881"/>
      <w:r w:rsidRPr="0084580C">
        <w:rPr>
          <w:rFonts w:ascii="Arial" w:eastAsiaTheme="majorEastAsia" w:hAnsi="Arial" w:cs="Arial"/>
          <w:iCs/>
          <w:smallCaps/>
          <w:color w:val="000000" w:themeColor="text1"/>
          <w:spacing w:val="15"/>
          <w:sz w:val="22"/>
        </w:rPr>
        <w:t>E</w:t>
      </w:r>
      <w:r w:rsidR="006D4908" w:rsidRPr="0084580C">
        <w:rPr>
          <w:rFonts w:ascii="Arial" w:eastAsiaTheme="majorEastAsia" w:hAnsi="Arial" w:cs="Arial"/>
          <w:iCs/>
          <w:smallCaps/>
          <w:color w:val="000000" w:themeColor="text1"/>
          <w:spacing w:val="15"/>
          <w:sz w:val="22"/>
        </w:rPr>
        <w:t>jecución del Presupuesto 2018</w:t>
      </w:r>
      <w:r w:rsidR="00FD1B8A" w:rsidRPr="0084580C">
        <w:rPr>
          <w:rFonts w:ascii="Arial" w:eastAsiaTheme="majorEastAsia" w:hAnsi="Arial" w:cs="Arial"/>
          <w:iCs/>
          <w:smallCaps/>
          <w:color w:val="000000" w:themeColor="text1"/>
          <w:spacing w:val="15"/>
          <w:sz w:val="22"/>
        </w:rPr>
        <w:t xml:space="preserve"> </w:t>
      </w:r>
      <w:r w:rsidR="000A5D8A" w:rsidRPr="0084580C">
        <w:rPr>
          <w:rFonts w:ascii="Arial" w:eastAsiaTheme="majorEastAsia" w:hAnsi="Arial" w:cs="Arial"/>
          <w:iCs/>
          <w:smallCaps/>
          <w:color w:val="000000" w:themeColor="text1"/>
          <w:spacing w:val="15"/>
          <w:sz w:val="22"/>
        </w:rPr>
        <w:t xml:space="preserve">a </w:t>
      </w:r>
      <w:r w:rsidR="00732FE6" w:rsidRPr="0084580C">
        <w:rPr>
          <w:rFonts w:ascii="Arial" w:eastAsiaTheme="majorEastAsia" w:hAnsi="Arial" w:cs="Arial"/>
          <w:iCs/>
          <w:smallCaps/>
          <w:color w:val="000000" w:themeColor="text1"/>
          <w:spacing w:val="15"/>
          <w:sz w:val="22"/>
        </w:rPr>
        <w:t>nivel institucional</w:t>
      </w:r>
      <w:bookmarkStart w:id="6" w:name="OLE_LINK1"/>
      <w:bookmarkStart w:id="7" w:name="OLE_LINK2"/>
      <w:bookmarkStart w:id="8" w:name="OLE_LINK6"/>
      <w:r w:rsidR="00F2368B" w:rsidRPr="0084580C">
        <w:rPr>
          <w:rFonts w:ascii="Arial" w:eastAsiaTheme="majorEastAsia" w:hAnsi="Arial" w:cs="Arial"/>
          <w:iCs/>
          <w:smallCaps/>
          <w:color w:val="000000" w:themeColor="text1"/>
          <w:spacing w:val="15"/>
          <w:sz w:val="22"/>
        </w:rPr>
        <w:t xml:space="preserve"> </w:t>
      </w:r>
      <w:r w:rsidR="00097E64" w:rsidRPr="0084580C">
        <w:rPr>
          <w:rFonts w:ascii="Arial" w:eastAsiaTheme="majorEastAsia" w:hAnsi="Arial" w:cs="Arial"/>
          <w:iCs/>
          <w:smallCaps/>
          <w:color w:val="000000" w:themeColor="text1"/>
          <w:spacing w:val="15"/>
          <w:sz w:val="22"/>
        </w:rPr>
        <w:t>asociado a r</w:t>
      </w:r>
      <w:r w:rsidR="008D12D0" w:rsidRPr="0084580C">
        <w:rPr>
          <w:rFonts w:ascii="Arial" w:eastAsiaTheme="majorEastAsia" w:hAnsi="Arial" w:cs="Arial"/>
          <w:iCs/>
          <w:smallCaps/>
          <w:color w:val="000000" w:themeColor="text1"/>
          <w:spacing w:val="15"/>
          <w:sz w:val="22"/>
        </w:rPr>
        <w:t xml:space="preserve">ecursos </w:t>
      </w:r>
      <w:r w:rsidR="00097E64" w:rsidRPr="0084580C">
        <w:rPr>
          <w:rFonts w:ascii="Arial" w:eastAsiaTheme="majorEastAsia" w:hAnsi="Arial" w:cs="Arial"/>
          <w:iCs/>
          <w:smallCaps/>
          <w:color w:val="000000" w:themeColor="text1"/>
          <w:spacing w:val="15"/>
          <w:sz w:val="22"/>
        </w:rPr>
        <w:t>i</w:t>
      </w:r>
      <w:r w:rsidR="008D12D0" w:rsidRPr="0084580C">
        <w:rPr>
          <w:rFonts w:ascii="Arial" w:eastAsiaTheme="majorEastAsia" w:hAnsi="Arial" w:cs="Arial"/>
          <w:iCs/>
          <w:smallCaps/>
          <w:color w:val="000000" w:themeColor="text1"/>
          <w:spacing w:val="15"/>
          <w:sz w:val="22"/>
        </w:rPr>
        <w:t>nternos</w:t>
      </w:r>
      <w:bookmarkEnd w:id="5"/>
    </w:p>
    <w:p w:rsidR="004065A8" w:rsidRPr="0084580C" w:rsidRDefault="004065A8" w:rsidP="004065A8">
      <w:pPr>
        <w:rPr>
          <w:rFonts w:ascii="Arial" w:hAnsi="Arial" w:cs="Arial"/>
          <w:lang w:val="es-ES_tradnl"/>
        </w:rPr>
      </w:pPr>
    </w:p>
    <w:p w:rsidR="00D5333A" w:rsidRPr="00375150" w:rsidRDefault="00F2368B" w:rsidP="00242891">
      <w:pPr>
        <w:spacing w:line="360" w:lineRule="auto"/>
        <w:jc w:val="both"/>
        <w:rPr>
          <w:rFonts w:ascii="Arial" w:hAnsi="Arial" w:cs="Arial"/>
          <w:sz w:val="20"/>
          <w:szCs w:val="20"/>
          <w:lang w:val="es-ES_tradnl"/>
        </w:rPr>
      </w:pPr>
      <w:r w:rsidRPr="0077710A">
        <w:rPr>
          <w:rFonts w:ascii="Arial" w:hAnsi="Arial" w:cs="Arial"/>
          <w:sz w:val="20"/>
          <w:szCs w:val="20"/>
          <w:lang w:val="es-ES_tradnl"/>
        </w:rPr>
        <w:t xml:space="preserve">Con base en la </w:t>
      </w:r>
      <w:r w:rsidR="0046555B" w:rsidRPr="0077710A">
        <w:rPr>
          <w:rFonts w:ascii="Arial" w:hAnsi="Arial" w:cs="Arial"/>
          <w:sz w:val="20"/>
          <w:szCs w:val="20"/>
          <w:lang w:val="es-ES_tradnl"/>
        </w:rPr>
        <w:t>información</w:t>
      </w:r>
      <w:r w:rsidRPr="0077710A">
        <w:rPr>
          <w:rFonts w:ascii="Arial" w:hAnsi="Arial" w:cs="Arial"/>
          <w:sz w:val="20"/>
          <w:szCs w:val="20"/>
          <w:lang w:val="es-ES_tradnl"/>
        </w:rPr>
        <w:t xml:space="preserve"> de las hojas “Financiero” y “Liquidación” </w:t>
      </w:r>
      <w:r w:rsidR="0046555B" w:rsidRPr="0077710A">
        <w:rPr>
          <w:rFonts w:ascii="Arial" w:hAnsi="Arial" w:cs="Arial"/>
          <w:sz w:val="20"/>
          <w:szCs w:val="20"/>
          <w:lang w:val="es-ES_tradnl"/>
        </w:rPr>
        <w:t>r</w:t>
      </w:r>
      <w:r w:rsidR="00403D11" w:rsidRPr="0077710A">
        <w:rPr>
          <w:rFonts w:ascii="Arial" w:hAnsi="Arial" w:cs="Arial"/>
          <w:sz w:val="20"/>
          <w:szCs w:val="20"/>
          <w:lang w:val="es-ES_tradnl"/>
        </w:rPr>
        <w:t xml:space="preserve">ealice </w:t>
      </w:r>
      <w:r w:rsidR="00D5333A" w:rsidRPr="00375150">
        <w:rPr>
          <w:rFonts w:ascii="Arial" w:hAnsi="Arial" w:cs="Arial"/>
          <w:sz w:val="20"/>
          <w:szCs w:val="20"/>
          <w:lang w:val="es-ES_tradnl"/>
        </w:rPr>
        <w:t>un</w:t>
      </w:r>
      <w:r w:rsidR="009274D4" w:rsidRPr="00375150">
        <w:rPr>
          <w:rFonts w:ascii="Arial" w:hAnsi="Arial" w:cs="Arial"/>
          <w:sz w:val="20"/>
          <w:szCs w:val="20"/>
          <w:lang w:val="es-ES_tradnl"/>
        </w:rPr>
        <w:t xml:space="preserve"> </w:t>
      </w:r>
      <w:r w:rsidR="0095099D" w:rsidRPr="00375150">
        <w:rPr>
          <w:rFonts w:ascii="Arial" w:hAnsi="Arial" w:cs="Arial"/>
          <w:sz w:val="20"/>
          <w:szCs w:val="20"/>
          <w:lang w:val="es-ES_tradnl"/>
        </w:rPr>
        <w:t>análisis</w:t>
      </w:r>
      <w:r w:rsidR="009274D4" w:rsidRPr="00375150">
        <w:rPr>
          <w:rFonts w:ascii="Arial" w:hAnsi="Arial" w:cs="Arial"/>
          <w:sz w:val="20"/>
          <w:szCs w:val="20"/>
          <w:lang w:val="es-ES_tradnl"/>
        </w:rPr>
        <w:t xml:space="preserve"> general sobre el porcentaje de ejecución alcanzado</w:t>
      </w:r>
      <w:r w:rsidR="00E229C8" w:rsidRPr="00375150">
        <w:rPr>
          <w:rFonts w:ascii="Arial" w:hAnsi="Arial" w:cs="Arial"/>
          <w:sz w:val="20"/>
          <w:szCs w:val="20"/>
          <w:lang w:val="es-ES_tradnl"/>
        </w:rPr>
        <w:t xml:space="preserve"> </w:t>
      </w:r>
      <w:r w:rsidRPr="00375150">
        <w:rPr>
          <w:rFonts w:ascii="Arial" w:hAnsi="Arial" w:cs="Arial"/>
          <w:sz w:val="20"/>
          <w:szCs w:val="20"/>
          <w:lang w:val="es-ES_tradnl"/>
        </w:rPr>
        <w:t>para cada</w:t>
      </w:r>
      <w:r w:rsidR="00E229C8" w:rsidRPr="00375150">
        <w:rPr>
          <w:rFonts w:ascii="Arial" w:hAnsi="Arial" w:cs="Arial"/>
          <w:sz w:val="20"/>
          <w:szCs w:val="20"/>
          <w:lang w:val="es-ES_tradnl"/>
        </w:rPr>
        <w:t xml:space="preserve"> una de las partidas</w:t>
      </w:r>
      <w:r w:rsidR="00097E64" w:rsidRPr="00375150">
        <w:rPr>
          <w:rFonts w:ascii="Arial" w:hAnsi="Arial" w:cs="Arial"/>
          <w:sz w:val="20"/>
          <w:szCs w:val="20"/>
          <w:lang w:val="es-ES_tradnl"/>
        </w:rPr>
        <w:t xml:space="preserve">, </w:t>
      </w:r>
      <w:r w:rsidR="00D5333A" w:rsidRPr="00375150">
        <w:rPr>
          <w:rFonts w:ascii="Arial" w:hAnsi="Arial" w:cs="Arial"/>
          <w:sz w:val="20"/>
          <w:szCs w:val="20"/>
          <w:lang w:val="es-ES_tradnl"/>
        </w:rPr>
        <w:t>considerando lo financiado con recursos internos</w:t>
      </w:r>
      <w:r w:rsidRPr="00375150">
        <w:rPr>
          <w:rFonts w:ascii="Arial" w:hAnsi="Arial" w:cs="Arial"/>
          <w:sz w:val="20"/>
          <w:szCs w:val="20"/>
          <w:lang w:val="es-ES_tradnl"/>
        </w:rPr>
        <w:t xml:space="preserve"> (Subtotal)</w:t>
      </w:r>
      <w:r w:rsidR="00D5333A" w:rsidRPr="00375150">
        <w:rPr>
          <w:rFonts w:ascii="Arial" w:hAnsi="Arial" w:cs="Arial"/>
          <w:sz w:val="20"/>
          <w:szCs w:val="20"/>
          <w:lang w:val="es-ES_tradnl"/>
        </w:rPr>
        <w:t>.</w:t>
      </w:r>
      <w:r w:rsidR="00E229C8" w:rsidRPr="00375150">
        <w:rPr>
          <w:rFonts w:ascii="Arial" w:hAnsi="Arial" w:cs="Arial"/>
          <w:sz w:val="20"/>
          <w:szCs w:val="20"/>
          <w:lang w:val="es-ES_tradnl"/>
        </w:rPr>
        <w:t xml:space="preserve"> Para r</w:t>
      </w:r>
      <w:r w:rsidR="0095099D" w:rsidRPr="00375150">
        <w:rPr>
          <w:rFonts w:ascii="Arial" w:hAnsi="Arial" w:cs="Arial"/>
          <w:sz w:val="20"/>
          <w:szCs w:val="20"/>
          <w:lang w:val="es-ES_tradnl"/>
        </w:rPr>
        <w:t xml:space="preserve">ealizar estos comentarios, considere la </w:t>
      </w:r>
      <w:r w:rsidR="0095099D" w:rsidRPr="00375150">
        <w:rPr>
          <w:rFonts w:ascii="Arial" w:hAnsi="Arial" w:cs="Arial"/>
          <w:sz w:val="20"/>
          <w:szCs w:val="20"/>
          <w:lang w:val="es-ES_tradnl"/>
        </w:rPr>
        <w:lastRenderedPageBreak/>
        <w:t>información de la ejecución financiera de los pr</w:t>
      </w:r>
      <w:r w:rsidR="00E229C8" w:rsidRPr="00375150">
        <w:rPr>
          <w:rFonts w:ascii="Arial" w:hAnsi="Arial" w:cs="Arial"/>
          <w:sz w:val="20"/>
          <w:szCs w:val="20"/>
          <w:lang w:val="es-ES_tradnl"/>
        </w:rPr>
        <w:t xml:space="preserve">ogramas y </w:t>
      </w:r>
      <w:r w:rsidR="00CC3134" w:rsidRPr="00375150">
        <w:rPr>
          <w:rFonts w:ascii="Arial" w:hAnsi="Arial" w:cs="Arial"/>
          <w:sz w:val="20"/>
          <w:szCs w:val="20"/>
          <w:lang w:val="es-ES_tradnl"/>
        </w:rPr>
        <w:t>subprogramas</w:t>
      </w:r>
      <w:r w:rsidR="00E229C8" w:rsidRPr="00375150">
        <w:rPr>
          <w:rFonts w:ascii="Arial" w:hAnsi="Arial" w:cs="Arial"/>
          <w:sz w:val="20"/>
          <w:szCs w:val="20"/>
          <w:lang w:val="es-ES_tradnl"/>
        </w:rPr>
        <w:t xml:space="preserve"> con el objetivo de conocer aspectos específicos que incidieron en el resultado final de ejecución.</w:t>
      </w:r>
    </w:p>
    <w:p w:rsidR="00820D0B" w:rsidRPr="00375150" w:rsidRDefault="00820D0B" w:rsidP="00820D0B">
      <w:pPr>
        <w:spacing w:line="360" w:lineRule="auto"/>
        <w:jc w:val="both"/>
        <w:rPr>
          <w:rFonts w:ascii="Arial" w:hAnsi="Arial" w:cs="Arial"/>
          <w:sz w:val="20"/>
          <w:szCs w:val="20"/>
          <w:lang w:val="es-ES_tradnl"/>
        </w:rPr>
      </w:pPr>
    </w:p>
    <w:p w:rsidR="00A0088D" w:rsidRPr="00375150" w:rsidRDefault="00A0088D" w:rsidP="00820D0B">
      <w:pPr>
        <w:spacing w:line="360" w:lineRule="auto"/>
        <w:jc w:val="both"/>
        <w:rPr>
          <w:rFonts w:ascii="Arial" w:hAnsi="Arial" w:cs="Arial"/>
          <w:sz w:val="20"/>
          <w:szCs w:val="20"/>
          <w:lang w:val="es-ES_tradnl"/>
        </w:rPr>
      </w:pPr>
    </w:p>
    <w:p w:rsidR="00B76147" w:rsidRPr="00375150" w:rsidRDefault="00B76147" w:rsidP="00B76147">
      <w:pPr>
        <w:spacing w:line="360" w:lineRule="auto"/>
        <w:jc w:val="both"/>
        <w:rPr>
          <w:rFonts w:ascii="Arial" w:hAnsi="Arial" w:cs="Arial"/>
          <w:sz w:val="20"/>
          <w:szCs w:val="20"/>
          <w:lang w:val="es-ES_tradnl"/>
        </w:rPr>
      </w:pPr>
      <w:r w:rsidRPr="00375150">
        <w:rPr>
          <w:rFonts w:ascii="Arial" w:hAnsi="Arial" w:cs="Arial"/>
          <w:sz w:val="20"/>
          <w:szCs w:val="20"/>
          <w:lang w:val="es-ES_tradnl"/>
        </w:rPr>
        <w:t xml:space="preserve">Vistos los porcentajes de ejecución se determina que para las subpartidas: 0 Remuneraciones, 5 Bienes duraderos, 6 Transferencias corrientes, 7 Transferencias de capital y 9 Cuentas especiales, la ejecución fue óptima, en virtud que el porcentaje alcanzado superó el 90% de ejecución. Respecto a las partidas 1 Servicios y 2 Materiales y suministros, cuyos porcentajes de ejecución fueron inferiores al 90%, es importante aclarar que, dentro de estas subpartidas se encuentran los servicios relacionados con contratos que se cancelan por mes vencido, como por ejemplo los servicios públicos, servicios de limpieza, vigilancia, alquiler de locales para oficinas judiciales, mantenimientos preventivos y correctivos, los cuales tienen fechas específicas para efectuar los diferentes mantenimientos. Estos servicios corresponden a montos significativos y en algunos casos presentan por parte de los proveedores atrasos en la presentación del cobro, por lo que los pagos del último mes pueden hacerse efectivos el período siguiente. </w:t>
      </w:r>
    </w:p>
    <w:p w:rsidR="00B76147" w:rsidRPr="00375150" w:rsidRDefault="00B76147" w:rsidP="00B76147">
      <w:pPr>
        <w:spacing w:line="360" w:lineRule="auto"/>
        <w:jc w:val="both"/>
        <w:rPr>
          <w:rFonts w:ascii="Arial" w:hAnsi="Arial" w:cs="Arial"/>
          <w:sz w:val="20"/>
          <w:szCs w:val="20"/>
          <w:lang w:val="es-ES_tradnl"/>
        </w:rPr>
      </w:pPr>
    </w:p>
    <w:p w:rsidR="00B76147" w:rsidRPr="00375150" w:rsidRDefault="00B76147" w:rsidP="00B76147">
      <w:pPr>
        <w:spacing w:line="360" w:lineRule="auto"/>
        <w:jc w:val="both"/>
        <w:rPr>
          <w:rFonts w:ascii="Arial" w:hAnsi="Arial" w:cs="Arial"/>
          <w:sz w:val="20"/>
          <w:szCs w:val="20"/>
          <w:lang w:val="es-ES_tradnl"/>
        </w:rPr>
      </w:pPr>
      <w:r w:rsidRPr="00375150">
        <w:rPr>
          <w:rFonts w:ascii="Arial" w:hAnsi="Arial" w:cs="Arial"/>
          <w:sz w:val="20"/>
          <w:szCs w:val="20"/>
          <w:lang w:val="es-ES_tradnl"/>
        </w:rPr>
        <w:t>Además para este período se presentan saldos en contratos según demanda, cuyo gasto real fue menor al proyectado, dentro de los que se puede citar compra de tóner y tintas de impresora, compra de llantas y baterías para vehículos livianos y motocicletas, compra de guantes descartables, productos de papel, tales como formularios, papel para impresión, papel industrial, papel higiénico y toallas, compra de uniformes, productos de limpieza, contrato según demanda para compra de cables UTP, contrato según demanda para compra de bolsas para cadáveres, entre otros, por la imprevisibilidad de los gastos según demanda, se mostraron remanentes en esta partida.</w:t>
      </w:r>
    </w:p>
    <w:p w:rsidR="00B76147" w:rsidRPr="00375150" w:rsidRDefault="00B76147" w:rsidP="00B76147">
      <w:pPr>
        <w:spacing w:line="360" w:lineRule="auto"/>
        <w:jc w:val="both"/>
        <w:rPr>
          <w:rFonts w:ascii="Arial" w:hAnsi="Arial" w:cs="Arial"/>
          <w:sz w:val="20"/>
          <w:szCs w:val="20"/>
          <w:lang w:val="es-ES_tradnl"/>
        </w:rPr>
      </w:pPr>
    </w:p>
    <w:p w:rsidR="00B76147" w:rsidRPr="00375150" w:rsidRDefault="00B76147" w:rsidP="00B76147">
      <w:pPr>
        <w:spacing w:line="360" w:lineRule="auto"/>
        <w:jc w:val="both"/>
        <w:rPr>
          <w:rFonts w:ascii="Arial" w:hAnsi="Arial" w:cs="Arial"/>
          <w:sz w:val="20"/>
          <w:szCs w:val="20"/>
          <w:lang w:val="es-ES_tradnl"/>
        </w:rPr>
      </w:pPr>
      <w:r w:rsidRPr="00375150">
        <w:rPr>
          <w:rFonts w:ascii="Arial" w:hAnsi="Arial" w:cs="Arial"/>
          <w:sz w:val="20"/>
          <w:szCs w:val="20"/>
          <w:lang w:val="es-ES_tradnl"/>
        </w:rPr>
        <w:t xml:space="preserve">Adicionalmente, dentro de las afectaciones en los porcentajes de ejecución de estas partidas, se encuentran </w:t>
      </w:r>
      <w:r w:rsidR="00240E87" w:rsidRPr="00375150">
        <w:rPr>
          <w:rFonts w:ascii="Arial" w:hAnsi="Arial" w:cs="Arial"/>
          <w:sz w:val="20"/>
          <w:szCs w:val="20"/>
          <w:lang w:val="es-ES_tradnl"/>
        </w:rPr>
        <w:t>que,</w:t>
      </w:r>
      <w:r w:rsidRPr="00375150">
        <w:rPr>
          <w:rFonts w:ascii="Arial" w:hAnsi="Arial" w:cs="Arial"/>
          <w:sz w:val="20"/>
          <w:szCs w:val="20"/>
          <w:lang w:val="es-ES_tradnl"/>
        </w:rPr>
        <w:t xml:space="preserve"> pese a que se procuró el traslado de recursos y sobrantes para atender otras necesidades institucionales, los movimientos que se habían incorporado en las modificaciones externas No. 05 y 06-2018 no fueron autorizados por el Ministerio de Hacienda.</w:t>
      </w:r>
    </w:p>
    <w:p w:rsidR="00B76147" w:rsidRPr="00375150" w:rsidRDefault="00B76147" w:rsidP="00B76147">
      <w:pPr>
        <w:spacing w:line="360" w:lineRule="auto"/>
        <w:jc w:val="both"/>
        <w:rPr>
          <w:rFonts w:ascii="Arial" w:hAnsi="Arial" w:cs="Arial"/>
          <w:sz w:val="20"/>
          <w:szCs w:val="20"/>
          <w:lang w:val="es-ES_tradnl"/>
        </w:rPr>
      </w:pPr>
    </w:p>
    <w:p w:rsidR="00B76147" w:rsidRPr="00375150" w:rsidRDefault="00B76147" w:rsidP="00B76147">
      <w:pPr>
        <w:spacing w:line="360" w:lineRule="auto"/>
        <w:jc w:val="both"/>
        <w:rPr>
          <w:rFonts w:ascii="Arial" w:hAnsi="Arial" w:cs="Arial"/>
          <w:sz w:val="20"/>
          <w:szCs w:val="20"/>
          <w:lang w:val="es-ES_tradnl"/>
        </w:rPr>
      </w:pPr>
      <w:r w:rsidRPr="00375150">
        <w:rPr>
          <w:rFonts w:ascii="Arial" w:hAnsi="Arial" w:cs="Arial"/>
          <w:sz w:val="20"/>
          <w:szCs w:val="20"/>
          <w:lang w:val="es-ES_tradnl"/>
        </w:rPr>
        <w:t>Del análisis realizado a la liquidación presupuestaria se indica:</w:t>
      </w:r>
    </w:p>
    <w:p w:rsidR="00B76147" w:rsidRPr="00375150" w:rsidRDefault="00B76147" w:rsidP="00B76147">
      <w:pPr>
        <w:pStyle w:val="Prrafodelista"/>
        <w:numPr>
          <w:ilvl w:val="0"/>
          <w:numId w:val="18"/>
        </w:numPr>
        <w:spacing w:line="360" w:lineRule="auto"/>
        <w:jc w:val="both"/>
        <w:rPr>
          <w:rFonts w:ascii="Arial" w:hAnsi="Arial" w:cs="Arial"/>
          <w:sz w:val="20"/>
          <w:szCs w:val="20"/>
          <w:lang w:val="es-ES_tradnl"/>
        </w:rPr>
      </w:pPr>
      <w:r w:rsidRPr="00375150">
        <w:rPr>
          <w:rFonts w:ascii="Arial" w:hAnsi="Arial" w:cs="Arial"/>
          <w:sz w:val="20"/>
          <w:szCs w:val="20"/>
          <w:lang w:val="es-ES_tradnl"/>
        </w:rPr>
        <w:t>La fórmula de la columna de presupuesto inicial no comprende la primera línea, por lo que la misma debe ser corregida para integrar el monto contenido.</w:t>
      </w:r>
    </w:p>
    <w:p w:rsidR="00B76147" w:rsidRPr="00375150" w:rsidRDefault="00B76147" w:rsidP="00B76147">
      <w:pPr>
        <w:pStyle w:val="Prrafodelista"/>
        <w:numPr>
          <w:ilvl w:val="0"/>
          <w:numId w:val="18"/>
        </w:numPr>
        <w:spacing w:line="360" w:lineRule="auto"/>
        <w:jc w:val="both"/>
        <w:rPr>
          <w:rFonts w:ascii="Arial" w:hAnsi="Arial" w:cs="Arial"/>
          <w:sz w:val="20"/>
          <w:szCs w:val="20"/>
          <w:lang w:val="es-ES_tradnl"/>
        </w:rPr>
      </w:pPr>
      <w:r w:rsidRPr="00375150">
        <w:rPr>
          <w:rFonts w:ascii="Arial" w:hAnsi="Arial" w:cs="Arial"/>
          <w:sz w:val="20"/>
          <w:szCs w:val="20"/>
          <w:lang w:val="es-ES_tradnl"/>
        </w:rPr>
        <w:t xml:space="preserve">El resultado del pagado difiere respecto a la liquidación presupuestaria al 31 de diciembre de 2018, por los Acuerdos de pago devengados y registrados en el módulo de poderes al 28 de diciembre 2018, cuyo pago se efectuará en el año 2019, </w:t>
      </w:r>
      <w:r w:rsidRPr="00375150">
        <w:rPr>
          <w:rFonts w:ascii="Arial" w:hAnsi="Arial" w:cs="Arial"/>
          <w:sz w:val="20"/>
          <w:szCs w:val="20"/>
          <w:lang w:val="es-ES_tradnl"/>
        </w:rPr>
        <w:lastRenderedPageBreak/>
        <w:t>comunicado a la Contabilidad Nacional de ese Ministerio mediante oficio Nº 1881-TE-2018.</w:t>
      </w:r>
    </w:p>
    <w:p w:rsidR="00F06269" w:rsidRPr="00375150" w:rsidRDefault="00F06269" w:rsidP="00F06269">
      <w:pPr>
        <w:spacing w:line="360" w:lineRule="auto"/>
        <w:jc w:val="both"/>
        <w:rPr>
          <w:rFonts w:ascii="Arial" w:hAnsi="Arial" w:cs="Arial"/>
          <w:sz w:val="20"/>
          <w:szCs w:val="20"/>
          <w:lang w:val="es-ES_tradnl"/>
        </w:rPr>
      </w:pPr>
    </w:p>
    <w:p w:rsidR="00F06269" w:rsidRPr="00375150" w:rsidRDefault="00F06269" w:rsidP="00F06269">
      <w:pPr>
        <w:spacing w:line="360" w:lineRule="auto"/>
        <w:jc w:val="both"/>
        <w:rPr>
          <w:rFonts w:ascii="Arial" w:hAnsi="Arial" w:cs="Arial"/>
          <w:sz w:val="20"/>
          <w:szCs w:val="20"/>
          <w:lang w:val="es-ES_tradnl"/>
        </w:rPr>
      </w:pPr>
    </w:p>
    <w:p w:rsidR="00F06269" w:rsidRPr="00375150" w:rsidRDefault="00F06269" w:rsidP="00F06269">
      <w:pPr>
        <w:spacing w:line="360" w:lineRule="auto"/>
        <w:jc w:val="both"/>
        <w:rPr>
          <w:rFonts w:ascii="Arial" w:hAnsi="Arial" w:cs="Arial"/>
          <w:sz w:val="20"/>
          <w:szCs w:val="20"/>
          <w:lang w:val="es-ES_tradnl"/>
        </w:rPr>
      </w:pPr>
    </w:p>
    <w:p w:rsidR="00B76147" w:rsidRPr="0084580C" w:rsidRDefault="00B76147" w:rsidP="00B76147">
      <w:pPr>
        <w:spacing w:line="360" w:lineRule="auto"/>
        <w:jc w:val="both"/>
        <w:rPr>
          <w:rFonts w:ascii="Arial" w:hAnsi="Arial" w:cs="Arial"/>
          <w:b/>
          <w:sz w:val="20"/>
          <w:szCs w:val="20"/>
          <w:lang w:val="es-ES_tradnl"/>
        </w:rPr>
      </w:pPr>
      <w:r w:rsidRPr="0084580C">
        <w:rPr>
          <w:rFonts w:ascii="Arial" w:hAnsi="Arial" w:cs="Arial"/>
          <w:b/>
          <w:sz w:val="20"/>
          <w:szCs w:val="20"/>
          <w:lang w:val="es-ES_tradnl"/>
        </w:rPr>
        <w:t xml:space="preserve">Refiérase a las modificaciones presupuestarias tramitadas durante el año, señalando la cantidad realizada (distinguir entre programados y no programados), los montos de cada una, las necesidades institucionales que justificaron cada una de las modificaciones </w:t>
      </w:r>
      <w:r w:rsidRPr="0077710A">
        <w:rPr>
          <w:rFonts w:ascii="Arial" w:hAnsi="Arial" w:cs="Arial"/>
          <w:b/>
          <w:sz w:val="20"/>
          <w:szCs w:val="20"/>
          <w:u w:val="single"/>
          <w:lang w:val="es-ES_tradnl"/>
        </w:rPr>
        <w:t>a nivel general</w:t>
      </w:r>
      <w:r w:rsidRPr="0084580C">
        <w:rPr>
          <w:rFonts w:ascii="Arial" w:hAnsi="Arial" w:cs="Arial"/>
          <w:b/>
          <w:sz w:val="20"/>
          <w:szCs w:val="20"/>
          <w:lang w:val="es-ES_tradnl"/>
        </w:rPr>
        <w:t xml:space="preserve">, (no realizar el análisis en detalle por partida y/o subpartida). </w:t>
      </w:r>
    </w:p>
    <w:p w:rsidR="00B76147" w:rsidRPr="0077710A" w:rsidRDefault="00B76147" w:rsidP="00B76147">
      <w:pPr>
        <w:spacing w:line="360" w:lineRule="auto"/>
        <w:rPr>
          <w:rFonts w:ascii="Arial" w:hAnsi="Arial" w:cs="Arial"/>
          <w:sz w:val="20"/>
          <w:szCs w:val="20"/>
          <w:lang w:val="es-ES_tradnl"/>
        </w:rPr>
      </w:pPr>
    </w:p>
    <w:p w:rsidR="00B76147" w:rsidRPr="00375150" w:rsidRDefault="00B76147" w:rsidP="00B76147">
      <w:pPr>
        <w:spacing w:line="360" w:lineRule="auto"/>
        <w:jc w:val="both"/>
        <w:rPr>
          <w:rFonts w:ascii="Arial" w:hAnsi="Arial" w:cs="Arial"/>
          <w:sz w:val="20"/>
          <w:szCs w:val="20"/>
          <w:lang w:val="es-ES_tradnl"/>
        </w:rPr>
      </w:pPr>
      <w:r w:rsidRPr="00375150">
        <w:rPr>
          <w:rFonts w:ascii="Arial" w:hAnsi="Arial" w:cs="Arial"/>
          <w:sz w:val="20"/>
          <w:szCs w:val="20"/>
          <w:lang w:val="es-ES_tradnl"/>
        </w:rPr>
        <w:t>Durante el período presupuestario 2018 se realizaron seis modificaciones externas, que son las autorizadas por el Ministerio de Hacienda, sin embargo, en dos de éstas fueron rechazadas por ese Ministerio varios de los movimientos incorporados:</w:t>
      </w:r>
    </w:p>
    <w:p w:rsidR="00B76147" w:rsidRPr="00375150" w:rsidRDefault="00B76147" w:rsidP="00B76147">
      <w:pPr>
        <w:spacing w:line="360" w:lineRule="auto"/>
        <w:jc w:val="both"/>
        <w:rPr>
          <w:rFonts w:ascii="Arial" w:hAnsi="Arial" w:cs="Arial"/>
          <w:sz w:val="20"/>
          <w:szCs w:val="20"/>
          <w:lang w:val="es-ES_tradnl"/>
        </w:rPr>
      </w:pPr>
    </w:p>
    <w:p w:rsidR="00B76147" w:rsidRPr="00375150" w:rsidRDefault="00B76147" w:rsidP="00B76147">
      <w:pPr>
        <w:pStyle w:val="Prrafodelista"/>
        <w:numPr>
          <w:ilvl w:val="0"/>
          <w:numId w:val="17"/>
        </w:numPr>
        <w:spacing w:line="360" w:lineRule="auto"/>
        <w:jc w:val="both"/>
        <w:rPr>
          <w:rFonts w:ascii="Arial" w:hAnsi="Arial" w:cs="Arial"/>
          <w:sz w:val="20"/>
          <w:szCs w:val="20"/>
          <w:lang w:val="es-ES_tradnl"/>
        </w:rPr>
      </w:pPr>
      <w:r w:rsidRPr="00375150">
        <w:rPr>
          <w:rFonts w:ascii="Arial" w:hAnsi="Arial" w:cs="Arial"/>
          <w:sz w:val="20"/>
          <w:szCs w:val="20"/>
          <w:lang w:val="es-ES_tradnl"/>
        </w:rPr>
        <w:t>Modificación No.1-2018 por la suma de ¢500.000.000,00 para atender el salario escolar.</w:t>
      </w:r>
    </w:p>
    <w:p w:rsidR="00B76147" w:rsidRPr="00375150" w:rsidRDefault="00B76147" w:rsidP="00B76147">
      <w:pPr>
        <w:pStyle w:val="Prrafodelista"/>
        <w:spacing w:line="360" w:lineRule="auto"/>
        <w:ind w:left="720"/>
        <w:jc w:val="both"/>
        <w:rPr>
          <w:rFonts w:ascii="Arial" w:hAnsi="Arial" w:cs="Arial"/>
          <w:sz w:val="20"/>
          <w:szCs w:val="20"/>
          <w:lang w:val="es-ES_tradnl"/>
        </w:rPr>
      </w:pPr>
    </w:p>
    <w:p w:rsidR="00B76147" w:rsidRPr="00375150" w:rsidRDefault="00B76147" w:rsidP="00B76147">
      <w:pPr>
        <w:pStyle w:val="Prrafodelista"/>
        <w:numPr>
          <w:ilvl w:val="0"/>
          <w:numId w:val="17"/>
        </w:numPr>
        <w:spacing w:line="360" w:lineRule="auto"/>
        <w:jc w:val="both"/>
        <w:rPr>
          <w:rFonts w:ascii="Arial" w:hAnsi="Arial" w:cs="Arial"/>
          <w:sz w:val="20"/>
          <w:szCs w:val="20"/>
          <w:lang w:val="es-ES_tradnl"/>
        </w:rPr>
      </w:pPr>
      <w:r w:rsidRPr="00375150">
        <w:rPr>
          <w:rFonts w:ascii="Arial" w:hAnsi="Arial" w:cs="Arial"/>
          <w:sz w:val="20"/>
          <w:szCs w:val="20"/>
          <w:lang w:val="es-ES_tradnl"/>
        </w:rPr>
        <w:t>Modificación No.2-2018 por la suma de ¢989.145.397,52 para cubrir los compromisos no devengados.</w:t>
      </w:r>
    </w:p>
    <w:p w:rsidR="00B76147" w:rsidRPr="00375150" w:rsidRDefault="00B76147" w:rsidP="00B76147">
      <w:pPr>
        <w:spacing w:line="360" w:lineRule="auto"/>
        <w:jc w:val="both"/>
        <w:rPr>
          <w:rFonts w:ascii="Arial" w:hAnsi="Arial" w:cs="Arial"/>
          <w:sz w:val="20"/>
          <w:szCs w:val="20"/>
          <w:lang w:val="es-ES_tradnl"/>
        </w:rPr>
      </w:pPr>
    </w:p>
    <w:p w:rsidR="00B76147" w:rsidRPr="00375150" w:rsidRDefault="00B76147" w:rsidP="00B76147">
      <w:pPr>
        <w:pStyle w:val="Prrafodelista"/>
        <w:numPr>
          <w:ilvl w:val="0"/>
          <w:numId w:val="17"/>
        </w:numPr>
        <w:spacing w:line="360" w:lineRule="auto"/>
        <w:jc w:val="both"/>
        <w:rPr>
          <w:rFonts w:ascii="Arial" w:hAnsi="Arial" w:cs="Arial"/>
          <w:sz w:val="20"/>
          <w:szCs w:val="20"/>
          <w:lang w:val="es-ES_tradnl"/>
        </w:rPr>
      </w:pPr>
      <w:r w:rsidRPr="00375150">
        <w:rPr>
          <w:rFonts w:ascii="Arial" w:hAnsi="Arial" w:cs="Arial"/>
          <w:sz w:val="20"/>
          <w:szCs w:val="20"/>
          <w:lang w:val="es-ES_tradnl"/>
        </w:rPr>
        <w:t>Modificación No.3-2018 por la suma de ¢2.890.333.495,00 para cubrir principalmente remodelaciones de edificios y acondicionamientos eléctricos de edificios en diferentes circuitos judiciales del país.</w:t>
      </w:r>
    </w:p>
    <w:p w:rsidR="00B76147" w:rsidRPr="00375150" w:rsidRDefault="00B76147" w:rsidP="00B76147">
      <w:pPr>
        <w:spacing w:line="360" w:lineRule="auto"/>
        <w:jc w:val="both"/>
        <w:rPr>
          <w:rFonts w:ascii="Arial" w:hAnsi="Arial" w:cs="Arial"/>
          <w:sz w:val="20"/>
          <w:szCs w:val="20"/>
          <w:lang w:val="es-ES_tradnl"/>
        </w:rPr>
      </w:pPr>
    </w:p>
    <w:p w:rsidR="00B76147" w:rsidRPr="00375150" w:rsidRDefault="00B76147" w:rsidP="00B76147">
      <w:pPr>
        <w:pStyle w:val="Prrafodelista"/>
        <w:numPr>
          <w:ilvl w:val="0"/>
          <w:numId w:val="17"/>
        </w:numPr>
        <w:spacing w:line="360" w:lineRule="auto"/>
        <w:jc w:val="both"/>
        <w:rPr>
          <w:rFonts w:ascii="Arial" w:hAnsi="Arial" w:cs="Arial"/>
          <w:sz w:val="20"/>
          <w:szCs w:val="20"/>
          <w:lang w:val="es-ES_tradnl"/>
        </w:rPr>
      </w:pPr>
      <w:r w:rsidRPr="00375150">
        <w:rPr>
          <w:rFonts w:ascii="Arial" w:hAnsi="Arial" w:cs="Arial"/>
          <w:sz w:val="20"/>
          <w:szCs w:val="20"/>
          <w:lang w:val="es-ES_tradnl"/>
        </w:rPr>
        <w:t>Modificación No.4-2018 por la suma de ¢4.133.319.550,00 para reforzar dentro de los rubros más importantes las subpartidas de mobiliario y equipo de oficina, seguros, construcción de edificios y servicios de pintura de edificios.</w:t>
      </w:r>
    </w:p>
    <w:p w:rsidR="00B76147" w:rsidRPr="00375150" w:rsidRDefault="00B76147" w:rsidP="00B76147">
      <w:pPr>
        <w:spacing w:line="360" w:lineRule="auto"/>
        <w:jc w:val="both"/>
        <w:rPr>
          <w:rFonts w:ascii="Arial" w:hAnsi="Arial" w:cs="Arial"/>
          <w:sz w:val="20"/>
          <w:szCs w:val="20"/>
          <w:lang w:val="es-ES_tradnl"/>
        </w:rPr>
      </w:pPr>
    </w:p>
    <w:p w:rsidR="00B76147" w:rsidRPr="00375150" w:rsidRDefault="00B76147" w:rsidP="00B76147">
      <w:pPr>
        <w:pStyle w:val="Prrafodelista"/>
        <w:numPr>
          <w:ilvl w:val="0"/>
          <w:numId w:val="17"/>
        </w:numPr>
        <w:spacing w:line="360" w:lineRule="auto"/>
        <w:jc w:val="both"/>
        <w:rPr>
          <w:rFonts w:ascii="Arial" w:hAnsi="Arial" w:cs="Arial"/>
          <w:sz w:val="20"/>
          <w:szCs w:val="20"/>
          <w:lang w:val="es-ES_tradnl"/>
        </w:rPr>
      </w:pPr>
      <w:r w:rsidRPr="00375150">
        <w:rPr>
          <w:rFonts w:ascii="Arial" w:hAnsi="Arial" w:cs="Arial"/>
          <w:sz w:val="20"/>
          <w:szCs w:val="20"/>
          <w:lang w:val="es-ES_tradnl"/>
        </w:rPr>
        <w:t>Modificación No.5-2018 por la suma de ¢4.141.368.764,00 de los cuales el Ministerio de Hacienda no autorizó movimientos por la suma de ¢1.150.000.000,00 y el fin primordial era atender el ajuste en la cuota patronal del Fondo de Pensiones y Jubilaciones del Poder Judicial.</w:t>
      </w:r>
    </w:p>
    <w:p w:rsidR="00B76147" w:rsidRPr="00375150" w:rsidRDefault="00B76147" w:rsidP="00B76147">
      <w:pPr>
        <w:jc w:val="both"/>
        <w:rPr>
          <w:rFonts w:ascii="Arial" w:hAnsi="Arial" w:cs="Arial"/>
          <w:color w:val="0070C0"/>
          <w:sz w:val="20"/>
          <w:szCs w:val="20"/>
          <w:lang w:val="es-ES_tradnl"/>
        </w:rPr>
      </w:pPr>
    </w:p>
    <w:p w:rsidR="00B76147" w:rsidRPr="00375150" w:rsidRDefault="00B76147" w:rsidP="00B76147">
      <w:pPr>
        <w:pStyle w:val="Prrafodelista"/>
        <w:numPr>
          <w:ilvl w:val="0"/>
          <w:numId w:val="17"/>
        </w:numPr>
        <w:spacing w:line="360" w:lineRule="auto"/>
        <w:ind w:left="714" w:hanging="357"/>
        <w:jc w:val="both"/>
        <w:rPr>
          <w:rFonts w:ascii="Arial" w:hAnsi="Arial" w:cs="Arial"/>
          <w:sz w:val="20"/>
          <w:szCs w:val="20"/>
          <w:lang w:val="es-ES_tradnl"/>
        </w:rPr>
      </w:pPr>
      <w:r w:rsidRPr="00375150">
        <w:rPr>
          <w:rFonts w:ascii="Arial" w:hAnsi="Arial" w:cs="Arial"/>
          <w:sz w:val="20"/>
          <w:szCs w:val="20"/>
          <w:lang w:val="es-ES_tradnl"/>
        </w:rPr>
        <w:t xml:space="preserve">Modificación No.6-2018 por la suma de ¢8.018.697.828,00 de los cuales el Ministerio de Hacienda no autorizó movimientos por la suma de ¢5.202.130.296,00 y cuyo fin primordial era trasladar recursos al Fondo de Fideicomiso Inmobiliario, al Fondo de </w:t>
      </w:r>
      <w:r w:rsidRPr="00375150">
        <w:rPr>
          <w:rFonts w:ascii="Arial" w:hAnsi="Arial" w:cs="Arial"/>
          <w:sz w:val="20"/>
          <w:szCs w:val="20"/>
          <w:lang w:val="es-ES_tradnl"/>
        </w:rPr>
        <w:lastRenderedPageBreak/>
        <w:t>Emergencias y al ajuste de la cuota patronal del Fondo de Pensiones y Jubilaciones del Poder Judicial.</w:t>
      </w:r>
    </w:p>
    <w:p w:rsidR="00A0088D" w:rsidRPr="00375150" w:rsidRDefault="00A0088D" w:rsidP="00820D0B">
      <w:pPr>
        <w:spacing w:line="360" w:lineRule="auto"/>
        <w:jc w:val="both"/>
        <w:rPr>
          <w:rFonts w:ascii="Arial" w:hAnsi="Arial" w:cs="Arial"/>
          <w:sz w:val="20"/>
          <w:szCs w:val="20"/>
          <w:lang w:val="es-ES_tradnl"/>
        </w:rPr>
      </w:pPr>
    </w:p>
    <w:p w:rsidR="00F06269" w:rsidRPr="00375150" w:rsidRDefault="00F06269" w:rsidP="00820D0B">
      <w:pPr>
        <w:spacing w:line="360" w:lineRule="auto"/>
        <w:jc w:val="both"/>
        <w:rPr>
          <w:rFonts w:ascii="Arial" w:hAnsi="Arial" w:cs="Arial"/>
          <w:sz w:val="20"/>
          <w:szCs w:val="20"/>
          <w:lang w:val="es-ES_tradnl"/>
        </w:rPr>
      </w:pPr>
    </w:p>
    <w:p w:rsidR="00F06269" w:rsidRPr="00375150" w:rsidRDefault="00F06269" w:rsidP="00820D0B">
      <w:pPr>
        <w:spacing w:line="360" w:lineRule="auto"/>
        <w:jc w:val="both"/>
        <w:rPr>
          <w:rFonts w:ascii="Arial" w:hAnsi="Arial" w:cs="Arial"/>
          <w:sz w:val="20"/>
          <w:szCs w:val="20"/>
          <w:lang w:val="es-ES_tradnl"/>
        </w:rPr>
      </w:pPr>
    </w:p>
    <w:p w:rsidR="00821503" w:rsidRPr="00375150" w:rsidRDefault="00821503" w:rsidP="00075112">
      <w:pPr>
        <w:rPr>
          <w:rFonts w:ascii="Arial" w:hAnsi="Arial" w:cs="Arial"/>
          <w:b/>
          <w:bCs/>
          <w:sz w:val="20"/>
          <w:szCs w:val="20"/>
          <w:u w:val="single"/>
          <w:lang w:val="es-MX"/>
        </w:rPr>
      </w:pPr>
    </w:p>
    <w:p w:rsidR="008D12D0" w:rsidRPr="004A25EE" w:rsidRDefault="008D12D0" w:rsidP="00A03DA8">
      <w:pPr>
        <w:pStyle w:val="Ttulo2"/>
        <w:numPr>
          <w:ilvl w:val="0"/>
          <w:numId w:val="0"/>
        </w:numPr>
        <w:jc w:val="both"/>
        <w:rPr>
          <w:rFonts w:ascii="Arial" w:eastAsiaTheme="majorEastAsia" w:hAnsi="Arial" w:cs="Arial"/>
          <w:iCs/>
          <w:smallCaps/>
          <w:color w:val="000000" w:themeColor="text1"/>
          <w:spacing w:val="15"/>
          <w:sz w:val="22"/>
        </w:rPr>
      </w:pPr>
      <w:bookmarkStart w:id="9" w:name="_Toc531253882"/>
      <w:r w:rsidRPr="00E17887">
        <w:rPr>
          <w:rFonts w:ascii="Arial" w:eastAsiaTheme="majorEastAsia" w:hAnsi="Arial" w:cs="Arial"/>
          <w:iCs/>
          <w:smallCaps/>
          <w:color w:val="000000" w:themeColor="text1"/>
          <w:spacing w:val="15"/>
          <w:sz w:val="22"/>
        </w:rPr>
        <w:t>Factore</w:t>
      </w:r>
      <w:r w:rsidR="00732FE6" w:rsidRPr="00E17887">
        <w:rPr>
          <w:rFonts w:ascii="Arial" w:eastAsiaTheme="majorEastAsia" w:hAnsi="Arial" w:cs="Arial"/>
          <w:iCs/>
          <w:smallCaps/>
          <w:color w:val="000000" w:themeColor="text1"/>
          <w:spacing w:val="15"/>
          <w:sz w:val="22"/>
        </w:rPr>
        <w:t>s y acciones correctivas de la ejecución f</w:t>
      </w:r>
      <w:r w:rsidRPr="00054BA6">
        <w:rPr>
          <w:rFonts w:ascii="Arial" w:eastAsiaTheme="majorEastAsia" w:hAnsi="Arial" w:cs="Arial"/>
          <w:iCs/>
          <w:smallCaps/>
          <w:color w:val="000000" w:themeColor="text1"/>
          <w:spacing w:val="15"/>
          <w:sz w:val="22"/>
        </w:rPr>
        <w:t>inanciera</w:t>
      </w:r>
      <w:r w:rsidR="0090763A" w:rsidRPr="00054BA6">
        <w:rPr>
          <w:rFonts w:ascii="Arial" w:eastAsiaTheme="majorEastAsia" w:hAnsi="Arial" w:cs="Arial"/>
          <w:iCs/>
          <w:smallCaps/>
          <w:color w:val="000000" w:themeColor="text1"/>
          <w:spacing w:val="15"/>
          <w:sz w:val="22"/>
        </w:rPr>
        <w:t xml:space="preserve"> </w:t>
      </w:r>
      <w:r w:rsidR="00732FE6" w:rsidRPr="00054BA6">
        <w:rPr>
          <w:rFonts w:ascii="Arial" w:eastAsiaTheme="majorEastAsia" w:hAnsi="Arial" w:cs="Arial"/>
          <w:iCs/>
          <w:smallCaps/>
          <w:color w:val="000000" w:themeColor="text1"/>
          <w:spacing w:val="15"/>
          <w:sz w:val="22"/>
        </w:rPr>
        <w:t xml:space="preserve"> (debe presentarse a nivel de programa y/o subprograma)</w:t>
      </w:r>
      <w:bookmarkEnd w:id="9"/>
    </w:p>
    <w:p w:rsidR="003D7DEA" w:rsidRPr="00375150" w:rsidRDefault="003D7DEA" w:rsidP="00075112">
      <w:pPr>
        <w:rPr>
          <w:rFonts w:ascii="Arial" w:hAnsi="Arial" w:cs="Arial"/>
          <w:b/>
          <w:bCs/>
          <w:sz w:val="20"/>
          <w:szCs w:val="20"/>
          <w:u w:val="single"/>
        </w:rPr>
      </w:pPr>
    </w:p>
    <w:p w:rsidR="00AA140F" w:rsidRPr="0084580C" w:rsidRDefault="0001381B" w:rsidP="0001381B">
      <w:pPr>
        <w:spacing w:after="120" w:line="360" w:lineRule="auto"/>
        <w:jc w:val="both"/>
        <w:rPr>
          <w:rFonts w:ascii="Arial" w:hAnsi="Arial" w:cs="Arial"/>
          <w:b/>
          <w:bCs/>
          <w:color w:val="0070C0"/>
          <w:sz w:val="20"/>
          <w:szCs w:val="20"/>
        </w:rPr>
      </w:pPr>
      <w:r w:rsidRPr="0084580C">
        <w:rPr>
          <w:rFonts w:ascii="Arial" w:hAnsi="Arial" w:cs="Arial"/>
          <w:b/>
          <w:sz w:val="20"/>
          <w:szCs w:val="20"/>
          <w:lang w:val="es-ES_tradnl"/>
        </w:rPr>
        <w:t xml:space="preserve">De acuerdo a los resultados </w:t>
      </w:r>
      <w:r w:rsidR="00CF51D0" w:rsidRPr="0084580C">
        <w:rPr>
          <w:rFonts w:ascii="Arial" w:hAnsi="Arial" w:cs="Arial"/>
          <w:b/>
          <w:sz w:val="20"/>
          <w:szCs w:val="20"/>
          <w:lang w:val="es-ES_tradnl"/>
        </w:rPr>
        <w:t>a nivel de programa y/o subprog</w:t>
      </w:r>
      <w:r w:rsidR="007A311C" w:rsidRPr="0084580C">
        <w:rPr>
          <w:rFonts w:ascii="Arial" w:hAnsi="Arial" w:cs="Arial"/>
          <w:b/>
          <w:sz w:val="20"/>
          <w:szCs w:val="20"/>
          <w:lang w:val="es-ES_tradnl"/>
        </w:rPr>
        <w:t>r</w:t>
      </w:r>
      <w:r w:rsidR="00CF51D0" w:rsidRPr="0084580C">
        <w:rPr>
          <w:rFonts w:ascii="Arial" w:hAnsi="Arial" w:cs="Arial"/>
          <w:b/>
          <w:sz w:val="20"/>
          <w:szCs w:val="20"/>
          <w:lang w:val="es-ES_tradnl"/>
        </w:rPr>
        <w:t>ama</w:t>
      </w:r>
      <w:r w:rsidRPr="0084580C">
        <w:rPr>
          <w:rFonts w:ascii="Arial" w:hAnsi="Arial" w:cs="Arial"/>
          <w:b/>
          <w:sz w:val="20"/>
          <w:szCs w:val="20"/>
          <w:lang w:val="es-ES_tradnl"/>
        </w:rPr>
        <w:t xml:space="preserve"> </w:t>
      </w:r>
      <w:r w:rsidR="00E947E8" w:rsidRPr="0084580C">
        <w:rPr>
          <w:rFonts w:ascii="Arial" w:hAnsi="Arial" w:cs="Arial"/>
          <w:b/>
          <w:sz w:val="20"/>
          <w:szCs w:val="20"/>
          <w:lang w:val="es-ES_tradnl"/>
        </w:rPr>
        <w:t xml:space="preserve">complete </w:t>
      </w:r>
      <w:r w:rsidR="009C273B" w:rsidRPr="0084580C">
        <w:rPr>
          <w:rFonts w:ascii="Arial" w:hAnsi="Arial" w:cs="Arial"/>
          <w:b/>
          <w:sz w:val="20"/>
          <w:szCs w:val="20"/>
          <w:lang w:val="es-ES_tradnl"/>
        </w:rPr>
        <w:t>la siguiente información</w:t>
      </w:r>
      <w:r w:rsidRPr="0084580C">
        <w:rPr>
          <w:rFonts w:ascii="Arial" w:hAnsi="Arial" w:cs="Arial"/>
          <w:b/>
          <w:sz w:val="20"/>
          <w:szCs w:val="20"/>
          <w:lang w:val="es-ES_tradnl"/>
        </w:rPr>
        <w:t xml:space="preserve"> </w:t>
      </w:r>
      <w:r w:rsidR="00692B20" w:rsidRPr="0084580C">
        <w:rPr>
          <w:rFonts w:ascii="Arial" w:hAnsi="Arial" w:cs="Arial"/>
          <w:b/>
          <w:sz w:val="20"/>
          <w:szCs w:val="20"/>
          <w:lang w:val="es-ES_tradnl"/>
        </w:rPr>
        <w:t xml:space="preserve">con </w:t>
      </w:r>
      <w:r w:rsidRPr="0084580C">
        <w:rPr>
          <w:rFonts w:ascii="Arial" w:hAnsi="Arial" w:cs="Arial"/>
          <w:b/>
          <w:sz w:val="20"/>
          <w:szCs w:val="20"/>
          <w:lang w:val="es-ES_tradnl"/>
        </w:rPr>
        <w:t xml:space="preserve">las partidas </w:t>
      </w:r>
      <w:r w:rsidRPr="0084580C">
        <w:rPr>
          <w:rFonts w:ascii="Arial" w:hAnsi="Arial" w:cs="Arial"/>
          <w:b/>
          <w:bCs/>
          <w:sz w:val="20"/>
          <w:szCs w:val="20"/>
        </w:rPr>
        <w:t xml:space="preserve">que presenten un porcentaje de ejecución presupuestaria inferior </w:t>
      </w:r>
      <w:r w:rsidR="00840DCD" w:rsidRPr="0084580C">
        <w:rPr>
          <w:rFonts w:ascii="Arial" w:hAnsi="Arial" w:cs="Arial"/>
          <w:b/>
          <w:bCs/>
          <w:sz w:val="20"/>
          <w:szCs w:val="20"/>
        </w:rPr>
        <w:t xml:space="preserve">o igual </w:t>
      </w:r>
      <w:r w:rsidRPr="0084580C">
        <w:rPr>
          <w:rFonts w:ascii="Arial" w:hAnsi="Arial" w:cs="Arial"/>
          <w:b/>
          <w:bCs/>
          <w:sz w:val="20"/>
          <w:szCs w:val="20"/>
        </w:rPr>
        <w:t>al 90</w:t>
      </w:r>
      <w:r w:rsidR="00952AFF" w:rsidRPr="0084580C">
        <w:rPr>
          <w:rFonts w:ascii="Arial" w:hAnsi="Arial" w:cs="Arial"/>
          <w:b/>
          <w:bCs/>
          <w:sz w:val="20"/>
          <w:szCs w:val="20"/>
        </w:rPr>
        <w:t>,0</w:t>
      </w:r>
      <w:r w:rsidRPr="0084580C">
        <w:rPr>
          <w:rFonts w:ascii="Arial" w:hAnsi="Arial" w:cs="Arial"/>
          <w:b/>
          <w:bCs/>
          <w:sz w:val="20"/>
          <w:szCs w:val="20"/>
        </w:rPr>
        <w:t xml:space="preserve">% </w:t>
      </w:r>
      <w:r w:rsidR="00B833AC" w:rsidRPr="0084580C">
        <w:rPr>
          <w:rFonts w:ascii="Arial" w:hAnsi="Arial" w:cs="Arial"/>
          <w:b/>
          <w:bCs/>
          <w:sz w:val="20"/>
          <w:szCs w:val="20"/>
        </w:rPr>
        <w:t>si</w:t>
      </w:r>
      <w:r w:rsidR="00CF51D0" w:rsidRPr="0084580C">
        <w:rPr>
          <w:rFonts w:ascii="Arial" w:hAnsi="Arial" w:cs="Arial"/>
          <w:b/>
          <w:bCs/>
          <w:sz w:val="20"/>
          <w:szCs w:val="20"/>
        </w:rPr>
        <w:t>n considerar el recurso externo</w:t>
      </w:r>
      <w:r w:rsidR="00B833AC" w:rsidRPr="0084580C">
        <w:rPr>
          <w:rFonts w:ascii="Arial" w:hAnsi="Arial" w:cs="Arial"/>
          <w:b/>
          <w:bCs/>
          <w:sz w:val="20"/>
          <w:szCs w:val="20"/>
        </w:rPr>
        <w:t>.</w:t>
      </w:r>
      <w:r w:rsidR="00A011EA" w:rsidRPr="0084580C">
        <w:rPr>
          <w:rFonts w:ascii="Arial" w:hAnsi="Arial" w:cs="Arial"/>
          <w:b/>
          <w:bCs/>
          <w:color w:val="0070C0"/>
          <w:sz w:val="20"/>
          <w:szCs w:val="20"/>
        </w:rPr>
        <w:t xml:space="preserve"> </w:t>
      </w:r>
    </w:p>
    <w:p w:rsidR="0001381B" w:rsidRPr="00375150" w:rsidRDefault="00AA140F" w:rsidP="0001381B">
      <w:pPr>
        <w:spacing w:after="120" w:line="360" w:lineRule="auto"/>
        <w:jc w:val="both"/>
        <w:rPr>
          <w:rFonts w:ascii="Arial" w:hAnsi="Arial" w:cs="Arial"/>
          <w:b/>
          <w:bCs/>
          <w:i/>
          <w:sz w:val="20"/>
          <w:szCs w:val="20"/>
        </w:rPr>
      </w:pPr>
      <w:r w:rsidRPr="0077710A">
        <w:rPr>
          <w:rFonts w:ascii="Arial" w:hAnsi="Arial" w:cs="Arial"/>
          <w:b/>
          <w:bCs/>
          <w:sz w:val="20"/>
          <w:szCs w:val="20"/>
        </w:rPr>
        <w:t>Nota:</w:t>
      </w:r>
      <w:r w:rsidRPr="0077710A">
        <w:rPr>
          <w:rFonts w:ascii="Arial" w:hAnsi="Arial" w:cs="Arial"/>
          <w:bCs/>
          <w:color w:val="0070C0"/>
          <w:sz w:val="20"/>
          <w:szCs w:val="20"/>
        </w:rPr>
        <w:t xml:space="preserve"> </w:t>
      </w:r>
      <w:r w:rsidRPr="0077710A">
        <w:rPr>
          <w:rFonts w:ascii="Arial" w:hAnsi="Arial" w:cs="Arial"/>
          <w:b/>
          <w:bCs/>
          <w:i/>
          <w:sz w:val="20"/>
          <w:szCs w:val="20"/>
        </w:rPr>
        <w:t xml:space="preserve">Se debe elaborar </w:t>
      </w:r>
      <w:r w:rsidR="00A011EA" w:rsidRPr="00375150">
        <w:rPr>
          <w:rFonts w:ascii="Arial" w:hAnsi="Arial" w:cs="Arial"/>
          <w:b/>
          <w:bCs/>
          <w:i/>
          <w:sz w:val="20"/>
          <w:szCs w:val="20"/>
        </w:rPr>
        <w:t>un cuadro por programa / subprograma</w:t>
      </w:r>
      <w:r w:rsidRPr="00375150">
        <w:rPr>
          <w:rFonts w:ascii="Arial" w:hAnsi="Arial" w:cs="Arial"/>
          <w:b/>
          <w:bCs/>
          <w:i/>
          <w:sz w:val="20"/>
          <w:szCs w:val="20"/>
        </w:rPr>
        <w:t xml:space="preserve">, y en caso de requerir utilizar más de un cuadro, la numeración debe establecerse de la siguiente forma </w:t>
      </w:r>
      <w:r w:rsidR="00580437" w:rsidRPr="00375150">
        <w:rPr>
          <w:rFonts w:ascii="Arial" w:hAnsi="Arial" w:cs="Arial"/>
          <w:b/>
          <w:bCs/>
          <w:i/>
          <w:sz w:val="20"/>
          <w:szCs w:val="20"/>
        </w:rPr>
        <w:t>1</w:t>
      </w:r>
      <w:r w:rsidRPr="00375150">
        <w:rPr>
          <w:rFonts w:ascii="Arial" w:hAnsi="Arial" w:cs="Arial"/>
          <w:b/>
          <w:bCs/>
          <w:i/>
          <w:sz w:val="20"/>
          <w:szCs w:val="20"/>
        </w:rPr>
        <w:t>.1,</w:t>
      </w:r>
      <w:r w:rsidR="00F70670" w:rsidRPr="00375150">
        <w:rPr>
          <w:rFonts w:ascii="Arial" w:hAnsi="Arial" w:cs="Arial"/>
          <w:b/>
          <w:bCs/>
          <w:i/>
          <w:sz w:val="20"/>
          <w:szCs w:val="20"/>
        </w:rPr>
        <w:t xml:space="preserve"> </w:t>
      </w:r>
      <w:r w:rsidR="00580437" w:rsidRPr="00375150">
        <w:rPr>
          <w:rFonts w:ascii="Arial" w:hAnsi="Arial" w:cs="Arial"/>
          <w:b/>
          <w:bCs/>
          <w:i/>
          <w:sz w:val="20"/>
          <w:szCs w:val="20"/>
        </w:rPr>
        <w:t>1</w:t>
      </w:r>
      <w:r w:rsidRPr="00375150">
        <w:rPr>
          <w:rFonts w:ascii="Arial" w:hAnsi="Arial" w:cs="Arial"/>
          <w:b/>
          <w:bCs/>
          <w:i/>
          <w:sz w:val="20"/>
          <w:szCs w:val="20"/>
        </w:rPr>
        <w:t>.2.</w:t>
      </w:r>
    </w:p>
    <w:p w:rsidR="00406789" w:rsidRPr="00375150" w:rsidRDefault="00406789" w:rsidP="0001381B">
      <w:pPr>
        <w:jc w:val="center"/>
        <w:rPr>
          <w:rFonts w:ascii="Arial" w:hAnsi="Arial" w:cs="Arial"/>
          <w:sz w:val="20"/>
          <w:szCs w:val="20"/>
        </w:rPr>
      </w:pPr>
    </w:p>
    <w:p w:rsidR="00075A2E" w:rsidRPr="00375150" w:rsidRDefault="00075A2E" w:rsidP="0001381B">
      <w:pPr>
        <w:jc w:val="center"/>
        <w:rPr>
          <w:rFonts w:ascii="Arial" w:hAnsi="Arial" w:cs="Arial"/>
          <w:b/>
          <w:sz w:val="20"/>
          <w:szCs w:val="20"/>
          <w:lang w:val="es-ES_tradnl"/>
        </w:rPr>
      </w:pPr>
    </w:p>
    <w:p w:rsidR="00075A2E" w:rsidRPr="00375150" w:rsidRDefault="00075A2E" w:rsidP="0001381B">
      <w:pPr>
        <w:jc w:val="center"/>
        <w:rPr>
          <w:rFonts w:ascii="Arial" w:hAnsi="Arial" w:cs="Arial"/>
          <w:b/>
          <w:sz w:val="20"/>
          <w:szCs w:val="20"/>
          <w:lang w:val="es-ES_tradnl"/>
        </w:rPr>
      </w:pPr>
    </w:p>
    <w:p w:rsidR="004B79AF" w:rsidRPr="00375150" w:rsidRDefault="004B79AF" w:rsidP="004B79AF">
      <w:pPr>
        <w:rPr>
          <w:rFonts w:ascii="Arial" w:hAnsi="Arial" w:cs="Arial"/>
          <w:sz w:val="20"/>
          <w:szCs w:val="20"/>
          <w:lang w:val="es-ES_tradnl"/>
        </w:rPr>
      </w:pPr>
    </w:p>
    <w:p w:rsidR="00A81C19" w:rsidRPr="00375150" w:rsidRDefault="00A81C19" w:rsidP="00A81C19">
      <w:pPr>
        <w:jc w:val="center"/>
        <w:rPr>
          <w:rFonts w:ascii="Arial" w:hAnsi="Arial" w:cs="Arial"/>
          <w:b/>
          <w:sz w:val="20"/>
          <w:szCs w:val="20"/>
          <w:lang w:val="es-ES_tradnl"/>
        </w:rPr>
      </w:pPr>
      <w:r w:rsidRPr="00375150">
        <w:rPr>
          <w:rFonts w:ascii="Arial" w:hAnsi="Arial" w:cs="Arial"/>
          <w:b/>
          <w:sz w:val="20"/>
          <w:szCs w:val="20"/>
          <w:lang w:val="es-ES_tradnl"/>
        </w:rPr>
        <w:t>Cuadro 1.1</w:t>
      </w:r>
    </w:p>
    <w:p w:rsidR="00A81C19" w:rsidRPr="0084580C" w:rsidRDefault="00B76147" w:rsidP="00A81C19">
      <w:pPr>
        <w:jc w:val="center"/>
        <w:rPr>
          <w:rFonts w:ascii="Arial" w:hAnsi="Arial" w:cs="Arial"/>
          <w:b/>
          <w:sz w:val="20"/>
          <w:szCs w:val="20"/>
          <w:lang w:val="es-ES_tradnl"/>
        </w:rPr>
      </w:pPr>
      <w:r w:rsidRPr="0084580C">
        <w:rPr>
          <w:rFonts w:ascii="Arial" w:hAnsi="Arial" w:cs="Arial"/>
          <w:b/>
          <w:sz w:val="20"/>
          <w:szCs w:val="20"/>
          <w:lang w:val="es-ES_tradnl"/>
        </w:rPr>
        <w:t xml:space="preserve">Programa 930 </w:t>
      </w:r>
      <w:r w:rsidR="00A81C19" w:rsidRPr="0084580C">
        <w:rPr>
          <w:rFonts w:ascii="Arial" w:hAnsi="Arial" w:cs="Arial"/>
          <w:b/>
          <w:sz w:val="20"/>
          <w:szCs w:val="20"/>
          <w:lang w:val="es-ES_tradnl"/>
        </w:rPr>
        <w:t>Servicio de Defensa Pública</w:t>
      </w:r>
    </w:p>
    <w:p w:rsidR="00A81C19" w:rsidRPr="0084580C" w:rsidRDefault="00A81C19" w:rsidP="00A81C19">
      <w:pPr>
        <w:jc w:val="center"/>
        <w:rPr>
          <w:rFonts w:ascii="Arial" w:hAnsi="Arial" w:cs="Arial"/>
          <w:b/>
          <w:sz w:val="20"/>
          <w:szCs w:val="20"/>
          <w:lang w:val="es-ES_tradnl"/>
        </w:rPr>
      </w:pPr>
      <w:r w:rsidRPr="0084580C">
        <w:rPr>
          <w:rFonts w:ascii="Arial" w:hAnsi="Arial" w:cs="Arial"/>
          <w:b/>
          <w:sz w:val="20"/>
          <w:szCs w:val="20"/>
          <w:lang w:val="es-ES_tradnl"/>
        </w:rPr>
        <w:t>Factores y acciones correctivas para resultados inferiores o iguales a 90% de ejecución</w:t>
      </w:r>
    </w:p>
    <w:p w:rsidR="00A81C19" w:rsidRPr="0084580C" w:rsidRDefault="00A81C19" w:rsidP="00A81C19">
      <w:pPr>
        <w:jc w:val="center"/>
        <w:rPr>
          <w:rFonts w:ascii="Arial" w:hAnsi="Arial" w:cs="Arial"/>
          <w:b/>
          <w:sz w:val="20"/>
          <w:szCs w:val="20"/>
          <w:lang w:val="es-ES_tradnl"/>
        </w:rPr>
      </w:pPr>
      <w:r w:rsidRPr="0084580C">
        <w:rPr>
          <w:rFonts w:ascii="Arial" w:hAnsi="Arial" w:cs="Arial"/>
          <w:b/>
          <w:sz w:val="20"/>
          <w:szCs w:val="20"/>
          <w:lang w:val="es-ES_tradnl"/>
        </w:rPr>
        <w:t>Al 31 de diciembre 2018</w:t>
      </w:r>
    </w:p>
    <w:tbl>
      <w:tblPr>
        <w:tblStyle w:val="Listaclara-nfasis5"/>
        <w:tblW w:w="10511" w:type="dxa"/>
        <w:jc w:val="center"/>
        <w:tblBorders>
          <w:insideH w:val="single" w:sz="6" w:space="0" w:color="4BACC6" w:themeColor="accent5"/>
          <w:insideV w:val="single" w:sz="6" w:space="0" w:color="4BACC6" w:themeColor="accent5"/>
        </w:tblBorders>
        <w:tblLook w:val="04A0"/>
      </w:tblPr>
      <w:tblGrid>
        <w:gridCol w:w="1728"/>
        <w:gridCol w:w="932"/>
        <w:gridCol w:w="2151"/>
        <w:gridCol w:w="1617"/>
        <w:gridCol w:w="1684"/>
        <w:gridCol w:w="1282"/>
        <w:gridCol w:w="1117"/>
      </w:tblGrid>
      <w:tr w:rsidR="00A81C19" w:rsidRPr="00375150" w:rsidTr="00375150">
        <w:trPr>
          <w:cnfStyle w:val="100000000000"/>
          <w:tblHeader/>
          <w:jc w:val="center"/>
        </w:trPr>
        <w:tc>
          <w:tcPr>
            <w:cnfStyle w:val="001000000000"/>
            <w:tcW w:w="1728" w:type="dxa"/>
            <w:tcBorders>
              <w:top w:val="single" w:sz="8" w:space="0" w:color="4BACC6" w:themeColor="accent5"/>
              <w:left w:val="single" w:sz="8" w:space="0" w:color="4BACC6" w:themeColor="accent5"/>
              <w:bottom w:val="single" w:sz="6" w:space="0" w:color="4BACC6" w:themeColor="accent5"/>
              <w:right w:val="single" w:sz="6" w:space="0" w:color="4BACC6" w:themeColor="accent5"/>
            </w:tcBorders>
            <w:hideMark/>
          </w:tcPr>
          <w:p w:rsidR="00A81C19" w:rsidRPr="0077710A" w:rsidRDefault="00A81C19" w:rsidP="00A81C19">
            <w:pPr>
              <w:spacing w:after="120"/>
              <w:jc w:val="center"/>
              <w:rPr>
                <w:rFonts w:ascii="Arial" w:hAnsi="Arial" w:cs="Arial"/>
                <w:bCs w:val="0"/>
                <w:sz w:val="14"/>
                <w:szCs w:val="20"/>
              </w:rPr>
            </w:pPr>
            <w:r w:rsidRPr="0077710A">
              <w:rPr>
                <w:rFonts w:ascii="Arial" w:hAnsi="Arial" w:cs="Arial"/>
                <w:bCs w:val="0"/>
                <w:sz w:val="14"/>
                <w:szCs w:val="20"/>
              </w:rPr>
              <w:t xml:space="preserve">Nombre de la Partida </w:t>
            </w:r>
          </w:p>
        </w:tc>
        <w:tc>
          <w:tcPr>
            <w:tcW w:w="932" w:type="dxa"/>
            <w:tcBorders>
              <w:top w:val="single" w:sz="8" w:space="0" w:color="4BACC6" w:themeColor="accent5"/>
              <w:left w:val="single" w:sz="6" w:space="0" w:color="4BACC6" w:themeColor="accent5"/>
              <w:bottom w:val="single" w:sz="6" w:space="0" w:color="4BACC6" w:themeColor="accent5"/>
              <w:right w:val="single" w:sz="6" w:space="0" w:color="4BACC6" w:themeColor="accent5"/>
            </w:tcBorders>
            <w:hideMark/>
          </w:tcPr>
          <w:p w:rsidR="00A81C19" w:rsidRPr="00375150" w:rsidRDefault="00A81C19" w:rsidP="00A81C19">
            <w:pPr>
              <w:spacing w:after="120"/>
              <w:jc w:val="center"/>
              <w:cnfStyle w:val="100000000000"/>
              <w:rPr>
                <w:rFonts w:ascii="Arial" w:hAnsi="Arial" w:cs="Arial"/>
                <w:bCs w:val="0"/>
                <w:sz w:val="14"/>
                <w:szCs w:val="20"/>
              </w:rPr>
            </w:pPr>
            <w:r w:rsidRPr="00375150">
              <w:rPr>
                <w:rFonts w:ascii="Arial" w:hAnsi="Arial" w:cs="Arial"/>
                <w:sz w:val="14"/>
                <w:szCs w:val="20"/>
              </w:rPr>
              <w:t>Porcentaje de ejecución</w:t>
            </w:r>
          </w:p>
        </w:tc>
        <w:tc>
          <w:tcPr>
            <w:tcW w:w="2151" w:type="dxa"/>
            <w:tcBorders>
              <w:top w:val="single" w:sz="8" w:space="0" w:color="4BACC6" w:themeColor="accent5"/>
              <w:left w:val="single" w:sz="6" w:space="0" w:color="4BACC6" w:themeColor="accent5"/>
              <w:bottom w:val="single" w:sz="6" w:space="0" w:color="4BACC6" w:themeColor="accent5"/>
              <w:right w:val="single" w:sz="6" w:space="0" w:color="4BACC6" w:themeColor="accent5"/>
            </w:tcBorders>
            <w:hideMark/>
          </w:tcPr>
          <w:p w:rsidR="00A81C19" w:rsidRPr="00375150" w:rsidRDefault="00A81C19" w:rsidP="00A81C19">
            <w:pPr>
              <w:spacing w:after="120"/>
              <w:jc w:val="center"/>
              <w:cnfStyle w:val="100000000000"/>
              <w:rPr>
                <w:rFonts w:ascii="Arial" w:hAnsi="Arial" w:cs="Arial"/>
                <w:bCs w:val="0"/>
                <w:sz w:val="14"/>
                <w:szCs w:val="20"/>
              </w:rPr>
            </w:pPr>
            <w:r w:rsidRPr="00375150">
              <w:rPr>
                <w:rFonts w:ascii="Arial" w:hAnsi="Arial" w:cs="Arial"/>
                <w:sz w:val="14"/>
                <w:szCs w:val="20"/>
              </w:rPr>
              <w:t>Factores que incidieron en la subejecución</w:t>
            </w:r>
          </w:p>
        </w:tc>
        <w:tc>
          <w:tcPr>
            <w:tcW w:w="1617" w:type="dxa"/>
            <w:tcBorders>
              <w:top w:val="single" w:sz="8" w:space="0" w:color="4BACC6" w:themeColor="accent5"/>
              <w:left w:val="single" w:sz="6" w:space="0" w:color="4BACC6" w:themeColor="accent5"/>
              <w:bottom w:val="single" w:sz="6" w:space="0" w:color="4BACC6" w:themeColor="accent5"/>
              <w:right w:val="single" w:sz="6" w:space="0" w:color="4BACC6" w:themeColor="accent5"/>
            </w:tcBorders>
            <w:hideMark/>
          </w:tcPr>
          <w:p w:rsidR="00A81C19" w:rsidRPr="00375150" w:rsidRDefault="00A81C19" w:rsidP="00A81C19">
            <w:pPr>
              <w:spacing w:after="120"/>
              <w:jc w:val="center"/>
              <w:cnfStyle w:val="100000000000"/>
              <w:rPr>
                <w:rFonts w:ascii="Arial" w:hAnsi="Arial" w:cs="Arial"/>
                <w:bCs w:val="0"/>
                <w:sz w:val="14"/>
                <w:szCs w:val="20"/>
                <w:highlight w:val="yellow"/>
              </w:rPr>
            </w:pPr>
            <w:r w:rsidRPr="00375150">
              <w:rPr>
                <w:rFonts w:ascii="Arial" w:hAnsi="Arial" w:cs="Arial"/>
                <w:sz w:val="14"/>
                <w:szCs w:val="20"/>
              </w:rPr>
              <w:t xml:space="preserve">Indicar cómo el porcentaje de ejecución afectó la programación presupuestaria </w:t>
            </w:r>
            <w:r w:rsidRPr="00375150">
              <w:rPr>
                <w:rFonts w:ascii="Arial" w:hAnsi="Arial" w:cs="Arial"/>
                <w:sz w:val="14"/>
                <w:szCs w:val="20"/>
                <w:vertAlign w:val="superscript"/>
              </w:rPr>
              <w:t>1/</w:t>
            </w:r>
          </w:p>
        </w:tc>
        <w:tc>
          <w:tcPr>
            <w:tcW w:w="1684" w:type="dxa"/>
            <w:tcBorders>
              <w:top w:val="single" w:sz="8" w:space="0" w:color="4BACC6" w:themeColor="accent5"/>
              <w:left w:val="single" w:sz="6" w:space="0" w:color="4BACC6" w:themeColor="accent5"/>
              <w:bottom w:val="single" w:sz="6" w:space="0" w:color="4BACC6" w:themeColor="accent5"/>
              <w:right w:val="single" w:sz="6" w:space="0" w:color="4BACC6" w:themeColor="accent5"/>
            </w:tcBorders>
            <w:hideMark/>
          </w:tcPr>
          <w:p w:rsidR="00A81C19" w:rsidRPr="00375150" w:rsidRDefault="00A81C19" w:rsidP="00A81C19">
            <w:pPr>
              <w:spacing w:after="120"/>
              <w:jc w:val="center"/>
              <w:cnfStyle w:val="100000000000"/>
              <w:rPr>
                <w:rFonts w:ascii="Arial" w:hAnsi="Arial" w:cs="Arial"/>
                <w:bCs w:val="0"/>
                <w:sz w:val="14"/>
                <w:szCs w:val="20"/>
              </w:rPr>
            </w:pPr>
            <w:r w:rsidRPr="00375150">
              <w:rPr>
                <w:rFonts w:ascii="Arial" w:hAnsi="Arial" w:cs="Arial"/>
                <w:sz w:val="14"/>
                <w:szCs w:val="20"/>
              </w:rPr>
              <w:t>Acciones correctivas para mejorar el resultado de ejecución</w:t>
            </w:r>
          </w:p>
        </w:tc>
        <w:tc>
          <w:tcPr>
            <w:tcW w:w="1282" w:type="dxa"/>
            <w:tcBorders>
              <w:top w:val="single" w:sz="8" w:space="0" w:color="4BACC6" w:themeColor="accent5"/>
              <w:left w:val="single" w:sz="6" w:space="0" w:color="4BACC6" w:themeColor="accent5"/>
              <w:bottom w:val="single" w:sz="6" w:space="0" w:color="4BACC6" w:themeColor="accent5"/>
              <w:right w:val="single" w:sz="6" w:space="0" w:color="4BACC6" w:themeColor="accent5"/>
            </w:tcBorders>
            <w:hideMark/>
          </w:tcPr>
          <w:p w:rsidR="00A81C19" w:rsidRPr="00375150" w:rsidRDefault="00A81C19" w:rsidP="00A81C19">
            <w:pPr>
              <w:spacing w:after="120"/>
              <w:jc w:val="center"/>
              <w:cnfStyle w:val="100000000000"/>
              <w:rPr>
                <w:rFonts w:ascii="Arial" w:hAnsi="Arial" w:cs="Arial"/>
                <w:sz w:val="14"/>
                <w:szCs w:val="20"/>
              </w:rPr>
            </w:pPr>
            <w:r w:rsidRPr="00375150">
              <w:rPr>
                <w:rFonts w:ascii="Arial" w:hAnsi="Arial" w:cs="Arial"/>
                <w:sz w:val="14"/>
                <w:szCs w:val="20"/>
              </w:rPr>
              <w:t xml:space="preserve">Plazo de implementación </w:t>
            </w:r>
            <w:r w:rsidRPr="00375150">
              <w:rPr>
                <w:rFonts w:ascii="Arial" w:hAnsi="Arial" w:cs="Arial"/>
                <w:sz w:val="14"/>
                <w:szCs w:val="20"/>
                <w:vertAlign w:val="superscript"/>
              </w:rPr>
              <w:t>/2</w:t>
            </w:r>
          </w:p>
        </w:tc>
        <w:tc>
          <w:tcPr>
            <w:tcW w:w="1117" w:type="dxa"/>
            <w:tcBorders>
              <w:top w:val="single" w:sz="8" w:space="0" w:color="4BACC6" w:themeColor="accent5"/>
              <w:left w:val="single" w:sz="6" w:space="0" w:color="4BACC6" w:themeColor="accent5"/>
              <w:bottom w:val="single" w:sz="6" w:space="0" w:color="4BACC6" w:themeColor="accent5"/>
              <w:right w:val="single" w:sz="8" w:space="0" w:color="4BACC6" w:themeColor="accent5"/>
            </w:tcBorders>
            <w:hideMark/>
          </w:tcPr>
          <w:p w:rsidR="00A81C19" w:rsidRPr="00375150" w:rsidRDefault="00A81C19" w:rsidP="00A81C19">
            <w:pPr>
              <w:spacing w:after="120"/>
              <w:jc w:val="center"/>
              <w:cnfStyle w:val="100000000000"/>
              <w:rPr>
                <w:rFonts w:ascii="Arial" w:hAnsi="Arial" w:cs="Arial"/>
                <w:bCs w:val="0"/>
                <w:sz w:val="14"/>
                <w:szCs w:val="20"/>
              </w:rPr>
            </w:pPr>
            <w:r w:rsidRPr="00375150">
              <w:rPr>
                <w:rFonts w:ascii="Arial" w:hAnsi="Arial" w:cs="Arial"/>
                <w:sz w:val="14"/>
                <w:szCs w:val="20"/>
              </w:rPr>
              <w:t xml:space="preserve">Responsable </w:t>
            </w:r>
            <w:r w:rsidRPr="00375150">
              <w:rPr>
                <w:rFonts w:ascii="Arial" w:hAnsi="Arial" w:cs="Arial"/>
                <w:sz w:val="14"/>
                <w:szCs w:val="20"/>
                <w:vertAlign w:val="superscript"/>
              </w:rPr>
              <w:t>/3</w:t>
            </w:r>
          </w:p>
        </w:tc>
      </w:tr>
      <w:tr w:rsidR="00A81C19" w:rsidRPr="00375150" w:rsidTr="00375150">
        <w:trPr>
          <w:cnfStyle w:val="000000100000"/>
          <w:jc w:val="center"/>
        </w:trPr>
        <w:tc>
          <w:tcPr>
            <w:cnfStyle w:val="001000000000"/>
            <w:tcW w:w="1728" w:type="dxa"/>
            <w:tcBorders>
              <w:top w:val="single" w:sz="6" w:space="0" w:color="4BACC6" w:themeColor="accent5"/>
              <w:bottom w:val="single" w:sz="6" w:space="0" w:color="4BACC6" w:themeColor="accent5"/>
              <w:right w:val="single" w:sz="6" w:space="0" w:color="4BACC6" w:themeColor="accent5"/>
            </w:tcBorders>
          </w:tcPr>
          <w:p w:rsidR="00A81C19" w:rsidRPr="0077710A" w:rsidRDefault="00375150" w:rsidP="00A81C19">
            <w:pPr>
              <w:spacing w:after="120" w:line="360" w:lineRule="auto"/>
              <w:jc w:val="both"/>
              <w:rPr>
                <w:rFonts w:ascii="Arial" w:hAnsi="Arial" w:cs="Arial"/>
                <w:b w:val="0"/>
                <w:sz w:val="20"/>
                <w:szCs w:val="20"/>
              </w:rPr>
            </w:pPr>
            <w:r w:rsidRPr="00375150">
              <w:rPr>
                <w:rFonts w:ascii="Arial" w:hAnsi="Arial" w:cs="Arial"/>
                <w:sz w:val="20"/>
                <w:szCs w:val="20"/>
              </w:rPr>
              <w:t>Servicios</w:t>
            </w:r>
            <w:r w:rsidRPr="0077710A" w:rsidDel="00375150">
              <w:rPr>
                <w:rFonts w:ascii="Arial" w:hAnsi="Arial" w:cs="Arial"/>
                <w:b w:val="0"/>
                <w:sz w:val="20"/>
                <w:szCs w:val="20"/>
              </w:rPr>
              <w:t xml:space="preserve"> </w:t>
            </w:r>
          </w:p>
        </w:tc>
        <w:tc>
          <w:tcPr>
            <w:tcW w:w="932"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tcPr>
          <w:p w:rsidR="00A81C19" w:rsidRPr="00375150" w:rsidRDefault="00A81C19" w:rsidP="00A81C19">
            <w:pPr>
              <w:spacing w:after="120" w:line="360" w:lineRule="auto"/>
              <w:jc w:val="both"/>
              <w:cnfStyle w:val="000000100000"/>
              <w:rPr>
                <w:rFonts w:ascii="Arial" w:hAnsi="Arial" w:cs="Arial"/>
                <w:bCs/>
                <w:sz w:val="20"/>
                <w:szCs w:val="20"/>
              </w:rPr>
            </w:pPr>
            <w:r w:rsidRPr="00375150">
              <w:rPr>
                <w:rFonts w:ascii="Arial" w:hAnsi="Arial" w:cs="Arial"/>
                <w:bCs/>
                <w:sz w:val="20"/>
                <w:szCs w:val="20"/>
              </w:rPr>
              <w:t>80,2%</w:t>
            </w:r>
          </w:p>
        </w:tc>
        <w:tc>
          <w:tcPr>
            <w:tcW w:w="2151"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tcPr>
          <w:p w:rsidR="00375150" w:rsidRPr="0071763C" w:rsidRDefault="00375150" w:rsidP="00375150">
            <w:pPr>
              <w:spacing w:after="120" w:line="360" w:lineRule="auto"/>
              <w:jc w:val="both"/>
              <w:cnfStyle w:val="000000100000"/>
              <w:rPr>
                <w:rFonts w:ascii="Arial" w:hAnsi="Arial" w:cs="Arial"/>
                <w:bCs/>
                <w:sz w:val="20"/>
                <w:szCs w:val="20"/>
              </w:rPr>
            </w:pPr>
            <w:r w:rsidRPr="0071763C">
              <w:rPr>
                <w:rFonts w:ascii="Arial" w:hAnsi="Arial" w:cs="Arial"/>
                <w:bCs/>
                <w:sz w:val="20"/>
                <w:szCs w:val="20"/>
              </w:rPr>
              <w:t xml:space="preserve">1-Los remanentes corresponden a nuevos contratos de alquiler declarados infructuosos.  </w:t>
            </w:r>
          </w:p>
          <w:p w:rsidR="00375150" w:rsidRPr="0071763C" w:rsidRDefault="00375150" w:rsidP="00375150">
            <w:pPr>
              <w:spacing w:after="120" w:line="360" w:lineRule="auto"/>
              <w:jc w:val="both"/>
              <w:cnfStyle w:val="000000100000"/>
              <w:rPr>
                <w:rFonts w:ascii="Arial" w:hAnsi="Arial" w:cs="Arial"/>
                <w:bCs/>
                <w:sz w:val="20"/>
                <w:szCs w:val="20"/>
              </w:rPr>
            </w:pPr>
            <w:r w:rsidRPr="0071763C">
              <w:rPr>
                <w:rFonts w:ascii="Arial" w:hAnsi="Arial" w:cs="Arial"/>
                <w:bCs/>
                <w:sz w:val="20"/>
                <w:szCs w:val="20"/>
              </w:rPr>
              <w:t>2- La no contratación de servicios de limpieza para los nuevos contratos de alquiler.</w:t>
            </w:r>
          </w:p>
          <w:p w:rsidR="00A81C19" w:rsidRPr="0077710A" w:rsidRDefault="00375150" w:rsidP="00375150">
            <w:pPr>
              <w:spacing w:after="120" w:line="360" w:lineRule="auto"/>
              <w:jc w:val="both"/>
              <w:cnfStyle w:val="000000100000"/>
              <w:rPr>
                <w:rFonts w:ascii="Arial" w:hAnsi="Arial" w:cs="Arial"/>
                <w:bCs/>
                <w:sz w:val="20"/>
                <w:szCs w:val="20"/>
              </w:rPr>
            </w:pPr>
            <w:r w:rsidRPr="0071763C">
              <w:rPr>
                <w:rFonts w:ascii="Arial" w:hAnsi="Arial" w:cs="Arial"/>
                <w:bCs/>
                <w:sz w:val="20"/>
                <w:szCs w:val="20"/>
              </w:rPr>
              <w:t xml:space="preserve">3- Saldos a favor después de contratar nuevos servicios de limpieza con precios favorables o más </w:t>
            </w:r>
            <w:r w:rsidRPr="0071763C">
              <w:rPr>
                <w:rFonts w:ascii="Arial" w:hAnsi="Arial" w:cs="Arial"/>
                <w:bCs/>
                <w:sz w:val="20"/>
                <w:szCs w:val="20"/>
              </w:rPr>
              <w:lastRenderedPageBreak/>
              <w:t>económicos.</w:t>
            </w:r>
          </w:p>
        </w:tc>
        <w:tc>
          <w:tcPr>
            <w:tcW w:w="1617"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tcPr>
          <w:p w:rsidR="00A81C19" w:rsidRPr="00375150" w:rsidRDefault="00A81C19" w:rsidP="00A81C19">
            <w:pPr>
              <w:spacing w:after="120" w:line="360" w:lineRule="auto"/>
              <w:jc w:val="both"/>
              <w:cnfStyle w:val="000000100000"/>
              <w:rPr>
                <w:rFonts w:ascii="Arial" w:hAnsi="Arial" w:cs="Arial"/>
                <w:bCs/>
                <w:sz w:val="20"/>
                <w:szCs w:val="20"/>
              </w:rPr>
            </w:pPr>
            <w:r w:rsidRPr="00375150">
              <w:rPr>
                <w:rFonts w:ascii="Arial" w:hAnsi="Arial" w:cs="Arial"/>
                <w:bCs/>
                <w:sz w:val="20"/>
                <w:szCs w:val="20"/>
              </w:rPr>
              <w:lastRenderedPageBreak/>
              <w:t>No se afectó la programación ya que se continuó brindando la asistencia legal en los procesos judiciales pertinentes.</w:t>
            </w:r>
          </w:p>
          <w:p w:rsidR="00A81C19" w:rsidRPr="00375150" w:rsidRDefault="00A81C19" w:rsidP="00A81C19">
            <w:pPr>
              <w:spacing w:after="120" w:line="360" w:lineRule="auto"/>
              <w:jc w:val="both"/>
              <w:cnfStyle w:val="000000100000"/>
              <w:rPr>
                <w:rFonts w:ascii="Arial" w:hAnsi="Arial" w:cs="Arial"/>
                <w:bCs/>
                <w:sz w:val="20"/>
                <w:szCs w:val="20"/>
              </w:rPr>
            </w:pPr>
          </w:p>
        </w:tc>
        <w:tc>
          <w:tcPr>
            <w:tcW w:w="1684"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tcPr>
          <w:p w:rsidR="00A81C19" w:rsidRPr="00375150" w:rsidRDefault="00A81C19" w:rsidP="00A81C19">
            <w:pPr>
              <w:spacing w:after="120" w:line="360" w:lineRule="auto"/>
              <w:jc w:val="both"/>
              <w:cnfStyle w:val="000000100000"/>
              <w:rPr>
                <w:rFonts w:ascii="Arial" w:hAnsi="Arial" w:cs="Arial"/>
                <w:bCs/>
                <w:sz w:val="20"/>
                <w:szCs w:val="20"/>
              </w:rPr>
            </w:pPr>
            <w:r w:rsidRPr="00375150">
              <w:rPr>
                <w:rFonts w:ascii="Arial" w:hAnsi="Arial" w:cs="Arial"/>
                <w:bCs/>
                <w:sz w:val="20"/>
                <w:szCs w:val="20"/>
              </w:rPr>
              <w:t>Iniciar con la definición de especificaciones técnicas y cuadro de necesidades.</w:t>
            </w:r>
          </w:p>
          <w:p w:rsidR="00A81C19" w:rsidRPr="00375150" w:rsidRDefault="00A81C19" w:rsidP="00A81C19">
            <w:pPr>
              <w:spacing w:after="120" w:line="360" w:lineRule="auto"/>
              <w:jc w:val="both"/>
              <w:cnfStyle w:val="000000100000"/>
              <w:rPr>
                <w:rFonts w:ascii="Arial" w:hAnsi="Arial" w:cs="Arial"/>
                <w:bCs/>
                <w:sz w:val="20"/>
                <w:szCs w:val="20"/>
              </w:rPr>
            </w:pPr>
            <w:r w:rsidRPr="00375150">
              <w:rPr>
                <w:rFonts w:ascii="Arial" w:hAnsi="Arial" w:cs="Arial"/>
                <w:bCs/>
                <w:sz w:val="20"/>
                <w:szCs w:val="20"/>
              </w:rPr>
              <w:t xml:space="preserve">Valorar técnicamente y solicitar que el procedimiento de contratación a aplicar sea contratación directa. </w:t>
            </w:r>
          </w:p>
        </w:tc>
        <w:tc>
          <w:tcPr>
            <w:tcW w:w="1282" w:type="dxa"/>
            <w:tcBorders>
              <w:top w:val="single" w:sz="6" w:space="0" w:color="4BACC6" w:themeColor="accent5"/>
              <w:left w:val="single" w:sz="6" w:space="0" w:color="4BACC6" w:themeColor="accent5"/>
              <w:bottom w:val="single" w:sz="6" w:space="0" w:color="4BACC6" w:themeColor="accent5"/>
              <w:right w:val="single" w:sz="6" w:space="0" w:color="4BACC6" w:themeColor="accent5"/>
            </w:tcBorders>
          </w:tcPr>
          <w:p w:rsidR="00A81C19" w:rsidRPr="00375150" w:rsidRDefault="00A81C19" w:rsidP="00A81C19">
            <w:pPr>
              <w:spacing w:after="120" w:line="360" w:lineRule="auto"/>
              <w:jc w:val="both"/>
              <w:cnfStyle w:val="000000100000"/>
              <w:rPr>
                <w:rFonts w:ascii="Arial" w:hAnsi="Arial" w:cs="Arial"/>
                <w:bCs/>
                <w:sz w:val="20"/>
                <w:szCs w:val="20"/>
              </w:rPr>
            </w:pPr>
            <w:r w:rsidRPr="00375150">
              <w:rPr>
                <w:rFonts w:ascii="Arial" w:hAnsi="Arial" w:cs="Arial"/>
                <w:bCs/>
                <w:sz w:val="20"/>
                <w:szCs w:val="20"/>
              </w:rPr>
              <w:t>11/02/2019</w:t>
            </w:r>
          </w:p>
        </w:tc>
        <w:tc>
          <w:tcPr>
            <w:tcW w:w="1117" w:type="dxa"/>
            <w:tcBorders>
              <w:top w:val="single" w:sz="6" w:space="0" w:color="4BACC6" w:themeColor="accent5"/>
              <w:left w:val="single" w:sz="6" w:space="0" w:color="4BACC6" w:themeColor="accent5"/>
              <w:bottom w:val="single" w:sz="6" w:space="0" w:color="4BACC6" w:themeColor="accent5"/>
            </w:tcBorders>
          </w:tcPr>
          <w:p w:rsidR="00A81C19" w:rsidRPr="00375150" w:rsidRDefault="00A81C19" w:rsidP="00A81C19">
            <w:pPr>
              <w:spacing w:after="120" w:line="360" w:lineRule="auto"/>
              <w:jc w:val="both"/>
              <w:cnfStyle w:val="000000100000"/>
              <w:rPr>
                <w:rFonts w:ascii="Arial" w:hAnsi="Arial" w:cs="Arial"/>
                <w:bCs/>
                <w:sz w:val="20"/>
                <w:szCs w:val="20"/>
              </w:rPr>
            </w:pPr>
            <w:r w:rsidRPr="00375150">
              <w:rPr>
                <w:rFonts w:ascii="Arial" w:hAnsi="Arial" w:cs="Arial"/>
                <w:bCs/>
                <w:sz w:val="20"/>
                <w:szCs w:val="20"/>
              </w:rPr>
              <w:t>M.B.A. José Luis Soto Richmond</w:t>
            </w:r>
          </w:p>
        </w:tc>
      </w:tr>
      <w:tr w:rsidR="00A81C19" w:rsidRPr="00375150" w:rsidTr="00375150">
        <w:trPr>
          <w:jc w:val="center"/>
        </w:trPr>
        <w:tc>
          <w:tcPr>
            <w:cnfStyle w:val="001000000000"/>
            <w:tcW w:w="1728" w:type="dxa"/>
            <w:tcBorders>
              <w:right w:val="single" w:sz="6" w:space="0" w:color="4BACC6" w:themeColor="accent5"/>
            </w:tcBorders>
          </w:tcPr>
          <w:p w:rsidR="00A81C19" w:rsidRPr="00375150" w:rsidRDefault="00375150" w:rsidP="00A81C19">
            <w:pPr>
              <w:spacing w:after="120" w:line="360" w:lineRule="auto"/>
              <w:jc w:val="both"/>
              <w:rPr>
                <w:rFonts w:ascii="Arial" w:hAnsi="Arial" w:cs="Arial"/>
                <w:b w:val="0"/>
                <w:sz w:val="20"/>
                <w:szCs w:val="20"/>
              </w:rPr>
            </w:pPr>
            <w:r w:rsidRPr="00375150">
              <w:rPr>
                <w:rFonts w:ascii="Arial" w:hAnsi="Arial" w:cs="Arial"/>
                <w:sz w:val="20"/>
                <w:szCs w:val="20"/>
              </w:rPr>
              <w:lastRenderedPageBreak/>
              <w:t>Materiales y Suministros</w:t>
            </w:r>
            <w:r w:rsidRPr="0077710A" w:rsidDel="00375150">
              <w:rPr>
                <w:rFonts w:ascii="Arial" w:hAnsi="Arial" w:cs="Arial"/>
                <w:b w:val="0"/>
                <w:sz w:val="20"/>
                <w:szCs w:val="20"/>
              </w:rPr>
              <w:t xml:space="preserve"> </w:t>
            </w:r>
          </w:p>
        </w:tc>
        <w:tc>
          <w:tcPr>
            <w:tcW w:w="932" w:type="dxa"/>
            <w:tcBorders>
              <w:left w:val="single" w:sz="6" w:space="0" w:color="4BACC6" w:themeColor="accent5"/>
              <w:right w:val="single" w:sz="6" w:space="0" w:color="4BACC6" w:themeColor="accent5"/>
            </w:tcBorders>
          </w:tcPr>
          <w:p w:rsidR="00A81C19" w:rsidRPr="00375150" w:rsidRDefault="00A81C19" w:rsidP="00A81C19">
            <w:pPr>
              <w:spacing w:after="120" w:line="360" w:lineRule="auto"/>
              <w:jc w:val="both"/>
              <w:cnfStyle w:val="000000000000"/>
              <w:rPr>
                <w:rFonts w:ascii="Arial" w:hAnsi="Arial" w:cs="Arial"/>
                <w:bCs/>
                <w:sz w:val="20"/>
                <w:szCs w:val="20"/>
              </w:rPr>
            </w:pPr>
            <w:r w:rsidRPr="00375150">
              <w:rPr>
                <w:rFonts w:ascii="Arial" w:hAnsi="Arial" w:cs="Arial"/>
                <w:bCs/>
                <w:sz w:val="20"/>
                <w:szCs w:val="20"/>
              </w:rPr>
              <w:t>78,2%</w:t>
            </w:r>
          </w:p>
        </w:tc>
        <w:tc>
          <w:tcPr>
            <w:tcW w:w="2151" w:type="dxa"/>
            <w:tcBorders>
              <w:left w:val="single" w:sz="6" w:space="0" w:color="4BACC6" w:themeColor="accent5"/>
              <w:right w:val="single" w:sz="6" w:space="0" w:color="4BACC6" w:themeColor="accent5"/>
            </w:tcBorders>
          </w:tcPr>
          <w:p w:rsidR="00375150" w:rsidRPr="0071763C" w:rsidRDefault="00375150" w:rsidP="00375150">
            <w:pPr>
              <w:spacing w:after="120" w:line="360" w:lineRule="auto"/>
              <w:jc w:val="both"/>
              <w:cnfStyle w:val="000000000000"/>
              <w:rPr>
                <w:rFonts w:ascii="Arial" w:hAnsi="Arial" w:cs="Arial"/>
                <w:bCs/>
                <w:sz w:val="20"/>
                <w:szCs w:val="20"/>
              </w:rPr>
            </w:pPr>
            <w:r w:rsidRPr="0071763C">
              <w:rPr>
                <w:rFonts w:ascii="Arial" w:hAnsi="Arial" w:cs="Arial"/>
                <w:bCs/>
                <w:sz w:val="20"/>
                <w:szCs w:val="20"/>
              </w:rPr>
              <w:t>Los remanentes corresponden a la subpartida Repuestos y Accesorios producto de que disminuyó la cantidad e impacto de los accidentes de los vehículos Institucionales.</w:t>
            </w:r>
          </w:p>
          <w:p w:rsidR="00375150" w:rsidRPr="0071763C" w:rsidRDefault="00375150" w:rsidP="00375150">
            <w:pPr>
              <w:spacing w:after="120" w:line="360" w:lineRule="auto"/>
              <w:jc w:val="both"/>
              <w:cnfStyle w:val="000000000000"/>
              <w:rPr>
                <w:rFonts w:ascii="Arial" w:hAnsi="Arial" w:cs="Arial"/>
                <w:bCs/>
                <w:sz w:val="20"/>
                <w:szCs w:val="20"/>
              </w:rPr>
            </w:pPr>
          </w:p>
          <w:p w:rsidR="00375150" w:rsidRPr="0071763C" w:rsidRDefault="00375150" w:rsidP="00375150">
            <w:pPr>
              <w:spacing w:after="120" w:line="360" w:lineRule="auto"/>
              <w:jc w:val="both"/>
              <w:cnfStyle w:val="000000000000"/>
              <w:rPr>
                <w:rFonts w:ascii="Arial" w:hAnsi="Arial" w:cs="Arial"/>
                <w:bCs/>
                <w:sz w:val="20"/>
                <w:szCs w:val="20"/>
              </w:rPr>
            </w:pPr>
            <w:r w:rsidRPr="0071763C">
              <w:rPr>
                <w:rFonts w:ascii="Arial" w:hAnsi="Arial" w:cs="Arial"/>
                <w:bCs/>
                <w:sz w:val="20"/>
                <w:szCs w:val="20"/>
              </w:rPr>
              <w:t xml:space="preserve"> Y en la subpartida de útiles y materiales de oficina, las oficinas disminuyeron el requerimiento de estos bienes de inventario producto del proceso de digitalización e implementación del Sistema de Seguimiento de Casos.</w:t>
            </w:r>
          </w:p>
          <w:p w:rsidR="00A81C19" w:rsidRPr="0077710A" w:rsidRDefault="00A81C19" w:rsidP="00A81C19">
            <w:pPr>
              <w:spacing w:after="120" w:line="360" w:lineRule="auto"/>
              <w:jc w:val="both"/>
              <w:cnfStyle w:val="000000000000"/>
              <w:rPr>
                <w:rFonts w:ascii="Arial" w:hAnsi="Arial" w:cs="Arial"/>
                <w:bCs/>
                <w:sz w:val="20"/>
                <w:szCs w:val="20"/>
              </w:rPr>
            </w:pPr>
          </w:p>
        </w:tc>
        <w:tc>
          <w:tcPr>
            <w:tcW w:w="1617" w:type="dxa"/>
            <w:tcBorders>
              <w:left w:val="single" w:sz="6" w:space="0" w:color="4BACC6" w:themeColor="accent5"/>
              <w:right w:val="single" w:sz="6" w:space="0" w:color="4BACC6" w:themeColor="accent5"/>
            </w:tcBorders>
          </w:tcPr>
          <w:p w:rsidR="00A81C19" w:rsidRPr="00375150" w:rsidRDefault="00A81C19" w:rsidP="00A81C19">
            <w:pPr>
              <w:spacing w:after="120" w:line="360" w:lineRule="auto"/>
              <w:jc w:val="both"/>
              <w:cnfStyle w:val="000000000000"/>
              <w:rPr>
                <w:rFonts w:ascii="Arial" w:hAnsi="Arial" w:cs="Arial"/>
                <w:bCs/>
                <w:sz w:val="20"/>
                <w:szCs w:val="20"/>
              </w:rPr>
            </w:pPr>
            <w:r w:rsidRPr="00375150">
              <w:rPr>
                <w:rFonts w:ascii="Arial" w:hAnsi="Arial" w:cs="Arial"/>
                <w:bCs/>
                <w:sz w:val="20"/>
                <w:szCs w:val="20"/>
              </w:rPr>
              <w:t>No se afectó la programación ya que se continuó brindando la asistencia legal en los procesos judiciales pertinentes.</w:t>
            </w:r>
          </w:p>
          <w:p w:rsidR="00A81C19" w:rsidRPr="00375150" w:rsidRDefault="00A81C19" w:rsidP="0077710A">
            <w:pPr>
              <w:spacing w:after="120" w:line="360" w:lineRule="auto"/>
              <w:jc w:val="both"/>
              <w:cnfStyle w:val="000000000000"/>
              <w:rPr>
                <w:rFonts w:ascii="Arial" w:hAnsi="Arial" w:cs="Arial"/>
                <w:bCs/>
                <w:sz w:val="20"/>
                <w:szCs w:val="20"/>
                <w:highlight w:val="yellow"/>
              </w:rPr>
            </w:pPr>
          </w:p>
        </w:tc>
        <w:tc>
          <w:tcPr>
            <w:tcW w:w="1684" w:type="dxa"/>
            <w:tcBorders>
              <w:left w:val="single" w:sz="6" w:space="0" w:color="4BACC6" w:themeColor="accent5"/>
              <w:right w:val="single" w:sz="6" w:space="0" w:color="4BACC6" w:themeColor="accent5"/>
            </w:tcBorders>
          </w:tcPr>
          <w:p w:rsidR="00A81C19" w:rsidRPr="00375150" w:rsidRDefault="00A81C19" w:rsidP="00A81C19">
            <w:pPr>
              <w:spacing w:after="120" w:line="360" w:lineRule="auto"/>
              <w:jc w:val="both"/>
              <w:cnfStyle w:val="000000000000"/>
              <w:rPr>
                <w:rFonts w:ascii="Arial" w:hAnsi="Arial" w:cs="Arial"/>
                <w:bCs/>
                <w:sz w:val="20"/>
                <w:szCs w:val="20"/>
              </w:rPr>
            </w:pPr>
            <w:r w:rsidRPr="00375150">
              <w:rPr>
                <w:rFonts w:ascii="Arial" w:hAnsi="Arial" w:cs="Arial"/>
                <w:bCs/>
                <w:sz w:val="20"/>
                <w:szCs w:val="20"/>
              </w:rPr>
              <w:t>Ajustar junto con el Departamento de Proveeduría los consumos y suministros de materiales por oficina.</w:t>
            </w:r>
          </w:p>
        </w:tc>
        <w:tc>
          <w:tcPr>
            <w:tcW w:w="1282" w:type="dxa"/>
            <w:tcBorders>
              <w:left w:val="single" w:sz="6" w:space="0" w:color="4BACC6" w:themeColor="accent5"/>
              <w:right w:val="single" w:sz="6" w:space="0" w:color="4BACC6" w:themeColor="accent5"/>
            </w:tcBorders>
          </w:tcPr>
          <w:p w:rsidR="00A81C19" w:rsidRPr="00375150" w:rsidRDefault="00A81C19" w:rsidP="00A81C19">
            <w:pPr>
              <w:spacing w:after="120" w:line="360" w:lineRule="auto"/>
              <w:jc w:val="both"/>
              <w:cnfStyle w:val="000000000000"/>
              <w:rPr>
                <w:rFonts w:ascii="Arial" w:hAnsi="Arial" w:cs="Arial"/>
                <w:bCs/>
                <w:sz w:val="20"/>
                <w:szCs w:val="20"/>
              </w:rPr>
            </w:pPr>
            <w:r w:rsidRPr="00375150">
              <w:rPr>
                <w:rFonts w:ascii="Arial" w:hAnsi="Arial" w:cs="Arial"/>
                <w:bCs/>
                <w:sz w:val="20"/>
                <w:szCs w:val="20"/>
              </w:rPr>
              <w:t>31/03/2019</w:t>
            </w:r>
          </w:p>
        </w:tc>
        <w:tc>
          <w:tcPr>
            <w:tcW w:w="1117" w:type="dxa"/>
            <w:tcBorders>
              <w:left w:val="single" w:sz="6" w:space="0" w:color="4BACC6" w:themeColor="accent5"/>
            </w:tcBorders>
          </w:tcPr>
          <w:p w:rsidR="00A81C19" w:rsidRPr="00375150" w:rsidRDefault="00A81C19" w:rsidP="00A81C19">
            <w:pPr>
              <w:spacing w:after="120" w:line="360" w:lineRule="auto"/>
              <w:jc w:val="both"/>
              <w:cnfStyle w:val="000000000000"/>
              <w:rPr>
                <w:rFonts w:ascii="Arial" w:hAnsi="Arial" w:cs="Arial"/>
                <w:bCs/>
                <w:sz w:val="20"/>
                <w:szCs w:val="20"/>
              </w:rPr>
            </w:pPr>
            <w:r w:rsidRPr="00375150">
              <w:rPr>
                <w:rFonts w:ascii="Arial" w:hAnsi="Arial" w:cs="Arial"/>
                <w:bCs/>
                <w:sz w:val="20"/>
                <w:szCs w:val="20"/>
              </w:rPr>
              <w:t>M.B.A. José Luis Soto Richmond</w:t>
            </w:r>
          </w:p>
        </w:tc>
      </w:tr>
    </w:tbl>
    <w:p w:rsidR="00A81C19" w:rsidRPr="00375150" w:rsidRDefault="00A81C19" w:rsidP="00A81C19">
      <w:pPr>
        <w:ind w:left="-709" w:right="-1083"/>
        <w:rPr>
          <w:rFonts w:ascii="Arial" w:hAnsi="Arial" w:cs="Arial"/>
          <w:sz w:val="14"/>
          <w:szCs w:val="14"/>
        </w:rPr>
      </w:pPr>
      <w:r w:rsidRPr="0077710A">
        <w:rPr>
          <w:rFonts w:ascii="Arial" w:hAnsi="Arial" w:cs="Arial"/>
          <w:color w:val="000000"/>
          <w:sz w:val="14"/>
          <w:szCs w:val="14"/>
        </w:rPr>
        <w:t xml:space="preserve">1/ </w:t>
      </w:r>
      <w:r w:rsidRPr="0077710A">
        <w:rPr>
          <w:rFonts w:ascii="Arial" w:hAnsi="Arial" w:cs="Arial"/>
          <w:sz w:val="14"/>
          <w:szCs w:val="14"/>
        </w:rPr>
        <w:t xml:space="preserve">Esta </w:t>
      </w:r>
      <w:r w:rsidRPr="00375150">
        <w:rPr>
          <w:rFonts w:ascii="Arial" w:hAnsi="Arial" w:cs="Arial"/>
          <w:sz w:val="14"/>
          <w:szCs w:val="14"/>
        </w:rPr>
        <w:t>columna deben completarla únicamente las entidades que tienen en la Ley producción cuantificable (productos, indicadores, metas)</w:t>
      </w:r>
    </w:p>
    <w:p w:rsidR="00A81C19" w:rsidRPr="00375150" w:rsidRDefault="00A81C19" w:rsidP="00A81C19">
      <w:pPr>
        <w:ind w:left="-709" w:right="-1083"/>
        <w:rPr>
          <w:rFonts w:ascii="Arial" w:hAnsi="Arial" w:cs="Arial"/>
          <w:sz w:val="14"/>
          <w:szCs w:val="14"/>
        </w:rPr>
      </w:pPr>
      <w:r w:rsidRPr="00375150">
        <w:rPr>
          <w:rFonts w:ascii="Arial" w:hAnsi="Arial" w:cs="Arial"/>
          <w:sz w:val="14"/>
          <w:szCs w:val="14"/>
        </w:rPr>
        <w:t>2/ Indicar la fecha del 2019 en que iniciará la implementación de la acción correctiva, ejemplo: dd/mm/aaaa. En caso de no indicarlo, la DGPN  establecerá el plazo correspondiente, para su fiscalización.</w:t>
      </w:r>
    </w:p>
    <w:p w:rsidR="00A81C19" w:rsidRPr="00375150" w:rsidRDefault="00A81C19" w:rsidP="00A81C19">
      <w:pPr>
        <w:ind w:left="-709" w:right="-1083"/>
        <w:rPr>
          <w:rFonts w:ascii="Arial" w:hAnsi="Arial" w:cs="Arial"/>
          <w:color w:val="000000"/>
          <w:sz w:val="14"/>
          <w:szCs w:val="14"/>
        </w:rPr>
      </w:pPr>
      <w:r w:rsidRPr="00375150">
        <w:rPr>
          <w:rFonts w:ascii="Arial" w:hAnsi="Arial" w:cs="Arial"/>
          <w:sz w:val="14"/>
          <w:szCs w:val="14"/>
        </w:rPr>
        <w:t xml:space="preserve">3/ </w:t>
      </w:r>
      <w:r w:rsidRPr="00375150">
        <w:rPr>
          <w:rFonts w:ascii="Arial" w:hAnsi="Arial" w:cs="Arial"/>
          <w:color w:val="000000"/>
          <w:sz w:val="14"/>
          <w:szCs w:val="14"/>
        </w:rPr>
        <w:t>Se refiere a la persona responsable directa de ejecutar la acción, no necesariamente debe ser el (la) Director (a) del Programa o Subprograma.</w:t>
      </w:r>
    </w:p>
    <w:p w:rsidR="00B753A3" w:rsidRPr="00375150" w:rsidRDefault="00B753A3" w:rsidP="00B753A3">
      <w:pPr>
        <w:pStyle w:val="Ttulo"/>
        <w:rPr>
          <w:rFonts w:cs="Arial"/>
          <w:sz w:val="20"/>
          <w:szCs w:val="20"/>
          <w:lang w:val="es-ES"/>
        </w:rPr>
      </w:pPr>
    </w:p>
    <w:p w:rsidR="00B76147" w:rsidRPr="00375150" w:rsidRDefault="00B76147" w:rsidP="00B753A3">
      <w:pPr>
        <w:pStyle w:val="Ttulo"/>
        <w:rPr>
          <w:rFonts w:cs="Arial"/>
          <w:sz w:val="20"/>
          <w:szCs w:val="20"/>
          <w:lang w:val="es-ES"/>
        </w:rPr>
      </w:pPr>
    </w:p>
    <w:p w:rsidR="00B76147" w:rsidRPr="00375150" w:rsidRDefault="00B76147" w:rsidP="00B753A3">
      <w:pPr>
        <w:pStyle w:val="Ttulo"/>
        <w:rPr>
          <w:rFonts w:cs="Arial"/>
          <w:sz w:val="20"/>
          <w:szCs w:val="20"/>
          <w:lang w:val="es-ES"/>
        </w:rPr>
      </w:pPr>
    </w:p>
    <w:p w:rsidR="00F70670" w:rsidRPr="00375150" w:rsidRDefault="00F70670" w:rsidP="00B753A3">
      <w:pPr>
        <w:pStyle w:val="Ttulo"/>
        <w:rPr>
          <w:rFonts w:cs="Arial"/>
          <w:sz w:val="20"/>
          <w:szCs w:val="20"/>
          <w:lang w:val="es-ES"/>
        </w:rPr>
      </w:pPr>
    </w:p>
    <w:p w:rsidR="00F70670" w:rsidRPr="00375150" w:rsidRDefault="00F70670" w:rsidP="00F70670">
      <w:pPr>
        <w:jc w:val="center"/>
        <w:rPr>
          <w:rFonts w:ascii="Arial" w:hAnsi="Arial" w:cs="Arial"/>
          <w:b/>
          <w:sz w:val="20"/>
          <w:szCs w:val="20"/>
          <w:lang w:val="es-ES_tradnl"/>
        </w:rPr>
      </w:pPr>
      <w:r w:rsidRPr="00375150">
        <w:rPr>
          <w:rFonts w:ascii="Arial" w:hAnsi="Arial" w:cs="Arial"/>
          <w:b/>
          <w:sz w:val="20"/>
          <w:szCs w:val="20"/>
          <w:lang w:val="es-ES_tradnl"/>
        </w:rPr>
        <w:t>Cuadro 1.2</w:t>
      </w:r>
    </w:p>
    <w:p w:rsidR="00F70670" w:rsidRPr="0084580C" w:rsidRDefault="00A81C19" w:rsidP="00F70670">
      <w:pPr>
        <w:jc w:val="center"/>
        <w:rPr>
          <w:rFonts w:ascii="Arial" w:hAnsi="Arial" w:cs="Arial"/>
          <w:b/>
          <w:sz w:val="20"/>
          <w:szCs w:val="20"/>
          <w:lang w:val="es-ES_tradnl"/>
        </w:rPr>
      </w:pPr>
      <w:r w:rsidRPr="0084580C">
        <w:rPr>
          <w:rFonts w:ascii="Arial" w:hAnsi="Arial" w:cs="Arial"/>
          <w:b/>
          <w:sz w:val="20"/>
          <w:szCs w:val="20"/>
          <w:lang w:val="es-ES_tradnl"/>
        </w:rPr>
        <w:t>Programa 927 Servicio Jurisdiccional</w:t>
      </w:r>
    </w:p>
    <w:p w:rsidR="00F70670" w:rsidRPr="0084580C" w:rsidRDefault="00F70670" w:rsidP="00F70670">
      <w:pPr>
        <w:jc w:val="center"/>
        <w:rPr>
          <w:rFonts w:ascii="Arial" w:hAnsi="Arial" w:cs="Arial"/>
          <w:b/>
          <w:sz w:val="20"/>
          <w:szCs w:val="20"/>
          <w:lang w:val="es-ES_tradnl"/>
        </w:rPr>
      </w:pPr>
      <w:r w:rsidRPr="0084580C">
        <w:rPr>
          <w:rFonts w:ascii="Arial" w:hAnsi="Arial" w:cs="Arial"/>
          <w:b/>
          <w:sz w:val="20"/>
          <w:szCs w:val="20"/>
          <w:lang w:val="es-ES_tradnl"/>
        </w:rPr>
        <w:t>Factores y acciones correctivas para resultados inferiores o iguales a 90% de ejecución</w:t>
      </w:r>
    </w:p>
    <w:p w:rsidR="00F70670" w:rsidRPr="0084580C" w:rsidRDefault="00F70670" w:rsidP="00B76147">
      <w:pPr>
        <w:jc w:val="center"/>
        <w:rPr>
          <w:rFonts w:ascii="Arial" w:hAnsi="Arial" w:cs="Arial"/>
          <w:b/>
          <w:sz w:val="20"/>
          <w:szCs w:val="20"/>
          <w:lang w:val="es-ES_tradnl"/>
        </w:rPr>
      </w:pPr>
      <w:r w:rsidRPr="0084580C">
        <w:rPr>
          <w:rFonts w:ascii="Arial" w:hAnsi="Arial" w:cs="Arial"/>
          <w:b/>
          <w:sz w:val="20"/>
          <w:szCs w:val="20"/>
          <w:lang w:val="es-ES_tradnl"/>
        </w:rPr>
        <w:lastRenderedPageBreak/>
        <w:t>Al 31 de diciembre 2018</w:t>
      </w:r>
    </w:p>
    <w:p w:rsidR="00B76147" w:rsidRPr="0084580C" w:rsidRDefault="00B76147" w:rsidP="00B76147">
      <w:pPr>
        <w:jc w:val="center"/>
        <w:rPr>
          <w:rFonts w:ascii="Arial" w:hAnsi="Arial" w:cs="Arial"/>
          <w:sz w:val="20"/>
          <w:szCs w:val="20"/>
        </w:rPr>
      </w:pPr>
    </w:p>
    <w:tbl>
      <w:tblPr>
        <w:tblW w:w="8995" w:type="dxa"/>
        <w:jc w:val="center"/>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tblPr>
      <w:tblGrid>
        <w:gridCol w:w="1228"/>
        <w:gridCol w:w="1239"/>
        <w:gridCol w:w="1751"/>
        <w:gridCol w:w="1650"/>
        <w:gridCol w:w="1640"/>
        <w:gridCol w:w="1739"/>
        <w:gridCol w:w="1662"/>
      </w:tblGrid>
      <w:tr w:rsidR="00B76147" w:rsidRPr="00CE0210" w:rsidTr="00240E87">
        <w:trPr>
          <w:tblHeader/>
          <w:jc w:val="center"/>
        </w:trPr>
        <w:tc>
          <w:tcPr>
            <w:tcW w:w="0" w:type="auto"/>
            <w:shd w:val="clear" w:color="auto" w:fill="4BACC6"/>
          </w:tcPr>
          <w:p w:rsidR="00B76147" w:rsidRPr="0084580C" w:rsidRDefault="00B76147" w:rsidP="00240E87">
            <w:pPr>
              <w:spacing w:after="120"/>
              <w:jc w:val="center"/>
              <w:rPr>
                <w:rFonts w:ascii="Arial" w:hAnsi="Arial" w:cs="Arial"/>
                <w:b/>
                <w:bCs/>
                <w:color w:val="FFFFFF"/>
                <w:sz w:val="20"/>
                <w:szCs w:val="20"/>
              </w:rPr>
            </w:pPr>
            <w:r w:rsidRPr="0084580C">
              <w:rPr>
                <w:rFonts w:ascii="Arial" w:hAnsi="Arial" w:cs="Arial"/>
                <w:b/>
                <w:color w:val="FFFFFF"/>
                <w:sz w:val="20"/>
                <w:szCs w:val="20"/>
              </w:rPr>
              <w:t xml:space="preserve">Nombre de la Partida </w:t>
            </w:r>
          </w:p>
        </w:tc>
        <w:tc>
          <w:tcPr>
            <w:tcW w:w="0" w:type="auto"/>
            <w:shd w:val="clear" w:color="auto" w:fill="4BACC6"/>
          </w:tcPr>
          <w:p w:rsidR="00B76147" w:rsidRPr="0084580C" w:rsidRDefault="00B76147" w:rsidP="00240E87">
            <w:pPr>
              <w:spacing w:after="120"/>
              <w:jc w:val="center"/>
              <w:rPr>
                <w:rFonts w:ascii="Arial" w:hAnsi="Arial" w:cs="Arial"/>
                <w:b/>
                <w:bCs/>
                <w:color w:val="FFFFFF"/>
                <w:sz w:val="20"/>
                <w:szCs w:val="20"/>
              </w:rPr>
            </w:pPr>
            <w:r w:rsidRPr="0084580C">
              <w:rPr>
                <w:rFonts w:ascii="Arial" w:hAnsi="Arial" w:cs="Arial"/>
                <w:b/>
                <w:color w:val="FFFFFF"/>
                <w:sz w:val="20"/>
                <w:szCs w:val="20"/>
              </w:rPr>
              <w:t>Porcentaje de ejecución</w:t>
            </w:r>
          </w:p>
        </w:tc>
        <w:tc>
          <w:tcPr>
            <w:tcW w:w="0" w:type="auto"/>
            <w:shd w:val="clear" w:color="auto" w:fill="4BACC6"/>
          </w:tcPr>
          <w:p w:rsidR="00B76147" w:rsidRPr="0084580C" w:rsidRDefault="00B76147" w:rsidP="00240E87">
            <w:pPr>
              <w:spacing w:after="120"/>
              <w:jc w:val="center"/>
              <w:rPr>
                <w:rFonts w:ascii="Arial" w:hAnsi="Arial" w:cs="Arial"/>
                <w:b/>
                <w:bCs/>
                <w:color w:val="FFFFFF"/>
                <w:sz w:val="20"/>
                <w:szCs w:val="20"/>
              </w:rPr>
            </w:pPr>
            <w:r w:rsidRPr="0084580C">
              <w:rPr>
                <w:rFonts w:ascii="Arial" w:hAnsi="Arial" w:cs="Arial"/>
                <w:b/>
                <w:color w:val="FFFFFF"/>
                <w:sz w:val="20"/>
                <w:szCs w:val="20"/>
              </w:rPr>
              <w:t>Factores que incidieron en la subejecución</w:t>
            </w:r>
          </w:p>
        </w:tc>
        <w:tc>
          <w:tcPr>
            <w:tcW w:w="0" w:type="auto"/>
            <w:shd w:val="clear" w:color="auto" w:fill="4BACC6"/>
          </w:tcPr>
          <w:p w:rsidR="00B76147" w:rsidRPr="0084580C" w:rsidRDefault="00B76147" w:rsidP="00240E87">
            <w:pPr>
              <w:spacing w:after="120"/>
              <w:jc w:val="center"/>
              <w:rPr>
                <w:rFonts w:ascii="Arial" w:hAnsi="Arial" w:cs="Arial"/>
                <w:b/>
                <w:bCs/>
                <w:color w:val="FFFFFF"/>
                <w:sz w:val="20"/>
                <w:szCs w:val="20"/>
                <w:highlight w:val="yellow"/>
              </w:rPr>
            </w:pPr>
            <w:r w:rsidRPr="0084580C">
              <w:rPr>
                <w:rFonts w:ascii="Arial" w:hAnsi="Arial" w:cs="Arial"/>
                <w:b/>
                <w:color w:val="FFFFFF"/>
                <w:sz w:val="20"/>
                <w:szCs w:val="20"/>
              </w:rPr>
              <w:t xml:space="preserve">Indicar cómo el porcentaje de ejecución afectó la programación presupuestaria </w:t>
            </w:r>
            <w:r w:rsidRPr="0084580C">
              <w:rPr>
                <w:rFonts w:ascii="Arial" w:hAnsi="Arial" w:cs="Arial"/>
                <w:b/>
                <w:color w:val="FFFFFF"/>
                <w:sz w:val="20"/>
                <w:szCs w:val="20"/>
                <w:vertAlign w:val="superscript"/>
              </w:rPr>
              <w:t>1/</w:t>
            </w:r>
          </w:p>
        </w:tc>
        <w:tc>
          <w:tcPr>
            <w:tcW w:w="1450" w:type="dxa"/>
            <w:shd w:val="clear" w:color="auto" w:fill="4BACC6"/>
          </w:tcPr>
          <w:p w:rsidR="00B76147" w:rsidRPr="0084580C" w:rsidRDefault="00B76147" w:rsidP="00240E87">
            <w:pPr>
              <w:spacing w:after="120"/>
              <w:jc w:val="center"/>
              <w:rPr>
                <w:rFonts w:ascii="Arial" w:hAnsi="Arial" w:cs="Arial"/>
                <w:b/>
                <w:bCs/>
                <w:color w:val="FFFFFF"/>
                <w:sz w:val="20"/>
                <w:szCs w:val="20"/>
              </w:rPr>
            </w:pPr>
            <w:r w:rsidRPr="0084580C">
              <w:rPr>
                <w:rFonts w:ascii="Arial" w:hAnsi="Arial" w:cs="Arial"/>
                <w:b/>
                <w:color w:val="FFFFFF"/>
                <w:sz w:val="20"/>
                <w:szCs w:val="20"/>
              </w:rPr>
              <w:t>Acciones correctivas para mejorar el resultado de ejecución</w:t>
            </w:r>
          </w:p>
        </w:tc>
        <w:tc>
          <w:tcPr>
            <w:tcW w:w="1399" w:type="dxa"/>
            <w:shd w:val="clear" w:color="auto" w:fill="4BACC6"/>
          </w:tcPr>
          <w:p w:rsidR="00B76147" w:rsidRPr="0084580C" w:rsidRDefault="00B76147" w:rsidP="00240E87">
            <w:pPr>
              <w:spacing w:after="120"/>
              <w:jc w:val="center"/>
              <w:rPr>
                <w:rFonts w:ascii="Arial" w:hAnsi="Arial" w:cs="Arial"/>
                <w:b/>
                <w:bCs/>
                <w:color w:val="FFFFFF"/>
                <w:sz w:val="20"/>
                <w:szCs w:val="20"/>
              </w:rPr>
            </w:pPr>
            <w:r w:rsidRPr="0084580C">
              <w:rPr>
                <w:rFonts w:ascii="Arial" w:hAnsi="Arial" w:cs="Arial"/>
                <w:b/>
                <w:bCs/>
                <w:color w:val="FFFFFF"/>
                <w:sz w:val="20"/>
                <w:szCs w:val="20"/>
              </w:rPr>
              <w:t xml:space="preserve">Plazo de implementación </w:t>
            </w:r>
            <w:r w:rsidRPr="0084580C">
              <w:rPr>
                <w:rFonts w:ascii="Arial" w:hAnsi="Arial" w:cs="Arial"/>
                <w:b/>
                <w:bCs/>
                <w:color w:val="FFFFFF"/>
                <w:sz w:val="20"/>
                <w:szCs w:val="20"/>
                <w:vertAlign w:val="superscript"/>
              </w:rPr>
              <w:t>/2</w:t>
            </w:r>
          </w:p>
        </w:tc>
        <w:tc>
          <w:tcPr>
            <w:tcW w:w="1469" w:type="dxa"/>
            <w:shd w:val="clear" w:color="auto" w:fill="4BACC6"/>
          </w:tcPr>
          <w:p w:rsidR="00B76147" w:rsidRPr="0084580C" w:rsidRDefault="00B76147" w:rsidP="00240E87">
            <w:pPr>
              <w:spacing w:after="120"/>
              <w:jc w:val="center"/>
              <w:rPr>
                <w:rFonts w:ascii="Arial" w:hAnsi="Arial" w:cs="Arial"/>
                <w:b/>
                <w:bCs/>
                <w:color w:val="FFFFFF"/>
                <w:sz w:val="20"/>
                <w:szCs w:val="20"/>
              </w:rPr>
            </w:pPr>
            <w:r w:rsidRPr="0084580C">
              <w:rPr>
                <w:rFonts w:ascii="Arial" w:hAnsi="Arial" w:cs="Arial"/>
                <w:b/>
                <w:color w:val="FFFFFF"/>
                <w:sz w:val="20"/>
                <w:szCs w:val="20"/>
              </w:rPr>
              <w:t xml:space="preserve">Responsable </w:t>
            </w:r>
            <w:r w:rsidRPr="0084580C">
              <w:rPr>
                <w:rFonts w:ascii="Arial" w:hAnsi="Arial" w:cs="Arial"/>
                <w:b/>
                <w:color w:val="FFFFFF"/>
                <w:sz w:val="20"/>
                <w:szCs w:val="20"/>
                <w:vertAlign w:val="superscript"/>
              </w:rPr>
              <w:t>/3</w:t>
            </w:r>
          </w:p>
        </w:tc>
      </w:tr>
      <w:tr w:rsidR="00B76147" w:rsidRPr="00CE0210" w:rsidTr="00240E87">
        <w:trPr>
          <w:jc w:val="center"/>
        </w:trPr>
        <w:tc>
          <w:tcPr>
            <w:tcW w:w="0" w:type="auto"/>
            <w:tcBorders>
              <w:top w:val="single" w:sz="8" w:space="0" w:color="4BACC6"/>
              <w:left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
                <w:bCs/>
                <w:sz w:val="20"/>
                <w:szCs w:val="20"/>
              </w:rPr>
            </w:pPr>
            <w:r w:rsidRPr="0084580C">
              <w:rPr>
                <w:rFonts w:ascii="Arial" w:hAnsi="Arial" w:cs="Arial"/>
                <w:bCs/>
                <w:sz w:val="20"/>
                <w:szCs w:val="20"/>
              </w:rPr>
              <w:t>Servicios</w:t>
            </w:r>
          </w:p>
        </w:tc>
        <w:tc>
          <w:tcPr>
            <w:tcW w:w="0" w:type="auto"/>
            <w:tcBorders>
              <w:top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rPr>
            </w:pPr>
            <w:r w:rsidRPr="0084580C">
              <w:rPr>
                <w:rFonts w:ascii="Arial" w:hAnsi="Arial" w:cs="Arial"/>
                <w:bCs/>
                <w:sz w:val="20"/>
                <w:szCs w:val="20"/>
              </w:rPr>
              <w:t>88,9%</w:t>
            </w:r>
          </w:p>
        </w:tc>
        <w:tc>
          <w:tcPr>
            <w:tcW w:w="0" w:type="auto"/>
            <w:tcBorders>
              <w:top w:val="single" w:sz="8" w:space="0" w:color="4BACC6"/>
              <w:bottom w:val="single" w:sz="8" w:space="0" w:color="4BACC6"/>
            </w:tcBorders>
            <w:shd w:val="clear" w:color="auto" w:fill="auto"/>
          </w:tcPr>
          <w:p w:rsidR="00B76147" w:rsidRPr="0084580C" w:rsidRDefault="00B76147" w:rsidP="00240E87">
            <w:pPr>
              <w:jc w:val="both"/>
              <w:rPr>
                <w:rFonts w:ascii="Arial" w:hAnsi="Arial" w:cs="Arial"/>
                <w:bCs/>
                <w:sz w:val="20"/>
                <w:szCs w:val="20"/>
              </w:rPr>
            </w:pPr>
            <w:r w:rsidRPr="0084580C">
              <w:rPr>
                <w:rFonts w:ascii="Arial" w:hAnsi="Arial" w:cs="Arial"/>
                <w:bCs/>
                <w:sz w:val="20"/>
                <w:szCs w:val="20"/>
              </w:rPr>
              <w:t>Un factor determinante fue que la Reforma Procesal Laboral y Civil no entró en vigencia en todas las zonas donde se tenía prevista, lo que generó una considerable disminución en la contratación de alquileres de locales, servicios de limpieza y servicios de vigilancia que se habían formulado y que no fueron requeridos.</w:t>
            </w:r>
          </w:p>
          <w:p w:rsidR="00B76147" w:rsidRPr="0084580C" w:rsidRDefault="00B76147" w:rsidP="00240E87">
            <w:pPr>
              <w:jc w:val="both"/>
              <w:rPr>
                <w:rFonts w:ascii="Arial" w:hAnsi="Arial" w:cs="Arial"/>
                <w:bCs/>
                <w:sz w:val="20"/>
                <w:szCs w:val="20"/>
              </w:rPr>
            </w:pPr>
            <w:r w:rsidRPr="0084580C">
              <w:rPr>
                <w:rFonts w:ascii="Arial" w:hAnsi="Arial" w:cs="Arial"/>
                <w:bCs/>
                <w:sz w:val="20"/>
                <w:szCs w:val="20"/>
              </w:rPr>
              <w:t xml:space="preserve">Dentro de los alquileres se presentan remanentes por la entrega de locales en el transcurso del año, tales como el Juzgado Contravencional y Pensiones Alimentarias de Siquirres recibido hasta noviembre de 2018. También el Edificio Santa Rita recibido en el mes de octubre de 2018. La reutilización de los saldos en otras necesidades, no </w:t>
            </w:r>
            <w:r w:rsidRPr="0084580C">
              <w:rPr>
                <w:rFonts w:ascii="Arial" w:hAnsi="Arial" w:cs="Arial"/>
                <w:bCs/>
                <w:sz w:val="20"/>
                <w:szCs w:val="20"/>
              </w:rPr>
              <w:lastRenderedPageBreak/>
              <w:t>fue posible debido a la devolución de los movimientos de las modificaciones externas Nºs 05 y 06-2018 por parte del Ministerio de Hacienda. Dentro de esta partida se presentan los saldos de contratos según demanda para la publicación de edictos, de igual manera contratos de fotocopiado cuyo gasto fue menor a lo esperado.</w:t>
            </w:r>
          </w:p>
          <w:p w:rsidR="00B76147" w:rsidRPr="0084580C" w:rsidRDefault="00B76147" w:rsidP="00240E87">
            <w:pPr>
              <w:jc w:val="both"/>
              <w:rPr>
                <w:rFonts w:ascii="Arial" w:hAnsi="Arial" w:cs="Arial"/>
                <w:bCs/>
                <w:sz w:val="20"/>
                <w:szCs w:val="20"/>
              </w:rPr>
            </w:pPr>
            <w:r w:rsidRPr="0084580C">
              <w:rPr>
                <w:rFonts w:ascii="Arial" w:hAnsi="Arial" w:cs="Arial"/>
                <w:bCs/>
                <w:sz w:val="20"/>
                <w:szCs w:val="20"/>
              </w:rPr>
              <w:t xml:space="preserve">En este programa se incorpora mediante un presupuesto extraordinario las sumas correspondientes a la donación que efectúo la Unión Europea al Poder Judicial, con el fin de ejecutar el Proyecto Regional Fortalecimiento de la Justicia Restaurativa, donde Costa Rica figura como país coordinador y ejecutor de los recursos, en </w:t>
            </w:r>
            <w:r w:rsidRPr="0084580C">
              <w:rPr>
                <w:rFonts w:ascii="Arial" w:hAnsi="Arial" w:cs="Arial"/>
                <w:bCs/>
                <w:sz w:val="20"/>
                <w:szCs w:val="20"/>
              </w:rPr>
              <w:lastRenderedPageBreak/>
              <w:t>asocio con el Poder Judicial del Estado de México y el de Colombia, dichos recursos fueron incorporados a mediados de setiembre del 2018, situación que generó que por limitaciones del tiempo tan corto con que se contó el dinero muchas actividades, contrataciones, y gastos en general no fue posible su ejecución conforme la programación y planificación del proyecto.</w:t>
            </w:r>
          </w:p>
          <w:p w:rsidR="00B76147" w:rsidRPr="0084580C" w:rsidRDefault="00B76147" w:rsidP="00240E87">
            <w:pPr>
              <w:jc w:val="both"/>
              <w:rPr>
                <w:rFonts w:ascii="Arial" w:hAnsi="Arial" w:cs="Arial"/>
                <w:bCs/>
                <w:sz w:val="20"/>
                <w:szCs w:val="20"/>
              </w:rPr>
            </w:pPr>
            <w:r w:rsidRPr="0084580C">
              <w:rPr>
                <w:rFonts w:ascii="Arial" w:hAnsi="Arial" w:cs="Arial"/>
                <w:bCs/>
                <w:sz w:val="20"/>
                <w:szCs w:val="20"/>
              </w:rPr>
              <w:t xml:space="preserve">Algunos pagos a nivel nacional. Adicionalmente por las jubilaciones y cambio de personal en la Sala Tercera de tuvo la necesidad de suspender algunas actividades de capacitación, protocolarias y sociales que en principio se habían agendado.  </w:t>
            </w:r>
          </w:p>
        </w:tc>
        <w:tc>
          <w:tcPr>
            <w:tcW w:w="0" w:type="auto"/>
            <w:tcBorders>
              <w:top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rPr>
            </w:pPr>
            <w:r w:rsidRPr="0084580C">
              <w:rPr>
                <w:rFonts w:ascii="Arial" w:hAnsi="Arial" w:cs="Arial"/>
                <w:bCs/>
                <w:sz w:val="20"/>
                <w:szCs w:val="20"/>
              </w:rPr>
              <w:lastRenderedPageBreak/>
              <w:t>El porcentaje de ejecución en esta partida se vio afectado principalmente por la gran cantidad de movimientos que no autorizó el Ministerio de Hacienda que se habían incorporado en las modificaciones externas Nos.:  5-2018 y 6-2018 y que generaron que el mismo no fuera el porcentaje de ejecución óptimo.</w:t>
            </w:r>
          </w:p>
        </w:tc>
        <w:tc>
          <w:tcPr>
            <w:tcW w:w="1450" w:type="dxa"/>
            <w:tcBorders>
              <w:top w:val="single" w:sz="8" w:space="0" w:color="4BACC6"/>
              <w:bottom w:val="single" w:sz="8" w:space="0" w:color="4BACC6"/>
            </w:tcBorders>
            <w:shd w:val="clear" w:color="auto" w:fill="auto"/>
          </w:tcPr>
          <w:p w:rsidR="00B76147" w:rsidRPr="0084580C" w:rsidRDefault="00B76147" w:rsidP="00240E87">
            <w:pPr>
              <w:jc w:val="both"/>
              <w:rPr>
                <w:rFonts w:ascii="Arial" w:hAnsi="Arial" w:cs="Arial"/>
                <w:bCs/>
                <w:sz w:val="20"/>
                <w:szCs w:val="20"/>
              </w:rPr>
            </w:pPr>
            <w:r w:rsidRPr="0084580C">
              <w:rPr>
                <w:rFonts w:ascii="Arial" w:hAnsi="Arial" w:cs="Arial"/>
                <w:bCs/>
                <w:sz w:val="20"/>
                <w:szCs w:val="20"/>
              </w:rPr>
              <w:t xml:space="preserve">Se realiza coordinación con los administradores encargados, los procesos de pago a los proveedores, con el fin de maximizar la ejecución de los recursos y procurar un buen servicio al cliente interno y el pago oportuno al cliente externo. Además, se mantiene un seguimiento constante a los procesos de compra y pago a los proveedores para minimizar los compromisos no devengados al cierre del año. Durante el 2016, como parte del seguimiento presupuestario, se emitió la Circular No.76-2016, según acuerdo de Corte Plena en sesión No.12-16 celebrada el 25 de abril 2016, artículo VIII, mediante </w:t>
            </w:r>
            <w:r w:rsidRPr="0084580C">
              <w:rPr>
                <w:rFonts w:ascii="Arial" w:hAnsi="Arial" w:cs="Arial"/>
                <w:bCs/>
                <w:sz w:val="20"/>
                <w:szCs w:val="20"/>
              </w:rPr>
              <w:lastRenderedPageBreak/>
              <w:t xml:space="preserve">el cual se establece con carácter obligatorio la propuesta de Política y de Contenido de Informes de Gestión durante el Proceso de Ejecución Presupuestaria, por parte de los centros gestores del Poder Judicial. Mediante esta Circular se solicita a los centros gestores un seguimiento trimestral de los recursos con que se cuenta para su ejecución. Se implementó, como parte de las medidas de control para mejorar la ejecución, que el Subproceso de Presupuesto y/o la Dirección Ejecutiva realice comunicados periódicos a las diferentes oficinas Judiciales del país, de saldos relevantes en sus presupuestos, o bien, montos </w:t>
            </w:r>
            <w:r w:rsidRPr="0084580C">
              <w:rPr>
                <w:rFonts w:ascii="Arial" w:hAnsi="Arial" w:cs="Arial"/>
                <w:bCs/>
                <w:sz w:val="20"/>
                <w:szCs w:val="20"/>
              </w:rPr>
              <w:lastRenderedPageBreak/>
              <w:t xml:space="preserve">sin ejecutar, para que brinden información oportuna sobre el avance en los procesos de contratación y a la vez se determinen aquellos procesos que no sean posible realizar (infructuosos, desiertos, etc.), para procurar su reutilización en proyectos y necesidades de este Poder de la República, en aras de mejorar cada día más el servicio al usuario y maximizar el uso de los recursos. </w:t>
            </w:r>
            <w:r w:rsidRPr="0084580C">
              <w:rPr>
                <w:rFonts w:ascii="Arial" w:hAnsi="Arial" w:cs="Arial"/>
                <w:bCs/>
                <w:sz w:val="20"/>
                <w:szCs w:val="20"/>
              </w:rPr>
              <w:br/>
              <w:t xml:space="preserve">En sesión N° 87-16 de 20 de setiembre del 2016, artículo LXXVI, el Consejo Superior, concede permiso con goce de salario a partir del 20 de setiembre 2016 y hasta el último día laboral del 2016, a un grupo de profesionales </w:t>
            </w:r>
            <w:r w:rsidRPr="0084580C">
              <w:rPr>
                <w:rFonts w:ascii="Arial" w:hAnsi="Arial" w:cs="Arial"/>
                <w:bCs/>
                <w:sz w:val="20"/>
                <w:szCs w:val="20"/>
              </w:rPr>
              <w:lastRenderedPageBreak/>
              <w:t>en las diferentes oficinas que intervienen  en el proyecto institucional para dar sostenibilidad a la mejora del proceso de contratación administrativa para la ejecución presupuestaria 2017 y que se extiende al período presupuestario 2018.</w:t>
            </w:r>
          </w:p>
          <w:p w:rsidR="00B76147" w:rsidRPr="0084580C" w:rsidRDefault="00B76147" w:rsidP="00240E87">
            <w:pPr>
              <w:jc w:val="both"/>
              <w:rPr>
                <w:rFonts w:ascii="Arial" w:hAnsi="Arial" w:cs="Arial"/>
                <w:bCs/>
                <w:sz w:val="20"/>
                <w:szCs w:val="20"/>
              </w:rPr>
            </w:pPr>
            <w:r w:rsidRPr="0084580C">
              <w:rPr>
                <w:rFonts w:ascii="Arial" w:hAnsi="Arial" w:cs="Arial"/>
                <w:bCs/>
                <w:sz w:val="20"/>
                <w:szCs w:val="20"/>
              </w:rPr>
              <w:br/>
              <w:t xml:space="preserve">A su vez, en sesión N° 113-16 del 20 de diciembre del 2016, artículo XL, el Consejo Superior,  toma nota del primer informe referente al avance del proyecto y mediante oficio No.4133-DE-2017 del 30 de Agosto del 2017, la Dirección Ejecutiva hace del conocimiento del Consejo Superior el informe de avance del Proyecto institucional </w:t>
            </w:r>
            <w:r w:rsidRPr="0084580C">
              <w:rPr>
                <w:rFonts w:ascii="Arial" w:hAnsi="Arial" w:cs="Arial"/>
                <w:bCs/>
                <w:sz w:val="20"/>
                <w:szCs w:val="20"/>
              </w:rPr>
              <w:lastRenderedPageBreak/>
              <w:t>para dar sostenibilidad a la mejora del proceso de contratación administrativa en materia de infraestructura, informática (recurso tecnológico estratégico) y equipos y servicios especiales del OIJ, para la ejecución presupuestaria, aprobado mediante acuerdo del Consejo Superior No.82-2017, del 7 de Setiembre del 2017, artículo XL.</w:t>
            </w:r>
          </w:p>
          <w:p w:rsidR="00B76147" w:rsidRPr="0084580C" w:rsidRDefault="00B76147" w:rsidP="00240E87">
            <w:pPr>
              <w:jc w:val="both"/>
              <w:rPr>
                <w:rFonts w:ascii="Arial" w:hAnsi="Arial" w:cs="Arial"/>
                <w:bCs/>
                <w:sz w:val="20"/>
                <w:szCs w:val="20"/>
              </w:rPr>
            </w:pPr>
          </w:p>
          <w:p w:rsidR="00B76147" w:rsidRPr="0084580C" w:rsidRDefault="00B76147" w:rsidP="00240E87">
            <w:pPr>
              <w:jc w:val="both"/>
              <w:rPr>
                <w:rFonts w:ascii="Arial" w:hAnsi="Arial" w:cs="Arial"/>
                <w:bCs/>
                <w:sz w:val="20"/>
                <w:szCs w:val="20"/>
              </w:rPr>
            </w:pPr>
            <w:r w:rsidRPr="0084580C">
              <w:rPr>
                <w:rFonts w:ascii="Arial" w:hAnsi="Arial" w:cs="Arial"/>
                <w:bCs/>
                <w:sz w:val="20"/>
                <w:szCs w:val="20"/>
              </w:rPr>
              <w:t xml:space="preserve">Mediante la Circular No.136-2017 remitida por la Dirección Ejecutiva, se establecen las medidas para la contención del gasto para el Poder Judicial, especificando para cada subpartida las acciones a seguir y en la que se comunica que la Corte Plena en sesiones N° </w:t>
            </w:r>
            <w:r w:rsidRPr="0084580C">
              <w:rPr>
                <w:rFonts w:ascii="Arial" w:hAnsi="Arial" w:cs="Arial"/>
                <w:bCs/>
                <w:sz w:val="20"/>
                <w:szCs w:val="20"/>
              </w:rPr>
              <w:lastRenderedPageBreak/>
              <w:t xml:space="preserve">27-2017 de 21 de agosto de 2017, artículo XVI, N° 28-2017 de 28 de agosto de 2017, artículo XV y N° 29-2017 de 4 setiembre de 2017, artículo XVI, aprobó una serie de medidas de contención del gasto en el Poder Judicial, producto de la grave situación fiscal que enfrenta Costa Rica, la cual se ha visto acentuada en los últimos días por problemas de liquidez del Gobierno de la República para hacer frente a sus obligaciones de pago. El Poder Judicial, consciente de este “problema país”, se ha comprometido con la adopción de formas más eficientes para prestar el servicio público de administración de justicia, por lo que resulta imperativo </w:t>
            </w:r>
            <w:r w:rsidRPr="0084580C">
              <w:rPr>
                <w:rFonts w:ascii="Arial" w:hAnsi="Arial" w:cs="Arial"/>
                <w:bCs/>
                <w:sz w:val="20"/>
                <w:szCs w:val="20"/>
              </w:rPr>
              <w:lastRenderedPageBreak/>
              <w:t>adoptar medidas inmediatas que permitan la sujeción del gasto y obtener ahorros en el uso de los recursos públicos, así como otras de carácter estructural de ejecución a mediano y largo plazo.</w:t>
            </w:r>
          </w:p>
          <w:p w:rsidR="00B76147" w:rsidRPr="0084580C" w:rsidRDefault="00B76147" w:rsidP="00240E87">
            <w:pPr>
              <w:jc w:val="both"/>
              <w:rPr>
                <w:rFonts w:ascii="Arial" w:hAnsi="Arial" w:cs="Arial"/>
                <w:bCs/>
                <w:sz w:val="20"/>
                <w:szCs w:val="20"/>
              </w:rPr>
            </w:pPr>
          </w:p>
          <w:p w:rsidR="00B76147" w:rsidRPr="0084580C" w:rsidRDefault="00B76147" w:rsidP="00240E87">
            <w:pPr>
              <w:jc w:val="both"/>
              <w:rPr>
                <w:rFonts w:ascii="Arial" w:hAnsi="Arial" w:cs="Arial"/>
                <w:bCs/>
                <w:sz w:val="20"/>
                <w:szCs w:val="20"/>
              </w:rPr>
            </w:pPr>
            <w:r w:rsidRPr="0084580C">
              <w:rPr>
                <w:rFonts w:ascii="Arial" w:hAnsi="Arial" w:cs="Arial"/>
                <w:bCs/>
                <w:sz w:val="20"/>
                <w:szCs w:val="20"/>
              </w:rPr>
              <w:t xml:space="preserve">Con la puesta en marcha del Sistema Integrado de Gestión Administrativa SIGA-PJ, todas las oficinas tienen acceso a los diferentes reportes que genera el sistema, herramientas con los que tienen la posibilidad de monitorear todos los trámites que realizan y el avance de los mismos hasta su aprobación final, así como los disponibles de las subpartidas y de los documentos presupuestarios </w:t>
            </w:r>
            <w:r w:rsidRPr="0084580C">
              <w:rPr>
                <w:rFonts w:ascii="Arial" w:hAnsi="Arial" w:cs="Arial"/>
                <w:bCs/>
                <w:sz w:val="20"/>
                <w:szCs w:val="20"/>
              </w:rPr>
              <w:lastRenderedPageBreak/>
              <w:t>que se encuentran aprobados finalmente, para hacerle frente al pago de las obligaciones adquiridas por los diferentes centros gestores, permitiendo de esta manera solicitar nuevos trámites o traslados de recursos de forma oportuna y sin que se vea afectado el curso normal de las oficinas.</w:t>
            </w:r>
          </w:p>
          <w:p w:rsidR="00B76147" w:rsidRPr="0084580C" w:rsidRDefault="00B76147" w:rsidP="00240E87">
            <w:pPr>
              <w:jc w:val="both"/>
              <w:rPr>
                <w:rFonts w:ascii="Arial" w:hAnsi="Arial" w:cs="Arial"/>
                <w:bCs/>
                <w:sz w:val="20"/>
                <w:szCs w:val="20"/>
              </w:rPr>
            </w:pPr>
            <w:r w:rsidRPr="0084580C">
              <w:rPr>
                <w:rFonts w:ascii="Arial" w:hAnsi="Arial" w:cs="Arial"/>
                <w:bCs/>
                <w:sz w:val="20"/>
                <w:szCs w:val="20"/>
              </w:rPr>
              <w:t xml:space="preserve">Seguimientos y consultas periódicas al Departamento de Proveeduría y demás Departamentos y centros gestores involucrados, hasta que se materialicen los contratos de arriendo, por lo que se realizan reuniones mensuales para dar el seguimiento apropiado, de forma conjunta con la Dirección Ejecutiva y los Departamentos de Proveeduría, </w:t>
            </w:r>
            <w:r w:rsidRPr="0084580C">
              <w:rPr>
                <w:rFonts w:ascii="Arial" w:hAnsi="Arial" w:cs="Arial"/>
                <w:bCs/>
                <w:sz w:val="20"/>
                <w:szCs w:val="20"/>
              </w:rPr>
              <w:lastRenderedPageBreak/>
              <w:t>Financiero Contable y Servicios Generales.</w:t>
            </w:r>
          </w:p>
          <w:p w:rsidR="00B76147" w:rsidRPr="0084580C" w:rsidRDefault="00B76147" w:rsidP="00240E87">
            <w:pPr>
              <w:jc w:val="both"/>
              <w:rPr>
                <w:rFonts w:ascii="Arial" w:hAnsi="Arial" w:cs="Arial"/>
                <w:bCs/>
                <w:sz w:val="20"/>
                <w:szCs w:val="20"/>
              </w:rPr>
            </w:pPr>
          </w:p>
          <w:p w:rsidR="00B76147" w:rsidRPr="0084580C" w:rsidRDefault="00B76147" w:rsidP="00240E87">
            <w:pPr>
              <w:jc w:val="both"/>
              <w:rPr>
                <w:rFonts w:ascii="Arial" w:hAnsi="Arial" w:cs="Arial"/>
                <w:bCs/>
                <w:sz w:val="20"/>
                <w:szCs w:val="20"/>
              </w:rPr>
            </w:pPr>
          </w:p>
          <w:p w:rsidR="00B76147" w:rsidRPr="0084580C" w:rsidRDefault="00B76147" w:rsidP="00240E87">
            <w:pPr>
              <w:jc w:val="both"/>
              <w:rPr>
                <w:rFonts w:ascii="Arial" w:hAnsi="Arial" w:cs="Arial"/>
                <w:bCs/>
                <w:sz w:val="20"/>
                <w:szCs w:val="20"/>
              </w:rPr>
            </w:pPr>
            <w:r w:rsidRPr="0084580C">
              <w:rPr>
                <w:rFonts w:ascii="Arial" w:hAnsi="Arial" w:cs="Arial"/>
                <w:bCs/>
                <w:sz w:val="20"/>
                <w:szCs w:val="20"/>
              </w:rPr>
              <w:t xml:space="preserve"> </w:t>
            </w:r>
          </w:p>
        </w:tc>
        <w:tc>
          <w:tcPr>
            <w:tcW w:w="1399" w:type="dxa"/>
            <w:tcBorders>
              <w:top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rPr>
            </w:pPr>
            <w:r w:rsidRPr="0084580C">
              <w:rPr>
                <w:rFonts w:ascii="Arial" w:hAnsi="Arial" w:cs="Arial"/>
                <w:bCs/>
                <w:sz w:val="20"/>
                <w:szCs w:val="20"/>
              </w:rPr>
              <w:lastRenderedPageBreak/>
              <w:t>(Circular 076-2016) Se ejecuta desde el 2016 mediante informes trimestrales a la Dirección Ejecutiva.</w:t>
            </w:r>
          </w:p>
          <w:p w:rsidR="00B76147" w:rsidRPr="0084580C" w:rsidRDefault="00B76147" w:rsidP="00240E87">
            <w:pPr>
              <w:spacing w:after="120" w:line="360" w:lineRule="auto"/>
              <w:jc w:val="both"/>
              <w:rPr>
                <w:rFonts w:ascii="Arial" w:hAnsi="Arial" w:cs="Arial"/>
                <w:bCs/>
                <w:sz w:val="20"/>
                <w:szCs w:val="20"/>
              </w:rPr>
            </w:pPr>
            <w:r w:rsidRPr="0084580C">
              <w:rPr>
                <w:rFonts w:ascii="Arial" w:hAnsi="Arial" w:cs="Arial"/>
                <w:bCs/>
                <w:sz w:val="20"/>
                <w:szCs w:val="20"/>
              </w:rPr>
              <w:t>Informes comparativos mensuales de ejecución presupuestaria.</w:t>
            </w:r>
          </w:p>
          <w:p w:rsidR="00B76147" w:rsidRPr="0084580C" w:rsidRDefault="00B76147" w:rsidP="00240E87">
            <w:pPr>
              <w:spacing w:after="120" w:line="360" w:lineRule="auto"/>
              <w:jc w:val="both"/>
              <w:rPr>
                <w:rFonts w:ascii="Arial" w:hAnsi="Arial" w:cs="Arial"/>
                <w:bCs/>
                <w:sz w:val="20"/>
                <w:szCs w:val="20"/>
              </w:rPr>
            </w:pPr>
            <w:r w:rsidRPr="0084580C">
              <w:rPr>
                <w:rFonts w:ascii="Arial" w:hAnsi="Arial" w:cs="Arial"/>
                <w:bCs/>
                <w:sz w:val="20"/>
                <w:szCs w:val="20"/>
              </w:rPr>
              <w:t xml:space="preserve">Generación mensual de proyecciones de las diferentes subpartidas. </w:t>
            </w:r>
          </w:p>
          <w:p w:rsidR="00B76147" w:rsidRPr="0084580C" w:rsidRDefault="00B76147" w:rsidP="00240E87">
            <w:pPr>
              <w:spacing w:after="120" w:line="360" w:lineRule="auto"/>
              <w:jc w:val="both"/>
              <w:rPr>
                <w:rFonts w:ascii="Arial" w:hAnsi="Arial" w:cs="Arial"/>
                <w:bCs/>
                <w:sz w:val="20"/>
                <w:szCs w:val="20"/>
              </w:rPr>
            </w:pPr>
            <w:r w:rsidRPr="0084580C">
              <w:rPr>
                <w:rFonts w:ascii="Arial" w:hAnsi="Arial" w:cs="Arial"/>
                <w:bCs/>
                <w:sz w:val="20"/>
                <w:szCs w:val="20"/>
              </w:rPr>
              <w:t>Así como revisiones periódicas, del alcance del porcentaje de ejecución con base en las liquidaciones presupuestarias.</w:t>
            </w:r>
          </w:p>
        </w:tc>
        <w:tc>
          <w:tcPr>
            <w:tcW w:w="1469" w:type="dxa"/>
            <w:tcBorders>
              <w:top w:val="single" w:sz="8" w:space="0" w:color="4BACC6"/>
              <w:bottom w:val="single" w:sz="8" w:space="0" w:color="4BACC6"/>
              <w:right w:val="single" w:sz="8" w:space="0" w:color="4BACC6"/>
            </w:tcBorders>
            <w:shd w:val="clear" w:color="auto" w:fill="auto"/>
          </w:tcPr>
          <w:p w:rsidR="00B76147" w:rsidRPr="0084580C" w:rsidRDefault="00B76147" w:rsidP="00240E87">
            <w:pPr>
              <w:jc w:val="both"/>
              <w:rPr>
                <w:rFonts w:ascii="Arial" w:hAnsi="Arial" w:cs="Arial"/>
                <w:bCs/>
                <w:sz w:val="20"/>
                <w:szCs w:val="20"/>
              </w:rPr>
            </w:pPr>
            <w:r w:rsidRPr="0084580C">
              <w:rPr>
                <w:rFonts w:ascii="Arial" w:hAnsi="Arial" w:cs="Arial"/>
                <w:bCs/>
                <w:sz w:val="20"/>
                <w:szCs w:val="20"/>
              </w:rPr>
              <w:t>Administradores de centros gestores, incluyendo el Departamento de Proveeduría, Departamento de Servicios Generales, Macroproceso Financiero Contable, Defensa Pública y Ministerio Público.</w:t>
            </w:r>
          </w:p>
        </w:tc>
      </w:tr>
      <w:tr w:rsidR="00B76147" w:rsidRPr="00CE0210" w:rsidTr="00240E87">
        <w:trPr>
          <w:jc w:val="center"/>
        </w:trPr>
        <w:tc>
          <w:tcPr>
            <w:tcW w:w="0" w:type="auto"/>
            <w:shd w:val="clear" w:color="auto" w:fill="auto"/>
          </w:tcPr>
          <w:p w:rsidR="00B76147" w:rsidRPr="0084580C" w:rsidRDefault="00B76147" w:rsidP="00240E87">
            <w:pPr>
              <w:spacing w:after="120" w:line="360" w:lineRule="auto"/>
              <w:jc w:val="both"/>
              <w:rPr>
                <w:rFonts w:ascii="Arial" w:hAnsi="Arial" w:cs="Arial"/>
                <w:b/>
                <w:bCs/>
                <w:sz w:val="20"/>
                <w:szCs w:val="20"/>
              </w:rPr>
            </w:pPr>
            <w:r w:rsidRPr="0084580C">
              <w:rPr>
                <w:rFonts w:ascii="Arial" w:hAnsi="Arial" w:cs="Arial"/>
                <w:sz w:val="20"/>
                <w:szCs w:val="20"/>
              </w:rPr>
              <w:lastRenderedPageBreak/>
              <w:t>Materiales y suministros</w:t>
            </w:r>
          </w:p>
        </w:tc>
        <w:tc>
          <w:tcPr>
            <w:tcW w:w="0" w:type="auto"/>
            <w:shd w:val="clear" w:color="auto" w:fill="auto"/>
          </w:tcPr>
          <w:p w:rsidR="00B76147" w:rsidRPr="0084580C" w:rsidRDefault="00B76147" w:rsidP="00240E87">
            <w:pPr>
              <w:spacing w:after="120" w:line="360" w:lineRule="auto"/>
              <w:jc w:val="both"/>
              <w:rPr>
                <w:rFonts w:ascii="Arial" w:hAnsi="Arial" w:cs="Arial"/>
                <w:bCs/>
                <w:sz w:val="20"/>
                <w:szCs w:val="20"/>
              </w:rPr>
            </w:pPr>
            <w:r w:rsidRPr="0084580C">
              <w:rPr>
                <w:rFonts w:ascii="Arial" w:hAnsi="Arial" w:cs="Arial"/>
                <w:bCs/>
                <w:sz w:val="20"/>
                <w:szCs w:val="20"/>
              </w:rPr>
              <w:t>86,8%</w:t>
            </w:r>
          </w:p>
        </w:tc>
        <w:tc>
          <w:tcPr>
            <w:tcW w:w="0" w:type="auto"/>
            <w:shd w:val="clear" w:color="auto" w:fill="auto"/>
          </w:tcPr>
          <w:p w:rsidR="00B76147" w:rsidRPr="0084580C" w:rsidRDefault="00B76147" w:rsidP="00240E87">
            <w:pPr>
              <w:jc w:val="both"/>
              <w:rPr>
                <w:rFonts w:ascii="Arial" w:hAnsi="Arial" w:cs="Arial"/>
                <w:bCs/>
                <w:sz w:val="20"/>
                <w:szCs w:val="20"/>
              </w:rPr>
            </w:pPr>
            <w:r w:rsidRPr="0084580C">
              <w:rPr>
                <w:rFonts w:ascii="Arial" w:hAnsi="Arial" w:cs="Arial"/>
                <w:bCs/>
                <w:sz w:val="20"/>
                <w:szCs w:val="20"/>
              </w:rPr>
              <w:t xml:space="preserve">Dentro de los saldos más significativos, se encuentran gastos proyectados cuyo monto fue inferior a lo esperado, tales como repuestos para vehículos, productos eléctricos, entre otros. Los demás corresponden saldos corresponden a remanentes o sobrantes, de compras realizadas, que en algunos casos fueron incorporados en las modificaciones externas Nos. 05 y 06-2018, sin embargo, el Ministerio de Hacienda no autorizó dichos movimientos y por el momento del año en que nos encontrábamos ya no fue posible el trámite de otra modificación externa para </w:t>
            </w:r>
            <w:r w:rsidRPr="0084580C">
              <w:rPr>
                <w:rFonts w:ascii="Arial" w:hAnsi="Arial" w:cs="Arial"/>
                <w:bCs/>
                <w:sz w:val="20"/>
                <w:szCs w:val="20"/>
              </w:rPr>
              <w:lastRenderedPageBreak/>
              <w:t>reutilizar los recursos, por lo que no fue posible ejecutar los mismos.</w:t>
            </w:r>
          </w:p>
          <w:p w:rsidR="00B76147" w:rsidRPr="0084580C" w:rsidRDefault="00B76147" w:rsidP="00240E87">
            <w:pPr>
              <w:jc w:val="both"/>
              <w:rPr>
                <w:rFonts w:ascii="Arial" w:hAnsi="Arial" w:cs="Arial"/>
                <w:bCs/>
                <w:sz w:val="20"/>
                <w:szCs w:val="20"/>
              </w:rPr>
            </w:pPr>
          </w:p>
        </w:tc>
        <w:tc>
          <w:tcPr>
            <w:tcW w:w="0" w:type="auto"/>
            <w:shd w:val="clear" w:color="auto" w:fill="auto"/>
          </w:tcPr>
          <w:p w:rsidR="00B76147" w:rsidRPr="0084580C" w:rsidRDefault="00B76147" w:rsidP="00240E87">
            <w:pPr>
              <w:spacing w:after="120" w:line="360" w:lineRule="auto"/>
              <w:jc w:val="both"/>
              <w:rPr>
                <w:rFonts w:ascii="Arial" w:hAnsi="Arial" w:cs="Arial"/>
                <w:bCs/>
                <w:sz w:val="20"/>
                <w:szCs w:val="20"/>
              </w:rPr>
            </w:pPr>
            <w:r w:rsidRPr="0084580C">
              <w:rPr>
                <w:rFonts w:ascii="Arial" w:hAnsi="Arial" w:cs="Arial"/>
                <w:bCs/>
                <w:sz w:val="20"/>
                <w:szCs w:val="20"/>
              </w:rPr>
              <w:lastRenderedPageBreak/>
              <w:t>El porcentaje de ejecución en esta partida se vio afectado principalmente por la gran cantidad de movimientos que no autorizó el Ministerio de Hacienda que se habían incorporado en las modificaciones externas Nos.:  5-2018 y 6-2018 y que generaron que el mismo no fuera el porcentaje de ejecución óptimo.</w:t>
            </w:r>
          </w:p>
        </w:tc>
        <w:tc>
          <w:tcPr>
            <w:tcW w:w="1450" w:type="dxa"/>
            <w:shd w:val="clear" w:color="auto" w:fill="auto"/>
          </w:tcPr>
          <w:p w:rsidR="00B76147" w:rsidRPr="0084580C" w:rsidRDefault="00B76147" w:rsidP="00240E87">
            <w:pPr>
              <w:jc w:val="both"/>
              <w:rPr>
                <w:rFonts w:ascii="Arial" w:hAnsi="Arial" w:cs="Arial"/>
                <w:bCs/>
                <w:sz w:val="20"/>
                <w:szCs w:val="20"/>
              </w:rPr>
            </w:pPr>
            <w:r w:rsidRPr="0084580C">
              <w:rPr>
                <w:rFonts w:ascii="Arial" w:hAnsi="Arial" w:cs="Arial"/>
                <w:bCs/>
                <w:sz w:val="20"/>
                <w:szCs w:val="20"/>
              </w:rPr>
              <w:t>Las acciones correctivas aplican igual que la partida 1</w:t>
            </w:r>
          </w:p>
        </w:tc>
        <w:tc>
          <w:tcPr>
            <w:tcW w:w="1399" w:type="dxa"/>
            <w:shd w:val="clear" w:color="auto" w:fill="auto"/>
          </w:tcPr>
          <w:p w:rsidR="00B76147" w:rsidRPr="0084580C" w:rsidRDefault="00B76147" w:rsidP="00240E87">
            <w:pPr>
              <w:spacing w:after="120" w:line="360" w:lineRule="auto"/>
              <w:jc w:val="both"/>
              <w:rPr>
                <w:rFonts w:ascii="Arial" w:hAnsi="Arial" w:cs="Arial"/>
                <w:bCs/>
                <w:sz w:val="20"/>
                <w:szCs w:val="20"/>
              </w:rPr>
            </w:pPr>
            <w:r w:rsidRPr="0084580C">
              <w:rPr>
                <w:rFonts w:ascii="Arial" w:hAnsi="Arial" w:cs="Arial"/>
                <w:bCs/>
                <w:sz w:val="20"/>
                <w:szCs w:val="20"/>
              </w:rPr>
              <w:t>(Circular 076-2016) Se ejecuta desde el 2016 mediante informes trimestrales a la Dirección Ejecutiva.</w:t>
            </w:r>
          </w:p>
          <w:p w:rsidR="00B76147" w:rsidRPr="0084580C" w:rsidRDefault="00B76147" w:rsidP="00240E87">
            <w:pPr>
              <w:spacing w:after="120" w:line="360" w:lineRule="auto"/>
              <w:jc w:val="both"/>
              <w:rPr>
                <w:rFonts w:ascii="Arial" w:hAnsi="Arial" w:cs="Arial"/>
                <w:bCs/>
                <w:sz w:val="20"/>
                <w:szCs w:val="20"/>
              </w:rPr>
            </w:pPr>
            <w:r w:rsidRPr="0084580C">
              <w:rPr>
                <w:rFonts w:ascii="Arial" w:hAnsi="Arial" w:cs="Arial"/>
                <w:bCs/>
                <w:sz w:val="20"/>
                <w:szCs w:val="20"/>
              </w:rPr>
              <w:t>Informes comparativos mensuales de ejecución presupuestaria.</w:t>
            </w:r>
          </w:p>
          <w:p w:rsidR="00B76147" w:rsidRPr="0084580C" w:rsidRDefault="00B76147" w:rsidP="00240E87">
            <w:pPr>
              <w:spacing w:after="120" w:line="360" w:lineRule="auto"/>
              <w:jc w:val="both"/>
              <w:rPr>
                <w:rFonts w:ascii="Arial" w:hAnsi="Arial" w:cs="Arial"/>
                <w:bCs/>
                <w:sz w:val="20"/>
                <w:szCs w:val="20"/>
              </w:rPr>
            </w:pPr>
            <w:r w:rsidRPr="0084580C">
              <w:rPr>
                <w:rFonts w:ascii="Arial" w:hAnsi="Arial" w:cs="Arial"/>
                <w:bCs/>
                <w:sz w:val="20"/>
                <w:szCs w:val="20"/>
              </w:rPr>
              <w:t xml:space="preserve">Generación mensual de proyecciones de las diferentes subpartidas. </w:t>
            </w:r>
          </w:p>
          <w:p w:rsidR="00B76147" w:rsidRPr="0084580C" w:rsidRDefault="00B76147" w:rsidP="00240E87">
            <w:pPr>
              <w:spacing w:after="120" w:line="360" w:lineRule="auto"/>
              <w:jc w:val="both"/>
              <w:rPr>
                <w:rFonts w:ascii="Arial" w:hAnsi="Arial" w:cs="Arial"/>
                <w:bCs/>
                <w:sz w:val="20"/>
                <w:szCs w:val="20"/>
              </w:rPr>
            </w:pPr>
            <w:r w:rsidRPr="0084580C">
              <w:rPr>
                <w:rFonts w:ascii="Arial" w:hAnsi="Arial" w:cs="Arial"/>
                <w:bCs/>
                <w:sz w:val="20"/>
                <w:szCs w:val="20"/>
              </w:rPr>
              <w:t xml:space="preserve">Así como revisiones periódicas, del alcance del porcentaje de ejecución con base en las liquidaciones </w:t>
            </w:r>
            <w:r w:rsidRPr="0084580C">
              <w:rPr>
                <w:rFonts w:ascii="Arial" w:hAnsi="Arial" w:cs="Arial"/>
                <w:bCs/>
                <w:sz w:val="20"/>
                <w:szCs w:val="20"/>
              </w:rPr>
              <w:lastRenderedPageBreak/>
              <w:t>presupuestarias.</w:t>
            </w:r>
          </w:p>
        </w:tc>
        <w:tc>
          <w:tcPr>
            <w:tcW w:w="1469" w:type="dxa"/>
            <w:shd w:val="clear" w:color="auto" w:fill="auto"/>
          </w:tcPr>
          <w:p w:rsidR="00B76147" w:rsidRPr="0084580C" w:rsidRDefault="00B76147" w:rsidP="00240E87">
            <w:pPr>
              <w:spacing w:after="120" w:line="360" w:lineRule="auto"/>
              <w:jc w:val="both"/>
              <w:rPr>
                <w:rFonts w:ascii="Arial" w:hAnsi="Arial" w:cs="Arial"/>
                <w:bCs/>
                <w:sz w:val="20"/>
                <w:szCs w:val="20"/>
              </w:rPr>
            </w:pPr>
            <w:r w:rsidRPr="0084580C">
              <w:rPr>
                <w:rFonts w:ascii="Arial" w:hAnsi="Arial" w:cs="Arial"/>
                <w:bCs/>
                <w:sz w:val="20"/>
                <w:szCs w:val="20"/>
              </w:rPr>
              <w:lastRenderedPageBreak/>
              <w:t>Administradores de centros gestores, incluyendo el Departamento de Proveeduría, Departamento Financiero Contable, Departamento de Servicios Generales, Defensa Pública y Ministerio Público..</w:t>
            </w:r>
          </w:p>
        </w:tc>
      </w:tr>
      <w:tr w:rsidR="00B76147" w:rsidRPr="00CE0210" w:rsidTr="00240E87">
        <w:trPr>
          <w:jc w:val="center"/>
        </w:trPr>
        <w:tc>
          <w:tcPr>
            <w:tcW w:w="0" w:type="auto"/>
            <w:tcBorders>
              <w:top w:val="single" w:sz="8" w:space="0" w:color="4BACC6"/>
              <w:left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
                <w:bCs/>
                <w:sz w:val="20"/>
                <w:szCs w:val="20"/>
                <w:highlight w:val="yellow"/>
              </w:rPr>
            </w:pPr>
          </w:p>
        </w:tc>
        <w:tc>
          <w:tcPr>
            <w:tcW w:w="0" w:type="auto"/>
            <w:tcBorders>
              <w:top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rPr>
            </w:pPr>
          </w:p>
        </w:tc>
        <w:tc>
          <w:tcPr>
            <w:tcW w:w="0" w:type="auto"/>
            <w:tcBorders>
              <w:top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rPr>
            </w:pPr>
          </w:p>
        </w:tc>
        <w:tc>
          <w:tcPr>
            <w:tcW w:w="0" w:type="auto"/>
            <w:tcBorders>
              <w:top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highlight w:val="yellow"/>
              </w:rPr>
            </w:pPr>
          </w:p>
        </w:tc>
        <w:tc>
          <w:tcPr>
            <w:tcW w:w="1450" w:type="dxa"/>
            <w:tcBorders>
              <w:top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rPr>
            </w:pPr>
          </w:p>
        </w:tc>
        <w:tc>
          <w:tcPr>
            <w:tcW w:w="1399" w:type="dxa"/>
            <w:tcBorders>
              <w:top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rPr>
            </w:pPr>
          </w:p>
        </w:tc>
        <w:tc>
          <w:tcPr>
            <w:tcW w:w="1469" w:type="dxa"/>
            <w:tcBorders>
              <w:top w:val="single" w:sz="8" w:space="0" w:color="4BACC6"/>
              <w:bottom w:val="single" w:sz="8" w:space="0" w:color="4BACC6"/>
              <w:right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rPr>
            </w:pPr>
          </w:p>
        </w:tc>
      </w:tr>
      <w:tr w:rsidR="00B76147" w:rsidRPr="00CE0210" w:rsidTr="00240E87">
        <w:trPr>
          <w:jc w:val="center"/>
        </w:trPr>
        <w:tc>
          <w:tcPr>
            <w:tcW w:w="0" w:type="auto"/>
            <w:shd w:val="clear" w:color="auto" w:fill="auto"/>
          </w:tcPr>
          <w:p w:rsidR="00B76147" w:rsidRPr="0084580C" w:rsidRDefault="00B76147" w:rsidP="00240E87">
            <w:pPr>
              <w:spacing w:after="120" w:line="360" w:lineRule="auto"/>
              <w:jc w:val="both"/>
              <w:rPr>
                <w:rFonts w:ascii="Arial" w:hAnsi="Arial" w:cs="Arial"/>
                <w:b/>
                <w:bCs/>
                <w:sz w:val="20"/>
                <w:szCs w:val="20"/>
                <w:highlight w:val="yellow"/>
              </w:rPr>
            </w:pPr>
          </w:p>
        </w:tc>
        <w:tc>
          <w:tcPr>
            <w:tcW w:w="0" w:type="auto"/>
            <w:shd w:val="clear" w:color="auto" w:fill="auto"/>
          </w:tcPr>
          <w:p w:rsidR="00B76147" w:rsidRPr="0084580C" w:rsidRDefault="00B76147" w:rsidP="00240E87">
            <w:pPr>
              <w:spacing w:after="120" w:line="360" w:lineRule="auto"/>
              <w:jc w:val="both"/>
              <w:rPr>
                <w:rFonts w:ascii="Arial" w:hAnsi="Arial" w:cs="Arial"/>
                <w:bCs/>
                <w:sz w:val="20"/>
                <w:szCs w:val="20"/>
              </w:rPr>
            </w:pPr>
          </w:p>
        </w:tc>
        <w:tc>
          <w:tcPr>
            <w:tcW w:w="0" w:type="auto"/>
            <w:shd w:val="clear" w:color="auto" w:fill="auto"/>
          </w:tcPr>
          <w:p w:rsidR="00B76147" w:rsidRPr="0084580C" w:rsidRDefault="00B76147" w:rsidP="00240E87">
            <w:pPr>
              <w:spacing w:after="120" w:line="360" w:lineRule="auto"/>
              <w:jc w:val="both"/>
              <w:rPr>
                <w:rFonts w:ascii="Arial" w:hAnsi="Arial" w:cs="Arial"/>
                <w:bCs/>
                <w:sz w:val="20"/>
                <w:szCs w:val="20"/>
              </w:rPr>
            </w:pPr>
          </w:p>
        </w:tc>
        <w:tc>
          <w:tcPr>
            <w:tcW w:w="0" w:type="auto"/>
            <w:shd w:val="clear" w:color="auto" w:fill="auto"/>
          </w:tcPr>
          <w:p w:rsidR="00B76147" w:rsidRPr="0084580C" w:rsidRDefault="00B76147" w:rsidP="00240E87">
            <w:pPr>
              <w:spacing w:after="120" w:line="360" w:lineRule="auto"/>
              <w:jc w:val="both"/>
              <w:rPr>
                <w:rFonts w:ascii="Arial" w:hAnsi="Arial" w:cs="Arial"/>
                <w:bCs/>
                <w:sz w:val="20"/>
                <w:szCs w:val="20"/>
                <w:highlight w:val="yellow"/>
              </w:rPr>
            </w:pPr>
          </w:p>
        </w:tc>
        <w:tc>
          <w:tcPr>
            <w:tcW w:w="1450" w:type="dxa"/>
            <w:shd w:val="clear" w:color="auto" w:fill="auto"/>
          </w:tcPr>
          <w:p w:rsidR="00B76147" w:rsidRPr="0084580C" w:rsidRDefault="00B76147" w:rsidP="00240E87">
            <w:pPr>
              <w:spacing w:after="120" w:line="360" w:lineRule="auto"/>
              <w:jc w:val="both"/>
              <w:rPr>
                <w:rFonts w:ascii="Arial" w:hAnsi="Arial" w:cs="Arial"/>
                <w:bCs/>
                <w:sz w:val="20"/>
                <w:szCs w:val="20"/>
              </w:rPr>
            </w:pPr>
          </w:p>
        </w:tc>
        <w:tc>
          <w:tcPr>
            <w:tcW w:w="1399" w:type="dxa"/>
            <w:shd w:val="clear" w:color="auto" w:fill="auto"/>
          </w:tcPr>
          <w:p w:rsidR="00B76147" w:rsidRPr="0084580C" w:rsidRDefault="00B76147" w:rsidP="00240E87">
            <w:pPr>
              <w:spacing w:after="120" w:line="360" w:lineRule="auto"/>
              <w:jc w:val="both"/>
              <w:rPr>
                <w:rFonts w:ascii="Arial" w:hAnsi="Arial" w:cs="Arial"/>
                <w:bCs/>
                <w:sz w:val="20"/>
                <w:szCs w:val="20"/>
              </w:rPr>
            </w:pPr>
          </w:p>
        </w:tc>
        <w:tc>
          <w:tcPr>
            <w:tcW w:w="1469" w:type="dxa"/>
            <w:shd w:val="clear" w:color="auto" w:fill="auto"/>
          </w:tcPr>
          <w:p w:rsidR="00B76147" w:rsidRPr="0084580C" w:rsidRDefault="00B76147" w:rsidP="00240E87">
            <w:pPr>
              <w:spacing w:after="120" w:line="360" w:lineRule="auto"/>
              <w:jc w:val="both"/>
              <w:rPr>
                <w:rFonts w:ascii="Arial" w:hAnsi="Arial" w:cs="Arial"/>
                <w:bCs/>
                <w:sz w:val="20"/>
                <w:szCs w:val="20"/>
              </w:rPr>
            </w:pPr>
          </w:p>
        </w:tc>
      </w:tr>
      <w:tr w:rsidR="00B76147" w:rsidRPr="00CE0210" w:rsidTr="00240E87">
        <w:trPr>
          <w:jc w:val="center"/>
        </w:trPr>
        <w:tc>
          <w:tcPr>
            <w:tcW w:w="0" w:type="auto"/>
            <w:tcBorders>
              <w:top w:val="single" w:sz="8" w:space="0" w:color="4BACC6"/>
              <w:left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
                <w:bCs/>
                <w:sz w:val="20"/>
                <w:szCs w:val="20"/>
                <w:highlight w:val="yellow"/>
              </w:rPr>
            </w:pPr>
          </w:p>
        </w:tc>
        <w:tc>
          <w:tcPr>
            <w:tcW w:w="0" w:type="auto"/>
            <w:tcBorders>
              <w:top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rPr>
            </w:pPr>
          </w:p>
        </w:tc>
        <w:tc>
          <w:tcPr>
            <w:tcW w:w="0" w:type="auto"/>
            <w:tcBorders>
              <w:top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rPr>
            </w:pPr>
          </w:p>
        </w:tc>
        <w:tc>
          <w:tcPr>
            <w:tcW w:w="0" w:type="auto"/>
            <w:tcBorders>
              <w:top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highlight w:val="yellow"/>
              </w:rPr>
            </w:pPr>
          </w:p>
        </w:tc>
        <w:tc>
          <w:tcPr>
            <w:tcW w:w="1450" w:type="dxa"/>
            <w:tcBorders>
              <w:top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rPr>
            </w:pPr>
          </w:p>
        </w:tc>
        <w:tc>
          <w:tcPr>
            <w:tcW w:w="1399" w:type="dxa"/>
            <w:tcBorders>
              <w:top w:val="single" w:sz="8" w:space="0" w:color="4BACC6"/>
              <w:bottom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rPr>
            </w:pPr>
          </w:p>
        </w:tc>
        <w:tc>
          <w:tcPr>
            <w:tcW w:w="1469" w:type="dxa"/>
            <w:tcBorders>
              <w:top w:val="single" w:sz="8" w:space="0" w:color="4BACC6"/>
              <w:bottom w:val="single" w:sz="8" w:space="0" w:color="4BACC6"/>
              <w:right w:val="single" w:sz="8" w:space="0" w:color="4BACC6"/>
            </w:tcBorders>
            <w:shd w:val="clear" w:color="auto" w:fill="auto"/>
          </w:tcPr>
          <w:p w:rsidR="00B76147" w:rsidRPr="0084580C" w:rsidRDefault="00B76147" w:rsidP="00240E87">
            <w:pPr>
              <w:spacing w:after="120" w:line="360" w:lineRule="auto"/>
              <w:jc w:val="both"/>
              <w:rPr>
                <w:rFonts w:ascii="Arial" w:hAnsi="Arial" w:cs="Arial"/>
                <w:bCs/>
                <w:sz w:val="20"/>
                <w:szCs w:val="20"/>
              </w:rPr>
            </w:pPr>
          </w:p>
        </w:tc>
      </w:tr>
    </w:tbl>
    <w:p w:rsidR="00B76147" w:rsidRPr="00375150" w:rsidRDefault="00B76147" w:rsidP="00B76147">
      <w:pPr>
        <w:ind w:left="-709" w:right="-1083"/>
        <w:rPr>
          <w:rFonts w:ascii="Arial" w:hAnsi="Arial" w:cs="Arial"/>
          <w:sz w:val="14"/>
          <w:szCs w:val="14"/>
        </w:rPr>
      </w:pPr>
      <w:r w:rsidRPr="0077710A">
        <w:rPr>
          <w:rFonts w:ascii="Arial" w:hAnsi="Arial" w:cs="Arial"/>
          <w:color w:val="000000"/>
          <w:sz w:val="14"/>
          <w:szCs w:val="14"/>
        </w:rPr>
        <w:t xml:space="preserve">1/ </w:t>
      </w:r>
      <w:r w:rsidRPr="00375150">
        <w:rPr>
          <w:rFonts w:ascii="Arial" w:hAnsi="Arial" w:cs="Arial"/>
          <w:sz w:val="14"/>
          <w:szCs w:val="14"/>
        </w:rPr>
        <w:t>Esta columna deben completarla únicamente las entidades que tienen en la Ley producción cuantificable (productos, indicadores, metas)</w:t>
      </w:r>
    </w:p>
    <w:p w:rsidR="00B76147" w:rsidRPr="00375150" w:rsidRDefault="00B76147" w:rsidP="00B76147">
      <w:pPr>
        <w:ind w:left="-709" w:right="-1083"/>
        <w:rPr>
          <w:rFonts w:ascii="Arial" w:hAnsi="Arial" w:cs="Arial"/>
          <w:sz w:val="14"/>
          <w:szCs w:val="14"/>
        </w:rPr>
      </w:pPr>
      <w:r w:rsidRPr="00375150">
        <w:rPr>
          <w:rFonts w:ascii="Arial" w:hAnsi="Arial" w:cs="Arial"/>
          <w:sz w:val="14"/>
          <w:szCs w:val="14"/>
        </w:rPr>
        <w:t>2/ Indicar la fecha del 2019 en que iniciará la implementación de la acción correctiva, ejemplo: dd/mm/aaaa. En caso de no indicarlo, la DGPN  establecerá el plazo correspondiente, para su fiscalización.</w:t>
      </w:r>
    </w:p>
    <w:p w:rsidR="00B76147" w:rsidRPr="00375150" w:rsidRDefault="00B76147" w:rsidP="00B76147">
      <w:pPr>
        <w:ind w:left="-709" w:right="-1083"/>
        <w:rPr>
          <w:rFonts w:ascii="Arial" w:hAnsi="Arial" w:cs="Arial"/>
          <w:color w:val="000000"/>
          <w:sz w:val="14"/>
          <w:szCs w:val="14"/>
        </w:rPr>
      </w:pPr>
      <w:r w:rsidRPr="00375150">
        <w:rPr>
          <w:rFonts w:ascii="Arial" w:hAnsi="Arial" w:cs="Arial"/>
          <w:sz w:val="14"/>
          <w:szCs w:val="14"/>
        </w:rPr>
        <w:t xml:space="preserve">3/ </w:t>
      </w:r>
      <w:r w:rsidRPr="00375150">
        <w:rPr>
          <w:rFonts w:ascii="Arial" w:hAnsi="Arial" w:cs="Arial"/>
          <w:color w:val="000000"/>
          <w:sz w:val="14"/>
          <w:szCs w:val="14"/>
        </w:rPr>
        <w:t>Se refiere a la persona responsable directa de ejecutar la acción, no necesariamente debe ser el (la) Director (a) del Programa o Subprograma.</w:t>
      </w:r>
    </w:p>
    <w:p w:rsidR="00B76147" w:rsidRPr="0084580C" w:rsidRDefault="00B76147" w:rsidP="00B76147">
      <w:pPr>
        <w:jc w:val="center"/>
        <w:rPr>
          <w:rFonts w:ascii="Arial" w:hAnsi="Arial" w:cs="Arial"/>
          <w:sz w:val="20"/>
          <w:szCs w:val="20"/>
        </w:rPr>
      </w:pPr>
    </w:p>
    <w:p w:rsidR="00B76147" w:rsidRPr="0084580C" w:rsidRDefault="00B76147" w:rsidP="00B76147">
      <w:pPr>
        <w:jc w:val="center"/>
        <w:rPr>
          <w:rFonts w:ascii="Arial" w:hAnsi="Arial" w:cs="Arial"/>
          <w:sz w:val="20"/>
          <w:szCs w:val="20"/>
        </w:rPr>
      </w:pPr>
    </w:p>
    <w:p w:rsidR="00B76147" w:rsidRPr="0084580C" w:rsidRDefault="00B76147" w:rsidP="00B76147">
      <w:pPr>
        <w:jc w:val="center"/>
        <w:rPr>
          <w:rFonts w:ascii="Arial" w:hAnsi="Arial" w:cs="Arial"/>
          <w:sz w:val="20"/>
          <w:szCs w:val="20"/>
        </w:rPr>
      </w:pPr>
    </w:p>
    <w:p w:rsidR="00B76147" w:rsidRPr="0084580C" w:rsidRDefault="00B76147" w:rsidP="00B76147">
      <w:pPr>
        <w:jc w:val="center"/>
        <w:rPr>
          <w:rFonts w:ascii="Arial" w:hAnsi="Arial" w:cs="Arial"/>
          <w:sz w:val="20"/>
          <w:szCs w:val="20"/>
        </w:rPr>
      </w:pPr>
    </w:p>
    <w:p w:rsidR="00B76147" w:rsidRPr="0084580C" w:rsidRDefault="00B76147" w:rsidP="00B76147">
      <w:pPr>
        <w:jc w:val="center"/>
        <w:rPr>
          <w:rFonts w:ascii="Arial" w:hAnsi="Arial" w:cs="Arial"/>
          <w:sz w:val="20"/>
          <w:szCs w:val="20"/>
        </w:rPr>
      </w:pPr>
    </w:p>
    <w:p w:rsidR="009F1AF3" w:rsidRPr="0084580C" w:rsidRDefault="009F1AF3" w:rsidP="00B76147">
      <w:pPr>
        <w:jc w:val="center"/>
        <w:rPr>
          <w:rFonts w:ascii="Arial" w:hAnsi="Arial" w:cs="Arial"/>
          <w:sz w:val="20"/>
          <w:szCs w:val="20"/>
        </w:rPr>
      </w:pPr>
    </w:p>
    <w:p w:rsidR="008574B9" w:rsidRPr="0084580C" w:rsidRDefault="008574B9" w:rsidP="00B76147">
      <w:pPr>
        <w:jc w:val="center"/>
        <w:rPr>
          <w:rFonts w:ascii="Arial" w:hAnsi="Arial" w:cs="Arial"/>
          <w:sz w:val="20"/>
          <w:szCs w:val="20"/>
        </w:rPr>
      </w:pPr>
    </w:p>
    <w:p w:rsidR="00A742FC" w:rsidRDefault="00A742FC">
      <w:pPr>
        <w:rPr>
          <w:rFonts w:ascii="Arial" w:hAnsi="Arial" w:cs="Arial"/>
          <w:sz w:val="20"/>
          <w:szCs w:val="20"/>
        </w:rPr>
      </w:pPr>
      <w:r>
        <w:rPr>
          <w:rFonts w:ascii="Arial" w:hAnsi="Arial" w:cs="Arial"/>
          <w:sz w:val="20"/>
          <w:szCs w:val="20"/>
        </w:rPr>
        <w:br w:type="page"/>
      </w:r>
    </w:p>
    <w:p w:rsidR="00F70670" w:rsidRPr="00375150" w:rsidRDefault="00F70670" w:rsidP="00B753A3">
      <w:pPr>
        <w:pStyle w:val="Ttulo"/>
        <w:rPr>
          <w:rFonts w:cs="Arial"/>
          <w:sz w:val="20"/>
          <w:szCs w:val="20"/>
          <w:lang w:val="es-ES"/>
        </w:rPr>
      </w:pPr>
    </w:p>
    <w:p w:rsidR="00A81C19" w:rsidRPr="00CE0210" w:rsidRDefault="00A81C19" w:rsidP="00A81C19">
      <w:pPr>
        <w:jc w:val="center"/>
        <w:rPr>
          <w:rFonts w:ascii="Arial" w:hAnsi="Arial" w:cs="Arial"/>
          <w:b/>
          <w:sz w:val="20"/>
          <w:szCs w:val="20"/>
          <w:lang w:val="es-ES_tradnl"/>
        </w:rPr>
      </w:pPr>
      <w:r w:rsidRPr="00CE0210">
        <w:rPr>
          <w:rFonts w:ascii="Arial" w:hAnsi="Arial" w:cs="Arial"/>
          <w:b/>
          <w:sz w:val="20"/>
          <w:szCs w:val="20"/>
          <w:lang w:val="es-ES_tradnl"/>
        </w:rPr>
        <w:t>Cuadro 1.</w:t>
      </w:r>
      <w:r w:rsidR="004065A8" w:rsidRPr="00CE0210">
        <w:rPr>
          <w:rFonts w:ascii="Arial" w:hAnsi="Arial" w:cs="Arial"/>
          <w:b/>
          <w:sz w:val="20"/>
          <w:szCs w:val="20"/>
          <w:lang w:val="es-ES_tradnl"/>
        </w:rPr>
        <w:t>3</w:t>
      </w:r>
      <w:r w:rsidR="00590A48" w:rsidRPr="00CE0210">
        <w:rPr>
          <w:rFonts w:ascii="Arial" w:hAnsi="Arial" w:cs="Arial"/>
          <w:b/>
          <w:sz w:val="20"/>
          <w:szCs w:val="20"/>
          <w:lang w:val="es-ES_tradnl"/>
        </w:rPr>
        <w:t xml:space="preserve">   </w:t>
      </w:r>
    </w:p>
    <w:p w:rsidR="0084626E" w:rsidRPr="0084580C" w:rsidRDefault="0084626E" w:rsidP="00A81C19">
      <w:pPr>
        <w:jc w:val="center"/>
        <w:rPr>
          <w:rFonts w:ascii="Arial" w:hAnsi="Arial" w:cs="Arial"/>
          <w:b/>
          <w:sz w:val="20"/>
          <w:szCs w:val="20"/>
          <w:lang w:val="es-MX"/>
        </w:rPr>
      </w:pPr>
      <w:r w:rsidRPr="0084580C">
        <w:rPr>
          <w:rFonts w:ascii="Arial" w:hAnsi="Arial" w:cs="Arial"/>
          <w:b/>
          <w:sz w:val="20"/>
          <w:szCs w:val="20"/>
          <w:lang w:val="es-MX"/>
        </w:rPr>
        <w:t>Programa Presupuestario 950 “Servicio de Atención y Protección a Víctimas y demás sujetos intervinientes en el Proceso Penal”</w:t>
      </w:r>
    </w:p>
    <w:p w:rsidR="00A81C19" w:rsidRPr="0084580C" w:rsidRDefault="00A81C19" w:rsidP="00A81C19">
      <w:pPr>
        <w:jc w:val="center"/>
        <w:rPr>
          <w:rFonts w:ascii="Arial" w:hAnsi="Arial" w:cs="Arial"/>
          <w:b/>
          <w:sz w:val="20"/>
          <w:szCs w:val="20"/>
          <w:lang w:val="es-ES_tradnl"/>
        </w:rPr>
      </w:pPr>
      <w:r w:rsidRPr="0084580C">
        <w:rPr>
          <w:rFonts w:ascii="Arial" w:hAnsi="Arial" w:cs="Arial"/>
          <w:b/>
          <w:sz w:val="20"/>
          <w:szCs w:val="20"/>
          <w:lang w:val="es-ES_tradnl"/>
        </w:rPr>
        <w:t>Factores y acciones correctivas para resultados inferiores o iguales a 90% de ejecución</w:t>
      </w:r>
    </w:p>
    <w:p w:rsidR="00A81C19" w:rsidRPr="0084580C" w:rsidRDefault="00A81C19" w:rsidP="00A81C19">
      <w:pPr>
        <w:jc w:val="center"/>
        <w:rPr>
          <w:rFonts w:ascii="Arial" w:hAnsi="Arial" w:cs="Arial"/>
          <w:b/>
          <w:sz w:val="20"/>
          <w:szCs w:val="20"/>
          <w:lang w:val="es-ES_tradnl"/>
        </w:rPr>
      </w:pPr>
      <w:r w:rsidRPr="0084580C">
        <w:rPr>
          <w:rFonts w:ascii="Arial" w:hAnsi="Arial" w:cs="Arial"/>
          <w:b/>
          <w:sz w:val="20"/>
          <w:szCs w:val="20"/>
          <w:lang w:val="es-ES_tradnl"/>
        </w:rPr>
        <w:t>Al 31 de diciembre 2018</w:t>
      </w:r>
    </w:p>
    <w:p w:rsidR="008574B9" w:rsidRPr="0077710A" w:rsidRDefault="008574B9" w:rsidP="00A81C19">
      <w:pPr>
        <w:jc w:val="center"/>
        <w:rPr>
          <w:rFonts w:ascii="Arial" w:hAnsi="Arial" w:cs="Arial"/>
          <w:sz w:val="20"/>
          <w:szCs w:val="20"/>
          <w:lang w:val="es-ES_tradnl"/>
        </w:rPr>
      </w:pPr>
    </w:p>
    <w:p w:rsidR="008574B9" w:rsidRPr="00375150" w:rsidRDefault="008574B9" w:rsidP="00A81C19">
      <w:pPr>
        <w:jc w:val="center"/>
        <w:rPr>
          <w:rFonts w:ascii="Arial" w:hAnsi="Arial" w:cs="Arial"/>
          <w:sz w:val="20"/>
          <w:szCs w:val="20"/>
          <w:lang w:val="es-ES_tradnl"/>
        </w:rPr>
      </w:pPr>
    </w:p>
    <w:tbl>
      <w:tblPr>
        <w:tblStyle w:val="Listaclara-nfasis5"/>
        <w:tblW w:w="10745"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9"/>
        <w:gridCol w:w="1239"/>
        <w:gridCol w:w="1640"/>
        <w:gridCol w:w="1651"/>
        <w:gridCol w:w="1551"/>
        <w:gridCol w:w="1739"/>
        <w:gridCol w:w="1461"/>
      </w:tblGrid>
      <w:tr w:rsidR="008574B9" w:rsidRPr="00375150" w:rsidTr="0084580C">
        <w:trPr>
          <w:cnfStyle w:val="100000000000"/>
          <w:trHeight w:val="1233"/>
        </w:trPr>
        <w:tc>
          <w:tcPr>
            <w:cnfStyle w:val="001000000000"/>
            <w:tcW w:w="0" w:type="auto"/>
          </w:tcPr>
          <w:p w:rsidR="008574B9" w:rsidRPr="0084580C" w:rsidRDefault="008574B9" w:rsidP="00EF5E68">
            <w:pPr>
              <w:spacing w:after="120"/>
              <w:jc w:val="center"/>
              <w:rPr>
                <w:rFonts w:ascii="Arial" w:hAnsi="Arial" w:cs="Arial"/>
                <w:bCs w:val="0"/>
                <w:sz w:val="20"/>
                <w:szCs w:val="20"/>
              </w:rPr>
            </w:pPr>
            <w:r w:rsidRPr="0084580C">
              <w:rPr>
                <w:rFonts w:ascii="Arial" w:hAnsi="Arial" w:cs="Arial"/>
                <w:sz w:val="20"/>
                <w:szCs w:val="20"/>
              </w:rPr>
              <w:t xml:space="preserve">Nombre de la Partida </w:t>
            </w:r>
          </w:p>
        </w:tc>
        <w:tc>
          <w:tcPr>
            <w:tcW w:w="0" w:type="auto"/>
          </w:tcPr>
          <w:p w:rsidR="008574B9" w:rsidRPr="0084580C" w:rsidRDefault="008574B9" w:rsidP="00EF5E68">
            <w:pPr>
              <w:spacing w:after="120"/>
              <w:jc w:val="center"/>
              <w:cnfStyle w:val="100000000000"/>
              <w:rPr>
                <w:rFonts w:ascii="Arial" w:hAnsi="Arial" w:cs="Arial"/>
                <w:bCs w:val="0"/>
                <w:sz w:val="20"/>
                <w:szCs w:val="20"/>
              </w:rPr>
            </w:pPr>
            <w:r w:rsidRPr="0084580C">
              <w:rPr>
                <w:rFonts w:ascii="Arial" w:hAnsi="Arial" w:cs="Arial"/>
                <w:sz w:val="20"/>
                <w:szCs w:val="20"/>
              </w:rPr>
              <w:t>Porcentaje de ejecución</w:t>
            </w:r>
          </w:p>
        </w:tc>
        <w:tc>
          <w:tcPr>
            <w:tcW w:w="0" w:type="auto"/>
          </w:tcPr>
          <w:p w:rsidR="008574B9" w:rsidRPr="0084580C" w:rsidRDefault="008574B9" w:rsidP="00EF5E68">
            <w:pPr>
              <w:spacing w:after="120"/>
              <w:jc w:val="center"/>
              <w:cnfStyle w:val="100000000000"/>
              <w:rPr>
                <w:rFonts w:ascii="Arial" w:hAnsi="Arial" w:cs="Arial"/>
                <w:bCs w:val="0"/>
                <w:sz w:val="20"/>
                <w:szCs w:val="20"/>
              </w:rPr>
            </w:pPr>
            <w:r w:rsidRPr="0084580C">
              <w:rPr>
                <w:rFonts w:ascii="Arial" w:hAnsi="Arial" w:cs="Arial"/>
                <w:sz w:val="20"/>
                <w:szCs w:val="20"/>
              </w:rPr>
              <w:t>Factores que incidieron en la subejecución</w:t>
            </w:r>
          </w:p>
        </w:tc>
        <w:tc>
          <w:tcPr>
            <w:tcW w:w="0" w:type="auto"/>
          </w:tcPr>
          <w:p w:rsidR="008574B9" w:rsidRPr="0084580C" w:rsidRDefault="008574B9" w:rsidP="00EF5E68">
            <w:pPr>
              <w:spacing w:after="120"/>
              <w:jc w:val="center"/>
              <w:cnfStyle w:val="100000000000"/>
              <w:rPr>
                <w:rFonts w:ascii="Arial" w:hAnsi="Arial" w:cs="Arial"/>
                <w:bCs w:val="0"/>
                <w:sz w:val="20"/>
                <w:szCs w:val="20"/>
                <w:highlight w:val="yellow"/>
              </w:rPr>
            </w:pPr>
            <w:r w:rsidRPr="0084580C">
              <w:rPr>
                <w:rFonts w:ascii="Arial" w:hAnsi="Arial" w:cs="Arial"/>
                <w:sz w:val="20"/>
                <w:szCs w:val="20"/>
              </w:rPr>
              <w:t xml:space="preserve">Indicar cómo el porcentaje de ejecución afectó la programación presupuestaria </w:t>
            </w:r>
            <w:r w:rsidRPr="0084580C">
              <w:rPr>
                <w:rFonts w:ascii="Arial" w:hAnsi="Arial" w:cs="Arial"/>
                <w:sz w:val="20"/>
                <w:szCs w:val="20"/>
                <w:vertAlign w:val="superscript"/>
              </w:rPr>
              <w:t>1/</w:t>
            </w:r>
          </w:p>
        </w:tc>
        <w:tc>
          <w:tcPr>
            <w:tcW w:w="0" w:type="dxa"/>
          </w:tcPr>
          <w:p w:rsidR="008574B9" w:rsidRPr="0084580C" w:rsidRDefault="008574B9" w:rsidP="00EF5E68">
            <w:pPr>
              <w:spacing w:after="120"/>
              <w:jc w:val="center"/>
              <w:cnfStyle w:val="100000000000"/>
              <w:rPr>
                <w:rFonts w:ascii="Arial" w:hAnsi="Arial" w:cs="Arial"/>
                <w:bCs w:val="0"/>
                <w:sz w:val="20"/>
                <w:szCs w:val="20"/>
              </w:rPr>
            </w:pPr>
            <w:r w:rsidRPr="0084580C">
              <w:rPr>
                <w:rFonts w:ascii="Arial" w:hAnsi="Arial" w:cs="Arial"/>
                <w:sz w:val="20"/>
                <w:szCs w:val="20"/>
              </w:rPr>
              <w:t>Acciones correctivas para mejorar el resultado de ejecución</w:t>
            </w:r>
          </w:p>
        </w:tc>
        <w:tc>
          <w:tcPr>
            <w:tcW w:w="0" w:type="dxa"/>
          </w:tcPr>
          <w:p w:rsidR="008574B9" w:rsidRPr="0084580C" w:rsidRDefault="008574B9" w:rsidP="00EF5E68">
            <w:pPr>
              <w:spacing w:after="120"/>
              <w:jc w:val="center"/>
              <w:cnfStyle w:val="100000000000"/>
              <w:rPr>
                <w:rFonts w:ascii="Arial" w:hAnsi="Arial" w:cs="Arial"/>
                <w:sz w:val="20"/>
                <w:szCs w:val="20"/>
              </w:rPr>
            </w:pPr>
            <w:r w:rsidRPr="0084580C">
              <w:rPr>
                <w:rFonts w:ascii="Arial" w:hAnsi="Arial" w:cs="Arial"/>
                <w:sz w:val="20"/>
                <w:szCs w:val="20"/>
              </w:rPr>
              <w:t xml:space="preserve">Plazo de implementación </w:t>
            </w:r>
            <w:r w:rsidRPr="0084580C">
              <w:rPr>
                <w:rFonts w:ascii="Arial" w:hAnsi="Arial" w:cs="Arial"/>
                <w:sz w:val="20"/>
                <w:szCs w:val="20"/>
                <w:vertAlign w:val="superscript"/>
              </w:rPr>
              <w:t>/2</w:t>
            </w:r>
          </w:p>
        </w:tc>
        <w:tc>
          <w:tcPr>
            <w:tcW w:w="1461" w:type="dxa"/>
          </w:tcPr>
          <w:p w:rsidR="008574B9" w:rsidRPr="0084580C" w:rsidRDefault="008574B9" w:rsidP="00EF5E68">
            <w:pPr>
              <w:spacing w:after="120"/>
              <w:jc w:val="center"/>
              <w:cnfStyle w:val="100000000000"/>
              <w:rPr>
                <w:rFonts w:ascii="Arial" w:hAnsi="Arial" w:cs="Arial"/>
                <w:bCs w:val="0"/>
                <w:sz w:val="20"/>
                <w:szCs w:val="20"/>
              </w:rPr>
            </w:pPr>
            <w:r w:rsidRPr="0084580C">
              <w:rPr>
                <w:rFonts w:ascii="Arial" w:hAnsi="Arial" w:cs="Arial"/>
                <w:sz w:val="20"/>
                <w:szCs w:val="20"/>
              </w:rPr>
              <w:t xml:space="preserve">Responsable </w:t>
            </w:r>
            <w:r w:rsidRPr="0084580C">
              <w:rPr>
                <w:rFonts w:ascii="Arial" w:hAnsi="Arial" w:cs="Arial"/>
                <w:sz w:val="20"/>
                <w:szCs w:val="20"/>
                <w:vertAlign w:val="superscript"/>
              </w:rPr>
              <w:t>/3</w:t>
            </w:r>
          </w:p>
        </w:tc>
      </w:tr>
      <w:tr w:rsidR="008574B9" w:rsidRPr="00375150" w:rsidTr="0084580C">
        <w:trPr>
          <w:cnfStyle w:val="000000100000"/>
          <w:trHeight w:val="6853"/>
        </w:trPr>
        <w:tc>
          <w:tcPr>
            <w:cnfStyle w:val="001000000000"/>
            <w:tcW w:w="0" w:type="auto"/>
            <w:tcBorders>
              <w:top w:val="none" w:sz="0" w:space="0" w:color="auto"/>
              <w:left w:val="none" w:sz="0" w:space="0" w:color="auto"/>
              <w:bottom w:val="none" w:sz="0" w:space="0" w:color="auto"/>
            </w:tcBorders>
          </w:tcPr>
          <w:p w:rsidR="008574B9" w:rsidRPr="0084580C" w:rsidRDefault="008574B9" w:rsidP="00EF5E68">
            <w:pPr>
              <w:spacing w:after="120" w:line="360" w:lineRule="auto"/>
              <w:jc w:val="both"/>
              <w:rPr>
                <w:rFonts w:ascii="Arial" w:hAnsi="Arial" w:cs="Arial"/>
                <w:b w:val="0"/>
                <w:sz w:val="20"/>
                <w:szCs w:val="20"/>
              </w:rPr>
            </w:pPr>
            <w:r w:rsidRPr="0084580C">
              <w:rPr>
                <w:rFonts w:ascii="Arial" w:hAnsi="Arial" w:cs="Arial"/>
                <w:sz w:val="20"/>
                <w:szCs w:val="20"/>
              </w:rPr>
              <w:t xml:space="preserve">Servicios </w:t>
            </w:r>
          </w:p>
        </w:tc>
        <w:tc>
          <w:tcPr>
            <w:tcW w:w="0" w:type="auto"/>
            <w:tcBorders>
              <w:top w:val="none" w:sz="0" w:space="0" w:color="auto"/>
              <w:bottom w:val="none" w:sz="0" w:space="0" w:color="auto"/>
            </w:tcBorders>
          </w:tcPr>
          <w:p w:rsidR="008574B9" w:rsidRPr="0084580C" w:rsidRDefault="008574B9" w:rsidP="00EF5E68">
            <w:pPr>
              <w:spacing w:after="120" w:line="360" w:lineRule="auto"/>
              <w:jc w:val="both"/>
              <w:cnfStyle w:val="000000100000"/>
              <w:rPr>
                <w:rFonts w:ascii="Arial" w:hAnsi="Arial" w:cs="Arial"/>
                <w:bCs/>
                <w:sz w:val="20"/>
                <w:szCs w:val="20"/>
              </w:rPr>
            </w:pPr>
            <w:r w:rsidRPr="0084580C">
              <w:rPr>
                <w:rFonts w:ascii="Arial" w:hAnsi="Arial" w:cs="Arial"/>
                <w:bCs/>
                <w:sz w:val="20"/>
                <w:szCs w:val="20"/>
              </w:rPr>
              <w:t>70%</w:t>
            </w:r>
          </w:p>
        </w:tc>
        <w:tc>
          <w:tcPr>
            <w:tcW w:w="0" w:type="auto"/>
            <w:tcBorders>
              <w:top w:val="none" w:sz="0" w:space="0" w:color="auto"/>
              <w:bottom w:val="none" w:sz="0" w:space="0" w:color="auto"/>
            </w:tcBorders>
          </w:tcPr>
          <w:p w:rsidR="008574B9" w:rsidRPr="0084580C" w:rsidRDefault="008574B9" w:rsidP="00EF5E68">
            <w:pPr>
              <w:spacing w:after="120" w:line="360" w:lineRule="auto"/>
              <w:jc w:val="both"/>
              <w:cnfStyle w:val="000000100000"/>
              <w:rPr>
                <w:rFonts w:ascii="Arial" w:hAnsi="Arial" w:cs="Arial"/>
                <w:bCs/>
                <w:sz w:val="20"/>
                <w:szCs w:val="20"/>
              </w:rPr>
            </w:pPr>
            <w:r w:rsidRPr="0084580C">
              <w:rPr>
                <w:rFonts w:ascii="Arial" w:hAnsi="Arial" w:cs="Arial"/>
                <w:bCs/>
                <w:sz w:val="20"/>
                <w:szCs w:val="20"/>
              </w:rPr>
              <w:t xml:space="preserve">Plazos en procesos de Contratación: Por medio de la  sub partida 10101 “Alquiler de edificios, locales y terrenos” se dio el trámite de los procesos licitatorios número 2017-LA-000029-PROV y el 2018LA-000046-PROV a fin de arrendar  locales para la OAPVD de  Heredia, y Santa Cruz, asimismo remitió al Depto de Proveeduría </w:t>
            </w:r>
            <w:r w:rsidRPr="0084580C">
              <w:rPr>
                <w:rFonts w:ascii="Arial" w:hAnsi="Arial" w:cs="Arial"/>
                <w:bCs/>
                <w:sz w:val="20"/>
                <w:szCs w:val="20"/>
              </w:rPr>
              <w:lastRenderedPageBreak/>
              <w:t xml:space="preserve">oficio de decisión inicial número 1657-OAPVD-2018 para el arriendo de local de la OAPVD en San José, sin embargo debido a la serie de requisitos que debe cumplir los locales  y los proveedores  pesar de los esfuerzos realizados no fue posible firmar los nuevos contratos de alquiler  en 2018 lo que generó que los recursos presupuestarios para dichos fines no lograran ejecutarse. </w:t>
            </w:r>
          </w:p>
          <w:p w:rsidR="008574B9" w:rsidRPr="0084580C" w:rsidRDefault="008574B9" w:rsidP="00EF5E68">
            <w:pPr>
              <w:spacing w:after="120" w:line="360" w:lineRule="auto"/>
              <w:jc w:val="both"/>
              <w:cnfStyle w:val="000000100000"/>
              <w:rPr>
                <w:rFonts w:ascii="Arial" w:hAnsi="Arial" w:cs="Arial"/>
                <w:bCs/>
                <w:sz w:val="20"/>
                <w:szCs w:val="20"/>
              </w:rPr>
            </w:pPr>
          </w:p>
          <w:p w:rsidR="008574B9" w:rsidRPr="0084580C" w:rsidRDefault="008574B9" w:rsidP="00EF5E68">
            <w:pPr>
              <w:spacing w:after="120" w:line="360" w:lineRule="auto"/>
              <w:jc w:val="both"/>
              <w:cnfStyle w:val="000000100000"/>
              <w:rPr>
                <w:rFonts w:ascii="Arial" w:hAnsi="Arial" w:cs="Arial"/>
                <w:bCs/>
                <w:sz w:val="20"/>
                <w:szCs w:val="20"/>
              </w:rPr>
            </w:pPr>
            <w:r w:rsidRPr="0084580C">
              <w:rPr>
                <w:rFonts w:ascii="Arial" w:hAnsi="Arial" w:cs="Arial"/>
                <w:bCs/>
                <w:sz w:val="20"/>
                <w:szCs w:val="20"/>
              </w:rPr>
              <w:t xml:space="preserve">Disminución en Ingreso de Casos y Solicitud de </w:t>
            </w:r>
            <w:r w:rsidRPr="0084580C">
              <w:rPr>
                <w:rFonts w:ascii="Arial" w:hAnsi="Arial" w:cs="Arial"/>
                <w:bCs/>
                <w:sz w:val="20"/>
                <w:szCs w:val="20"/>
              </w:rPr>
              <w:lastRenderedPageBreak/>
              <w:t xml:space="preserve">Ayudas económicas: En 2018 el ingreso de asuntos al programa de atención y protección a Víctimas disminuyó en un 6.23% con respecto a 2017, esto conllevó a que las ayudas económicas y gastos de protección que se cancelan en la subpartida 1.05.02 igualmente disminuyeran en más de un 15%. </w:t>
            </w:r>
          </w:p>
        </w:tc>
        <w:tc>
          <w:tcPr>
            <w:tcW w:w="0" w:type="auto"/>
            <w:tcBorders>
              <w:top w:val="none" w:sz="0" w:space="0" w:color="auto"/>
              <w:bottom w:val="none" w:sz="0" w:space="0" w:color="auto"/>
            </w:tcBorders>
          </w:tcPr>
          <w:p w:rsidR="008574B9" w:rsidRPr="0084580C" w:rsidRDefault="008574B9" w:rsidP="00EF5E68">
            <w:pPr>
              <w:spacing w:after="120" w:line="360" w:lineRule="auto"/>
              <w:jc w:val="both"/>
              <w:cnfStyle w:val="000000100000"/>
              <w:rPr>
                <w:rFonts w:ascii="Arial" w:hAnsi="Arial" w:cs="Arial"/>
                <w:bCs/>
                <w:sz w:val="20"/>
                <w:szCs w:val="20"/>
              </w:rPr>
            </w:pPr>
            <w:r w:rsidRPr="0084580C">
              <w:rPr>
                <w:rFonts w:ascii="Arial" w:hAnsi="Arial" w:cs="Arial"/>
                <w:bCs/>
                <w:sz w:val="20"/>
                <w:szCs w:val="20"/>
              </w:rPr>
              <w:lastRenderedPageBreak/>
              <w:t xml:space="preserve">Al no darse la recepción de los locales arrendados, se generó un impacto en el servicio que presta el programa 950 es decir la Oficina de Atención a Víctimas de Delito y la Unidad de Protección a Víctimas. La búsqueda y contratación de locales se realiza precisamente con el fin de ofrecer la privacidad, confidencialidad </w:t>
            </w:r>
            <w:r w:rsidRPr="0084580C">
              <w:rPr>
                <w:rFonts w:ascii="Arial" w:hAnsi="Arial" w:cs="Arial"/>
                <w:bCs/>
                <w:sz w:val="20"/>
                <w:szCs w:val="20"/>
              </w:rPr>
              <w:lastRenderedPageBreak/>
              <w:t xml:space="preserve">al momento de atender a las personas usuarias. </w:t>
            </w:r>
          </w:p>
          <w:p w:rsidR="008574B9" w:rsidRPr="0084580C" w:rsidRDefault="008574B9" w:rsidP="00EF5E68">
            <w:pPr>
              <w:spacing w:after="120" w:line="360" w:lineRule="auto"/>
              <w:jc w:val="both"/>
              <w:cnfStyle w:val="000000100000"/>
              <w:rPr>
                <w:rFonts w:ascii="Arial" w:hAnsi="Arial" w:cs="Arial"/>
                <w:bCs/>
                <w:sz w:val="20"/>
                <w:szCs w:val="20"/>
              </w:rPr>
            </w:pPr>
            <w:r w:rsidRPr="0084580C">
              <w:rPr>
                <w:rFonts w:ascii="Arial" w:hAnsi="Arial" w:cs="Arial"/>
                <w:bCs/>
                <w:sz w:val="20"/>
                <w:szCs w:val="20"/>
              </w:rPr>
              <w:t xml:space="preserve">Respecto a la disminución del pago de ayudas económicas, se debe a la disminución en el ingreso de casos, la disminución en el ingreso de asuntos no depende directamente de la OAPVD o UPROV ya que el ingreso al programa de atención o protección es voluntario.  </w:t>
            </w:r>
          </w:p>
        </w:tc>
        <w:tc>
          <w:tcPr>
            <w:tcW w:w="1551" w:type="dxa"/>
            <w:tcBorders>
              <w:top w:val="none" w:sz="0" w:space="0" w:color="auto"/>
              <w:bottom w:val="none" w:sz="0" w:space="0" w:color="auto"/>
            </w:tcBorders>
          </w:tcPr>
          <w:p w:rsidR="008574B9" w:rsidRPr="0084580C" w:rsidRDefault="008574B9" w:rsidP="00EF5E68">
            <w:pPr>
              <w:spacing w:after="120" w:line="360" w:lineRule="auto"/>
              <w:jc w:val="both"/>
              <w:cnfStyle w:val="000000100000"/>
              <w:rPr>
                <w:rFonts w:ascii="Arial" w:hAnsi="Arial" w:cs="Arial"/>
                <w:bCs/>
                <w:sz w:val="20"/>
                <w:szCs w:val="20"/>
              </w:rPr>
            </w:pPr>
            <w:r w:rsidRPr="0084580C">
              <w:rPr>
                <w:rFonts w:ascii="Arial" w:hAnsi="Arial" w:cs="Arial"/>
                <w:bCs/>
                <w:sz w:val="20"/>
                <w:szCs w:val="20"/>
              </w:rPr>
              <w:lastRenderedPageBreak/>
              <w:t xml:space="preserve">Revisión de plazos establecidos para trámites relacionados con el arriendo de locales: En 2019 se estará coordinando con las oficinas y departamentos técnicos especializados (proveeduría, seguridad, salud ocupacional, ingeniería, arquitectura etc.) a fin de conocer si es posible disminuir los tiempos establecidos a </w:t>
            </w:r>
            <w:r w:rsidRPr="0084580C">
              <w:rPr>
                <w:rFonts w:ascii="Arial" w:hAnsi="Arial" w:cs="Arial"/>
                <w:bCs/>
                <w:sz w:val="20"/>
                <w:szCs w:val="20"/>
              </w:rPr>
              <w:lastRenderedPageBreak/>
              <w:t>lo interno para el trámite de revisión o recepción ofertas para alquiler   de locales.</w:t>
            </w:r>
          </w:p>
          <w:p w:rsidR="008574B9" w:rsidRPr="0084580C" w:rsidRDefault="008574B9" w:rsidP="00EF5E68">
            <w:pPr>
              <w:spacing w:after="120" w:line="360" w:lineRule="auto"/>
              <w:jc w:val="both"/>
              <w:cnfStyle w:val="000000100000"/>
              <w:rPr>
                <w:rFonts w:ascii="Arial" w:hAnsi="Arial" w:cs="Arial"/>
                <w:bCs/>
                <w:sz w:val="20"/>
                <w:szCs w:val="20"/>
              </w:rPr>
            </w:pPr>
            <w:r w:rsidRPr="0084580C">
              <w:rPr>
                <w:rFonts w:ascii="Arial" w:hAnsi="Arial" w:cs="Arial"/>
                <w:bCs/>
                <w:sz w:val="20"/>
                <w:szCs w:val="20"/>
              </w:rPr>
              <w:t xml:space="preserve"> </w:t>
            </w:r>
          </w:p>
          <w:p w:rsidR="008574B9" w:rsidRPr="0084580C" w:rsidRDefault="008574B9" w:rsidP="00EF5E68">
            <w:pPr>
              <w:spacing w:after="120" w:line="360" w:lineRule="auto"/>
              <w:jc w:val="both"/>
              <w:cnfStyle w:val="000000100000"/>
              <w:rPr>
                <w:rFonts w:ascii="Arial" w:hAnsi="Arial" w:cs="Arial"/>
                <w:bCs/>
                <w:sz w:val="20"/>
                <w:szCs w:val="20"/>
              </w:rPr>
            </w:pPr>
            <w:r w:rsidRPr="0084580C">
              <w:rPr>
                <w:rFonts w:ascii="Arial" w:hAnsi="Arial" w:cs="Arial"/>
                <w:bCs/>
                <w:sz w:val="20"/>
                <w:szCs w:val="20"/>
              </w:rPr>
              <w:t>Divulgación de la Ley 8720 y Servicios de la OAPVD:  A fin exponer a la ciudadanía la importancia de la ley 8720 y los servicios que se prestan desde el programa 950, se estarán impartiendo charlas en distintas zonas del país.</w:t>
            </w:r>
          </w:p>
        </w:tc>
        <w:tc>
          <w:tcPr>
            <w:tcW w:w="1739" w:type="dxa"/>
            <w:tcBorders>
              <w:top w:val="none" w:sz="0" w:space="0" w:color="auto"/>
              <w:bottom w:val="none" w:sz="0" w:space="0" w:color="auto"/>
            </w:tcBorders>
          </w:tcPr>
          <w:p w:rsidR="008574B9" w:rsidRPr="0084580C" w:rsidRDefault="008574B9" w:rsidP="00EF5E68">
            <w:pPr>
              <w:spacing w:after="120" w:line="360" w:lineRule="auto"/>
              <w:jc w:val="both"/>
              <w:cnfStyle w:val="000000100000"/>
              <w:rPr>
                <w:rFonts w:ascii="Arial" w:hAnsi="Arial" w:cs="Arial"/>
                <w:bCs/>
                <w:sz w:val="20"/>
                <w:szCs w:val="20"/>
              </w:rPr>
            </w:pPr>
            <w:r w:rsidRPr="0084580C">
              <w:rPr>
                <w:rFonts w:ascii="Arial" w:hAnsi="Arial" w:cs="Arial"/>
                <w:bCs/>
                <w:sz w:val="20"/>
                <w:szCs w:val="20"/>
              </w:rPr>
              <w:lastRenderedPageBreak/>
              <w:t>04-02-2019</w:t>
            </w:r>
          </w:p>
        </w:tc>
        <w:tc>
          <w:tcPr>
            <w:tcW w:w="1461" w:type="dxa"/>
            <w:tcBorders>
              <w:top w:val="none" w:sz="0" w:space="0" w:color="auto"/>
              <w:bottom w:val="none" w:sz="0" w:space="0" w:color="auto"/>
              <w:right w:val="none" w:sz="0" w:space="0" w:color="auto"/>
            </w:tcBorders>
          </w:tcPr>
          <w:p w:rsidR="008574B9" w:rsidRPr="0084580C" w:rsidRDefault="008574B9" w:rsidP="00EF5E68">
            <w:pPr>
              <w:spacing w:after="120" w:line="360" w:lineRule="auto"/>
              <w:jc w:val="both"/>
              <w:cnfStyle w:val="000000100000"/>
              <w:rPr>
                <w:rFonts w:ascii="Arial" w:hAnsi="Arial" w:cs="Arial"/>
                <w:bCs/>
                <w:sz w:val="20"/>
                <w:szCs w:val="20"/>
              </w:rPr>
            </w:pPr>
            <w:r w:rsidRPr="0084580C">
              <w:rPr>
                <w:rFonts w:ascii="Arial" w:hAnsi="Arial" w:cs="Arial"/>
                <w:bCs/>
                <w:sz w:val="20"/>
                <w:szCs w:val="20"/>
              </w:rPr>
              <w:t>Oficina de Atención y Protección a Víctimas, Unidad de Protección a Víctimas, Depto de Financiero Contable.</w:t>
            </w:r>
          </w:p>
        </w:tc>
      </w:tr>
      <w:tr w:rsidR="008574B9" w:rsidRPr="00375150" w:rsidTr="0084580C">
        <w:trPr>
          <w:trHeight w:val="817"/>
        </w:trPr>
        <w:tc>
          <w:tcPr>
            <w:cnfStyle w:val="001000000000"/>
            <w:tcW w:w="0" w:type="auto"/>
          </w:tcPr>
          <w:p w:rsidR="008574B9" w:rsidRPr="0084580C" w:rsidRDefault="008574B9" w:rsidP="00EF5E68">
            <w:pPr>
              <w:spacing w:after="120" w:line="360" w:lineRule="auto"/>
              <w:jc w:val="both"/>
              <w:rPr>
                <w:rFonts w:ascii="Arial" w:hAnsi="Arial" w:cs="Arial"/>
                <w:bCs w:val="0"/>
                <w:sz w:val="20"/>
                <w:szCs w:val="20"/>
              </w:rPr>
            </w:pPr>
            <w:r w:rsidRPr="0084580C">
              <w:rPr>
                <w:rFonts w:ascii="Arial" w:hAnsi="Arial" w:cs="Arial"/>
                <w:sz w:val="20"/>
                <w:szCs w:val="20"/>
              </w:rPr>
              <w:lastRenderedPageBreak/>
              <w:t xml:space="preserve">Transferencias Corrientes </w:t>
            </w:r>
          </w:p>
        </w:tc>
        <w:tc>
          <w:tcPr>
            <w:tcW w:w="0" w:type="auto"/>
          </w:tcPr>
          <w:p w:rsidR="008574B9" w:rsidRPr="0084580C" w:rsidRDefault="008574B9" w:rsidP="00EF5E68">
            <w:pPr>
              <w:spacing w:after="120" w:line="360" w:lineRule="auto"/>
              <w:jc w:val="both"/>
              <w:cnfStyle w:val="000000000000"/>
              <w:rPr>
                <w:rFonts w:ascii="Arial" w:hAnsi="Arial" w:cs="Arial"/>
                <w:bCs/>
                <w:sz w:val="20"/>
                <w:szCs w:val="20"/>
              </w:rPr>
            </w:pPr>
            <w:r w:rsidRPr="0084580C">
              <w:rPr>
                <w:rFonts w:ascii="Arial" w:hAnsi="Arial" w:cs="Arial"/>
                <w:bCs/>
                <w:sz w:val="20"/>
                <w:szCs w:val="20"/>
              </w:rPr>
              <w:t>81%</w:t>
            </w:r>
          </w:p>
        </w:tc>
        <w:tc>
          <w:tcPr>
            <w:tcW w:w="0" w:type="auto"/>
          </w:tcPr>
          <w:p w:rsidR="008574B9" w:rsidRPr="0084580C" w:rsidRDefault="008574B9" w:rsidP="00EF5E68">
            <w:pPr>
              <w:spacing w:after="120" w:line="360" w:lineRule="auto"/>
              <w:jc w:val="both"/>
              <w:cnfStyle w:val="000000000000"/>
              <w:rPr>
                <w:rFonts w:ascii="Arial" w:hAnsi="Arial" w:cs="Arial"/>
                <w:sz w:val="20"/>
                <w:szCs w:val="20"/>
                <w:lang w:val="es-CR"/>
              </w:rPr>
            </w:pPr>
            <w:r w:rsidRPr="0084580C">
              <w:rPr>
                <w:rFonts w:ascii="Arial" w:hAnsi="Arial" w:cs="Arial"/>
                <w:sz w:val="20"/>
                <w:szCs w:val="20"/>
                <w:lang w:val="es-CR"/>
              </w:rPr>
              <w:t xml:space="preserve">La partida 6 permite la cancelación de varios pagos entre ellos la cuota del Seguro de enfermedad y maternidad (SEM) y la cuota estatal para el Fondo </w:t>
            </w:r>
            <w:r w:rsidRPr="0084580C">
              <w:rPr>
                <w:rFonts w:ascii="Arial" w:hAnsi="Arial" w:cs="Arial"/>
                <w:sz w:val="20"/>
                <w:szCs w:val="20"/>
                <w:lang w:val="es-CR"/>
              </w:rPr>
              <w:lastRenderedPageBreak/>
              <w:t xml:space="preserve">de Pensiones y Jubilaciones, sin embargo, la ejecución de los recursos no depende solo del Poder Judicial, sino de la Caja Costarricense del Seguro Social lo que es un factor importante que incide en la ejecución. </w:t>
            </w:r>
          </w:p>
          <w:p w:rsidR="008574B9" w:rsidRPr="0084580C" w:rsidRDefault="008574B9" w:rsidP="00EF5E68">
            <w:pPr>
              <w:spacing w:after="120" w:line="360" w:lineRule="auto"/>
              <w:jc w:val="both"/>
              <w:cnfStyle w:val="000000000000"/>
              <w:rPr>
                <w:rFonts w:ascii="Arial" w:hAnsi="Arial" w:cs="Arial"/>
                <w:sz w:val="20"/>
                <w:szCs w:val="20"/>
                <w:lang w:val="es-CR"/>
              </w:rPr>
            </w:pPr>
            <w:r w:rsidRPr="0084580C">
              <w:rPr>
                <w:rFonts w:ascii="Arial" w:hAnsi="Arial" w:cs="Arial"/>
                <w:sz w:val="20"/>
                <w:szCs w:val="20"/>
                <w:lang w:val="es-CR"/>
              </w:rPr>
              <w:t xml:space="preserve">En la partida 6 también se tramita lo referente a becas a funcionarios/as, en este caso desde el Depto de Gestión Humana se dio la búsqueda de capacitación en temas vinculados a los servicios que ofrece la OAPVD publicándose en el último cuatrimestre del 2018 becas </w:t>
            </w:r>
            <w:r w:rsidRPr="0084580C">
              <w:rPr>
                <w:rFonts w:ascii="Arial" w:hAnsi="Arial" w:cs="Arial"/>
                <w:sz w:val="20"/>
                <w:szCs w:val="20"/>
                <w:lang w:val="es-CR"/>
              </w:rPr>
              <w:lastRenderedPageBreak/>
              <w:t xml:space="preserve">para estudiar Maestrías de la UNED, lo que conllevó a que el gasto no se aplicara en 2018.   </w:t>
            </w:r>
          </w:p>
        </w:tc>
        <w:tc>
          <w:tcPr>
            <w:tcW w:w="0" w:type="auto"/>
          </w:tcPr>
          <w:p w:rsidR="008574B9" w:rsidRPr="0084580C" w:rsidRDefault="008574B9" w:rsidP="00EF5E68">
            <w:pPr>
              <w:spacing w:after="120" w:line="360" w:lineRule="auto"/>
              <w:jc w:val="both"/>
              <w:cnfStyle w:val="000000000000"/>
              <w:rPr>
                <w:rFonts w:ascii="Arial" w:hAnsi="Arial" w:cs="Arial"/>
                <w:bCs/>
                <w:sz w:val="20"/>
                <w:szCs w:val="20"/>
              </w:rPr>
            </w:pPr>
            <w:r w:rsidRPr="0084580C">
              <w:rPr>
                <w:rFonts w:ascii="Arial" w:hAnsi="Arial" w:cs="Arial"/>
                <w:bCs/>
                <w:sz w:val="20"/>
                <w:szCs w:val="20"/>
              </w:rPr>
              <w:lastRenderedPageBreak/>
              <w:t xml:space="preserve">Al tratarse de una partida presupuestaria en la cual el pago por los servicios recibidos no es fijo y tampoco la aplicación del rebajo depende de la institución el alcance del </w:t>
            </w:r>
            <w:r w:rsidRPr="0084580C">
              <w:rPr>
                <w:rFonts w:ascii="Arial" w:hAnsi="Arial" w:cs="Arial"/>
                <w:bCs/>
                <w:sz w:val="20"/>
                <w:szCs w:val="20"/>
              </w:rPr>
              <w:lastRenderedPageBreak/>
              <w:t xml:space="preserve">81% tiende a resultar satisfactorio respecto la programación. </w:t>
            </w:r>
          </w:p>
          <w:p w:rsidR="008574B9" w:rsidRPr="0084580C" w:rsidRDefault="008574B9" w:rsidP="00EF5E68">
            <w:pPr>
              <w:spacing w:after="120" w:line="360" w:lineRule="auto"/>
              <w:jc w:val="both"/>
              <w:cnfStyle w:val="000000000000"/>
              <w:rPr>
                <w:rFonts w:ascii="Arial" w:hAnsi="Arial" w:cs="Arial"/>
                <w:bCs/>
                <w:sz w:val="20"/>
                <w:szCs w:val="20"/>
              </w:rPr>
            </w:pPr>
            <w:r w:rsidRPr="0084580C">
              <w:rPr>
                <w:rFonts w:ascii="Arial" w:hAnsi="Arial" w:cs="Arial"/>
                <w:bCs/>
                <w:sz w:val="20"/>
                <w:szCs w:val="20"/>
              </w:rPr>
              <w:t xml:space="preserve">En el tema de becas, la afectación se da en tanto la OAPVD se encuentra interesada en mantener al personal capacitado para la prestación de un servicio público de calidad, con la contratación de la capacitación a finales del 2018 cabe la posibilidad de que se afecten el contenido para becas del 2019.  </w:t>
            </w:r>
          </w:p>
        </w:tc>
        <w:tc>
          <w:tcPr>
            <w:tcW w:w="1551" w:type="dxa"/>
          </w:tcPr>
          <w:p w:rsidR="008574B9" w:rsidRPr="0084580C" w:rsidRDefault="008574B9" w:rsidP="00EF5E68">
            <w:pPr>
              <w:jc w:val="both"/>
              <w:cnfStyle w:val="000000000000"/>
              <w:rPr>
                <w:rFonts w:ascii="Arial" w:hAnsi="Arial" w:cs="Arial"/>
                <w:bCs/>
                <w:sz w:val="20"/>
                <w:szCs w:val="20"/>
                <w:lang w:val="es-CR"/>
              </w:rPr>
            </w:pPr>
            <w:r w:rsidRPr="0084580C">
              <w:rPr>
                <w:rFonts w:ascii="Arial" w:hAnsi="Arial" w:cs="Arial"/>
                <w:sz w:val="20"/>
                <w:szCs w:val="20"/>
                <w:lang w:val="es-CR"/>
              </w:rPr>
              <w:lastRenderedPageBreak/>
              <w:t xml:space="preserve">Se estará coordinando con el Depto de Financiero Contable y Gestión Humana del Poder Judicial para que éstos a su vez gestionen lo necesario ante la CCSS para la aplicación de los cobros, en el caso de Gestión Humana se solicitará el </w:t>
            </w:r>
            <w:r w:rsidRPr="0084580C">
              <w:rPr>
                <w:rFonts w:ascii="Arial" w:hAnsi="Arial" w:cs="Arial"/>
                <w:sz w:val="20"/>
                <w:szCs w:val="20"/>
                <w:lang w:val="es-CR"/>
              </w:rPr>
              <w:lastRenderedPageBreak/>
              <w:t xml:space="preserve">apoyo para una mayor búsqueda de opciones de ampliación de conocimiento y actualización profesional por medio de becas. </w:t>
            </w:r>
          </w:p>
        </w:tc>
        <w:tc>
          <w:tcPr>
            <w:tcW w:w="1739" w:type="dxa"/>
          </w:tcPr>
          <w:p w:rsidR="008574B9" w:rsidRPr="0084580C" w:rsidRDefault="008574B9" w:rsidP="00EF5E68">
            <w:pPr>
              <w:spacing w:after="120" w:line="360" w:lineRule="auto"/>
              <w:jc w:val="both"/>
              <w:cnfStyle w:val="000000000000"/>
              <w:rPr>
                <w:rFonts w:ascii="Arial" w:hAnsi="Arial" w:cs="Arial"/>
                <w:bCs/>
                <w:sz w:val="20"/>
                <w:szCs w:val="20"/>
              </w:rPr>
            </w:pPr>
            <w:r w:rsidRPr="0084580C">
              <w:rPr>
                <w:rFonts w:ascii="Arial" w:hAnsi="Arial" w:cs="Arial"/>
                <w:bCs/>
                <w:sz w:val="20"/>
                <w:szCs w:val="20"/>
              </w:rPr>
              <w:lastRenderedPageBreak/>
              <w:t xml:space="preserve">04-03-2019 </w:t>
            </w:r>
          </w:p>
        </w:tc>
        <w:tc>
          <w:tcPr>
            <w:tcW w:w="1461" w:type="dxa"/>
          </w:tcPr>
          <w:p w:rsidR="008574B9" w:rsidRPr="0084580C" w:rsidRDefault="008574B9" w:rsidP="00EF5E68">
            <w:pPr>
              <w:spacing w:after="120" w:line="360" w:lineRule="auto"/>
              <w:jc w:val="both"/>
              <w:cnfStyle w:val="000000000000"/>
              <w:rPr>
                <w:rFonts w:ascii="Arial" w:hAnsi="Arial" w:cs="Arial"/>
                <w:bCs/>
                <w:sz w:val="20"/>
                <w:szCs w:val="20"/>
              </w:rPr>
            </w:pPr>
            <w:r w:rsidRPr="0084580C">
              <w:rPr>
                <w:rFonts w:ascii="Arial" w:hAnsi="Arial" w:cs="Arial"/>
                <w:sz w:val="20"/>
                <w:szCs w:val="20"/>
                <w:lang w:val="es-CR"/>
              </w:rPr>
              <w:t>Oficina de Atención y Protección a Víctimas, Unidad de Protección a Víctimas, Depto de Financiero Contable y Gestión Humana.</w:t>
            </w:r>
          </w:p>
        </w:tc>
      </w:tr>
    </w:tbl>
    <w:p w:rsidR="00A81C19" w:rsidRPr="00375150" w:rsidRDefault="00A81C19" w:rsidP="00A81C19">
      <w:pPr>
        <w:ind w:left="-709" w:right="-1083"/>
        <w:rPr>
          <w:rFonts w:ascii="Arial" w:hAnsi="Arial" w:cs="Arial"/>
          <w:sz w:val="14"/>
          <w:szCs w:val="14"/>
        </w:rPr>
      </w:pPr>
      <w:r w:rsidRPr="0077710A">
        <w:rPr>
          <w:rFonts w:ascii="Arial" w:hAnsi="Arial" w:cs="Arial"/>
          <w:color w:val="000000"/>
          <w:sz w:val="14"/>
          <w:szCs w:val="14"/>
        </w:rPr>
        <w:lastRenderedPageBreak/>
        <w:t xml:space="preserve">1/ </w:t>
      </w:r>
      <w:r w:rsidRPr="00375150">
        <w:rPr>
          <w:rFonts w:ascii="Arial" w:hAnsi="Arial" w:cs="Arial"/>
          <w:sz w:val="14"/>
          <w:szCs w:val="14"/>
        </w:rPr>
        <w:t>Esta columna deben completarla únicamente las entidades que tienen en la Ley producción cuantificable (productos, indicadores, metas)</w:t>
      </w:r>
    </w:p>
    <w:p w:rsidR="00A81C19" w:rsidRPr="00375150" w:rsidRDefault="00A81C19" w:rsidP="00A81C19">
      <w:pPr>
        <w:ind w:left="-709" w:right="-1083"/>
        <w:rPr>
          <w:rFonts w:ascii="Arial" w:hAnsi="Arial" w:cs="Arial"/>
          <w:sz w:val="14"/>
          <w:szCs w:val="14"/>
        </w:rPr>
      </w:pPr>
      <w:r w:rsidRPr="00375150">
        <w:rPr>
          <w:rFonts w:ascii="Arial" w:hAnsi="Arial" w:cs="Arial"/>
          <w:sz w:val="14"/>
          <w:szCs w:val="14"/>
        </w:rPr>
        <w:t>2/ Indicar la fecha del 2019 en que iniciará la implementación de la acción correctiva, ejemplo: dd/mm/aaaa. En caso de no indicarlo, la DGPN  establecerá el plazo correspondiente, para su fiscalización.</w:t>
      </w:r>
    </w:p>
    <w:p w:rsidR="00A81C19" w:rsidRPr="00375150" w:rsidRDefault="00A81C19" w:rsidP="00A81C19">
      <w:pPr>
        <w:ind w:left="-709" w:right="-1083"/>
        <w:rPr>
          <w:rFonts w:ascii="Arial" w:hAnsi="Arial" w:cs="Arial"/>
          <w:color w:val="000000"/>
          <w:sz w:val="14"/>
          <w:szCs w:val="14"/>
        </w:rPr>
      </w:pPr>
      <w:r w:rsidRPr="00375150">
        <w:rPr>
          <w:rFonts w:ascii="Arial" w:hAnsi="Arial" w:cs="Arial"/>
          <w:sz w:val="14"/>
          <w:szCs w:val="14"/>
        </w:rPr>
        <w:t xml:space="preserve">3/ </w:t>
      </w:r>
      <w:r w:rsidRPr="00375150">
        <w:rPr>
          <w:rFonts w:ascii="Arial" w:hAnsi="Arial" w:cs="Arial"/>
          <w:color w:val="000000"/>
          <w:sz w:val="14"/>
          <w:szCs w:val="14"/>
        </w:rPr>
        <w:t>Se refiere a la persona responsable directa de ejecutar la acción, no necesariamente debe ser el (la) Director (a) del Programa o Subprograma.</w:t>
      </w:r>
    </w:p>
    <w:p w:rsidR="00F70670" w:rsidRPr="00375150" w:rsidRDefault="00F70670" w:rsidP="00B753A3">
      <w:pPr>
        <w:pStyle w:val="Ttulo"/>
        <w:rPr>
          <w:rFonts w:cs="Arial"/>
          <w:sz w:val="20"/>
          <w:szCs w:val="20"/>
          <w:lang w:val="es-ES"/>
        </w:rPr>
      </w:pPr>
    </w:p>
    <w:p w:rsidR="00F70670" w:rsidRPr="00375150" w:rsidRDefault="00F70670" w:rsidP="00B753A3">
      <w:pPr>
        <w:pStyle w:val="Ttulo"/>
        <w:rPr>
          <w:rFonts w:cs="Arial"/>
          <w:sz w:val="20"/>
          <w:szCs w:val="20"/>
          <w:lang w:val="es-ES"/>
        </w:rPr>
      </w:pPr>
    </w:p>
    <w:p w:rsidR="00A81C19" w:rsidRPr="00375150" w:rsidRDefault="00A81C19" w:rsidP="00B753A3">
      <w:pPr>
        <w:pStyle w:val="Ttulo"/>
        <w:rPr>
          <w:rFonts w:cs="Arial"/>
          <w:sz w:val="20"/>
          <w:szCs w:val="20"/>
          <w:lang w:val="es-ES"/>
        </w:rPr>
      </w:pPr>
    </w:p>
    <w:p w:rsidR="00F70670" w:rsidRPr="00375150" w:rsidRDefault="00F70670" w:rsidP="00B753A3">
      <w:pPr>
        <w:pStyle w:val="Ttulo"/>
        <w:rPr>
          <w:rFonts w:cs="Arial"/>
          <w:sz w:val="20"/>
          <w:szCs w:val="20"/>
          <w:lang w:val="es-ES"/>
        </w:rPr>
      </w:pPr>
    </w:p>
    <w:p w:rsidR="00E95419" w:rsidRPr="004A25EE" w:rsidRDefault="0098485E" w:rsidP="00A03DA8">
      <w:pPr>
        <w:pStyle w:val="Ttulo2"/>
        <w:numPr>
          <w:ilvl w:val="0"/>
          <w:numId w:val="0"/>
        </w:numPr>
        <w:jc w:val="both"/>
        <w:rPr>
          <w:rFonts w:ascii="Arial" w:eastAsiaTheme="majorEastAsia" w:hAnsi="Arial" w:cs="Arial"/>
          <w:iCs/>
          <w:smallCaps/>
          <w:color w:val="000000" w:themeColor="text1"/>
          <w:spacing w:val="15"/>
          <w:sz w:val="22"/>
        </w:rPr>
      </w:pPr>
      <w:bookmarkStart w:id="10" w:name="_Toc531253883"/>
      <w:r w:rsidRPr="00E17887">
        <w:rPr>
          <w:rFonts w:ascii="Arial" w:eastAsiaTheme="majorEastAsia" w:hAnsi="Arial" w:cs="Arial"/>
          <w:iCs/>
          <w:smallCaps/>
          <w:color w:val="000000" w:themeColor="text1"/>
          <w:spacing w:val="15"/>
          <w:sz w:val="22"/>
        </w:rPr>
        <w:t>T</w:t>
      </w:r>
      <w:r w:rsidR="00E95419" w:rsidRPr="00054BA6">
        <w:rPr>
          <w:rFonts w:ascii="Arial" w:eastAsiaTheme="majorEastAsia" w:hAnsi="Arial" w:cs="Arial"/>
          <w:iCs/>
          <w:smallCaps/>
          <w:color w:val="000000" w:themeColor="text1"/>
          <w:spacing w:val="15"/>
          <w:sz w:val="22"/>
        </w:rPr>
        <w:t>ransferencias</w:t>
      </w:r>
      <w:r w:rsidRPr="00054BA6">
        <w:rPr>
          <w:rFonts w:ascii="Arial" w:eastAsiaTheme="majorEastAsia" w:hAnsi="Arial" w:cs="Arial"/>
          <w:iCs/>
          <w:smallCaps/>
          <w:color w:val="000000" w:themeColor="text1"/>
          <w:spacing w:val="15"/>
          <w:sz w:val="22"/>
        </w:rPr>
        <w:t xml:space="preserve"> a órganos desconcentrados e instituciones descentralizadas</w:t>
      </w:r>
      <w:bookmarkEnd w:id="10"/>
    </w:p>
    <w:p w:rsidR="003D7DEA" w:rsidRPr="00375150" w:rsidRDefault="003D7DEA" w:rsidP="00075112">
      <w:pPr>
        <w:pStyle w:val="Ttulo"/>
        <w:rPr>
          <w:rFonts w:cs="Arial"/>
          <w:sz w:val="20"/>
          <w:szCs w:val="20"/>
          <w:lang w:val="es-ES"/>
        </w:rPr>
      </w:pPr>
    </w:p>
    <w:p w:rsidR="00BE75B8" w:rsidRPr="00375150" w:rsidRDefault="00E95419" w:rsidP="00863DCC">
      <w:pPr>
        <w:spacing w:after="120" w:line="360" w:lineRule="auto"/>
        <w:jc w:val="both"/>
        <w:rPr>
          <w:rFonts w:ascii="Arial" w:hAnsi="Arial" w:cs="Arial"/>
          <w:bCs/>
          <w:sz w:val="20"/>
          <w:szCs w:val="20"/>
        </w:rPr>
      </w:pPr>
      <w:r w:rsidRPr="00375150">
        <w:rPr>
          <w:rFonts w:ascii="Arial" w:hAnsi="Arial" w:cs="Arial"/>
          <w:bCs/>
          <w:sz w:val="20"/>
          <w:szCs w:val="20"/>
        </w:rPr>
        <w:t>En atención a la Ley General de Administración Pública 6227 artículos 27.1 y 99, las instituciones que transfieren recursos a los órganos desconcentrados e instituciones descentralizadas (sin considerar las contribuciones sociales) deberán llenar el siguiente cuadro, lo anterior, con el fin de conocer</w:t>
      </w:r>
      <w:r w:rsidR="00BE75B8" w:rsidRPr="00375150">
        <w:rPr>
          <w:rFonts w:ascii="Arial" w:hAnsi="Arial" w:cs="Arial"/>
          <w:bCs/>
          <w:sz w:val="20"/>
          <w:szCs w:val="20"/>
        </w:rPr>
        <w:t xml:space="preserve"> la ejecución de las transferencias del presupuesto d</w:t>
      </w:r>
      <w:r w:rsidR="000D76FD" w:rsidRPr="00375150">
        <w:rPr>
          <w:rFonts w:ascii="Arial" w:hAnsi="Arial" w:cs="Arial"/>
          <w:bCs/>
          <w:sz w:val="20"/>
          <w:szCs w:val="20"/>
        </w:rPr>
        <w:t xml:space="preserve">urante </w:t>
      </w:r>
      <w:r w:rsidR="00BE75B8" w:rsidRPr="00375150">
        <w:rPr>
          <w:rFonts w:ascii="Arial" w:hAnsi="Arial" w:cs="Arial"/>
          <w:bCs/>
          <w:sz w:val="20"/>
          <w:szCs w:val="20"/>
        </w:rPr>
        <w:t>el 2018, así como las acciones de dirección, coord</w:t>
      </w:r>
      <w:r w:rsidR="008E15A0" w:rsidRPr="00375150">
        <w:rPr>
          <w:rFonts w:ascii="Arial" w:hAnsi="Arial" w:cs="Arial"/>
          <w:bCs/>
          <w:sz w:val="20"/>
          <w:szCs w:val="20"/>
        </w:rPr>
        <w:t xml:space="preserve">inación y vigilancia realizadas por </w:t>
      </w:r>
      <w:r w:rsidR="000334FF" w:rsidRPr="00375150">
        <w:rPr>
          <w:rFonts w:ascii="Arial" w:hAnsi="Arial" w:cs="Arial"/>
          <w:bCs/>
          <w:sz w:val="20"/>
          <w:szCs w:val="20"/>
        </w:rPr>
        <w:t>el Ministro Rector.</w:t>
      </w:r>
    </w:p>
    <w:p w:rsidR="00460CD0" w:rsidRPr="00375150" w:rsidRDefault="00AA140F" w:rsidP="00863DCC">
      <w:pPr>
        <w:spacing w:after="120" w:line="360" w:lineRule="auto"/>
        <w:jc w:val="both"/>
        <w:rPr>
          <w:rFonts w:ascii="Arial" w:hAnsi="Arial" w:cs="Arial"/>
          <w:bCs/>
          <w:i/>
          <w:sz w:val="20"/>
          <w:szCs w:val="20"/>
        </w:rPr>
      </w:pPr>
      <w:r w:rsidRPr="00375150">
        <w:rPr>
          <w:rFonts w:ascii="Arial" w:hAnsi="Arial" w:cs="Arial"/>
          <w:bCs/>
          <w:i/>
          <w:sz w:val="20"/>
          <w:szCs w:val="20"/>
        </w:rPr>
        <w:t>En caso de que la entidad no realice transferencias a órganos desconcentrados o instituciones descentralizadas,</w:t>
      </w:r>
      <w:r w:rsidR="00BA3B11" w:rsidRPr="00375150">
        <w:rPr>
          <w:rFonts w:ascii="Arial" w:hAnsi="Arial" w:cs="Arial"/>
          <w:bCs/>
          <w:i/>
          <w:sz w:val="20"/>
          <w:szCs w:val="20"/>
        </w:rPr>
        <w:t xml:space="preserve"> </w:t>
      </w:r>
      <w:r w:rsidR="00AB6045" w:rsidRPr="00375150">
        <w:rPr>
          <w:rFonts w:ascii="Arial" w:hAnsi="Arial" w:cs="Arial"/>
          <w:bCs/>
          <w:i/>
          <w:sz w:val="20"/>
          <w:szCs w:val="20"/>
        </w:rPr>
        <w:t>omita este apartado</w:t>
      </w:r>
      <w:r w:rsidRPr="00375150">
        <w:rPr>
          <w:rFonts w:ascii="Arial" w:hAnsi="Arial" w:cs="Arial"/>
          <w:bCs/>
          <w:i/>
          <w:sz w:val="20"/>
          <w:szCs w:val="20"/>
        </w:rPr>
        <w:t xml:space="preserve">. </w:t>
      </w:r>
    </w:p>
    <w:p w:rsidR="00D45C4E" w:rsidRPr="00375150" w:rsidRDefault="00641506" w:rsidP="00641506">
      <w:pPr>
        <w:jc w:val="center"/>
        <w:rPr>
          <w:rFonts w:ascii="Arial" w:hAnsi="Arial" w:cs="Arial"/>
          <w:b/>
          <w:sz w:val="20"/>
          <w:szCs w:val="20"/>
          <w:lang w:val="es-ES_tradnl"/>
        </w:rPr>
      </w:pPr>
      <w:r w:rsidRPr="00375150">
        <w:rPr>
          <w:rFonts w:ascii="Arial" w:hAnsi="Arial" w:cs="Arial"/>
          <w:b/>
          <w:sz w:val="20"/>
          <w:szCs w:val="20"/>
          <w:lang w:val="es-ES_tradnl"/>
        </w:rPr>
        <w:t>C</w:t>
      </w:r>
      <w:r w:rsidR="00D45C4E" w:rsidRPr="00375150">
        <w:rPr>
          <w:rFonts w:ascii="Arial" w:hAnsi="Arial" w:cs="Arial"/>
          <w:b/>
          <w:sz w:val="20"/>
          <w:szCs w:val="20"/>
          <w:lang w:val="es-ES_tradnl"/>
        </w:rPr>
        <w:t xml:space="preserve">uadro </w:t>
      </w:r>
      <w:r w:rsidR="00B5070B" w:rsidRPr="00375150">
        <w:rPr>
          <w:rFonts w:ascii="Arial" w:hAnsi="Arial" w:cs="Arial"/>
          <w:b/>
          <w:sz w:val="20"/>
          <w:szCs w:val="20"/>
          <w:lang w:val="es-ES_tradnl"/>
        </w:rPr>
        <w:t>2</w:t>
      </w:r>
    </w:p>
    <w:p w:rsidR="00D45C4E" w:rsidRPr="00375150" w:rsidRDefault="00D45C4E" w:rsidP="00D45C4E">
      <w:pPr>
        <w:jc w:val="center"/>
        <w:rPr>
          <w:rFonts w:ascii="Arial" w:hAnsi="Arial" w:cs="Arial"/>
          <w:color w:val="FF0000"/>
          <w:sz w:val="20"/>
          <w:szCs w:val="20"/>
          <w:lang w:val="es-ES_tradnl"/>
        </w:rPr>
      </w:pPr>
      <w:r w:rsidRPr="00375150">
        <w:rPr>
          <w:rFonts w:ascii="Arial" w:hAnsi="Arial" w:cs="Arial"/>
          <w:color w:val="FF0000"/>
          <w:sz w:val="20"/>
          <w:szCs w:val="20"/>
          <w:lang w:val="es-ES_tradnl"/>
        </w:rPr>
        <w:t xml:space="preserve">Nombre </w:t>
      </w:r>
      <w:r w:rsidR="0089380B" w:rsidRPr="00375150">
        <w:rPr>
          <w:rFonts w:ascii="Arial" w:hAnsi="Arial" w:cs="Arial"/>
          <w:color w:val="FF0000"/>
          <w:sz w:val="20"/>
          <w:szCs w:val="20"/>
          <w:lang w:val="es-ES_tradnl"/>
        </w:rPr>
        <w:t xml:space="preserve">de la </w:t>
      </w:r>
      <w:r w:rsidR="000334FF" w:rsidRPr="00375150">
        <w:rPr>
          <w:rFonts w:ascii="Arial" w:hAnsi="Arial" w:cs="Arial"/>
          <w:color w:val="FF0000"/>
          <w:sz w:val="20"/>
          <w:szCs w:val="20"/>
          <w:lang w:val="es-ES_tradnl"/>
        </w:rPr>
        <w:t>entidad</w:t>
      </w:r>
    </w:p>
    <w:p w:rsidR="00904BC9" w:rsidRPr="00375150" w:rsidRDefault="00D45C4E" w:rsidP="00904BC9">
      <w:pPr>
        <w:jc w:val="center"/>
        <w:rPr>
          <w:rFonts w:ascii="Arial" w:hAnsi="Arial" w:cs="Arial"/>
          <w:sz w:val="20"/>
          <w:szCs w:val="20"/>
          <w:lang w:val="es-ES_tradnl"/>
        </w:rPr>
      </w:pPr>
      <w:r w:rsidRPr="00375150">
        <w:rPr>
          <w:rFonts w:ascii="Arial" w:hAnsi="Arial" w:cs="Arial"/>
          <w:sz w:val="20"/>
          <w:szCs w:val="20"/>
          <w:lang w:val="es-ES_tradnl"/>
        </w:rPr>
        <w:t xml:space="preserve">Ejecución de </w:t>
      </w:r>
      <w:r w:rsidR="000D76FD" w:rsidRPr="00375150">
        <w:rPr>
          <w:rFonts w:ascii="Arial" w:hAnsi="Arial" w:cs="Arial"/>
          <w:sz w:val="20"/>
          <w:szCs w:val="20"/>
          <w:lang w:val="es-ES_tradnl"/>
        </w:rPr>
        <w:t>las transferencias a órganos desconcentrados e instituciones descentralizadas</w:t>
      </w:r>
    </w:p>
    <w:p w:rsidR="00D45C4E" w:rsidRPr="00375150" w:rsidRDefault="000334FF" w:rsidP="00904BC9">
      <w:pPr>
        <w:jc w:val="center"/>
        <w:rPr>
          <w:rFonts w:ascii="Arial" w:hAnsi="Arial" w:cs="Arial"/>
          <w:sz w:val="20"/>
          <w:szCs w:val="20"/>
          <w:lang w:val="es-ES_tradnl"/>
        </w:rPr>
      </w:pPr>
      <w:r w:rsidRPr="00375150">
        <w:rPr>
          <w:rFonts w:ascii="Arial" w:hAnsi="Arial" w:cs="Arial"/>
          <w:sz w:val="20"/>
          <w:szCs w:val="20"/>
          <w:lang w:val="es-ES_tradnl"/>
        </w:rPr>
        <w:t>Al 31 de diciembre 2018</w:t>
      </w:r>
    </w:p>
    <w:p w:rsidR="00A43A0C" w:rsidRPr="00375150" w:rsidRDefault="00A43A0C" w:rsidP="00904BC9">
      <w:pPr>
        <w:jc w:val="center"/>
        <w:rPr>
          <w:rFonts w:ascii="Arial" w:hAnsi="Arial" w:cs="Arial"/>
          <w:i/>
          <w:sz w:val="20"/>
          <w:szCs w:val="20"/>
          <w:lang w:val="es-ES_tradnl"/>
        </w:rPr>
      </w:pPr>
      <w:r w:rsidRPr="00375150">
        <w:rPr>
          <w:rFonts w:ascii="Arial" w:hAnsi="Arial" w:cs="Arial"/>
          <w:i/>
          <w:sz w:val="20"/>
          <w:szCs w:val="20"/>
          <w:lang w:val="es-ES_tradnl"/>
        </w:rPr>
        <w:t>(</w:t>
      </w:r>
      <w:r w:rsidR="009300C6" w:rsidRPr="00375150">
        <w:rPr>
          <w:rFonts w:ascii="Arial" w:hAnsi="Arial" w:cs="Arial"/>
          <w:i/>
          <w:sz w:val="20"/>
          <w:szCs w:val="20"/>
          <w:lang w:val="es-ES_tradnl"/>
        </w:rPr>
        <w:t xml:space="preserve"> </w:t>
      </w:r>
      <w:r w:rsidRPr="00375150">
        <w:rPr>
          <w:rFonts w:ascii="Arial" w:hAnsi="Arial" w:cs="Arial"/>
          <w:i/>
          <w:sz w:val="20"/>
          <w:szCs w:val="20"/>
          <w:lang w:val="es-ES_tradnl"/>
        </w:rPr>
        <w:t>en millones de colones)</w:t>
      </w:r>
    </w:p>
    <w:tbl>
      <w:tblPr>
        <w:tblStyle w:val="Listaclara-nfasis5"/>
        <w:tblW w:w="10207" w:type="dxa"/>
        <w:tblInd w:w="-176" w:type="dxa"/>
        <w:tblBorders>
          <w:insideH w:val="single" w:sz="6" w:space="0" w:color="4BACC6" w:themeColor="accent5"/>
          <w:insideV w:val="single" w:sz="6" w:space="0" w:color="4BACC6" w:themeColor="accent5"/>
        </w:tblBorders>
        <w:tblLayout w:type="fixed"/>
        <w:tblLook w:val="04A0"/>
      </w:tblPr>
      <w:tblGrid>
        <w:gridCol w:w="851"/>
        <w:gridCol w:w="1276"/>
        <w:gridCol w:w="1559"/>
        <w:gridCol w:w="1338"/>
        <w:gridCol w:w="1397"/>
        <w:gridCol w:w="1376"/>
        <w:gridCol w:w="2410"/>
      </w:tblGrid>
      <w:tr w:rsidR="00DB37B2" w:rsidRPr="00375150" w:rsidTr="00AA140F">
        <w:trPr>
          <w:cnfStyle w:val="100000000000"/>
          <w:tblHeader/>
        </w:trPr>
        <w:tc>
          <w:tcPr>
            <w:cnfStyle w:val="001000000000"/>
            <w:tcW w:w="851" w:type="dxa"/>
          </w:tcPr>
          <w:p w:rsidR="00DB37B2" w:rsidRPr="00375150" w:rsidRDefault="00DB37B2" w:rsidP="003A6738">
            <w:pPr>
              <w:spacing w:after="120"/>
              <w:jc w:val="center"/>
              <w:rPr>
                <w:rFonts w:ascii="Arial" w:hAnsi="Arial" w:cs="Arial"/>
                <w:bCs w:val="0"/>
                <w:sz w:val="16"/>
                <w:szCs w:val="20"/>
              </w:rPr>
            </w:pPr>
            <w:r w:rsidRPr="00375150">
              <w:rPr>
                <w:rFonts w:ascii="Arial" w:hAnsi="Arial" w:cs="Arial"/>
                <w:sz w:val="16"/>
                <w:szCs w:val="20"/>
              </w:rPr>
              <w:t>Entidad</w:t>
            </w:r>
          </w:p>
        </w:tc>
        <w:tc>
          <w:tcPr>
            <w:tcW w:w="1276" w:type="dxa"/>
          </w:tcPr>
          <w:p w:rsidR="00DB37B2" w:rsidRPr="00375150" w:rsidRDefault="00DB37B2" w:rsidP="003A6738">
            <w:pPr>
              <w:spacing w:after="120"/>
              <w:jc w:val="center"/>
              <w:cnfStyle w:val="100000000000"/>
              <w:rPr>
                <w:rFonts w:ascii="Arial" w:hAnsi="Arial" w:cs="Arial"/>
                <w:bCs w:val="0"/>
                <w:sz w:val="16"/>
                <w:szCs w:val="20"/>
              </w:rPr>
            </w:pPr>
            <w:r w:rsidRPr="00375150">
              <w:rPr>
                <w:rFonts w:ascii="Arial" w:hAnsi="Arial" w:cs="Arial"/>
                <w:sz w:val="16"/>
                <w:szCs w:val="20"/>
              </w:rPr>
              <w:t>Saldo en Caja Única al 31/12/17</w:t>
            </w:r>
            <w:r w:rsidR="003A6738" w:rsidRPr="00375150">
              <w:rPr>
                <w:rFonts w:ascii="Arial" w:hAnsi="Arial" w:cs="Arial"/>
                <w:sz w:val="16"/>
                <w:szCs w:val="20"/>
              </w:rPr>
              <w:t xml:space="preserve"> </w:t>
            </w:r>
            <w:r w:rsidR="003A6738" w:rsidRPr="00375150">
              <w:rPr>
                <w:rFonts w:ascii="Arial" w:hAnsi="Arial" w:cs="Arial"/>
                <w:sz w:val="16"/>
                <w:szCs w:val="20"/>
                <w:vertAlign w:val="superscript"/>
              </w:rPr>
              <w:t>1/</w:t>
            </w:r>
          </w:p>
        </w:tc>
        <w:tc>
          <w:tcPr>
            <w:tcW w:w="1559" w:type="dxa"/>
          </w:tcPr>
          <w:p w:rsidR="00DB37B2" w:rsidRPr="00375150" w:rsidRDefault="00DB37B2" w:rsidP="003A6738">
            <w:pPr>
              <w:spacing w:after="120"/>
              <w:jc w:val="center"/>
              <w:cnfStyle w:val="100000000000"/>
              <w:rPr>
                <w:rFonts w:ascii="Arial" w:hAnsi="Arial" w:cs="Arial"/>
                <w:bCs w:val="0"/>
                <w:sz w:val="16"/>
                <w:szCs w:val="20"/>
              </w:rPr>
            </w:pPr>
            <w:r w:rsidRPr="00375150">
              <w:rPr>
                <w:rFonts w:ascii="Arial" w:hAnsi="Arial" w:cs="Arial"/>
                <w:sz w:val="16"/>
                <w:szCs w:val="20"/>
              </w:rPr>
              <w:t>Monto Presupuestado</w:t>
            </w:r>
          </w:p>
        </w:tc>
        <w:tc>
          <w:tcPr>
            <w:tcW w:w="1338" w:type="dxa"/>
          </w:tcPr>
          <w:p w:rsidR="00DB37B2" w:rsidRPr="00375150" w:rsidRDefault="00DB37B2" w:rsidP="00F8364E">
            <w:pPr>
              <w:spacing w:after="120"/>
              <w:jc w:val="center"/>
              <w:cnfStyle w:val="100000000000"/>
              <w:rPr>
                <w:rFonts w:ascii="Arial" w:hAnsi="Arial" w:cs="Arial"/>
                <w:bCs w:val="0"/>
                <w:sz w:val="16"/>
                <w:szCs w:val="20"/>
              </w:rPr>
            </w:pPr>
            <w:r w:rsidRPr="00375150">
              <w:rPr>
                <w:rFonts w:ascii="Arial" w:hAnsi="Arial" w:cs="Arial"/>
                <w:sz w:val="16"/>
                <w:szCs w:val="20"/>
              </w:rPr>
              <w:t xml:space="preserve">Monto </w:t>
            </w:r>
            <w:r w:rsidR="00F8364E" w:rsidRPr="00375150">
              <w:rPr>
                <w:rFonts w:ascii="Arial" w:hAnsi="Arial" w:cs="Arial"/>
                <w:sz w:val="16"/>
                <w:szCs w:val="20"/>
              </w:rPr>
              <w:t>Transferido</w:t>
            </w:r>
          </w:p>
        </w:tc>
        <w:tc>
          <w:tcPr>
            <w:tcW w:w="1397" w:type="dxa"/>
          </w:tcPr>
          <w:p w:rsidR="00DB37B2" w:rsidRPr="00375150" w:rsidRDefault="00DB37B2" w:rsidP="003A6738">
            <w:pPr>
              <w:spacing w:after="120"/>
              <w:jc w:val="center"/>
              <w:cnfStyle w:val="100000000000"/>
              <w:rPr>
                <w:rFonts w:ascii="Arial" w:hAnsi="Arial" w:cs="Arial"/>
                <w:bCs w:val="0"/>
                <w:sz w:val="16"/>
                <w:szCs w:val="20"/>
              </w:rPr>
            </w:pPr>
            <w:r w:rsidRPr="00375150">
              <w:rPr>
                <w:rFonts w:ascii="Arial" w:hAnsi="Arial" w:cs="Arial"/>
                <w:sz w:val="16"/>
                <w:szCs w:val="20"/>
              </w:rPr>
              <w:t>Ejecución de la Transferencia</w:t>
            </w:r>
            <w:r w:rsidR="00D41BAC" w:rsidRPr="00375150">
              <w:rPr>
                <w:rFonts w:ascii="Arial" w:hAnsi="Arial" w:cs="Arial"/>
                <w:sz w:val="16"/>
                <w:szCs w:val="20"/>
              </w:rPr>
              <w:t xml:space="preserve"> (en porcentaje)</w:t>
            </w:r>
          </w:p>
        </w:tc>
        <w:tc>
          <w:tcPr>
            <w:tcW w:w="1376" w:type="dxa"/>
          </w:tcPr>
          <w:p w:rsidR="00DB37B2" w:rsidRPr="00375150" w:rsidRDefault="00DB37B2" w:rsidP="003A6738">
            <w:pPr>
              <w:spacing w:after="120"/>
              <w:jc w:val="center"/>
              <w:cnfStyle w:val="100000000000"/>
              <w:rPr>
                <w:rFonts w:ascii="Arial" w:hAnsi="Arial" w:cs="Arial"/>
                <w:bCs w:val="0"/>
                <w:sz w:val="16"/>
                <w:szCs w:val="20"/>
              </w:rPr>
            </w:pPr>
            <w:r w:rsidRPr="00375150">
              <w:rPr>
                <w:rFonts w:ascii="Arial" w:hAnsi="Arial" w:cs="Arial"/>
                <w:sz w:val="16"/>
                <w:szCs w:val="20"/>
              </w:rPr>
              <w:t>Saldo en Caja Única al 31/12/18</w:t>
            </w:r>
            <w:r w:rsidR="003A6738" w:rsidRPr="00375150">
              <w:rPr>
                <w:rFonts w:ascii="Arial" w:hAnsi="Arial" w:cs="Arial"/>
                <w:sz w:val="16"/>
                <w:szCs w:val="20"/>
              </w:rPr>
              <w:t xml:space="preserve"> </w:t>
            </w:r>
            <w:r w:rsidR="003A6738" w:rsidRPr="00375150">
              <w:rPr>
                <w:rFonts w:ascii="Arial" w:hAnsi="Arial" w:cs="Arial"/>
                <w:sz w:val="16"/>
                <w:szCs w:val="20"/>
                <w:vertAlign w:val="superscript"/>
              </w:rPr>
              <w:t>1/</w:t>
            </w:r>
          </w:p>
        </w:tc>
        <w:tc>
          <w:tcPr>
            <w:tcW w:w="2410" w:type="dxa"/>
          </w:tcPr>
          <w:p w:rsidR="00DB37B2" w:rsidRPr="00375150" w:rsidRDefault="00DB37B2" w:rsidP="003A6738">
            <w:pPr>
              <w:spacing w:after="120"/>
              <w:jc w:val="center"/>
              <w:cnfStyle w:val="100000000000"/>
              <w:rPr>
                <w:rFonts w:ascii="Arial" w:hAnsi="Arial" w:cs="Arial"/>
                <w:bCs w:val="0"/>
                <w:sz w:val="16"/>
                <w:szCs w:val="20"/>
              </w:rPr>
            </w:pPr>
            <w:r w:rsidRPr="00375150">
              <w:rPr>
                <w:rFonts w:ascii="Arial" w:hAnsi="Arial" w:cs="Arial"/>
                <w:sz w:val="16"/>
                <w:szCs w:val="20"/>
              </w:rPr>
              <w:t>Acciones de dirección, coordinación y vigilancia</w:t>
            </w:r>
            <w:r w:rsidR="0093644D" w:rsidRPr="00375150">
              <w:rPr>
                <w:rFonts w:ascii="Arial" w:hAnsi="Arial" w:cs="Arial"/>
                <w:sz w:val="16"/>
                <w:szCs w:val="20"/>
              </w:rPr>
              <w:t xml:space="preserve"> realizadas</w:t>
            </w:r>
          </w:p>
        </w:tc>
      </w:tr>
      <w:tr w:rsidR="00DB37B2" w:rsidRPr="00375150" w:rsidTr="00075112">
        <w:trPr>
          <w:cnfStyle w:val="000000100000"/>
        </w:trPr>
        <w:tc>
          <w:tcPr>
            <w:cnfStyle w:val="001000000000"/>
            <w:tcW w:w="851" w:type="dxa"/>
          </w:tcPr>
          <w:p w:rsidR="00DB37B2" w:rsidRPr="0077710A" w:rsidRDefault="00DB37B2" w:rsidP="00332B57">
            <w:pPr>
              <w:spacing w:after="120" w:line="360" w:lineRule="auto"/>
              <w:jc w:val="both"/>
              <w:rPr>
                <w:rFonts w:ascii="Arial" w:hAnsi="Arial" w:cs="Arial"/>
                <w:bCs w:val="0"/>
                <w:sz w:val="20"/>
                <w:szCs w:val="20"/>
              </w:rPr>
            </w:pPr>
          </w:p>
        </w:tc>
        <w:tc>
          <w:tcPr>
            <w:tcW w:w="1276" w:type="dxa"/>
          </w:tcPr>
          <w:p w:rsidR="00DB37B2" w:rsidRPr="00375150" w:rsidRDefault="00DB37B2" w:rsidP="00332B57">
            <w:pPr>
              <w:spacing w:after="120" w:line="360" w:lineRule="auto"/>
              <w:jc w:val="both"/>
              <w:cnfStyle w:val="000000100000"/>
              <w:rPr>
                <w:rFonts w:ascii="Arial" w:hAnsi="Arial" w:cs="Arial"/>
                <w:bCs/>
                <w:sz w:val="20"/>
                <w:szCs w:val="20"/>
              </w:rPr>
            </w:pPr>
          </w:p>
        </w:tc>
        <w:tc>
          <w:tcPr>
            <w:tcW w:w="1559" w:type="dxa"/>
          </w:tcPr>
          <w:p w:rsidR="00DB37B2" w:rsidRPr="00375150" w:rsidRDefault="00DB37B2" w:rsidP="00332B57">
            <w:pPr>
              <w:spacing w:after="120" w:line="360" w:lineRule="auto"/>
              <w:jc w:val="both"/>
              <w:cnfStyle w:val="000000100000"/>
              <w:rPr>
                <w:rFonts w:ascii="Arial" w:hAnsi="Arial" w:cs="Arial"/>
                <w:bCs/>
                <w:sz w:val="20"/>
                <w:szCs w:val="20"/>
              </w:rPr>
            </w:pPr>
          </w:p>
        </w:tc>
        <w:tc>
          <w:tcPr>
            <w:tcW w:w="1338" w:type="dxa"/>
          </w:tcPr>
          <w:p w:rsidR="00DB37B2" w:rsidRPr="00375150" w:rsidRDefault="00DB37B2" w:rsidP="00332B57">
            <w:pPr>
              <w:spacing w:after="120" w:line="360" w:lineRule="auto"/>
              <w:jc w:val="both"/>
              <w:cnfStyle w:val="000000100000"/>
              <w:rPr>
                <w:rFonts w:ascii="Arial" w:hAnsi="Arial" w:cs="Arial"/>
                <w:bCs/>
                <w:sz w:val="20"/>
                <w:szCs w:val="20"/>
              </w:rPr>
            </w:pPr>
          </w:p>
        </w:tc>
        <w:tc>
          <w:tcPr>
            <w:tcW w:w="1397" w:type="dxa"/>
          </w:tcPr>
          <w:p w:rsidR="00DB37B2" w:rsidRPr="00375150" w:rsidRDefault="00DB37B2" w:rsidP="00332B57">
            <w:pPr>
              <w:spacing w:after="120" w:line="360" w:lineRule="auto"/>
              <w:jc w:val="both"/>
              <w:cnfStyle w:val="000000100000"/>
              <w:rPr>
                <w:rFonts w:ascii="Arial" w:hAnsi="Arial" w:cs="Arial"/>
                <w:bCs/>
                <w:sz w:val="20"/>
                <w:szCs w:val="20"/>
              </w:rPr>
            </w:pPr>
          </w:p>
        </w:tc>
        <w:tc>
          <w:tcPr>
            <w:tcW w:w="1376" w:type="dxa"/>
          </w:tcPr>
          <w:p w:rsidR="00DB37B2" w:rsidRPr="00375150" w:rsidRDefault="00DB37B2" w:rsidP="00332B57">
            <w:pPr>
              <w:spacing w:after="120" w:line="360" w:lineRule="auto"/>
              <w:jc w:val="both"/>
              <w:cnfStyle w:val="000000100000"/>
              <w:rPr>
                <w:rFonts w:ascii="Arial" w:hAnsi="Arial" w:cs="Arial"/>
                <w:bCs/>
                <w:sz w:val="20"/>
                <w:szCs w:val="20"/>
              </w:rPr>
            </w:pPr>
          </w:p>
        </w:tc>
        <w:tc>
          <w:tcPr>
            <w:tcW w:w="2410" w:type="dxa"/>
          </w:tcPr>
          <w:p w:rsidR="00DB37B2" w:rsidRPr="00375150" w:rsidRDefault="00DB37B2" w:rsidP="00332B57">
            <w:pPr>
              <w:spacing w:after="120" w:line="360" w:lineRule="auto"/>
              <w:jc w:val="both"/>
              <w:cnfStyle w:val="000000100000"/>
              <w:rPr>
                <w:rFonts w:ascii="Arial" w:hAnsi="Arial" w:cs="Arial"/>
                <w:bCs/>
                <w:sz w:val="20"/>
                <w:szCs w:val="20"/>
              </w:rPr>
            </w:pPr>
          </w:p>
        </w:tc>
      </w:tr>
      <w:tr w:rsidR="00DB37B2" w:rsidRPr="00375150" w:rsidTr="00075112">
        <w:tc>
          <w:tcPr>
            <w:cnfStyle w:val="001000000000"/>
            <w:tcW w:w="851" w:type="dxa"/>
          </w:tcPr>
          <w:p w:rsidR="00DB37B2" w:rsidRPr="0077710A" w:rsidRDefault="00DB37B2" w:rsidP="00332B57">
            <w:pPr>
              <w:spacing w:after="120" w:line="360" w:lineRule="auto"/>
              <w:jc w:val="both"/>
              <w:rPr>
                <w:rFonts w:ascii="Arial" w:hAnsi="Arial" w:cs="Arial"/>
                <w:bCs w:val="0"/>
                <w:sz w:val="20"/>
                <w:szCs w:val="20"/>
              </w:rPr>
            </w:pPr>
          </w:p>
        </w:tc>
        <w:tc>
          <w:tcPr>
            <w:tcW w:w="1276" w:type="dxa"/>
          </w:tcPr>
          <w:p w:rsidR="00DB37B2" w:rsidRPr="00375150" w:rsidRDefault="00DB37B2" w:rsidP="00332B57">
            <w:pPr>
              <w:spacing w:after="120" w:line="360" w:lineRule="auto"/>
              <w:jc w:val="both"/>
              <w:cnfStyle w:val="000000000000"/>
              <w:rPr>
                <w:rFonts w:ascii="Arial" w:hAnsi="Arial" w:cs="Arial"/>
                <w:bCs/>
                <w:sz w:val="20"/>
                <w:szCs w:val="20"/>
              </w:rPr>
            </w:pPr>
          </w:p>
        </w:tc>
        <w:tc>
          <w:tcPr>
            <w:tcW w:w="1559" w:type="dxa"/>
          </w:tcPr>
          <w:p w:rsidR="00DB37B2" w:rsidRPr="00375150" w:rsidRDefault="00DB37B2" w:rsidP="00332B57">
            <w:pPr>
              <w:spacing w:after="120" w:line="360" w:lineRule="auto"/>
              <w:jc w:val="both"/>
              <w:cnfStyle w:val="000000000000"/>
              <w:rPr>
                <w:rFonts w:ascii="Arial" w:hAnsi="Arial" w:cs="Arial"/>
                <w:bCs/>
                <w:sz w:val="20"/>
                <w:szCs w:val="20"/>
              </w:rPr>
            </w:pPr>
          </w:p>
        </w:tc>
        <w:tc>
          <w:tcPr>
            <w:tcW w:w="1338" w:type="dxa"/>
          </w:tcPr>
          <w:p w:rsidR="00DB37B2" w:rsidRPr="00375150" w:rsidRDefault="00DB37B2" w:rsidP="00332B57">
            <w:pPr>
              <w:spacing w:after="120" w:line="360" w:lineRule="auto"/>
              <w:jc w:val="both"/>
              <w:cnfStyle w:val="000000000000"/>
              <w:rPr>
                <w:rFonts w:ascii="Arial" w:hAnsi="Arial" w:cs="Arial"/>
                <w:bCs/>
                <w:sz w:val="20"/>
                <w:szCs w:val="20"/>
              </w:rPr>
            </w:pPr>
          </w:p>
        </w:tc>
        <w:tc>
          <w:tcPr>
            <w:tcW w:w="1397" w:type="dxa"/>
          </w:tcPr>
          <w:p w:rsidR="00DB37B2" w:rsidRPr="00375150" w:rsidRDefault="00DB37B2" w:rsidP="00332B57">
            <w:pPr>
              <w:spacing w:after="120" w:line="360" w:lineRule="auto"/>
              <w:jc w:val="both"/>
              <w:cnfStyle w:val="000000000000"/>
              <w:rPr>
                <w:rFonts w:ascii="Arial" w:hAnsi="Arial" w:cs="Arial"/>
                <w:bCs/>
                <w:sz w:val="20"/>
                <w:szCs w:val="20"/>
              </w:rPr>
            </w:pPr>
          </w:p>
        </w:tc>
        <w:tc>
          <w:tcPr>
            <w:tcW w:w="1376" w:type="dxa"/>
          </w:tcPr>
          <w:p w:rsidR="00DB37B2" w:rsidRPr="00375150" w:rsidRDefault="00DB37B2" w:rsidP="00332B57">
            <w:pPr>
              <w:spacing w:after="120" w:line="360" w:lineRule="auto"/>
              <w:jc w:val="both"/>
              <w:cnfStyle w:val="000000000000"/>
              <w:rPr>
                <w:rFonts w:ascii="Arial" w:hAnsi="Arial" w:cs="Arial"/>
                <w:bCs/>
                <w:sz w:val="20"/>
                <w:szCs w:val="20"/>
              </w:rPr>
            </w:pPr>
          </w:p>
        </w:tc>
        <w:tc>
          <w:tcPr>
            <w:tcW w:w="2410" w:type="dxa"/>
          </w:tcPr>
          <w:p w:rsidR="00DB37B2" w:rsidRPr="00375150" w:rsidRDefault="00DB37B2" w:rsidP="00332B57">
            <w:pPr>
              <w:spacing w:after="120" w:line="360" w:lineRule="auto"/>
              <w:jc w:val="both"/>
              <w:cnfStyle w:val="000000000000"/>
              <w:rPr>
                <w:rFonts w:ascii="Arial" w:hAnsi="Arial" w:cs="Arial"/>
                <w:bCs/>
                <w:sz w:val="20"/>
                <w:szCs w:val="20"/>
              </w:rPr>
            </w:pPr>
          </w:p>
        </w:tc>
      </w:tr>
      <w:tr w:rsidR="00DB37B2" w:rsidRPr="00375150" w:rsidTr="00075112">
        <w:trPr>
          <w:cnfStyle w:val="000000100000"/>
        </w:trPr>
        <w:tc>
          <w:tcPr>
            <w:cnfStyle w:val="001000000000"/>
            <w:tcW w:w="851" w:type="dxa"/>
          </w:tcPr>
          <w:p w:rsidR="00DB37B2" w:rsidRPr="0077710A" w:rsidRDefault="00DB37B2" w:rsidP="00332B57">
            <w:pPr>
              <w:spacing w:after="120" w:line="360" w:lineRule="auto"/>
              <w:jc w:val="both"/>
              <w:rPr>
                <w:rFonts w:ascii="Arial" w:hAnsi="Arial" w:cs="Arial"/>
                <w:bCs w:val="0"/>
                <w:sz w:val="20"/>
                <w:szCs w:val="20"/>
              </w:rPr>
            </w:pPr>
          </w:p>
        </w:tc>
        <w:tc>
          <w:tcPr>
            <w:tcW w:w="1276" w:type="dxa"/>
          </w:tcPr>
          <w:p w:rsidR="00DB37B2" w:rsidRPr="00375150" w:rsidRDefault="00DB37B2" w:rsidP="00332B57">
            <w:pPr>
              <w:spacing w:after="120" w:line="360" w:lineRule="auto"/>
              <w:jc w:val="both"/>
              <w:cnfStyle w:val="000000100000"/>
              <w:rPr>
                <w:rFonts w:ascii="Arial" w:hAnsi="Arial" w:cs="Arial"/>
                <w:bCs/>
                <w:sz w:val="20"/>
                <w:szCs w:val="20"/>
              </w:rPr>
            </w:pPr>
          </w:p>
        </w:tc>
        <w:tc>
          <w:tcPr>
            <w:tcW w:w="1559" w:type="dxa"/>
          </w:tcPr>
          <w:p w:rsidR="00DB37B2" w:rsidRPr="00375150" w:rsidRDefault="00DB37B2" w:rsidP="00332B57">
            <w:pPr>
              <w:spacing w:after="120" w:line="360" w:lineRule="auto"/>
              <w:jc w:val="both"/>
              <w:cnfStyle w:val="000000100000"/>
              <w:rPr>
                <w:rFonts w:ascii="Arial" w:hAnsi="Arial" w:cs="Arial"/>
                <w:bCs/>
                <w:sz w:val="20"/>
                <w:szCs w:val="20"/>
              </w:rPr>
            </w:pPr>
          </w:p>
        </w:tc>
        <w:tc>
          <w:tcPr>
            <w:tcW w:w="1338" w:type="dxa"/>
          </w:tcPr>
          <w:p w:rsidR="00DB37B2" w:rsidRPr="00375150" w:rsidRDefault="00DB37B2" w:rsidP="00332B57">
            <w:pPr>
              <w:spacing w:after="120" w:line="360" w:lineRule="auto"/>
              <w:jc w:val="both"/>
              <w:cnfStyle w:val="000000100000"/>
              <w:rPr>
                <w:rFonts w:ascii="Arial" w:hAnsi="Arial" w:cs="Arial"/>
                <w:bCs/>
                <w:sz w:val="20"/>
                <w:szCs w:val="20"/>
              </w:rPr>
            </w:pPr>
          </w:p>
        </w:tc>
        <w:tc>
          <w:tcPr>
            <w:tcW w:w="1397" w:type="dxa"/>
          </w:tcPr>
          <w:p w:rsidR="00DB37B2" w:rsidRPr="00375150" w:rsidRDefault="00DB37B2" w:rsidP="00332B57">
            <w:pPr>
              <w:spacing w:after="120" w:line="360" w:lineRule="auto"/>
              <w:jc w:val="both"/>
              <w:cnfStyle w:val="000000100000"/>
              <w:rPr>
                <w:rFonts w:ascii="Arial" w:hAnsi="Arial" w:cs="Arial"/>
                <w:bCs/>
                <w:sz w:val="20"/>
                <w:szCs w:val="20"/>
              </w:rPr>
            </w:pPr>
          </w:p>
        </w:tc>
        <w:tc>
          <w:tcPr>
            <w:tcW w:w="1376" w:type="dxa"/>
          </w:tcPr>
          <w:p w:rsidR="00DB37B2" w:rsidRPr="00375150" w:rsidRDefault="00DB37B2" w:rsidP="00332B57">
            <w:pPr>
              <w:spacing w:after="120" w:line="360" w:lineRule="auto"/>
              <w:jc w:val="both"/>
              <w:cnfStyle w:val="000000100000"/>
              <w:rPr>
                <w:rFonts w:ascii="Arial" w:hAnsi="Arial" w:cs="Arial"/>
                <w:bCs/>
                <w:sz w:val="20"/>
                <w:szCs w:val="20"/>
              </w:rPr>
            </w:pPr>
          </w:p>
        </w:tc>
        <w:tc>
          <w:tcPr>
            <w:tcW w:w="2410" w:type="dxa"/>
          </w:tcPr>
          <w:p w:rsidR="00DB37B2" w:rsidRPr="00375150" w:rsidRDefault="00DB37B2" w:rsidP="00332B57">
            <w:pPr>
              <w:spacing w:after="120" w:line="360" w:lineRule="auto"/>
              <w:jc w:val="both"/>
              <w:cnfStyle w:val="000000100000"/>
              <w:rPr>
                <w:rFonts w:ascii="Arial" w:hAnsi="Arial" w:cs="Arial"/>
                <w:bCs/>
                <w:sz w:val="20"/>
                <w:szCs w:val="20"/>
              </w:rPr>
            </w:pPr>
          </w:p>
        </w:tc>
      </w:tr>
      <w:tr w:rsidR="00DB37B2" w:rsidRPr="00375150" w:rsidTr="00075112">
        <w:tc>
          <w:tcPr>
            <w:cnfStyle w:val="001000000000"/>
            <w:tcW w:w="851" w:type="dxa"/>
          </w:tcPr>
          <w:p w:rsidR="00DB37B2" w:rsidRPr="0077710A" w:rsidRDefault="00DB37B2" w:rsidP="00332B57">
            <w:pPr>
              <w:spacing w:after="120" w:line="360" w:lineRule="auto"/>
              <w:jc w:val="both"/>
              <w:rPr>
                <w:rFonts w:ascii="Arial" w:hAnsi="Arial" w:cs="Arial"/>
                <w:bCs w:val="0"/>
                <w:sz w:val="20"/>
                <w:szCs w:val="20"/>
              </w:rPr>
            </w:pPr>
          </w:p>
        </w:tc>
        <w:tc>
          <w:tcPr>
            <w:tcW w:w="1276" w:type="dxa"/>
          </w:tcPr>
          <w:p w:rsidR="00DB37B2" w:rsidRPr="00375150" w:rsidRDefault="00DB37B2" w:rsidP="00332B57">
            <w:pPr>
              <w:spacing w:after="120" w:line="360" w:lineRule="auto"/>
              <w:jc w:val="both"/>
              <w:cnfStyle w:val="000000000000"/>
              <w:rPr>
                <w:rFonts w:ascii="Arial" w:hAnsi="Arial" w:cs="Arial"/>
                <w:bCs/>
                <w:sz w:val="20"/>
                <w:szCs w:val="20"/>
              </w:rPr>
            </w:pPr>
          </w:p>
        </w:tc>
        <w:tc>
          <w:tcPr>
            <w:tcW w:w="1559" w:type="dxa"/>
          </w:tcPr>
          <w:p w:rsidR="00DB37B2" w:rsidRPr="00375150" w:rsidRDefault="00DB37B2" w:rsidP="00332B57">
            <w:pPr>
              <w:spacing w:after="120" w:line="360" w:lineRule="auto"/>
              <w:jc w:val="both"/>
              <w:cnfStyle w:val="000000000000"/>
              <w:rPr>
                <w:rFonts w:ascii="Arial" w:hAnsi="Arial" w:cs="Arial"/>
                <w:bCs/>
                <w:sz w:val="20"/>
                <w:szCs w:val="20"/>
              </w:rPr>
            </w:pPr>
          </w:p>
        </w:tc>
        <w:tc>
          <w:tcPr>
            <w:tcW w:w="1338" w:type="dxa"/>
          </w:tcPr>
          <w:p w:rsidR="00DB37B2" w:rsidRPr="00375150" w:rsidRDefault="00DB37B2" w:rsidP="00332B57">
            <w:pPr>
              <w:spacing w:after="120" w:line="360" w:lineRule="auto"/>
              <w:jc w:val="both"/>
              <w:cnfStyle w:val="000000000000"/>
              <w:rPr>
                <w:rFonts w:ascii="Arial" w:hAnsi="Arial" w:cs="Arial"/>
                <w:bCs/>
                <w:sz w:val="20"/>
                <w:szCs w:val="20"/>
              </w:rPr>
            </w:pPr>
          </w:p>
        </w:tc>
        <w:tc>
          <w:tcPr>
            <w:tcW w:w="1397" w:type="dxa"/>
          </w:tcPr>
          <w:p w:rsidR="00DB37B2" w:rsidRPr="00375150" w:rsidRDefault="00DB37B2" w:rsidP="00332B57">
            <w:pPr>
              <w:spacing w:after="120" w:line="360" w:lineRule="auto"/>
              <w:jc w:val="both"/>
              <w:cnfStyle w:val="000000000000"/>
              <w:rPr>
                <w:rFonts w:ascii="Arial" w:hAnsi="Arial" w:cs="Arial"/>
                <w:bCs/>
                <w:sz w:val="20"/>
                <w:szCs w:val="20"/>
              </w:rPr>
            </w:pPr>
          </w:p>
        </w:tc>
        <w:tc>
          <w:tcPr>
            <w:tcW w:w="1376" w:type="dxa"/>
          </w:tcPr>
          <w:p w:rsidR="00DB37B2" w:rsidRPr="00375150" w:rsidRDefault="00DB37B2" w:rsidP="00332B57">
            <w:pPr>
              <w:spacing w:after="120" w:line="360" w:lineRule="auto"/>
              <w:jc w:val="both"/>
              <w:cnfStyle w:val="000000000000"/>
              <w:rPr>
                <w:rFonts w:ascii="Arial" w:hAnsi="Arial" w:cs="Arial"/>
                <w:bCs/>
                <w:sz w:val="20"/>
                <w:szCs w:val="20"/>
              </w:rPr>
            </w:pPr>
          </w:p>
        </w:tc>
        <w:tc>
          <w:tcPr>
            <w:tcW w:w="2410" w:type="dxa"/>
          </w:tcPr>
          <w:p w:rsidR="00DB37B2" w:rsidRPr="00375150" w:rsidRDefault="00DB37B2" w:rsidP="00332B57">
            <w:pPr>
              <w:spacing w:after="120" w:line="360" w:lineRule="auto"/>
              <w:jc w:val="both"/>
              <w:cnfStyle w:val="000000000000"/>
              <w:rPr>
                <w:rFonts w:ascii="Arial" w:hAnsi="Arial" w:cs="Arial"/>
                <w:bCs/>
                <w:sz w:val="20"/>
                <w:szCs w:val="20"/>
              </w:rPr>
            </w:pPr>
          </w:p>
        </w:tc>
      </w:tr>
    </w:tbl>
    <w:p w:rsidR="00D45C4E" w:rsidRPr="00375150" w:rsidRDefault="00E32CB6" w:rsidP="00125C74">
      <w:pPr>
        <w:tabs>
          <w:tab w:val="left" w:pos="2702"/>
        </w:tabs>
        <w:ind w:left="-284"/>
        <w:rPr>
          <w:rFonts w:ascii="Arial" w:hAnsi="Arial" w:cs="Arial"/>
          <w:color w:val="FF0000"/>
          <w:sz w:val="18"/>
          <w:szCs w:val="20"/>
        </w:rPr>
      </w:pPr>
      <w:r w:rsidRPr="0077710A">
        <w:rPr>
          <w:rFonts w:ascii="Arial" w:hAnsi="Arial" w:cs="Arial"/>
          <w:b/>
          <w:sz w:val="16"/>
          <w:szCs w:val="20"/>
        </w:rPr>
        <w:t>Fuente</w:t>
      </w:r>
      <w:r w:rsidRPr="00375150">
        <w:rPr>
          <w:rFonts w:ascii="Arial" w:hAnsi="Arial" w:cs="Arial"/>
          <w:i/>
          <w:sz w:val="20"/>
          <w:szCs w:val="20"/>
        </w:rPr>
        <w:t xml:space="preserve">: </w:t>
      </w:r>
      <w:r w:rsidRPr="00375150">
        <w:rPr>
          <w:rFonts w:ascii="Arial" w:hAnsi="Arial" w:cs="Arial"/>
          <w:color w:val="000000" w:themeColor="text1"/>
          <w:sz w:val="18"/>
          <w:szCs w:val="20"/>
        </w:rPr>
        <w:t>Indicar fuente</w:t>
      </w:r>
      <w:r w:rsidR="009578BB" w:rsidRPr="00375150">
        <w:rPr>
          <w:rFonts w:ascii="Arial" w:hAnsi="Arial" w:cs="Arial"/>
          <w:color w:val="FF0000"/>
          <w:sz w:val="18"/>
          <w:szCs w:val="20"/>
        </w:rPr>
        <w:tab/>
      </w:r>
    </w:p>
    <w:p w:rsidR="00B833AC" w:rsidRPr="00375150" w:rsidRDefault="009578BB" w:rsidP="00125C74">
      <w:pPr>
        <w:tabs>
          <w:tab w:val="left" w:pos="2702"/>
        </w:tabs>
        <w:ind w:left="-284"/>
        <w:rPr>
          <w:rFonts w:ascii="Arial" w:hAnsi="Arial" w:cs="Arial"/>
          <w:bCs/>
          <w:sz w:val="20"/>
          <w:szCs w:val="20"/>
        </w:rPr>
      </w:pPr>
      <w:r w:rsidRPr="00375150">
        <w:rPr>
          <w:rFonts w:ascii="Arial" w:hAnsi="Arial" w:cs="Arial"/>
          <w:i/>
          <w:sz w:val="18"/>
          <w:szCs w:val="20"/>
        </w:rPr>
        <w:t>1∕ El saldo se refiere al total de recursos con los que dispone la institución al cierre del período en referencia, independientemente del origen de los recursos</w:t>
      </w:r>
      <w:r w:rsidR="003A6738" w:rsidRPr="00375150">
        <w:rPr>
          <w:rFonts w:ascii="Arial" w:hAnsi="Arial" w:cs="Arial"/>
          <w:i/>
          <w:sz w:val="18"/>
          <w:szCs w:val="20"/>
        </w:rPr>
        <w:t>.</w:t>
      </w:r>
    </w:p>
    <w:p w:rsidR="003A6738" w:rsidRPr="00375150" w:rsidRDefault="003A6738" w:rsidP="000334FF">
      <w:pPr>
        <w:spacing w:after="120" w:line="360" w:lineRule="auto"/>
        <w:jc w:val="both"/>
        <w:rPr>
          <w:rFonts w:ascii="Arial" w:hAnsi="Arial" w:cs="Arial"/>
          <w:bCs/>
          <w:sz w:val="20"/>
          <w:szCs w:val="20"/>
        </w:rPr>
      </w:pPr>
    </w:p>
    <w:p w:rsidR="00B833AC" w:rsidRPr="00375150" w:rsidRDefault="00B833AC" w:rsidP="000334FF">
      <w:pPr>
        <w:spacing w:after="120" w:line="360" w:lineRule="auto"/>
        <w:jc w:val="both"/>
        <w:rPr>
          <w:rFonts w:ascii="Arial" w:hAnsi="Arial" w:cs="Arial"/>
          <w:bCs/>
          <w:sz w:val="20"/>
          <w:szCs w:val="20"/>
        </w:rPr>
      </w:pPr>
      <w:r w:rsidRPr="00375150">
        <w:rPr>
          <w:rFonts w:ascii="Arial" w:hAnsi="Arial" w:cs="Arial"/>
          <w:bCs/>
          <w:sz w:val="20"/>
          <w:szCs w:val="20"/>
        </w:rPr>
        <w:lastRenderedPageBreak/>
        <w:t xml:space="preserve">Realice un comentario sobre las acciones que incidieron en </w:t>
      </w:r>
      <w:r w:rsidR="00253D9E" w:rsidRPr="00375150">
        <w:rPr>
          <w:rFonts w:ascii="Arial" w:hAnsi="Arial" w:cs="Arial"/>
          <w:bCs/>
          <w:sz w:val="20"/>
          <w:szCs w:val="20"/>
        </w:rPr>
        <w:t>la ejecución</w:t>
      </w:r>
      <w:r w:rsidRPr="00375150">
        <w:rPr>
          <w:rFonts w:ascii="Arial" w:hAnsi="Arial" w:cs="Arial"/>
          <w:bCs/>
          <w:sz w:val="20"/>
          <w:szCs w:val="20"/>
        </w:rPr>
        <w:t xml:space="preserve"> de los recursos</w:t>
      </w:r>
      <w:r w:rsidR="00B357C4" w:rsidRPr="00375150">
        <w:rPr>
          <w:rFonts w:ascii="Arial" w:hAnsi="Arial" w:cs="Arial"/>
          <w:bCs/>
          <w:sz w:val="20"/>
          <w:szCs w:val="20"/>
        </w:rPr>
        <w:t>,</w:t>
      </w:r>
      <w:r w:rsidR="00253D9E" w:rsidRPr="00375150">
        <w:rPr>
          <w:rFonts w:ascii="Arial" w:hAnsi="Arial" w:cs="Arial"/>
          <w:bCs/>
          <w:sz w:val="20"/>
          <w:szCs w:val="20"/>
        </w:rPr>
        <w:t xml:space="preserve"> valorando si las acciones realizadas son suficientes para un efectivo control de acuerdo a lo que solicita la normativa citada. </w:t>
      </w:r>
    </w:p>
    <w:p w:rsidR="008A6DBD" w:rsidRPr="00375150" w:rsidRDefault="008A6DBD" w:rsidP="008A6DBD">
      <w:pPr>
        <w:pStyle w:val="Textoindependiente"/>
        <w:spacing w:line="360" w:lineRule="auto"/>
        <w:jc w:val="both"/>
        <w:rPr>
          <w:rFonts w:ascii="Arial" w:hAnsi="Arial" w:cs="Arial"/>
          <w:bCs/>
          <w:strike/>
          <w:color w:val="FF0000"/>
        </w:rPr>
      </w:pPr>
      <w:r w:rsidRPr="00375150">
        <w:rPr>
          <w:rFonts w:ascii="Arial" w:hAnsi="Arial" w:cs="Arial"/>
          <w:bCs/>
          <w:sz w:val="20"/>
          <w:szCs w:val="20"/>
        </w:rPr>
        <w:t>Refiérase a los saldos en caja única para 2017 y 2018 que mantienen los órganos desconcentrados y entidades descentralizadas a los que transfiere recursos</w:t>
      </w:r>
      <w:r w:rsidR="00D353FD" w:rsidRPr="00375150">
        <w:rPr>
          <w:rFonts w:ascii="Arial" w:hAnsi="Arial" w:cs="Arial"/>
          <w:bCs/>
          <w:sz w:val="20"/>
          <w:szCs w:val="20"/>
        </w:rPr>
        <w:t>.</w:t>
      </w:r>
    </w:p>
    <w:p w:rsidR="00B833AC" w:rsidRPr="0084580C" w:rsidRDefault="00B833AC" w:rsidP="0093644D">
      <w:pPr>
        <w:rPr>
          <w:rFonts w:ascii="Arial" w:hAnsi="Arial" w:cs="Arial"/>
        </w:rPr>
      </w:pPr>
    </w:p>
    <w:p w:rsidR="0093644D" w:rsidRPr="0084580C" w:rsidRDefault="0093644D" w:rsidP="00253D9E">
      <w:pPr>
        <w:rPr>
          <w:rFonts w:ascii="Arial" w:hAnsi="Arial" w:cs="Arial"/>
        </w:rPr>
      </w:pPr>
    </w:p>
    <w:bookmarkEnd w:id="6"/>
    <w:bookmarkEnd w:id="7"/>
    <w:bookmarkEnd w:id="8"/>
    <w:p w:rsidR="00950461" w:rsidRPr="00375150" w:rsidRDefault="001650D1" w:rsidP="00075112">
      <w:pPr>
        <w:rPr>
          <w:rFonts w:ascii="Arial" w:hAnsi="Arial" w:cs="Arial"/>
          <w:sz w:val="20"/>
        </w:rPr>
      </w:pPr>
      <w:r w:rsidRPr="0077710A">
        <w:rPr>
          <w:rFonts w:ascii="Arial" w:hAnsi="Arial" w:cs="Arial"/>
          <w:b/>
          <w:sz w:val="20"/>
        </w:rPr>
        <w:t>N</w:t>
      </w:r>
      <w:r w:rsidR="00DA241E" w:rsidRPr="00375150">
        <w:rPr>
          <w:rFonts w:ascii="Arial" w:hAnsi="Arial" w:cs="Arial"/>
          <w:b/>
          <w:sz w:val="20"/>
        </w:rPr>
        <w:t xml:space="preserve">ombre </w:t>
      </w:r>
      <w:r w:rsidR="00950461" w:rsidRPr="00375150">
        <w:rPr>
          <w:rFonts w:ascii="Arial" w:hAnsi="Arial" w:cs="Arial"/>
          <w:b/>
          <w:sz w:val="20"/>
        </w:rPr>
        <w:t>del máximo jerarca</w:t>
      </w:r>
      <w:r w:rsidR="004D3095" w:rsidRPr="00375150">
        <w:rPr>
          <w:rFonts w:ascii="Arial" w:hAnsi="Arial" w:cs="Arial"/>
          <w:sz w:val="20"/>
        </w:rPr>
        <w:t>: ___________________________</w:t>
      </w:r>
    </w:p>
    <w:p w:rsidR="0093644D" w:rsidRPr="00375150" w:rsidRDefault="0093644D" w:rsidP="0093644D">
      <w:pPr>
        <w:rPr>
          <w:rFonts w:ascii="Arial" w:hAnsi="Arial" w:cs="Arial"/>
          <w:sz w:val="20"/>
        </w:rPr>
      </w:pPr>
    </w:p>
    <w:p w:rsidR="007D272F" w:rsidRPr="00375150" w:rsidRDefault="00950461" w:rsidP="00075112">
      <w:pPr>
        <w:rPr>
          <w:rFonts w:ascii="Arial" w:hAnsi="Arial" w:cs="Arial"/>
          <w:sz w:val="20"/>
        </w:rPr>
      </w:pPr>
      <w:r w:rsidRPr="00375150">
        <w:rPr>
          <w:rFonts w:ascii="Arial" w:hAnsi="Arial" w:cs="Arial"/>
          <w:b/>
          <w:sz w:val="20"/>
        </w:rPr>
        <w:t>F</w:t>
      </w:r>
      <w:r w:rsidR="00DA241E" w:rsidRPr="00375150">
        <w:rPr>
          <w:rFonts w:ascii="Arial" w:hAnsi="Arial" w:cs="Arial"/>
          <w:b/>
          <w:sz w:val="20"/>
        </w:rPr>
        <w:t>irma del máximo jerarca</w:t>
      </w:r>
      <w:r w:rsidR="00DA241E" w:rsidRPr="00375150">
        <w:rPr>
          <w:rFonts w:ascii="Arial" w:hAnsi="Arial" w:cs="Arial"/>
          <w:sz w:val="20"/>
        </w:rPr>
        <w:t xml:space="preserve">: </w:t>
      </w:r>
      <w:r w:rsidR="004D3095" w:rsidRPr="00375150">
        <w:rPr>
          <w:rFonts w:ascii="Arial" w:hAnsi="Arial" w:cs="Arial"/>
          <w:sz w:val="20"/>
        </w:rPr>
        <w:t>_____________________________</w:t>
      </w:r>
    </w:p>
    <w:p w:rsidR="0093644D" w:rsidRPr="00375150" w:rsidRDefault="0093644D" w:rsidP="0093644D">
      <w:pPr>
        <w:rPr>
          <w:rFonts w:ascii="Arial" w:hAnsi="Arial" w:cs="Arial"/>
          <w:sz w:val="20"/>
        </w:rPr>
      </w:pPr>
    </w:p>
    <w:p w:rsidR="00DA241E" w:rsidRPr="00375150" w:rsidRDefault="00DA241E" w:rsidP="00075112">
      <w:pPr>
        <w:rPr>
          <w:rFonts w:ascii="Arial" w:hAnsi="Arial" w:cs="Arial"/>
          <w:sz w:val="20"/>
        </w:rPr>
      </w:pPr>
      <w:r w:rsidRPr="00375150">
        <w:rPr>
          <w:rFonts w:ascii="Arial" w:hAnsi="Arial" w:cs="Arial"/>
          <w:b/>
          <w:sz w:val="20"/>
        </w:rPr>
        <w:t>Sello</w:t>
      </w:r>
      <w:r w:rsidRPr="00375150">
        <w:rPr>
          <w:rFonts w:ascii="Arial" w:hAnsi="Arial" w:cs="Arial"/>
          <w:sz w:val="20"/>
        </w:rPr>
        <w:t>:</w:t>
      </w:r>
      <w:r w:rsidR="00D57C8E" w:rsidRPr="00375150">
        <w:rPr>
          <w:rFonts w:ascii="Arial" w:hAnsi="Arial" w:cs="Arial"/>
          <w:sz w:val="20"/>
        </w:rPr>
        <w:t xml:space="preserve"> </w:t>
      </w:r>
      <w:r w:rsidR="00D57C8E" w:rsidRPr="00375150">
        <w:rPr>
          <w:rFonts w:ascii="Arial" w:hAnsi="Arial" w:cs="Arial"/>
          <w:i/>
          <w:sz w:val="20"/>
        </w:rPr>
        <w:t>(en caso que se presente en forma física)</w:t>
      </w:r>
    </w:p>
    <w:p w:rsidR="00DF6FED" w:rsidRPr="00375150" w:rsidRDefault="00DF6FED">
      <w:pPr>
        <w:rPr>
          <w:rFonts w:ascii="Arial" w:hAnsi="Arial" w:cs="Arial"/>
          <w:b/>
          <w:bCs/>
          <w:color w:val="FF0000"/>
          <w:sz w:val="20"/>
          <w:szCs w:val="22"/>
        </w:rPr>
      </w:pPr>
      <w:r w:rsidRPr="00375150">
        <w:rPr>
          <w:rFonts w:ascii="Arial" w:hAnsi="Arial" w:cs="Arial"/>
          <w:b/>
          <w:bCs/>
          <w:color w:val="FF0000"/>
          <w:sz w:val="20"/>
          <w:szCs w:val="22"/>
        </w:rPr>
        <w:br w:type="page"/>
      </w:r>
    </w:p>
    <w:p w:rsidR="00A81C19" w:rsidRPr="00375150" w:rsidRDefault="00A81C19">
      <w:pPr>
        <w:rPr>
          <w:rFonts w:ascii="Arial" w:hAnsi="Arial" w:cs="Arial"/>
          <w:b/>
          <w:bCs/>
          <w:color w:val="FF0000"/>
          <w:sz w:val="20"/>
          <w:szCs w:val="22"/>
        </w:rPr>
      </w:pPr>
    </w:p>
    <w:p w:rsidR="002121A7" w:rsidRPr="0084580C" w:rsidRDefault="004D68B9" w:rsidP="004D3095">
      <w:pPr>
        <w:pStyle w:val="Ttulo2"/>
        <w:rPr>
          <w:rStyle w:val="Ttulodellibro"/>
          <w:rFonts w:cs="Arial"/>
          <w:b/>
          <w:color w:val="000000" w:themeColor="text1"/>
        </w:rPr>
      </w:pPr>
      <w:bookmarkStart w:id="11" w:name="_Toc530474646"/>
      <w:bookmarkStart w:id="12" w:name="_Toc531253884"/>
      <w:r w:rsidRPr="00375150">
        <w:rPr>
          <w:rStyle w:val="Ttulodellibro"/>
          <w:rFonts w:cs="Arial"/>
          <w:b/>
          <w:color w:val="000000" w:themeColor="text1"/>
        </w:rPr>
        <w:t>APARTADO</w:t>
      </w:r>
      <w:r w:rsidR="00432E4B" w:rsidRPr="00375150">
        <w:rPr>
          <w:rStyle w:val="Ttulodellibro"/>
          <w:rFonts w:cs="Arial"/>
          <w:b/>
          <w:color w:val="000000" w:themeColor="text1"/>
        </w:rPr>
        <w:t xml:space="preserve"> PROGRAMÁTICO</w:t>
      </w:r>
      <w:bookmarkEnd w:id="11"/>
      <w:bookmarkEnd w:id="12"/>
      <w:r w:rsidR="004947FD" w:rsidRPr="00375150">
        <w:rPr>
          <w:rStyle w:val="Ttulodellibro"/>
          <w:rFonts w:cs="Arial"/>
          <w:b/>
          <w:color w:val="000000" w:themeColor="text1"/>
        </w:rPr>
        <w:t xml:space="preserve"> </w:t>
      </w:r>
    </w:p>
    <w:p w:rsidR="002121A7" w:rsidRPr="00375150" w:rsidRDefault="002121A7" w:rsidP="00075112">
      <w:pPr>
        <w:pStyle w:val="Ttulo2"/>
        <w:numPr>
          <w:ilvl w:val="0"/>
          <w:numId w:val="0"/>
        </w:numPr>
        <w:ind w:left="720" w:hanging="360"/>
        <w:jc w:val="left"/>
        <w:rPr>
          <w:rFonts w:ascii="Arial" w:hAnsi="Arial" w:cs="Arial"/>
          <w:b w:val="0"/>
          <w:szCs w:val="20"/>
        </w:rPr>
      </w:pPr>
    </w:p>
    <w:p w:rsidR="00A81C19" w:rsidRPr="0084580C" w:rsidRDefault="00A81C19" w:rsidP="00A81C19">
      <w:pPr>
        <w:spacing w:line="360" w:lineRule="auto"/>
        <w:jc w:val="both"/>
        <w:rPr>
          <w:rFonts w:ascii="Arial" w:hAnsi="Arial" w:cs="Arial"/>
          <w:b/>
          <w:sz w:val="20"/>
          <w:szCs w:val="20"/>
          <w:lang w:val="es-MX"/>
        </w:rPr>
      </w:pPr>
      <w:r w:rsidRPr="00375150">
        <w:rPr>
          <w:rFonts w:ascii="Arial" w:hAnsi="Arial" w:cs="Arial"/>
          <w:b/>
          <w:color w:val="000000" w:themeColor="text1"/>
          <w:sz w:val="20"/>
          <w:szCs w:val="20"/>
          <w:lang w:val="es-MX"/>
        </w:rPr>
        <w:t>Código y nombre del Programa o Subprograma</w:t>
      </w:r>
      <w:r w:rsidRPr="00375150">
        <w:rPr>
          <w:rFonts w:ascii="Arial" w:hAnsi="Arial" w:cs="Arial"/>
          <w:b/>
          <w:sz w:val="20"/>
          <w:szCs w:val="20"/>
          <w:lang w:val="es-MX"/>
        </w:rPr>
        <w:t xml:space="preserve">: </w:t>
      </w:r>
      <w:r w:rsidR="0084626E" w:rsidRPr="0084580C">
        <w:rPr>
          <w:rFonts w:ascii="Arial" w:hAnsi="Arial" w:cs="Arial"/>
          <w:b/>
          <w:sz w:val="20"/>
          <w:szCs w:val="20"/>
          <w:lang w:val="es-MX"/>
        </w:rPr>
        <w:t xml:space="preserve">Programa </w:t>
      </w:r>
      <w:r w:rsidRPr="0084580C">
        <w:rPr>
          <w:rFonts w:ascii="Arial" w:hAnsi="Arial" w:cs="Arial"/>
          <w:b/>
          <w:sz w:val="20"/>
          <w:szCs w:val="20"/>
          <w:lang w:val="es-MX"/>
        </w:rPr>
        <w:t>930 Defensa Pública</w:t>
      </w:r>
    </w:p>
    <w:p w:rsidR="00A81C19" w:rsidRPr="0084580C" w:rsidRDefault="00A81C19" w:rsidP="00A81C19">
      <w:pPr>
        <w:spacing w:line="360" w:lineRule="auto"/>
        <w:jc w:val="both"/>
        <w:rPr>
          <w:rFonts w:ascii="Arial" w:hAnsi="Arial" w:cs="Arial"/>
          <w:b/>
          <w:sz w:val="20"/>
          <w:szCs w:val="20"/>
          <w:highlight w:val="yellow"/>
          <w:lang w:val="es-MX"/>
        </w:rPr>
      </w:pPr>
    </w:p>
    <w:p w:rsidR="00A81C19" w:rsidRPr="00E17887" w:rsidRDefault="00A81C19" w:rsidP="00A81C19">
      <w:pPr>
        <w:pStyle w:val="Ttulo2"/>
        <w:numPr>
          <w:ilvl w:val="0"/>
          <w:numId w:val="0"/>
        </w:numPr>
        <w:jc w:val="left"/>
        <w:rPr>
          <w:rFonts w:ascii="Arial" w:eastAsiaTheme="majorEastAsia" w:hAnsi="Arial" w:cs="Arial"/>
          <w:iCs/>
          <w:smallCaps/>
          <w:color w:val="000000" w:themeColor="text1"/>
          <w:spacing w:val="15"/>
          <w:sz w:val="22"/>
        </w:rPr>
      </w:pPr>
      <w:r w:rsidRPr="0077710A">
        <w:rPr>
          <w:rFonts w:ascii="Arial" w:eastAsiaTheme="majorEastAsia" w:hAnsi="Arial" w:cs="Arial"/>
          <w:iCs/>
          <w:smallCaps/>
          <w:color w:val="000000" w:themeColor="text1"/>
          <w:spacing w:val="15"/>
          <w:sz w:val="22"/>
        </w:rPr>
        <w:t>Análisis de los logros obtenidos</w:t>
      </w:r>
    </w:p>
    <w:p w:rsidR="00A81C19" w:rsidRPr="00375150" w:rsidRDefault="00A81C19" w:rsidP="00A81C19">
      <w:pPr>
        <w:jc w:val="both"/>
        <w:rPr>
          <w:rFonts w:ascii="Arial" w:hAnsi="Arial" w:cs="Arial"/>
          <w:b/>
          <w:sz w:val="20"/>
          <w:szCs w:val="20"/>
        </w:rPr>
      </w:pPr>
    </w:p>
    <w:p w:rsidR="00A81C19" w:rsidRPr="0084580C" w:rsidRDefault="00A81C19" w:rsidP="00A81C19">
      <w:pPr>
        <w:spacing w:line="360" w:lineRule="auto"/>
        <w:jc w:val="both"/>
        <w:rPr>
          <w:rFonts w:ascii="Arial" w:hAnsi="Arial" w:cs="Arial"/>
          <w:b/>
          <w:i/>
          <w:sz w:val="20"/>
          <w:szCs w:val="20"/>
          <w:lang w:val="es-MX"/>
        </w:rPr>
      </w:pPr>
      <w:r w:rsidRPr="0084580C">
        <w:rPr>
          <w:rFonts w:ascii="Arial" w:hAnsi="Arial" w:cs="Arial"/>
          <w:b/>
          <w:i/>
          <w:sz w:val="20"/>
          <w:szCs w:val="20"/>
          <w:lang w:val="es-MX"/>
        </w:rPr>
        <w:t>Para el caso de los programas y/o subprogramas con producción no cuantificable, deberán aplicar únicamente lo que se solicita en los puntos a) y b).</w:t>
      </w:r>
    </w:p>
    <w:p w:rsidR="00A81C19" w:rsidRPr="0084580C" w:rsidRDefault="00A81C19" w:rsidP="00A81C19">
      <w:pPr>
        <w:spacing w:line="360" w:lineRule="auto"/>
        <w:jc w:val="both"/>
        <w:rPr>
          <w:rFonts w:ascii="Arial" w:hAnsi="Arial" w:cs="Arial"/>
          <w:b/>
          <w:i/>
          <w:sz w:val="20"/>
          <w:szCs w:val="20"/>
          <w:lang w:val="es-MX"/>
        </w:rPr>
      </w:pPr>
    </w:p>
    <w:p w:rsidR="00A81C19" w:rsidRPr="0084580C" w:rsidRDefault="00A81C19" w:rsidP="00A81C19">
      <w:pPr>
        <w:numPr>
          <w:ilvl w:val="0"/>
          <w:numId w:val="3"/>
        </w:numPr>
        <w:spacing w:line="360" w:lineRule="auto"/>
        <w:ind w:left="426"/>
        <w:jc w:val="both"/>
        <w:rPr>
          <w:rFonts w:ascii="Arial" w:hAnsi="Arial" w:cs="Arial"/>
          <w:b/>
          <w:bCs/>
          <w:sz w:val="20"/>
          <w:szCs w:val="20"/>
        </w:rPr>
      </w:pPr>
      <w:r w:rsidRPr="0084580C">
        <w:rPr>
          <w:rFonts w:ascii="Arial" w:hAnsi="Arial" w:cs="Arial"/>
          <w:b/>
          <w:bCs/>
          <w:sz w:val="20"/>
          <w:szCs w:val="20"/>
        </w:rPr>
        <w:t>Comente ¿cómo la gestión desarrollada contribuyó con la misión institucional?</w:t>
      </w:r>
    </w:p>
    <w:p w:rsidR="00A81C19" w:rsidRPr="0077710A" w:rsidRDefault="00A81C19" w:rsidP="00A81C19">
      <w:pPr>
        <w:spacing w:line="360" w:lineRule="auto"/>
        <w:ind w:left="426"/>
        <w:jc w:val="both"/>
        <w:rPr>
          <w:rFonts w:ascii="Arial" w:hAnsi="Arial" w:cs="Arial"/>
          <w:bCs/>
          <w:sz w:val="20"/>
          <w:szCs w:val="20"/>
        </w:rPr>
      </w:pPr>
    </w:p>
    <w:p w:rsidR="00A81C19" w:rsidRPr="00375150" w:rsidRDefault="00A81C19" w:rsidP="00A81C19">
      <w:pPr>
        <w:spacing w:line="360" w:lineRule="auto"/>
        <w:jc w:val="both"/>
        <w:rPr>
          <w:rFonts w:ascii="Arial" w:eastAsia="Arial" w:hAnsi="Arial" w:cs="Arial"/>
          <w:sz w:val="20"/>
          <w:szCs w:val="20"/>
        </w:rPr>
      </w:pPr>
      <w:r w:rsidRPr="00375150">
        <w:rPr>
          <w:rFonts w:ascii="Arial" w:eastAsia="Arial" w:hAnsi="Arial" w:cs="Arial"/>
          <w:sz w:val="20"/>
          <w:szCs w:val="20"/>
        </w:rPr>
        <w:t xml:space="preserve">La gestión desarrollada impacta directamente con el servicio que se brinda a las personas usuarias de la Defensa Pública y contribuye con la razón de ser de esta institución, la cual es: Proveer Defensa Pública con excelencia, solidaridad y compromiso con todos los/as usuarios/as, contribuyendo a garantizar la plena vigencia de los derechos, libertades, garantías e intereses de estas personas, en forma ágil y oportuna, en los procesos judiciales que nos han sido legalmente asignados. </w:t>
      </w:r>
    </w:p>
    <w:p w:rsidR="00A81C19" w:rsidRPr="00375150" w:rsidRDefault="00A81C19" w:rsidP="00A81C19">
      <w:pPr>
        <w:spacing w:line="360" w:lineRule="auto"/>
        <w:jc w:val="both"/>
        <w:rPr>
          <w:rFonts w:ascii="Arial" w:eastAsia="Arial" w:hAnsi="Arial" w:cs="Arial"/>
          <w:sz w:val="20"/>
          <w:szCs w:val="20"/>
        </w:rPr>
      </w:pPr>
    </w:p>
    <w:p w:rsidR="00A81C19" w:rsidRPr="0084580C" w:rsidRDefault="00A81C19" w:rsidP="00A81C19">
      <w:pPr>
        <w:spacing w:line="360" w:lineRule="auto"/>
        <w:jc w:val="both"/>
        <w:rPr>
          <w:rFonts w:ascii="Arial" w:hAnsi="Arial" w:cs="Arial"/>
        </w:rPr>
      </w:pPr>
      <w:r w:rsidRPr="00375150">
        <w:rPr>
          <w:rFonts w:ascii="Arial" w:eastAsia="Arial" w:hAnsi="Arial" w:cs="Arial"/>
          <w:sz w:val="20"/>
          <w:szCs w:val="20"/>
        </w:rPr>
        <w:t>Con los recursos que han sido asignados, se estima que se brindará el servicio de defensa pública a 124.000 personas, en las materias Penal, Pensiones Alimentarias, Ejecución de la Pena (Adulto – Menores), Penal Juvenil, Penalización de Violencia Contra La Mujer, Contravencional, Disciplinaria, Agraria, Laboral y Familia.</w:t>
      </w:r>
    </w:p>
    <w:p w:rsidR="00A81C19" w:rsidRPr="0077710A" w:rsidRDefault="00A81C19" w:rsidP="00A81C19">
      <w:pPr>
        <w:spacing w:line="360" w:lineRule="auto"/>
        <w:jc w:val="both"/>
        <w:rPr>
          <w:rFonts w:ascii="Arial" w:hAnsi="Arial" w:cs="Arial"/>
          <w:bCs/>
          <w:sz w:val="20"/>
          <w:szCs w:val="20"/>
        </w:rPr>
      </w:pPr>
    </w:p>
    <w:p w:rsidR="00A81C19" w:rsidRPr="0084580C" w:rsidRDefault="00A81C19" w:rsidP="00A81C19">
      <w:pPr>
        <w:spacing w:line="360" w:lineRule="auto"/>
        <w:jc w:val="both"/>
        <w:rPr>
          <w:rFonts w:ascii="Arial" w:hAnsi="Arial" w:cs="Arial"/>
          <w:b/>
          <w:bCs/>
          <w:sz w:val="20"/>
          <w:szCs w:val="20"/>
        </w:rPr>
      </w:pPr>
    </w:p>
    <w:p w:rsidR="00A81C19" w:rsidRPr="0084580C" w:rsidRDefault="00A81C19" w:rsidP="00A81C19">
      <w:pPr>
        <w:numPr>
          <w:ilvl w:val="0"/>
          <w:numId w:val="3"/>
        </w:numPr>
        <w:spacing w:line="360" w:lineRule="auto"/>
        <w:ind w:left="426"/>
        <w:jc w:val="both"/>
        <w:rPr>
          <w:rFonts w:ascii="Arial" w:hAnsi="Arial" w:cs="Arial"/>
          <w:b/>
          <w:bCs/>
          <w:sz w:val="20"/>
          <w:szCs w:val="20"/>
        </w:rPr>
      </w:pPr>
      <w:r w:rsidRPr="0084580C">
        <w:rPr>
          <w:rFonts w:ascii="Arial" w:hAnsi="Arial" w:cs="Arial"/>
          <w:b/>
          <w:bCs/>
          <w:sz w:val="20"/>
          <w:szCs w:val="20"/>
        </w:rPr>
        <w:t xml:space="preserve">En caso que corresponda, refiérase a la vinculación de los logros del programa y/o subprograma con lo establecido en el Plan Nacional de Desarrollo 2015-2018.  </w:t>
      </w:r>
    </w:p>
    <w:p w:rsidR="00A81C19" w:rsidRPr="0077710A" w:rsidRDefault="00A81C19" w:rsidP="00A81C19">
      <w:pPr>
        <w:spacing w:line="360" w:lineRule="auto"/>
        <w:ind w:left="426"/>
        <w:jc w:val="both"/>
        <w:rPr>
          <w:rFonts w:ascii="Arial" w:hAnsi="Arial" w:cs="Arial"/>
          <w:bCs/>
          <w:sz w:val="20"/>
          <w:szCs w:val="20"/>
        </w:rPr>
      </w:pPr>
    </w:p>
    <w:p w:rsidR="00A81C19" w:rsidRPr="00375150" w:rsidRDefault="00A81C19" w:rsidP="00A81C19">
      <w:pPr>
        <w:spacing w:line="360" w:lineRule="auto"/>
        <w:jc w:val="both"/>
        <w:rPr>
          <w:rFonts w:ascii="Arial" w:hAnsi="Arial" w:cs="Arial"/>
          <w:sz w:val="20"/>
          <w:szCs w:val="20"/>
        </w:rPr>
      </w:pPr>
      <w:r w:rsidRPr="00375150">
        <w:rPr>
          <w:rFonts w:ascii="Arial" w:hAnsi="Arial" w:cs="Arial"/>
          <w:sz w:val="20"/>
          <w:szCs w:val="20"/>
        </w:rPr>
        <w:t>El programa 930 Servicio Defensa Pública no aplica para el Plan Nacional de Desarrollo 2015-2018.</w:t>
      </w:r>
    </w:p>
    <w:p w:rsidR="00A81C19" w:rsidRPr="00375150" w:rsidRDefault="00A81C19" w:rsidP="00A81C19">
      <w:pPr>
        <w:spacing w:line="360" w:lineRule="auto"/>
        <w:jc w:val="both"/>
        <w:rPr>
          <w:rFonts w:ascii="Arial" w:hAnsi="Arial" w:cs="Arial"/>
          <w:sz w:val="20"/>
          <w:szCs w:val="20"/>
        </w:rPr>
      </w:pPr>
    </w:p>
    <w:p w:rsidR="00A81C19" w:rsidRPr="0084580C" w:rsidRDefault="00A81C19" w:rsidP="00A81C19">
      <w:pPr>
        <w:spacing w:line="360" w:lineRule="auto"/>
        <w:jc w:val="both"/>
        <w:rPr>
          <w:rFonts w:ascii="Arial" w:hAnsi="Arial" w:cs="Arial"/>
          <w:b/>
          <w:sz w:val="20"/>
          <w:szCs w:val="20"/>
          <w:lang w:val="es-MX"/>
        </w:rPr>
      </w:pPr>
      <w:r w:rsidRPr="0084580C">
        <w:rPr>
          <w:rFonts w:ascii="Arial" w:hAnsi="Arial" w:cs="Arial"/>
          <w:b/>
          <w:sz w:val="20"/>
          <w:szCs w:val="20"/>
          <w:lang w:val="es-MX"/>
        </w:rPr>
        <w:t xml:space="preserve">Coloque en este apartado, la información del archivo remitido cuya hoja se llama “Programación” una vez que haya sido completada, la cual contiene los productos, unidades de medida e indicadores de producto para cada uno de los programas y/o subprogramas incluidos en la Ley de Presupuesto Nacional 2018 y sus modificaciones de su representada. </w:t>
      </w:r>
    </w:p>
    <w:p w:rsidR="00A81C19" w:rsidRPr="0077710A" w:rsidRDefault="00A81C19" w:rsidP="00A81C19">
      <w:pPr>
        <w:jc w:val="center"/>
        <w:rPr>
          <w:rFonts w:ascii="Arial" w:hAnsi="Arial" w:cs="Arial"/>
          <w:b/>
          <w:sz w:val="20"/>
          <w:szCs w:val="20"/>
          <w:lang w:val="es-MX"/>
        </w:rPr>
      </w:pPr>
    </w:p>
    <w:p w:rsidR="00A81C19" w:rsidRPr="00375150" w:rsidRDefault="00A81C19" w:rsidP="00A81C19">
      <w:pPr>
        <w:jc w:val="center"/>
        <w:rPr>
          <w:rFonts w:ascii="Arial" w:hAnsi="Arial" w:cs="Arial"/>
          <w:b/>
          <w:sz w:val="20"/>
          <w:szCs w:val="20"/>
          <w:lang w:val="es-MX"/>
        </w:rPr>
      </w:pPr>
    </w:p>
    <w:p w:rsidR="00A81C19" w:rsidRPr="00375150" w:rsidRDefault="00A81C19" w:rsidP="00A81C19">
      <w:pPr>
        <w:jc w:val="center"/>
        <w:rPr>
          <w:rFonts w:ascii="Arial" w:hAnsi="Arial" w:cs="Arial"/>
          <w:b/>
          <w:sz w:val="20"/>
          <w:szCs w:val="20"/>
          <w:lang w:val="es-MX"/>
        </w:rPr>
      </w:pPr>
    </w:p>
    <w:p w:rsidR="00A81C19" w:rsidRPr="00375150" w:rsidRDefault="00A81C19" w:rsidP="00A81C19">
      <w:pPr>
        <w:jc w:val="center"/>
        <w:rPr>
          <w:rFonts w:ascii="Arial" w:hAnsi="Arial" w:cs="Arial"/>
          <w:b/>
          <w:sz w:val="20"/>
          <w:szCs w:val="20"/>
          <w:lang w:val="es-MX"/>
        </w:rPr>
      </w:pPr>
    </w:p>
    <w:p w:rsidR="00A81C19" w:rsidRPr="00375150" w:rsidRDefault="00A81C19" w:rsidP="00A81C19">
      <w:pPr>
        <w:jc w:val="center"/>
        <w:rPr>
          <w:rFonts w:ascii="Arial" w:hAnsi="Arial" w:cs="Arial"/>
          <w:b/>
          <w:sz w:val="20"/>
          <w:szCs w:val="20"/>
          <w:lang w:val="es-MX"/>
        </w:rPr>
      </w:pPr>
    </w:p>
    <w:p w:rsidR="00A81C19" w:rsidRPr="00375150" w:rsidRDefault="00A81C19" w:rsidP="00A81C19">
      <w:pPr>
        <w:jc w:val="center"/>
        <w:rPr>
          <w:rFonts w:ascii="Arial" w:hAnsi="Arial" w:cs="Arial"/>
          <w:b/>
          <w:sz w:val="20"/>
          <w:szCs w:val="20"/>
          <w:lang w:val="es-MX"/>
        </w:rPr>
      </w:pPr>
    </w:p>
    <w:p w:rsidR="00A81C19" w:rsidRPr="00375150" w:rsidRDefault="00A81C19" w:rsidP="00A81C19">
      <w:pPr>
        <w:jc w:val="center"/>
        <w:rPr>
          <w:rFonts w:ascii="Arial" w:hAnsi="Arial" w:cs="Arial"/>
          <w:b/>
          <w:sz w:val="20"/>
          <w:szCs w:val="20"/>
          <w:lang w:val="es-ES_tradnl"/>
        </w:rPr>
      </w:pPr>
      <w:r w:rsidRPr="00375150">
        <w:rPr>
          <w:rFonts w:ascii="Arial" w:hAnsi="Arial" w:cs="Arial"/>
          <w:b/>
          <w:sz w:val="20"/>
          <w:szCs w:val="20"/>
          <w:lang w:val="es-ES_tradnl"/>
        </w:rPr>
        <w:t>Cuadro 3</w:t>
      </w:r>
    </w:p>
    <w:p w:rsidR="00A81C19" w:rsidRPr="00375150" w:rsidRDefault="00A81C19" w:rsidP="00A81C19">
      <w:pPr>
        <w:jc w:val="center"/>
        <w:rPr>
          <w:rFonts w:ascii="Arial" w:hAnsi="Arial" w:cs="Arial"/>
          <w:sz w:val="20"/>
          <w:szCs w:val="20"/>
          <w:lang w:val="es-ES_tradnl"/>
        </w:rPr>
      </w:pPr>
      <w:r w:rsidRPr="00375150">
        <w:rPr>
          <w:rFonts w:ascii="Arial" w:hAnsi="Arial" w:cs="Arial"/>
          <w:sz w:val="20"/>
          <w:szCs w:val="20"/>
          <w:lang w:val="es-ES_tradnl"/>
        </w:rPr>
        <w:t>Poder Judicial</w:t>
      </w:r>
    </w:p>
    <w:p w:rsidR="00A81C19" w:rsidRPr="00375150" w:rsidRDefault="00A81C19" w:rsidP="00A81C19">
      <w:pPr>
        <w:jc w:val="center"/>
        <w:rPr>
          <w:rFonts w:ascii="Arial" w:hAnsi="Arial" w:cs="Arial"/>
          <w:sz w:val="20"/>
          <w:szCs w:val="20"/>
          <w:lang w:val="es-ES_tradnl"/>
        </w:rPr>
      </w:pPr>
      <w:r w:rsidRPr="00375150">
        <w:rPr>
          <w:rFonts w:ascii="Arial" w:hAnsi="Arial" w:cs="Arial"/>
          <w:sz w:val="20"/>
          <w:szCs w:val="20"/>
          <w:lang w:val="es-ES_tradnl"/>
        </w:rPr>
        <w:t>Programa o Subprograma: 930, Servicio Defensa Pública.</w:t>
      </w:r>
    </w:p>
    <w:p w:rsidR="00A81C19" w:rsidRPr="00375150" w:rsidRDefault="00A81C19" w:rsidP="00A81C19">
      <w:pPr>
        <w:jc w:val="center"/>
        <w:rPr>
          <w:rFonts w:ascii="Arial" w:hAnsi="Arial" w:cs="Arial"/>
          <w:sz w:val="20"/>
          <w:szCs w:val="20"/>
          <w:lang w:val="es-ES_tradnl"/>
        </w:rPr>
      </w:pPr>
      <w:r w:rsidRPr="00375150">
        <w:rPr>
          <w:rFonts w:ascii="Arial" w:hAnsi="Arial" w:cs="Arial"/>
          <w:sz w:val="20"/>
          <w:szCs w:val="20"/>
          <w:lang w:val="es-ES_tradnl"/>
        </w:rPr>
        <w:t xml:space="preserve">Cumplimiento de unidades de medida </w:t>
      </w:r>
    </w:p>
    <w:p w:rsidR="00A81C19" w:rsidRPr="00375150" w:rsidRDefault="00A81C19" w:rsidP="00A81C19">
      <w:pPr>
        <w:jc w:val="center"/>
        <w:rPr>
          <w:rFonts w:ascii="Arial" w:hAnsi="Arial" w:cs="Arial"/>
          <w:sz w:val="20"/>
          <w:szCs w:val="20"/>
          <w:lang w:val="es-ES_tradnl"/>
        </w:rPr>
      </w:pPr>
      <w:r w:rsidRPr="00375150">
        <w:rPr>
          <w:rFonts w:ascii="Arial" w:hAnsi="Arial" w:cs="Arial"/>
          <w:sz w:val="20"/>
          <w:szCs w:val="20"/>
          <w:lang w:val="es-ES_tradnl"/>
        </w:rPr>
        <w:t>Al 31 de diciembre</w:t>
      </w:r>
    </w:p>
    <w:tbl>
      <w:tblPr>
        <w:tblStyle w:val="Listaclara-nfasis5"/>
        <w:tblW w:w="8580" w:type="dxa"/>
        <w:jc w:val="center"/>
        <w:tblBorders>
          <w:insideH w:val="single" w:sz="8" w:space="0" w:color="4BACC6" w:themeColor="accent5"/>
          <w:insideV w:val="single" w:sz="8" w:space="0" w:color="4BACC6" w:themeColor="accent5"/>
        </w:tblBorders>
        <w:tblLook w:val="04A0"/>
      </w:tblPr>
      <w:tblGrid>
        <w:gridCol w:w="1567"/>
        <w:gridCol w:w="1526"/>
        <w:gridCol w:w="2276"/>
        <w:gridCol w:w="1159"/>
        <w:gridCol w:w="1017"/>
        <w:gridCol w:w="1035"/>
      </w:tblGrid>
      <w:tr w:rsidR="00A81C19" w:rsidRPr="00375150" w:rsidTr="00A81C19">
        <w:trPr>
          <w:cnfStyle w:val="100000000000"/>
          <w:tblHeader/>
          <w:jc w:val="center"/>
        </w:trPr>
        <w:tc>
          <w:tcPr>
            <w:cnfStyle w:val="001000000000"/>
            <w:tcW w:w="1598" w:type="dxa"/>
          </w:tcPr>
          <w:p w:rsidR="00A81C19" w:rsidRPr="0084580C" w:rsidRDefault="00A81C19" w:rsidP="00A81C19">
            <w:pPr>
              <w:jc w:val="center"/>
              <w:rPr>
                <w:rFonts w:ascii="Arial" w:hAnsi="Arial" w:cs="Arial"/>
                <w:b w:val="0"/>
                <w:sz w:val="16"/>
              </w:rPr>
            </w:pPr>
            <w:r w:rsidRPr="0084580C">
              <w:rPr>
                <w:rFonts w:ascii="Arial" w:hAnsi="Arial" w:cs="Arial"/>
                <w:sz w:val="16"/>
              </w:rPr>
              <w:t>Nombre del Programa o Subprograma</w:t>
            </w:r>
          </w:p>
        </w:tc>
        <w:tc>
          <w:tcPr>
            <w:tcW w:w="1572" w:type="dxa"/>
          </w:tcPr>
          <w:p w:rsidR="00A81C19" w:rsidRPr="0084580C" w:rsidRDefault="00A81C19" w:rsidP="00A81C19">
            <w:pPr>
              <w:jc w:val="center"/>
              <w:cnfStyle w:val="100000000000"/>
              <w:rPr>
                <w:rFonts w:ascii="Arial" w:hAnsi="Arial" w:cs="Arial"/>
                <w:b w:val="0"/>
                <w:sz w:val="16"/>
              </w:rPr>
            </w:pPr>
            <w:r w:rsidRPr="0084580C">
              <w:rPr>
                <w:rFonts w:ascii="Arial" w:hAnsi="Arial" w:cs="Arial"/>
                <w:sz w:val="16"/>
              </w:rPr>
              <w:t>Nombre del Producto</w:t>
            </w:r>
          </w:p>
        </w:tc>
        <w:tc>
          <w:tcPr>
            <w:tcW w:w="2397" w:type="dxa"/>
          </w:tcPr>
          <w:p w:rsidR="00A81C19" w:rsidRPr="0084580C" w:rsidRDefault="00A81C19" w:rsidP="00A81C19">
            <w:pPr>
              <w:jc w:val="center"/>
              <w:cnfStyle w:val="100000000000"/>
              <w:rPr>
                <w:rFonts w:ascii="Arial" w:hAnsi="Arial" w:cs="Arial"/>
                <w:b w:val="0"/>
                <w:sz w:val="16"/>
              </w:rPr>
            </w:pPr>
            <w:r w:rsidRPr="0084580C">
              <w:rPr>
                <w:rFonts w:ascii="Arial" w:hAnsi="Arial" w:cs="Arial"/>
                <w:sz w:val="16"/>
              </w:rPr>
              <w:t>Nombre de la Unidad de Medida</w:t>
            </w:r>
          </w:p>
        </w:tc>
        <w:tc>
          <w:tcPr>
            <w:tcW w:w="1134" w:type="dxa"/>
          </w:tcPr>
          <w:p w:rsidR="00A81C19" w:rsidRPr="0084580C" w:rsidRDefault="00A81C19" w:rsidP="00A81C19">
            <w:pPr>
              <w:jc w:val="center"/>
              <w:cnfStyle w:val="100000000000"/>
              <w:rPr>
                <w:rFonts w:ascii="Arial" w:hAnsi="Arial" w:cs="Arial"/>
                <w:b w:val="0"/>
                <w:sz w:val="16"/>
              </w:rPr>
            </w:pPr>
            <w:r w:rsidRPr="0084580C">
              <w:rPr>
                <w:rFonts w:ascii="Arial" w:hAnsi="Arial" w:cs="Arial"/>
                <w:sz w:val="16"/>
              </w:rPr>
              <w:t>Programado</w:t>
            </w:r>
          </w:p>
        </w:tc>
        <w:tc>
          <w:tcPr>
            <w:tcW w:w="960" w:type="dxa"/>
          </w:tcPr>
          <w:p w:rsidR="00A81C19" w:rsidRPr="0084580C" w:rsidRDefault="00A81C19" w:rsidP="00A81C19">
            <w:pPr>
              <w:jc w:val="center"/>
              <w:cnfStyle w:val="100000000000"/>
              <w:rPr>
                <w:rFonts w:ascii="Arial" w:hAnsi="Arial" w:cs="Arial"/>
                <w:b w:val="0"/>
                <w:sz w:val="16"/>
              </w:rPr>
            </w:pPr>
            <w:r w:rsidRPr="0084580C">
              <w:rPr>
                <w:rFonts w:ascii="Arial" w:hAnsi="Arial" w:cs="Arial"/>
                <w:sz w:val="16"/>
              </w:rPr>
              <w:t>Alcanzado</w:t>
            </w:r>
          </w:p>
        </w:tc>
        <w:tc>
          <w:tcPr>
            <w:tcW w:w="919" w:type="dxa"/>
          </w:tcPr>
          <w:p w:rsidR="00A81C19" w:rsidRPr="0084580C" w:rsidRDefault="00A81C19" w:rsidP="00A81C19">
            <w:pPr>
              <w:jc w:val="center"/>
              <w:cnfStyle w:val="100000000000"/>
              <w:rPr>
                <w:rFonts w:ascii="Arial" w:hAnsi="Arial" w:cs="Arial"/>
                <w:b w:val="0"/>
                <w:sz w:val="16"/>
              </w:rPr>
            </w:pPr>
            <w:r w:rsidRPr="0084580C">
              <w:rPr>
                <w:rFonts w:ascii="Arial" w:hAnsi="Arial" w:cs="Arial"/>
                <w:sz w:val="16"/>
              </w:rPr>
              <w:t>Porcentaje Alcanzado</w:t>
            </w:r>
          </w:p>
        </w:tc>
      </w:tr>
      <w:tr w:rsidR="00A81C19" w:rsidRPr="00375150" w:rsidTr="00A81C19">
        <w:trPr>
          <w:cnfStyle w:val="000000100000"/>
          <w:jc w:val="center"/>
        </w:trPr>
        <w:tc>
          <w:tcPr>
            <w:cnfStyle w:val="001000000000"/>
            <w:tcW w:w="1598" w:type="dxa"/>
          </w:tcPr>
          <w:p w:rsidR="00A81C19" w:rsidRPr="00375150" w:rsidRDefault="00A81C19" w:rsidP="00A81C19">
            <w:pPr>
              <w:jc w:val="center"/>
              <w:rPr>
                <w:rFonts w:ascii="Arial" w:hAnsi="Arial" w:cs="Arial"/>
                <w:b w:val="0"/>
                <w:sz w:val="16"/>
                <w:szCs w:val="20"/>
                <w:lang w:val="es-ES_tradnl"/>
              </w:rPr>
            </w:pPr>
            <w:r w:rsidRPr="0077710A">
              <w:rPr>
                <w:rFonts w:ascii="Arial" w:hAnsi="Arial" w:cs="Arial"/>
                <w:b w:val="0"/>
                <w:sz w:val="16"/>
                <w:szCs w:val="20"/>
                <w:lang w:val="es-ES_tradnl"/>
              </w:rPr>
              <w:t xml:space="preserve">930, </w:t>
            </w:r>
            <w:r w:rsidRPr="00375150">
              <w:rPr>
                <w:rFonts w:ascii="Arial" w:hAnsi="Arial" w:cs="Arial"/>
                <w:sz w:val="16"/>
                <w:szCs w:val="20"/>
                <w:lang w:val="es-ES_tradnl"/>
              </w:rPr>
              <w:t>Servicio Defensa Pública</w:t>
            </w:r>
          </w:p>
        </w:tc>
        <w:tc>
          <w:tcPr>
            <w:tcW w:w="1572" w:type="dxa"/>
          </w:tcPr>
          <w:p w:rsidR="00A81C19" w:rsidRPr="00375150" w:rsidRDefault="00A81C19" w:rsidP="00A81C19">
            <w:pPr>
              <w:jc w:val="center"/>
              <w:cnfStyle w:val="000000100000"/>
              <w:rPr>
                <w:rFonts w:ascii="Arial" w:hAnsi="Arial" w:cs="Arial"/>
                <w:sz w:val="16"/>
                <w:szCs w:val="20"/>
                <w:lang w:val="es-ES_tradnl"/>
              </w:rPr>
            </w:pPr>
            <w:r w:rsidRPr="00375150">
              <w:rPr>
                <w:rFonts w:ascii="Arial" w:hAnsi="Arial" w:cs="Arial"/>
                <w:sz w:val="16"/>
                <w:szCs w:val="20"/>
                <w:lang w:val="es-ES_tradnl"/>
              </w:rPr>
              <w:t>Asistencia legal en los procesos judiciales</w:t>
            </w:r>
          </w:p>
          <w:p w:rsidR="00A81C19" w:rsidRPr="00375150" w:rsidRDefault="00A81C19" w:rsidP="00A81C19">
            <w:pPr>
              <w:jc w:val="center"/>
              <w:cnfStyle w:val="000000100000"/>
              <w:rPr>
                <w:rFonts w:ascii="Arial" w:hAnsi="Arial" w:cs="Arial"/>
                <w:sz w:val="16"/>
                <w:szCs w:val="20"/>
                <w:lang w:val="es-ES_tradnl"/>
              </w:rPr>
            </w:pPr>
            <w:r w:rsidRPr="00375150">
              <w:rPr>
                <w:rFonts w:ascii="Arial" w:hAnsi="Arial" w:cs="Arial"/>
                <w:sz w:val="16"/>
                <w:szCs w:val="20"/>
                <w:lang w:val="es-ES_tradnl"/>
              </w:rPr>
              <w:t>pertinentes.</w:t>
            </w:r>
          </w:p>
        </w:tc>
        <w:tc>
          <w:tcPr>
            <w:tcW w:w="2397" w:type="dxa"/>
          </w:tcPr>
          <w:p w:rsidR="00A81C19" w:rsidRPr="00375150" w:rsidRDefault="00A81C19" w:rsidP="00A81C19">
            <w:pPr>
              <w:jc w:val="center"/>
              <w:cnfStyle w:val="000000100000"/>
              <w:rPr>
                <w:rFonts w:ascii="Arial" w:hAnsi="Arial" w:cs="Arial"/>
                <w:sz w:val="16"/>
                <w:szCs w:val="20"/>
                <w:lang w:val="es-ES_tradnl"/>
              </w:rPr>
            </w:pPr>
            <w:r w:rsidRPr="00375150">
              <w:rPr>
                <w:rFonts w:ascii="Arial" w:hAnsi="Arial" w:cs="Arial"/>
                <w:sz w:val="16"/>
                <w:szCs w:val="20"/>
                <w:lang w:val="es-ES_tradnl"/>
              </w:rPr>
              <w:t>Persona asistida legalmente.</w:t>
            </w:r>
          </w:p>
        </w:tc>
        <w:tc>
          <w:tcPr>
            <w:tcW w:w="1134" w:type="dxa"/>
          </w:tcPr>
          <w:p w:rsidR="00A81C19" w:rsidRPr="00375150" w:rsidRDefault="00A81C19" w:rsidP="00A81C19">
            <w:pPr>
              <w:jc w:val="center"/>
              <w:cnfStyle w:val="000000100000"/>
              <w:rPr>
                <w:rFonts w:ascii="Arial" w:hAnsi="Arial" w:cs="Arial"/>
                <w:sz w:val="16"/>
                <w:szCs w:val="20"/>
                <w:lang w:val="es-ES_tradnl"/>
              </w:rPr>
            </w:pPr>
            <w:r w:rsidRPr="00375150">
              <w:rPr>
                <w:rFonts w:ascii="Arial" w:hAnsi="Arial" w:cs="Arial"/>
                <w:sz w:val="16"/>
                <w:szCs w:val="20"/>
                <w:lang w:val="es-ES_tradnl"/>
              </w:rPr>
              <w:t>124.887</w:t>
            </w:r>
          </w:p>
        </w:tc>
        <w:tc>
          <w:tcPr>
            <w:tcW w:w="960" w:type="dxa"/>
          </w:tcPr>
          <w:p w:rsidR="00A81C19" w:rsidRPr="00375150" w:rsidRDefault="00A81C19" w:rsidP="00A81C19">
            <w:pPr>
              <w:jc w:val="center"/>
              <w:cnfStyle w:val="000000100000"/>
              <w:rPr>
                <w:rFonts w:ascii="Arial" w:hAnsi="Arial" w:cs="Arial"/>
                <w:sz w:val="16"/>
                <w:szCs w:val="20"/>
                <w:lang w:val="es-ES_tradnl"/>
              </w:rPr>
            </w:pPr>
            <w:r w:rsidRPr="00375150">
              <w:rPr>
                <w:rFonts w:ascii="Arial" w:hAnsi="Arial" w:cs="Arial"/>
                <w:sz w:val="16"/>
                <w:szCs w:val="20"/>
                <w:lang w:val="es-ES_tradnl"/>
              </w:rPr>
              <w:t>98.053</w:t>
            </w:r>
          </w:p>
          <w:p w:rsidR="00A81C19" w:rsidRPr="00375150" w:rsidRDefault="00A81C19" w:rsidP="00A81C19">
            <w:pPr>
              <w:jc w:val="center"/>
              <w:cnfStyle w:val="000000100000"/>
              <w:rPr>
                <w:rFonts w:ascii="Arial" w:hAnsi="Arial" w:cs="Arial"/>
                <w:sz w:val="16"/>
                <w:szCs w:val="20"/>
                <w:lang w:val="es-ES_tradnl"/>
              </w:rPr>
            </w:pPr>
          </w:p>
          <w:p w:rsidR="00A81C19" w:rsidRPr="00375150" w:rsidRDefault="00A81C19" w:rsidP="00A81C19">
            <w:pPr>
              <w:jc w:val="center"/>
              <w:cnfStyle w:val="000000100000"/>
              <w:rPr>
                <w:rFonts w:ascii="Arial" w:hAnsi="Arial" w:cs="Arial"/>
                <w:sz w:val="16"/>
                <w:szCs w:val="20"/>
                <w:lang w:val="es-ES_tradnl"/>
              </w:rPr>
            </w:pPr>
            <w:r w:rsidRPr="00375150">
              <w:rPr>
                <w:rFonts w:ascii="Arial" w:hAnsi="Arial" w:cs="Arial"/>
                <w:sz w:val="16"/>
                <w:szCs w:val="20"/>
                <w:lang w:val="es-ES_tradnl"/>
              </w:rPr>
              <w:t>(a setiembre 2018)</w:t>
            </w:r>
          </w:p>
          <w:p w:rsidR="00A81C19" w:rsidRPr="00375150" w:rsidRDefault="00A81C19" w:rsidP="00A81C19">
            <w:pPr>
              <w:jc w:val="center"/>
              <w:cnfStyle w:val="000000100000"/>
              <w:rPr>
                <w:rFonts w:ascii="Arial" w:hAnsi="Arial" w:cs="Arial"/>
                <w:sz w:val="16"/>
                <w:szCs w:val="20"/>
                <w:lang w:val="es-ES_tradnl"/>
              </w:rPr>
            </w:pPr>
          </w:p>
        </w:tc>
        <w:tc>
          <w:tcPr>
            <w:tcW w:w="919" w:type="dxa"/>
          </w:tcPr>
          <w:p w:rsidR="00A81C19" w:rsidRPr="00375150" w:rsidRDefault="00A81C19" w:rsidP="00A81C19">
            <w:pPr>
              <w:jc w:val="center"/>
              <w:cnfStyle w:val="000000100000"/>
              <w:rPr>
                <w:rFonts w:ascii="Arial" w:hAnsi="Arial" w:cs="Arial"/>
                <w:sz w:val="16"/>
                <w:szCs w:val="20"/>
                <w:lang w:val="es-ES_tradnl"/>
              </w:rPr>
            </w:pPr>
            <w:r w:rsidRPr="00375150">
              <w:rPr>
                <w:rFonts w:ascii="Arial" w:hAnsi="Arial" w:cs="Arial"/>
                <w:sz w:val="16"/>
                <w:szCs w:val="20"/>
                <w:lang w:val="es-ES_tradnl"/>
              </w:rPr>
              <w:t>78,5%</w:t>
            </w:r>
          </w:p>
        </w:tc>
      </w:tr>
    </w:tbl>
    <w:p w:rsidR="00A81C19" w:rsidRPr="00375150" w:rsidRDefault="00A81C19" w:rsidP="00A81C19">
      <w:pPr>
        <w:spacing w:line="360" w:lineRule="auto"/>
        <w:ind w:left="-142"/>
        <w:jc w:val="both"/>
        <w:rPr>
          <w:rFonts w:ascii="Arial" w:hAnsi="Arial" w:cs="Arial"/>
          <w:sz w:val="16"/>
          <w:szCs w:val="20"/>
          <w:lang w:val="es-ES_tradnl"/>
        </w:rPr>
      </w:pPr>
      <w:r w:rsidRPr="0077710A">
        <w:rPr>
          <w:rFonts w:ascii="Arial" w:hAnsi="Arial" w:cs="Arial"/>
          <w:b/>
          <w:sz w:val="16"/>
          <w:szCs w:val="20"/>
          <w:lang w:val="es-ES_tradnl"/>
        </w:rPr>
        <w:t xml:space="preserve"> </w:t>
      </w:r>
      <w:r w:rsidRPr="00375150">
        <w:rPr>
          <w:rFonts w:ascii="Arial" w:hAnsi="Arial" w:cs="Arial"/>
          <w:b/>
          <w:sz w:val="16"/>
          <w:szCs w:val="20"/>
          <w:lang w:val="es-ES_tradnl"/>
        </w:rPr>
        <w:t>Fuente</w:t>
      </w:r>
      <w:r w:rsidRPr="00375150">
        <w:rPr>
          <w:rFonts w:ascii="Arial" w:hAnsi="Arial" w:cs="Arial"/>
          <w:sz w:val="16"/>
          <w:szCs w:val="20"/>
          <w:lang w:val="es-ES_tradnl"/>
        </w:rPr>
        <w:t>: Defensa Pública</w:t>
      </w:r>
    </w:p>
    <w:p w:rsidR="00A81C19" w:rsidRPr="00375150" w:rsidRDefault="00A81C19" w:rsidP="00A81C19">
      <w:pPr>
        <w:spacing w:line="360" w:lineRule="auto"/>
        <w:contextualSpacing/>
        <w:jc w:val="both"/>
        <w:rPr>
          <w:rFonts w:ascii="Arial" w:hAnsi="Arial" w:cs="Arial"/>
          <w:sz w:val="20"/>
          <w:szCs w:val="20"/>
          <w:lang w:val="es-MX"/>
        </w:rPr>
      </w:pPr>
    </w:p>
    <w:p w:rsidR="00A81C19" w:rsidRPr="00375150" w:rsidRDefault="00A81C19" w:rsidP="00A81C19">
      <w:pPr>
        <w:jc w:val="center"/>
        <w:rPr>
          <w:rFonts w:ascii="Arial" w:hAnsi="Arial" w:cs="Arial"/>
          <w:b/>
          <w:sz w:val="20"/>
          <w:szCs w:val="20"/>
          <w:lang w:val="es-ES_tradnl"/>
        </w:rPr>
      </w:pPr>
      <w:r w:rsidRPr="00375150">
        <w:rPr>
          <w:rFonts w:ascii="Arial" w:hAnsi="Arial" w:cs="Arial"/>
          <w:b/>
          <w:sz w:val="20"/>
          <w:szCs w:val="20"/>
          <w:lang w:val="es-ES_tradnl"/>
        </w:rPr>
        <w:t>Cuadro 4</w:t>
      </w:r>
    </w:p>
    <w:p w:rsidR="00A81C19" w:rsidRPr="00375150" w:rsidRDefault="00A81C19" w:rsidP="00A81C19">
      <w:pPr>
        <w:jc w:val="center"/>
        <w:rPr>
          <w:rFonts w:ascii="Arial" w:hAnsi="Arial" w:cs="Arial"/>
          <w:sz w:val="20"/>
          <w:szCs w:val="20"/>
          <w:lang w:val="es-ES_tradnl"/>
        </w:rPr>
      </w:pPr>
      <w:r w:rsidRPr="00375150">
        <w:rPr>
          <w:rFonts w:ascii="Arial" w:hAnsi="Arial" w:cs="Arial"/>
          <w:sz w:val="20"/>
          <w:szCs w:val="20"/>
          <w:lang w:val="es-ES_tradnl"/>
        </w:rPr>
        <w:t>Poder Judicial</w:t>
      </w:r>
    </w:p>
    <w:p w:rsidR="00A81C19" w:rsidRPr="00375150" w:rsidRDefault="00A81C19" w:rsidP="00A81C19">
      <w:pPr>
        <w:jc w:val="center"/>
        <w:rPr>
          <w:rFonts w:ascii="Arial" w:hAnsi="Arial" w:cs="Arial"/>
          <w:sz w:val="20"/>
          <w:szCs w:val="20"/>
          <w:lang w:val="es-ES_tradnl"/>
        </w:rPr>
      </w:pPr>
      <w:r w:rsidRPr="00375150">
        <w:rPr>
          <w:rFonts w:ascii="Arial" w:hAnsi="Arial" w:cs="Arial"/>
          <w:sz w:val="20"/>
          <w:szCs w:val="20"/>
          <w:lang w:val="es-ES_tradnl"/>
        </w:rPr>
        <w:t>Programa o Subprograma: 930, Servicio Defensa Pública.</w:t>
      </w:r>
    </w:p>
    <w:p w:rsidR="00A81C19" w:rsidRPr="00375150" w:rsidRDefault="00A81C19" w:rsidP="00A81C19">
      <w:pPr>
        <w:jc w:val="center"/>
        <w:rPr>
          <w:rFonts w:ascii="Arial" w:hAnsi="Arial" w:cs="Arial"/>
          <w:sz w:val="20"/>
          <w:szCs w:val="20"/>
          <w:lang w:val="es-ES_tradnl"/>
        </w:rPr>
      </w:pPr>
      <w:r w:rsidRPr="00375150">
        <w:rPr>
          <w:rFonts w:ascii="Arial" w:hAnsi="Arial" w:cs="Arial"/>
          <w:sz w:val="20"/>
          <w:szCs w:val="20"/>
          <w:lang w:val="es-ES_tradnl"/>
        </w:rPr>
        <w:t>Cumplimiento de indicadores de producto</w:t>
      </w:r>
    </w:p>
    <w:p w:rsidR="00A81C19" w:rsidRPr="00375150" w:rsidRDefault="00A81C19" w:rsidP="00A81C19">
      <w:pPr>
        <w:jc w:val="center"/>
        <w:rPr>
          <w:rFonts w:ascii="Arial" w:hAnsi="Arial" w:cs="Arial"/>
          <w:sz w:val="20"/>
          <w:szCs w:val="20"/>
          <w:lang w:val="es-ES_tradnl"/>
        </w:rPr>
      </w:pPr>
      <w:r w:rsidRPr="00375150">
        <w:rPr>
          <w:rFonts w:ascii="Arial" w:hAnsi="Arial" w:cs="Arial"/>
          <w:sz w:val="20"/>
          <w:szCs w:val="20"/>
          <w:lang w:val="es-ES_tradnl"/>
        </w:rPr>
        <w:t>Al 31 de diciembre</w:t>
      </w:r>
    </w:p>
    <w:tbl>
      <w:tblPr>
        <w:tblStyle w:val="Listaclara-nfasis5"/>
        <w:tblW w:w="8772" w:type="dxa"/>
        <w:jc w:val="center"/>
        <w:tblBorders>
          <w:insideH w:val="single" w:sz="8" w:space="0" w:color="4BACC6" w:themeColor="accent5"/>
          <w:insideV w:val="single" w:sz="8" w:space="0" w:color="4BACC6" w:themeColor="accent5"/>
        </w:tblBorders>
        <w:tblLook w:val="04A0"/>
      </w:tblPr>
      <w:tblGrid>
        <w:gridCol w:w="1326"/>
        <w:gridCol w:w="1162"/>
        <w:gridCol w:w="1671"/>
        <w:gridCol w:w="1159"/>
        <w:gridCol w:w="1017"/>
        <w:gridCol w:w="1035"/>
        <w:gridCol w:w="1402"/>
      </w:tblGrid>
      <w:tr w:rsidR="00A81C19" w:rsidRPr="00375150" w:rsidTr="00A81C19">
        <w:trPr>
          <w:cnfStyle w:val="100000000000"/>
          <w:tblHeader/>
          <w:jc w:val="center"/>
        </w:trPr>
        <w:tc>
          <w:tcPr>
            <w:cnfStyle w:val="001000000000"/>
            <w:tcW w:w="1341" w:type="dxa"/>
          </w:tcPr>
          <w:p w:rsidR="00A81C19" w:rsidRPr="0084580C" w:rsidRDefault="00A81C19" w:rsidP="00A81C19">
            <w:pPr>
              <w:jc w:val="center"/>
              <w:rPr>
                <w:rFonts w:ascii="Arial" w:hAnsi="Arial" w:cs="Arial"/>
                <w:b w:val="0"/>
                <w:sz w:val="16"/>
              </w:rPr>
            </w:pPr>
            <w:r w:rsidRPr="0084580C">
              <w:rPr>
                <w:rFonts w:ascii="Arial" w:hAnsi="Arial" w:cs="Arial"/>
                <w:sz w:val="16"/>
              </w:rPr>
              <w:t>Programa o Subprograma</w:t>
            </w:r>
          </w:p>
        </w:tc>
        <w:tc>
          <w:tcPr>
            <w:tcW w:w="1188" w:type="dxa"/>
          </w:tcPr>
          <w:p w:rsidR="00A81C19" w:rsidRPr="0084580C" w:rsidRDefault="00A81C19" w:rsidP="00A81C19">
            <w:pPr>
              <w:jc w:val="center"/>
              <w:cnfStyle w:val="100000000000"/>
              <w:rPr>
                <w:rFonts w:ascii="Arial" w:hAnsi="Arial" w:cs="Arial"/>
                <w:b w:val="0"/>
                <w:sz w:val="16"/>
              </w:rPr>
            </w:pPr>
            <w:r w:rsidRPr="0084580C">
              <w:rPr>
                <w:rFonts w:ascii="Arial" w:hAnsi="Arial" w:cs="Arial"/>
                <w:sz w:val="16"/>
              </w:rPr>
              <w:t>Nombre del Producto</w:t>
            </w:r>
          </w:p>
        </w:tc>
        <w:tc>
          <w:tcPr>
            <w:tcW w:w="1817" w:type="dxa"/>
          </w:tcPr>
          <w:p w:rsidR="00A81C19" w:rsidRPr="0084580C" w:rsidRDefault="00A81C19" w:rsidP="00A81C19">
            <w:pPr>
              <w:jc w:val="center"/>
              <w:cnfStyle w:val="100000000000"/>
              <w:rPr>
                <w:rFonts w:ascii="Arial" w:hAnsi="Arial" w:cs="Arial"/>
                <w:b w:val="0"/>
                <w:sz w:val="16"/>
              </w:rPr>
            </w:pPr>
            <w:r w:rsidRPr="0084580C">
              <w:rPr>
                <w:rFonts w:ascii="Arial" w:hAnsi="Arial" w:cs="Arial"/>
                <w:sz w:val="16"/>
              </w:rPr>
              <w:t>Nombre del Indicador</w:t>
            </w:r>
          </w:p>
        </w:tc>
        <w:tc>
          <w:tcPr>
            <w:tcW w:w="1037" w:type="dxa"/>
          </w:tcPr>
          <w:p w:rsidR="00A81C19" w:rsidRPr="0084580C" w:rsidRDefault="00A81C19" w:rsidP="00A81C19">
            <w:pPr>
              <w:jc w:val="center"/>
              <w:cnfStyle w:val="100000000000"/>
              <w:rPr>
                <w:rFonts w:ascii="Arial" w:hAnsi="Arial" w:cs="Arial"/>
                <w:b w:val="0"/>
                <w:sz w:val="16"/>
              </w:rPr>
            </w:pPr>
            <w:r w:rsidRPr="0084580C">
              <w:rPr>
                <w:rFonts w:ascii="Arial" w:hAnsi="Arial" w:cs="Arial"/>
                <w:sz w:val="16"/>
              </w:rPr>
              <w:t>Programado</w:t>
            </w:r>
          </w:p>
        </w:tc>
        <w:tc>
          <w:tcPr>
            <w:tcW w:w="985" w:type="dxa"/>
          </w:tcPr>
          <w:p w:rsidR="00A81C19" w:rsidRPr="0084580C" w:rsidRDefault="00A81C19" w:rsidP="00A81C19">
            <w:pPr>
              <w:jc w:val="center"/>
              <w:cnfStyle w:val="100000000000"/>
              <w:rPr>
                <w:rFonts w:ascii="Arial" w:hAnsi="Arial" w:cs="Arial"/>
                <w:b w:val="0"/>
                <w:sz w:val="16"/>
              </w:rPr>
            </w:pPr>
            <w:r w:rsidRPr="0084580C">
              <w:rPr>
                <w:rFonts w:ascii="Arial" w:hAnsi="Arial" w:cs="Arial"/>
                <w:sz w:val="16"/>
              </w:rPr>
              <w:t>Alcanzado</w:t>
            </w:r>
          </w:p>
        </w:tc>
        <w:tc>
          <w:tcPr>
            <w:tcW w:w="934" w:type="dxa"/>
          </w:tcPr>
          <w:p w:rsidR="00A81C19" w:rsidRPr="0084580C" w:rsidRDefault="00A81C19" w:rsidP="00A81C19">
            <w:pPr>
              <w:jc w:val="center"/>
              <w:cnfStyle w:val="100000000000"/>
              <w:rPr>
                <w:rFonts w:ascii="Arial" w:hAnsi="Arial" w:cs="Arial"/>
                <w:b w:val="0"/>
                <w:sz w:val="16"/>
              </w:rPr>
            </w:pPr>
            <w:r w:rsidRPr="0084580C">
              <w:rPr>
                <w:rFonts w:ascii="Arial" w:hAnsi="Arial" w:cs="Arial"/>
                <w:sz w:val="16"/>
              </w:rPr>
              <w:t>Porcentaje Alcanzado</w:t>
            </w:r>
          </w:p>
        </w:tc>
        <w:tc>
          <w:tcPr>
            <w:tcW w:w="1470" w:type="dxa"/>
          </w:tcPr>
          <w:p w:rsidR="00A81C19" w:rsidRPr="0084580C" w:rsidRDefault="00A81C19" w:rsidP="00A81C19">
            <w:pPr>
              <w:jc w:val="center"/>
              <w:cnfStyle w:val="100000000000"/>
              <w:rPr>
                <w:rFonts w:ascii="Arial" w:hAnsi="Arial" w:cs="Arial"/>
                <w:b w:val="0"/>
                <w:sz w:val="16"/>
              </w:rPr>
            </w:pPr>
            <w:r w:rsidRPr="0084580C">
              <w:rPr>
                <w:rFonts w:ascii="Arial" w:hAnsi="Arial" w:cs="Arial"/>
                <w:sz w:val="16"/>
              </w:rPr>
              <w:t>Fuente de datos de los indicadores</w:t>
            </w:r>
          </w:p>
        </w:tc>
      </w:tr>
      <w:tr w:rsidR="00A81C19" w:rsidRPr="00375150" w:rsidTr="00A81C19">
        <w:trPr>
          <w:cnfStyle w:val="000000100000"/>
          <w:jc w:val="center"/>
        </w:trPr>
        <w:tc>
          <w:tcPr>
            <w:cnfStyle w:val="001000000000"/>
            <w:tcW w:w="1341" w:type="dxa"/>
          </w:tcPr>
          <w:p w:rsidR="00A81C19" w:rsidRPr="00375150" w:rsidRDefault="00A81C19" w:rsidP="00A81C19">
            <w:pPr>
              <w:jc w:val="center"/>
              <w:rPr>
                <w:rFonts w:ascii="Arial" w:hAnsi="Arial" w:cs="Arial"/>
                <w:b w:val="0"/>
                <w:sz w:val="16"/>
                <w:szCs w:val="20"/>
                <w:lang w:val="es-ES_tradnl"/>
              </w:rPr>
            </w:pPr>
            <w:r w:rsidRPr="0077710A">
              <w:rPr>
                <w:rFonts w:ascii="Arial" w:hAnsi="Arial" w:cs="Arial"/>
                <w:b w:val="0"/>
                <w:sz w:val="16"/>
                <w:szCs w:val="20"/>
                <w:lang w:val="es-ES_tradnl"/>
              </w:rPr>
              <w:t>930, Servicio Defensa Pública</w:t>
            </w:r>
          </w:p>
        </w:tc>
        <w:tc>
          <w:tcPr>
            <w:tcW w:w="1188" w:type="dxa"/>
          </w:tcPr>
          <w:p w:rsidR="00A81C19" w:rsidRPr="00375150" w:rsidRDefault="00A81C19" w:rsidP="00A81C19">
            <w:pPr>
              <w:jc w:val="center"/>
              <w:cnfStyle w:val="000000100000"/>
              <w:rPr>
                <w:rFonts w:ascii="Arial" w:hAnsi="Arial" w:cs="Arial"/>
                <w:sz w:val="16"/>
                <w:szCs w:val="20"/>
                <w:lang w:val="es-ES_tradnl"/>
              </w:rPr>
            </w:pPr>
            <w:r w:rsidRPr="00375150">
              <w:rPr>
                <w:rFonts w:ascii="Arial" w:hAnsi="Arial" w:cs="Arial"/>
                <w:sz w:val="16"/>
                <w:szCs w:val="20"/>
                <w:lang w:val="es-ES_tradnl"/>
              </w:rPr>
              <w:t>Asistencia legal en los procesos judiciales</w:t>
            </w:r>
          </w:p>
          <w:p w:rsidR="00A81C19" w:rsidRPr="00375150" w:rsidRDefault="00A81C19" w:rsidP="00A81C19">
            <w:pPr>
              <w:jc w:val="center"/>
              <w:cnfStyle w:val="000000100000"/>
              <w:rPr>
                <w:rFonts w:ascii="Arial" w:hAnsi="Arial" w:cs="Arial"/>
                <w:sz w:val="16"/>
                <w:szCs w:val="20"/>
                <w:lang w:val="es-ES_tradnl"/>
              </w:rPr>
            </w:pPr>
            <w:r w:rsidRPr="00375150">
              <w:rPr>
                <w:rFonts w:ascii="Arial" w:hAnsi="Arial" w:cs="Arial"/>
                <w:sz w:val="16"/>
                <w:szCs w:val="20"/>
                <w:lang w:val="es-ES_tradnl"/>
              </w:rPr>
              <w:t>pertinentes.</w:t>
            </w:r>
          </w:p>
        </w:tc>
        <w:tc>
          <w:tcPr>
            <w:tcW w:w="1817" w:type="dxa"/>
          </w:tcPr>
          <w:p w:rsidR="00A81C19" w:rsidRPr="00375150" w:rsidRDefault="00A81C19" w:rsidP="00A81C19">
            <w:pPr>
              <w:cnfStyle w:val="000000100000"/>
              <w:rPr>
                <w:rFonts w:ascii="Arial" w:hAnsi="Arial" w:cs="Arial"/>
                <w:sz w:val="16"/>
                <w:szCs w:val="20"/>
                <w:lang w:val="es-ES_tradnl"/>
              </w:rPr>
            </w:pPr>
            <w:r w:rsidRPr="00375150">
              <w:rPr>
                <w:rFonts w:ascii="Arial" w:hAnsi="Arial" w:cs="Arial"/>
                <w:sz w:val="16"/>
                <w:szCs w:val="20"/>
                <w:lang w:val="es-ES_tradnl"/>
              </w:rPr>
              <w:t>Porcentaje de satisfacción de las personas</w:t>
            </w:r>
          </w:p>
          <w:p w:rsidR="00A81C19" w:rsidRPr="00375150" w:rsidRDefault="00A81C19" w:rsidP="00A81C19">
            <w:pPr>
              <w:cnfStyle w:val="000000100000"/>
              <w:rPr>
                <w:rFonts w:ascii="Arial" w:hAnsi="Arial" w:cs="Arial"/>
                <w:sz w:val="16"/>
                <w:szCs w:val="20"/>
                <w:lang w:val="es-ES_tradnl"/>
              </w:rPr>
            </w:pPr>
            <w:r w:rsidRPr="00375150">
              <w:rPr>
                <w:rFonts w:ascii="Arial" w:hAnsi="Arial" w:cs="Arial"/>
                <w:sz w:val="16"/>
                <w:szCs w:val="20"/>
                <w:lang w:val="es-ES_tradnl"/>
              </w:rPr>
              <w:t>usuarias que se encuentran en libertad respecto</w:t>
            </w:r>
          </w:p>
          <w:p w:rsidR="00A81C19" w:rsidRPr="00375150" w:rsidRDefault="00A81C19" w:rsidP="00A81C19">
            <w:pPr>
              <w:cnfStyle w:val="000000100000"/>
              <w:rPr>
                <w:rFonts w:ascii="Arial" w:hAnsi="Arial" w:cs="Arial"/>
                <w:sz w:val="16"/>
                <w:szCs w:val="20"/>
                <w:lang w:val="es-ES_tradnl"/>
              </w:rPr>
            </w:pPr>
            <w:r w:rsidRPr="00375150">
              <w:rPr>
                <w:rFonts w:ascii="Arial" w:hAnsi="Arial" w:cs="Arial"/>
                <w:sz w:val="16"/>
                <w:szCs w:val="20"/>
                <w:lang w:val="es-ES_tradnl"/>
              </w:rPr>
              <w:t>al tiempo que le dedica la Defensora o</w:t>
            </w:r>
          </w:p>
          <w:p w:rsidR="00A81C19" w:rsidRPr="00375150" w:rsidRDefault="00A81C19" w:rsidP="00A81C19">
            <w:pPr>
              <w:cnfStyle w:val="000000100000"/>
              <w:rPr>
                <w:rFonts w:ascii="Arial" w:hAnsi="Arial" w:cs="Arial"/>
                <w:sz w:val="16"/>
                <w:szCs w:val="20"/>
                <w:lang w:val="es-ES_tradnl"/>
              </w:rPr>
            </w:pPr>
            <w:r w:rsidRPr="00375150">
              <w:rPr>
                <w:rFonts w:ascii="Arial" w:hAnsi="Arial" w:cs="Arial"/>
                <w:sz w:val="16"/>
                <w:szCs w:val="20"/>
                <w:lang w:val="es-ES_tradnl"/>
              </w:rPr>
              <w:t>Defensor Público.</w:t>
            </w:r>
          </w:p>
        </w:tc>
        <w:tc>
          <w:tcPr>
            <w:tcW w:w="1037" w:type="dxa"/>
          </w:tcPr>
          <w:p w:rsidR="00A81C19" w:rsidRPr="00375150" w:rsidRDefault="00A81C19" w:rsidP="00A81C19">
            <w:pPr>
              <w:jc w:val="center"/>
              <w:cnfStyle w:val="000000100000"/>
              <w:rPr>
                <w:rFonts w:ascii="Arial" w:hAnsi="Arial" w:cs="Arial"/>
                <w:sz w:val="16"/>
                <w:szCs w:val="20"/>
                <w:highlight w:val="yellow"/>
                <w:lang w:val="es-ES_tradnl"/>
              </w:rPr>
            </w:pPr>
            <w:r w:rsidRPr="00375150">
              <w:rPr>
                <w:rFonts w:ascii="Arial" w:hAnsi="Arial" w:cs="Arial"/>
                <w:sz w:val="16"/>
                <w:szCs w:val="20"/>
                <w:lang w:val="es-ES_tradnl"/>
              </w:rPr>
              <w:t>75%</w:t>
            </w:r>
          </w:p>
        </w:tc>
        <w:tc>
          <w:tcPr>
            <w:tcW w:w="985" w:type="dxa"/>
          </w:tcPr>
          <w:p w:rsidR="00A81C19" w:rsidRPr="00375150" w:rsidRDefault="00A81C19" w:rsidP="00A81C19">
            <w:pPr>
              <w:jc w:val="center"/>
              <w:cnfStyle w:val="000000100000"/>
              <w:rPr>
                <w:rFonts w:ascii="Arial" w:hAnsi="Arial" w:cs="Arial"/>
                <w:sz w:val="16"/>
                <w:szCs w:val="20"/>
                <w:lang w:val="es-ES_tradnl"/>
              </w:rPr>
            </w:pPr>
            <w:r w:rsidRPr="00375150">
              <w:rPr>
                <w:rFonts w:ascii="Arial" w:hAnsi="Arial" w:cs="Arial"/>
                <w:sz w:val="16"/>
                <w:szCs w:val="20"/>
                <w:lang w:val="es-ES_tradnl"/>
              </w:rPr>
              <w:t>68%</w:t>
            </w:r>
          </w:p>
        </w:tc>
        <w:tc>
          <w:tcPr>
            <w:tcW w:w="934" w:type="dxa"/>
          </w:tcPr>
          <w:p w:rsidR="00A81C19" w:rsidRPr="00375150" w:rsidRDefault="00A81C19" w:rsidP="00A81C19">
            <w:pPr>
              <w:jc w:val="center"/>
              <w:cnfStyle w:val="000000100000"/>
              <w:rPr>
                <w:rFonts w:ascii="Arial" w:hAnsi="Arial" w:cs="Arial"/>
                <w:sz w:val="16"/>
                <w:szCs w:val="20"/>
                <w:lang w:val="es-ES_tradnl"/>
              </w:rPr>
            </w:pPr>
            <w:r w:rsidRPr="00375150">
              <w:rPr>
                <w:rFonts w:ascii="Arial" w:hAnsi="Arial" w:cs="Arial"/>
                <w:sz w:val="16"/>
                <w:szCs w:val="20"/>
                <w:lang w:val="es-ES_tradnl"/>
              </w:rPr>
              <w:t>90,7%</w:t>
            </w:r>
          </w:p>
        </w:tc>
        <w:tc>
          <w:tcPr>
            <w:tcW w:w="1470" w:type="dxa"/>
          </w:tcPr>
          <w:p w:rsidR="00A81C19" w:rsidRPr="00375150" w:rsidRDefault="00A81C19" w:rsidP="00A81C19">
            <w:pPr>
              <w:cnfStyle w:val="000000100000"/>
              <w:rPr>
                <w:rFonts w:ascii="Arial" w:hAnsi="Arial" w:cs="Arial"/>
                <w:sz w:val="16"/>
                <w:szCs w:val="20"/>
                <w:lang w:val="es-ES_tradnl"/>
              </w:rPr>
            </w:pPr>
            <w:r w:rsidRPr="00375150">
              <w:rPr>
                <w:rFonts w:ascii="Arial" w:hAnsi="Arial" w:cs="Arial"/>
                <w:sz w:val="16"/>
                <w:szCs w:val="20"/>
                <w:lang w:val="es-ES_tradnl"/>
              </w:rPr>
              <w:t>Informe de los resultados de la encuesta de percepción de las</w:t>
            </w:r>
          </w:p>
          <w:p w:rsidR="00A81C19" w:rsidRPr="00375150" w:rsidRDefault="00A81C19" w:rsidP="00A81C19">
            <w:pPr>
              <w:cnfStyle w:val="000000100000"/>
              <w:rPr>
                <w:rFonts w:ascii="Arial" w:hAnsi="Arial" w:cs="Arial"/>
                <w:sz w:val="16"/>
                <w:szCs w:val="20"/>
                <w:lang w:val="es-ES_tradnl"/>
              </w:rPr>
            </w:pPr>
            <w:r w:rsidRPr="00375150">
              <w:rPr>
                <w:rFonts w:ascii="Arial" w:hAnsi="Arial" w:cs="Arial"/>
                <w:sz w:val="16"/>
                <w:szCs w:val="20"/>
                <w:lang w:val="es-ES_tradnl"/>
              </w:rPr>
              <w:t>personas usuarias, Jefatura Defensa Pública.</w:t>
            </w:r>
          </w:p>
        </w:tc>
      </w:tr>
      <w:tr w:rsidR="00A81C19" w:rsidRPr="00375150" w:rsidTr="00A81C19">
        <w:trPr>
          <w:jc w:val="center"/>
        </w:trPr>
        <w:tc>
          <w:tcPr>
            <w:cnfStyle w:val="001000000000"/>
            <w:tcW w:w="1341" w:type="dxa"/>
          </w:tcPr>
          <w:p w:rsidR="00A81C19" w:rsidRPr="00375150" w:rsidRDefault="00A81C19" w:rsidP="00A81C19">
            <w:pPr>
              <w:jc w:val="center"/>
              <w:rPr>
                <w:rFonts w:ascii="Arial" w:hAnsi="Arial" w:cs="Arial"/>
                <w:b w:val="0"/>
                <w:sz w:val="16"/>
                <w:szCs w:val="20"/>
                <w:lang w:val="es-ES_tradnl"/>
              </w:rPr>
            </w:pPr>
            <w:r w:rsidRPr="0077710A">
              <w:rPr>
                <w:rFonts w:ascii="Arial" w:hAnsi="Arial" w:cs="Arial"/>
                <w:b w:val="0"/>
                <w:sz w:val="16"/>
                <w:szCs w:val="20"/>
                <w:lang w:val="es-ES_tradnl"/>
              </w:rPr>
              <w:t>930, Servicio Defensa Pública</w:t>
            </w:r>
          </w:p>
        </w:tc>
        <w:tc>
          <w:tcPr>
            <w:tcW w:w="1188" w:type="dxa"/>
          </w:tcPr>
          <w:p w:rsidR="00A81C19" w:rsidRPr="00375150" w:rsidRDefault="00A81C19" w:rsidP="00A81C19">
            <w:pPr>
              <w:jc w:val="center"/>
              <w:cnfStyle w:val="000000000000"/>
              <w:rPr>
                <w:rFonts w:ascii="Arial" w:hAnsi="Arial" w:cs="Arial"/>
                <w:sz w:val="16"/>
                <w:szCs w:val="20"/>
                <w:lang w:val="es-ES_tradnl"/>
              </w:rPr>
            </w:pPr>
            <w:r w:rsidRPr="00375150">
              <w:rPr>
                <w:rFonts w:ascii="Arial" w:hAnsi="Arial" w:cs="Arial"/>
                <w:sz w:val="16"/>
                <w:szCs w:val="20"/>
                <w:lang w:val="es-ES_tradnl"/>
              </w:rPr>
              <w:t>Asistencia legal en los procesos judiciales</w:t>
            </w:r>
          </w:p>
          <w:p w:rsidR="00A81C19" w:rsidRPr="00375150" w:rsidRDefault="00A81C19" w:rsidP="00A81C19">
            <w:pPr>
              <w:jc w:val="center"/>
              <w:cnfStyle w:val="000000000000"/>
              <w:rPr>
                <w:rFonts w:ascii="Arial" w:hAnsi="Arial" w:cs="Arial"/>
                <w:sz w:val="16"/>
                <w:szCs w:val="20"/>
                <w:lang w:val="es-ES_tradnl"/>
              </w:rPr>
            </w:pPr>
            <w:r w:rsidRPr="00375150">
              <w:rPr>
                <w:rFonts w:ascii="Arial" w:hAnsi="Arial" w:cs="Arial"/>
                <w:sz w:val="16"/>
                <w:szCs w:val="20"/>
                <w:lang w:val="es-ES_tradnl"/>
              </w:rPr>
              <w:t>pertinentes.</w:t>
            </w:r>
          </w:p>
        </w:tc>
        <w:tc>
          <w:tcPr>
            <w:tcW w:w="1817" w:type="dxa"/>
          </w:tcPr>
          <w:p w:rsidR="00A81C19" w:rsidRPr="00375150" w:rsidRDefault="00A81C19" w:rsidP="00A81C19">
            <w:pPr>
              <w:jc w:val="both"/>
              <w:cnfStyle w:val="000000000000"/>
              <w:rPr>
                <w:rFonts w:ascii="Arial" w:hAnsi="Arial" w:cs="Arial"/>
                <w:sz w:val="16"/>
                <w:szCs w:val="20"/>
                <w:lang w:val="es-ES_tradnl"/>
              </w:rPr>
            </w:pPr>
            <w:r w:rsidRPr="00375150">
              <w:rPr>
                <w:rFonts w:ascii="Arial" w:hAnsi="Arial" w:cs="Arial"/>
                <w:sz w:val="16"/>
                <w:szCs w:val="20"/>
                <w:lang w:val="es-ES_tradnl"/>
              </w:rPr>
              <w:t>Porcentaje de satisfacción de las personas</w:t>
            </w:r>
          </w:p>
          <w:p w:rsidR="00A81C19" w:rsidRPr="00375150" w:rsidRDefault="00A81C19" w:rsidP="00A81C19">
            <w:pPr>
              <w:jc w:val="both"/>
              <w:cnfStyle w:val="000000000000"/>
              <w:rPr>
                <w:rFonts w:ascii="Arial" w:hAnsi="Arial" w:cs="Arial"/>
                <w:sz w:val="16"/>
                <w:szCs w:val="20"/>
                <w:lang w:val="es-ES_tradnl"/>
              </w:rPr>
            </w:pPr>
            <w:r w:rsidRPr="00375150">
              <w:rPr>
                <w:rFonts w:ascii="Arial" w:hAnsi="Arial" w:cs="Arial"/>
                <w:sz w:val="16"/>
                <w:szCs w:val="20"/>
                <w:lang w:val="es-ES_tradnl"/>
              </w:rPr>
              <w:t>usuarias que se encuentran en libertad respecto</w:t>
            </w:r>
          </w:p>
          <w:p w:rsidR="00A81C19" w:rsidRPr="00375150" w:rsidRDefault="00A81C19" w:rsidP="00A81C19">
            <w:pPr>
              <w:jc w:val="both"/>
              <w:cnfStyle w:val="000000000000"/>
              <w:rPr>
                <w:rFonts w:ascii="Arial" w:hAnsi="Arial" w:cs="Arial"/>
                <w:sz w:val="16"/>
                <w:szCs w:val="20"/>
                <w:lang w:val="es-ES_tradnl"/>
              </w:rPr>
            </w:pPr>
            <w:r w:rsidRPr="00375150">
              <w:rPr>
                <w:rFonts w:ascii="Arial" w:hAnsi="Arial" w:cs="Arial"/>
                <w:sz w:val="16"/>
                <w:szCs w:val="20"/>
                <w:lang w:val="es-ES_tradnl"/>
              </w:rPr>
              <w:t>al tiempo de espera antes de ser atendido por la</w:t>
            </w:r>
          </w:p>
          <w:p w:rsidR="00A81C19" w:rsidRPr="00375150" w:rsidRDefault="00A81C19" w:rsidP="00A81C19">
            <w:pPr>
              <w:jc w:val="both"/>
              <w:cnfStyle w:val="000000000000"/>
              <w:rPr>
                <w:rFonts w:ascii="Arial" w:hAnsi="Arial" w:cs="Arial"/>
                <w:sz w:val="16"/>
                <w:szCs w:val="20"/>
                <w:lang w:val="es-ES_tradnl"/>
              </w:rPr>
            </w:pPr>
            <w:r w:rsidRPr="00375150">
              <w:rPr>
                <w:rFonts w:ascii="Arial" w:hAnsi="Arial" w:cs="Arial"/>
                <w:sz w:val="16"/>
                <w:szCs w:val="20"/>
                <w:lang w:val="es-ES_tradnl"/>
              </w:rPr>
              <w:t>Defensora o el Defensor Público.</w:t>
            </w:r>
          </w:p>
        </w:tc>
        <w:tc>
          <w:tcPr>
            <w:tcW w:w="1037" w:type="dxa"/>
          </w:tcPr>
          <w:p w:rsidR="00A81C19" w:rsidRPr="00375150" w:rsidRDefault="00A81C19" w:rsidP="00A81C19">
            <w:pPr>
              <w:jc w:val="center"/>
              <w:cnfStyle w:val="000000000000"/>
              <w:rPr>
                <w:rFonts w:ascii="Arial" w:hAnsi="Arial" w:cs="Arial"/>
                <w:sz w:val="16"/>
                <w:szCs w:val="20"/>
                <w:lang w:val="es-ES_tradnl"/>
              </w:rPr>
            </w:pPr>
            <w:r w:rsidRPr="00375150">
              <w:rPr>
                <w:rFonts w:ascii="Arial" w:hAnsi="Arial" w:cs="Arial"/>
                <w:sz w:val="16"/>
                <w:szCs w:val="20"/>
                <w:lang w:val="es-ES_tradnl"/>
              </w:rPr>
              <w:t>73%</w:t>
            </w:r>
          </w:p>
        </w:tc>
        <w:tc>
          <w:tcPr>
            <w:tcW w:w="985" w:type="dxa"/>
          </w:tcPr>
          <w:p w:rsidR="00A81C19" w:rsidRPr="00375150" w:rsidRDefault="00A81C19" w:rsidP="00A81C19">
            <w:pPr>
              <w:jc w:val="center"/>
              <w:cnfStyle w:val="000000000000"/>
              <w:rPr>
                <w:rFonts w:ascii="Arial" w:hAnsi="Arial" w:cs="Arial"/>
                <w:sz w:val="16"/>
                <w:szCs w:val="20"/>
                <w:lang w:val="es-ES_tradnl"/>
              </w:rPr>
            </w:pPr>
            <w:r w:rsidRPr="00375150">
              <w:rPr>
                <w:rFonts w:ascii="Arial" w:hAnsi="Arial" w:cs="Arial"/>
                <w:sz w:val="16"/>
                <w:szCs w:val="20"/>
                <w:lang w:val="es-ES_tradnl"/>
              </w:rPr>
              <w:t>59%</w:t>
            </w:r>
          </w:p>
        </w:tc>
        <w:tc>
          <w:tcPr>
            <w:tcW w:w="934" w:type="dxa"/>
          </w:tcPr>
          <w:p w:rsidR="00A81C19" w:rsidRPr="00375150" w:rsidRDefault="00A81C19" w:rsidP="00A81C19">
            <w:pPr>
              <w:jc w:val="center"/>
              <w:cnfStyle w:val="000000000000"/>
              <w:rPr>
                <w:rFonts w:ascii="Arial" w:hAnsi="Arial" w:cs="Arial"/>
                <w:sz w:val="16"/>
                <w:szCs w:val="20"/>
                <w:lang w:val="es-ES_tradnl"/>
              </w:rPr>
            </w:pPr>
            <w:r w:rsidRPr="00375150">
              <w:rPr>
                <w:rFonts w:ascii="Arial" w:hAnsi="Arial" w:cs="Arial"/>
                <w:sz w:val="16"/>
                <w:szCs w:val="20"/>
                <w:lang w:val="es-ES_tradnl"/>
              </w:rPr>
              <w:t>80,8%</w:t>
            </w:r>
          </w:p>
        </w:tc>
        <w:tc>
          <w:tcPr>
            <w:tcW w:w="1470" w:type="dxa"/>
          </w:tcPr>
          <w:p w:rsidR="00A81C19" w:rsidRPr="00375150" w:rsidRDefault="00A81C19" w:rsidP="00A81C19">
            <w:pPr>
              <w:cnfStyle w:val="000000000000"/>
              <w:rPr>
                <w:rFonts w:ascii="Arial" w:hAnsi="Arial" w:cs="Arial"/>
                <w:sz w:val="16"/>
                <w:szCs w:val="20"/>
                <w:lang w:val="es-ES_tradnl"/>
              </w:rPr>
            </w:pPr>
            <w:r w:rsidRPr="00375150">
              <w:rPr>
                <w:rFonts w:ascii="Arial" w:hAnsi="Arial" w:cs="Arial"/>
                <w:sz w:val="16"/>
                <w:szCs w:val="20"/>
                <w:lang w:val="es-ES_tradnl"/>
              </w:rPr>
              <w:t>Informe de los resultados de la encuesta de percepción de las</w:t>
            </w:r>
          </w:p>
          <w:p w:rsidR="00A81C19" w:rsidRPr="00375150" w:rsidRDefault="00A81C19" w:rsidP="00A81C19">
            <w:pPr>
              <w:cnfStyle w:val="000000000000"/>
              <w:rPr>
                <w:rFonts w:ascii="Arial" w:hAnsi="Arial" w:cs="Arial"/>
                <w:sz w:val="16"/>
                <w:szCs w:val="20"/>
                <w:lang w:val="es-ES_tradnl"/>
              </w:rPr>
            </w:pPr>
            <w:r w:rsidRPr="00375150">
              <w:rPr>
                <w:rFonts w:ascii="Arial" w:hAnsi="Arial" w:cs="Arial"/>
                <w:sz w:val="16"/>
                <w:szCs w:val="20"/>
                <w:lang w:val="es-ES_tradnl"/>
              </w:rPr>
              <w:t>personas usuarias, Jefatura Defensa Pública.</w:t>
            </w:r>
          </w:p>
        </w:tc>
      </w:tr>
    </w:tbl>
    <w:p w:rsidR="00A81C19" w:rsidRPr="00375150" w:rsidRDefault="00A81C19" w:rsidP="00A81C19">
      <w:pPr>
        <w:spacing w:line="360" w:lineRule="auto"/>
        <w:ind w:left="-142"/>
        <w:jc w:val="both"/>
        <w:rPr>
          <w:rFonts w:ascii="Arial" w:hAnsi="Arial" w:cs="Arial"/>
          <w:sz w:val="16"/>
          <w:szCs w:val="20"/>
          <w:lang w:val="es-ES_tradnl"/>
        </w:rPr>
      </w:pPr>
      <w:r w:rsidRPr="0077710A">
        <w:rPr>
          <w:rFonts w:ascii="Arial" w:hAnsi="Arial" w:cs="Arial"/>
          <w:b/>
          <w:sz w:val="16"/>
          <w:szCs w:val="20"/>
          <w:lang w:val="es-ES_tradnl"/>
        </w:rPr>
        <w:t>Fuente</w:t>
      </w:r>
      <w:r w:rsidRPr="00375150">
        <w:rPr>
          <w:rFonts w:ascii="Arial" w:hAnsi="Arial" w:cs="Arial"/>
          <w:sz w:val="16"/>
          <w:szCs w:val="20"/>
          <w:lang w:val="es-ES_tradnl"/>
        </w:rPr>
        <w:t>: Defensa Pública</w:t>
      </w:r>
    </w:p>
    <w:p w:rsidR="00A81C19" w:rsidRPr="00375150" w:rsidRDefault="00A81C19" w:rsidP="00A81C19">
      <w:pPr>
        <w:spacing w:line="360" w:lineRule="auto"/>
        <w:jc w:val="both"/>
        <w:rPr>
          <w:rFonts w:ascii="Arial" w:hAnsi="Arial" w:cs="Arial"/>
          <w:sz w:val="20"/>
          <w:szCs w:val="20"/>
          <w:lang w:val="es-ES_tradnl"/>
        </w:rPr>
      </w:pPr>
    </w:p>
    <w:p w:rsidR="00A81C19" w:rsidRPr="00375150" w:rsidRDefault="00A81C19" w:rsidP="00A81C19">
      <w:pPr>
        <w:spacing w:line="360" w:lineRule="auto"/>
        <w:jc w:val="both"/>
        <w:rPr>
          <w:rFonts w:ascii="Arial" w:hAnsi="Arial" w:cs="Arial"/>
          <w:sz w:val="20"/>
          <w:szCs w:val="20"/>
          <w:lang w:val="es-MX"/>
        </w:rPr>
      </w:pPr>
      <w:r w:rsidRPr="00375150">
        <w:rPr>
          <w:rFonts w:ascii="Arial" w:hAnsi="Arial" w:cs="Arial"/>
          <w:sz w:val="20"/>
          <w:szCs w:val="20"/>
          <w:lang w:val="es-MX"/>
        </w:rPr>
        <w:t>Con la información anterior:</w:t>
      </w:r>
    </w:p>
    <w:p w:rsidR="00A81C19" w:rsidRPr="00375150" w:rsidRDefault="00A81C19" w:rsidP="00A81C19">
      <w:pPr>
        <w:spacing w:line="360" w:lineRule="auto"/>
        <w:ind w:left="66"/>
        <w:contextualSpacing/>
        <w:jc w:val="both"/>
        <w:rPr>
          <w:rFonts w:ascii="Arial" w:hAnsi="Arial" w:cs="Arial"/>
          <w:sz w:val="20"/>
          <w:szCs w:val="20"/>
          <w:lang w:val="es-MX"/>
        </w:rPr>
      </w:pPr>
    </w:p>
    <w:p w:rsidR="00A81C19" w:rsidRPr="00375150" w:rsidRDefault="00A81C19" w:rsidP="00A81C19">
      <w:pPr>
        <w:spacing w:line="360" w:lineRule="auto"/>
        <w:ind w:left="66"/>
        <w:contextualSpacing/>
        <w:jc w:val="both"/>
        <w:rPr>
          <w:rFonts w:ascii="Arial" w:hAnsi="Arial" w:cs="Arial"/>
          <w:sz w:val="20"/>
          <w:szCs w:val="20"/>
          <w:lang w:val="es-MX"/>
        </w:rPr>
      </w:pPr>
      <w:r w:rsidRPr="00375150">
        <w:rPr>
          <w:rFonts w:ascii="Arial" w:hAnsi="Arial" w:cs="Arial"/>
          <w:sz w:val="20"/>
          <w:szCs w:val="20"/>
          <w:lang w:val="es-MX"/>
        </w:rPr>
        <w:t>De acuerdo con los parámetros establecidos en la siguiente tabla relacionada con el cumplimiento alcanzado para las unidades de medida e indicadores, desarrolle los puntos c) y d).</w:t>
      </w:r>
    </w:p>
    <w:tbl>
      <w:tblPr>
        <w:tblStyle w:val="Listaclara-nfasis5"/>
        <w:tblW w:w="0" w:type="auto"/>
        <w:jc w:val="center"/>
        <w:tblBorders>
          <w:insideH w:val="single" w:sz="6" w:space="0" w:color="4BACC6" w:themeColor="accent5"/>
          <w:insideV w:val="single" w:sz="6" w:space="0" w:color="4BACC6" w:themeColor="accent5"/>
        </w:tblBorders>
        <w:tblLook w:val="04A0"/>
      </w:tblPr>
      <w:tblGrid>
        <w:gridCol w:w="2835"/>
        <w:gridCol w:w="4677"/>
      </w:tblGrid>
      <w:tr w:rsidR="00A81C19" w:rsidRPr="00375150" w:rsidTr="00A81C19">
        <w:trPr>
          <w:cnfStyle w:val="100000000000"/>
          <w:jc w:val="center"/>
        </w:trPr>
        <w:tc>
          <w:tcPr>
            <w:cnfStyle w:val="001000000000"/>
            <w:tcW w:w="2835" w:type="dxa"/>
            <w:tcBorders>
              <w:top w:val="single" w:sz="8" w:space="0" w:color="4BACC6" w:themeColor="accent5"/>
              <w:left w:val="single" w:sz="8" w:space="0" w:color="4BACC6" w:themeColor="accent5"/>
              <w:bottom w:val="single" w:sz="6" w:space="0" w:color="4BACC6" w:themeColor="accent5"/>
              <w:right w:val="single" w:sz="6" w:space="0" w:color="4BACC6" w:themeColor="accent5"/>
            </w:tcBorders>
            <w:vAlign w:val="center"/>
            <w:hideMark/>
          </w:tcPr>
          <w:p w:rsidR="00A81C19" w:rsidRPr="00375150" w:rsidRDefault="00A81C19" w:rsidP="00A81C19">
            <w:pPr>
              <w:spacing w:line="360" w:lineRule="auto"/>
              <w:rPr>
                <w:rFonts w:ascii="Arial" w:hAnsi="Arial" w:cs="Arial"/>
                <w:sz w:val="20"/>
                <w:szCs w:val="20"/>
                <w:lang w:val="es-MX"/>
              </w:rPr>
            </w:pPr>
            <w:r w:rsidRPr="00375150">
              <w:rPr>
                <w:rFonts w:ascii="Arial" w:hAnsi="Arial" w:cs="Arial"/>
                <w:sz w:val="20"/>
                <w:szCs w:val="20"/>
                <w:lang w:val="es-MX"/>
              </w:rPr>
              <w:t>Parámetros de cumplimiento</w:t>
            </w:r>
          </w:p>
        </w:tc>
        <w:tc>
          <w:tcPr>
            <w:tcW w:w="4677" w:type="dxa"/>
            <w:tcBorders>
              <w:top w:val="single" w:sz="8"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rsidR="00A81C19" w:rsidRPr="00375150" w:rsidRDefault="00A81C19" w:rsidP="00A81C19">
            <w:pPr>
              <w:spacing w:line="360" w:lineRule="auto"/>
              <w:jc w:val="center"/>
              <w:cnfStyle w:val="100000000000"/>
              <w:rPr>
                <w:rFonts w:ascii="Arial" w:hAnsi="Arial" w:cs="Arial"/>
                <w:sz w:val="20"/>
                <w:szCs w:val="20"/>
                <w:lang w:val="es-MX"/>
              </w:rPr>
            </w:pPr>
            <w:r w:rsidRPr="00375150">
              <w:rPr>
                <w:rFonts w:ascii="Arial" w:hAnsi="Arial" w:cs="Arial"/>
                <w:sz w:val="20"/>
                <w:szCs w:val="20"/>
                <w:lang w:val="es-MX"/>
              </w:rPr>
              <w:t>Rango</w:t>
            </w:r>
          </w:p>
        </w:tc>
      </w:tr>
      <w:tr w:rsidR="00A81C19" w:rsidRPr="00375150" w:rsidTr="00A81C19">
        <w:trPr>
          <w:cnfStyle w:val="000000100000"/>
          <w:jc w:val="center"/>
        </w:trPr>
        <w:tc>
          <w:tcPr>
            <w:cnfStyle w:val="001000000000"/>
            <w:tcW w:w="2835" w:type="dxa"/>
            <w:tcBorders>
              <w:top w:val="single" w:sz="6" w:space="0" w:color="4BACC6" w:themeColor="accent5"/>
              <w:bottom w:val="single" w:sz="6" w:space="0" w:color="4BACC6" w:themeColor="accent5"/>
              <w:right w:val="single" w:sz="6" w:space="0" w:color="4BACC6" w:themeColor="accent5"/>
            </w:tcBorders>
            <w:shd w:val="clear" w:color="auto" w:fill="92D050"/>
            <w:vAlign w:val="center"/>
            <w:hideMark/>
          </w:tcPr>
          <w:p w:rsidR="00A81C19" w:rsidRPr="00375150" w:rsidRDefault="00A81C19" w:rsidP="00A81C19">
            <w:pPr>
              <w:spacing w:line="360" w:lineRule="auto"/>
              <w:rPr>
                <w:rFonts w:ascii="Arial" w:hAnsi="Arial" w:cs="Arial"/>
                <w:sz w:val="20"/>
                <w:szCs w:val="20"/>
                <w:lang w:val="es-MX"/>
              </w:rPr>
            </w:pPr>
            <w:r w:rsidRPr="0077710A">
              <w:rPr>
                <w:rFonts w:ascii="Arial" w:hAnsi="Arial" w:cs="Arial"/>
                <w:sz w:val="20"/>
                <w:szCs w:val="20"/>
                <w:lang w:val="es-MX"/>
              </w:rPr>
              <w:lastRenderedPageBreak/>
              <w:t>Cumplimiento Alto (CA)</w:t>
            </w:r>
          </w:p>
        </w:tc>
        <w:tc>
          <w:tcPr>
            <w:tcW w:w="4677" w:type="dxa"/>
            <w:tcBorders>
              <w:top w:val="single" w:sz="6" w:space="0" w:color="4BACC6" w:themeColor="accent5"/>
              <w:left w:val="single" w:sz="6" w:space="0" w:color="4BACC6" w:themeColor="accent5"/>
              <w:bottom w:val="single" w:sz="6" w:space="0" w:color="4BACC6" w:themeColor="accent5"/>
            </w:tcBorders>
            <w:vAlign w:val="center"/>
            <w:hideMark/>
          </w:tcPr>
          <w:p w:rsidR="00A81C19" w:rsidRPr="00375150" w:rsidRDefault="00A81C19" w:rsidP="00A81C19">
            <w:pPr>
              <w:spacing w:line="360" w:lineRule="auto"/>
              <w:jc w:val="center"/>
              <w:cnfStyle w:val="000000100000"/>
              <w:rPr>
                <w:rFonts w:ascii="Arial" w:hAnsi="Arial" w:cs="Arial"/>
                <w:i/>
                <w:sz w:val="20"/>
                <w:szCs w:val="20"/>
                <w:lang w:val="es-MX"/>
              </w:rPr>
            </w:pPr>
            <w:r w:rsidRPr="00375150">
              <w:rPr>
                <w:rFonts w:ascii="Arial" w:hAnsi="Arial" w:cs="Arial"/>
                <w:i/>
                <w:sz w:val="20"/>
                <w:szCs w:val="20"/>
                <w:lang w:val="es-MX"/>
              </w:rPr>
              <w:t>Mayor o igual a 90%</w:t>
            </w:r>
          </w:p>
        </w:tc>
      </w:tr>
      <w:tr w:rsidR="00A81C19" w:rsidRPr="00375150" w:rsidTr="00A81C19">
        <w:trPr>
          <w:trHeight w:val="280"/>
          <w:jc w:val="center"/>
        </w:trPr>
        <w:tc>
          <w:tcPr>
            <w:cnfStyle w:val="001000000000"/>
            <w:tcW w:w="2835" w:type="dxa"/>
            <w:tcBorders>
              <w:top w:val="single" w:sz="6" w:space="0" w:color="4BACC6" w:themeColor="accent5"/>
              <w:left w:val="single" w:sz="8" w:space="0" w:color="4BACC6" w:themeColor="accent5"/>
              <w:bottom w:val="single" w:sz="6" w:space="0" w:color="4BACC6" w:themeColor="accent5"/>
              <w:right w:val="single" w:sz="6" w:space="0" w:color="4BACC6" w:themeColor="accent5"/>
            </w:tcBorders>
            <w:shd w:val="clear" w:color="auto" w:fill="FFFF00"/>
            <w:vAlign w:val="center"/>
            <w:hideMark/>
          </w:tcPr>
          <w:p w:rsidR="00A81C19" w:rsidRPr="00375150" w:rsidRDefault="00A81C19" w:rsidP="00A81C19">
            <w:pPr>
              <w:spacing w:line="360" w:lineRule="auto"/>
              <w:rPr>
                <w:rFonts w:ascii="Arial" w:hAnsi="Arial" w:cs="Arial"/>
                <w:sz w:val="20"/>
                <w:szCs w:val="20"/>
                <w:lang w:val="es-MX"/>
              </w:rPr>
            </w:pPr>
            <w:r w:rsidRPr="0077710A">
              <w:rPr>
                <w:rFonts w:ascii="Arial" w:hAnsi="Arial" w:cs="Arial"/>
                <w:sz w:val="20"/>
                <w:szCs w:val="20"/>
                <w:lang w:val="es-MX"/>
              </w:rPr>
              <w:t>Cumplimiento Medio (CM)</w:t>
            </w:r>
          </w:p>
        </w:tc>
        <w:tc>
          <w:tcPr>
            <w:tcW w:w="4677" w:type="dxa"/>
            <w:tcBorders>
              <w:top w:val="single" w:sz="6"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rsidR="00A81C19" w:rsidRPr="00375150" w:rsidRDefault="00A81C19" w:rsidP="00A81C19">
            <w:pPr>
              <w:spacing w:line="360" w:lineRule="auto"/>
              <w:jc w:val="center"/>
              <w:cnfStyle w:val="000000000000"/>
              <w:rPr>
                <w:rFonts w:ascii="Arial" w:hAnsi="Arial" w:cs="Arial"/>
                <w:i/>
                <w:sz w:val="20"/>
                <w:szCs w:val="20"/>
                <w:lang w:val="es-MX"/>
              </w:rPr>
            </w:pPr>
            <w:r w:rsidRPr="00375150">
              <w:rPr>
                <w:rFonts w:ascii="Arial" w:hAnsi="Arial" w:cs="Arial"/>
                <w:i/>
                <w:sz w:val="20"/>
                <w:szCs w:val="20"/>
                <w:lang w:val="es-MX"/>
              </w:rPr>
              <w:t>Menor o  igual a 89,99% o igual a 50%</w:t>
            </w:r>
          </w:p>
        </w:tc>
      </w:tr>
      <w:tr w:rsidR="00A81C19" w:rsidRPr="00375150" w:rsidTr="00A81C19">
        <w:trPr>
          <w:cnfStyle w:val="000000100000"/>
          <w:jc w:val="center"/>
        </w:trPr>
        <w:tc>
          <w:tcPr>
            <w:cnfStyle w:val="001000000000"/>
            <w:tcW w:w="2835" w:type="dxa"/>
            <w:tcBorders>
              <w:top w:val="single" w:sz="6" w:space="0" w:color="4BACC6" w:themeColor="accent5"/>
              <w:right w:val="single" w:sz="6" w:space="0" w:color="4BACC6" w:themeColor="accent5"/>
            </w:tcBorders>
            <w:shd w:val="clear" w:color="auto" w:fill="C00000"/>
            <w:vAlign w:val="center"/>
            <w:hideMark/>
          </w:tcPr>
          <w:p w:rsidR="00A81C19" w:rsidRPr="00375150" w:rsidRDefault="00A81C19" w:rsidP="00A81C19">
            <w:pPr>
              <w:spacing w:line="360" w:lineRule="auto"/>
              <w:rPr>
                <w:rFonts w:ascii="Arial" w:hAnsi="Arial" w:cs="Arial"/>
                <w:sz w:val="20"/>
                <w:szCs w:val="20"/>
                <w:lang w:val="es-MX"/>
              </w:rPr>
            </w:pPr>
            <w:r w:rsidRPr="0077710A">
              <w:rPr>
                <w:rFonts w:ascii="Arial" w:hAnsi="Arial" w:cs="Arial"/>
                <w:sz w:val="20"/>
                <w:szCs w:val="20"/>
                <w:lang w:val="es-MX"/>
              </w:rPr>
              <w:t>Cumplimiento Bajo (CB)</w:t>
            </w:r>
          </w:p>
        </w:tc>
        <w:tc>
          <w:tcPr>
            <w:tcW w:w="4677" w:type="dxa"/>
            <w:tcBorders>
              <w:top w:val="single" w:sz="6" w:space="0" w:color="4BACC6" w:themeColor="accent5"/>
              <w:left w:val="single" w:sz="6" w:space="0" w:color="4BACC6" w:themeColor="accent5"/>
            </w:tcBorders>
            <w:vAlign w:val="center"/>
            <w:hideMark/>
          </w:tcPr>
          <w:p w:rsidR="00A81C19" w:rsidRPr="00375150" w:rsidRDefault="00A81C19" w:rsidP="00A81C19">
            <w:pPr>
              <w:spacing w:line="360" w:lineRule="auto"/>
              <w:jc w:val="center"/>
              <w:cnfStyle w:val="000000100000"/>
              <w:rPr>
                <w:rFonts w:ascii="Arial" w:hAnsi="Arial" w:cs="Arial"/>
                <w:i/>
                <w:sz w:val="20"/>
                <w:szCs w:val="20"/>
                <w:lang w:val="es-MX"/>
              </w:rPr>
            </w:pPr>
            <w:r w:rsidRPr="00375150">
              <w:rPr>
                <w:rFonts w:ascii="Arial" w:hAnsi="Arial" w:cs="Arial"/>
                <w:i/>
                <w:sz w:val="20"/>
                <w:szCs w:val="20"/>
                <w:lang w:val="es-MX"/>
              </w:rPr>
              <w:t>Menor o igual a 49,99%</w:t>
            </w:r>
          </w:p>
        </w:tc>
      </w:tr>
    </w:tbl>
    <w:p w:rsidR="00A81C19" w:rsidRPr="0077710A" w:rsidRDefault="00A81C19" w:rsidP="00A81C19">
      <w:pPr>
        <w:spacing w:line="360" w:lineRule="auto"/>
        <w:ind w:left="66"/>
        <w:contextualSpacing/>
        <w:jc w:val="both"/>
        <w:rPr>
          <w:rFonts w:ascii="Arial" w:hAnsi="Arial" w:cs="Arial"/>
          <w:sz w:val="20"/>
          <w:szCs w:val="20"/>
          <w:lang w:val="es-MX"/>
        </w:rPr>
      </w:pPr>
    </w:p>
    <w:p w:rsidR="00A81C19" w:rsidRPr="00375150" w:rsidRDefault="00A81C19" w:rsidP="00A81C19">
      <w:pPr>
        <w:pStyle w:val="Prrafodelista"/>
        <w:numPr>
          <w:ilvl w:val="0"/>
          <w:numId w:val="3"/>
        </w:numPr>
        <w:spacing w:line="360" w:lineRule="auto"/>
        <w:ind w:left="426"/>
        <w:contextualSpacing/>
        <w:jc w:val="both"/>
        <w:rPr>
          <w:rFonts w:ascii="Arial" w:hAnsi="Arial" w:cs="Arial"/>
          <w:sz w:val="20"/>
          <w:szCs w:val="20"/>
          <w:lang w:val="es-MX"/>
        </w:rPr>
      </w:pPr>
      <w:r w:rsidRPr="00375150">
        <w:rPr>
          <w:rFonts w:ascii="Arial" w:hAnsi="Arial" w:cs="Arial"/>
          <w:sz w:val="20"/>
          <w:szCs w:val="20"/>
          <w:lang w:val="es-MX"/>
        </w:rPr>
        <w:t xml:space="preserve">En relación con las unidades de medida, para los casos con porcentajes de cumplimientos bajo y medio, indique las razones que incidieron para ubicarse en determinado nivel y las acciones correctivas que desarrollará el programa y/o subprograma </w:t>
      </w:r>
      <w:r w:rsidRPr="00375150">
        <w:rPr>
          <w:rFonts w:ascii="Arial" w:hAnsi="Arial" w:cs="Arial"/>
          <w:sz w:val="20"/>
          <w:szCs w:val="20"/>
          <w:u w:val="single"/>
          <w:lang w:val="es-MX"/>
        </w:rPr>
        <w:t>con la fecha de implementación de las mismas</w:t>
      </w:r>
      <w:r w:rsidRPr="00375150">
        <w:rPr>
          <w:rFonts w:ascii="Arial" w:hAnsi="Arial" w:cs="Arial"/>
          <w:sz w:val="20"/>
          <w:szCs w:val="20"/>
          <w:lang w:val="es-MX"/>
        </w:rPr>
        <w:t xml:space="preserve">, así como el nombre de la unidad o departamento que las llevará a cabo y dará seguimiento para efectuar una mejor gestión. </w:t>
      </w:r>
    </w:p>
    <w:p w:rsidR="00A81C19" w:rsidRPr="00375150" w:rsidRDefault="00A81C19" w:rsidP="00A81C19">
      <w:pPr>
        <w:pStyle w:val="Prrafodelista"/>
        <w:spacing w:line="360" w:lineRule="auto"/>
        <w:ind w:left="426"/>
        <w:contextualSpacing/>
        <w:jc w:val="both"/>
        <w:rPr>
          <w:rFonts w:ascii="Arial" w:hAnsi="Arial" w:cs="Arial"/>
          <w:sz w:val="20"/>
          <w:szCs w:val="20"/>
          <w:lang w:val="es-MX"/>
        </w:rPr>
      </w:pPr>
    </w:p>
    <w:p w:rsidR="00A81C19" w:rsidRPr="00375150" w:rsidRDefault="00A81C19" w:rsidP="00A81C19">
      <w:pPr>
        <w:spacing w:line="360" w:lineRule="auto"/>
        <w:contextualSpacing/>
        <w:jc w:val="both"/>
        <w:rPr>
          <w:rFonts w:ascii="Arial" w:hAnsi="Arial" w:cs="Arial"/>
          <w:b/>
          <w:sz w:val="20"/>
          <w:szCs w:val="20"/>
        </w:rPr>
      </w:pPr>
      <w:r w:rsidRPr="00375150">
        <w:rPr>
          <w:rFonts w:ascii="Arial" w:hAnsi="Arial" w:cs="Arial"/>
          <w:sz w:val="20"/>
          <w:szCs w:val="20"/>
        </w:rPr>
        <w:t xml:space="preserve">El resultado de este indicador se presenta con corte al mes de setiembre de 2018, dado que el proceso para obtener las estadísticas de las oficinas de la Defensa Pública en todo el país se realiza trimestralmente y de manera manual. Al momento de confeccionar el presente informe se estaban recibiendo los reportes de las oficinas correspondientes al último trimestre, </w:t>
      </w:r>
      <w:r w:rsidRPr="00375150">
        <w:rPr>
          <w:rFonts w:ascii="Arial" w:hAnsi="Arial" w:cs="Arial"/>
          <w:b/>
          <w:sz w:val="20"/>
          <w:szCs w:val="20"/>
        </w:rPr>
        <w:t>sin embargo por los plazos que se manejan y el tiempo que requiere para el procesamiento de la información no es posible contar con el dato completo para el año 2018 debidamente verificado.</w:t>
      </w:r>
    </w:p>
    <w:p w:rsidR="00A81C19" w:rsidRPr="00375150" w:rsidRDefault="00A81C19" w:rsidP="00A81C19">
      <w:pPr>
        <w:spacing w:line="360" w:lineRule="auto"/>
        <w:contextualSpacing/>
        <w:jc w:val="both"/>
        <w:rPr>
          <w:rFonts w:ascii="Arial" w:hAnsi="Arial" w:cs="Arial"/>
          <w:sz w:val="20"/>
          <w:szCs w:val="20"/>
        </w:rPr>
      </w:pPr>
    </w:p>
    <w:p w:rsidR="00A81C19" w:rsidRPr="00375150" w:rsidRDefault="00A81C19" w:rsidP="00A81C19">
      <w:pPr>
        <w:spacing w:line="360" w:lineRule="auto"/>
        <w:contextualSpacing/>
        <w:jc w:val="both"/>
        <w:rPr>
          <w:rFonts w:ascii="Arial" w:hAnsi="Arial" w:cs="Arial"/>
          <w:sz w:val="20"/>
          <w:szCs w:val="20"/>
          <w:lang w:val="es-MX"/>
        </w:rPr>
      </w:pPr>
      <w:r w:rsidRPr="00375150">
        <w:rPr>
          <w:rFonts w:ascii="Arial" w:hAnsi="Arial" w:cs="Arial"/>
          <w:sz w:val="20"/>
          <w:szCs w:val="20"/>
          <w:lang w:val="es-MX"/>
        </w:rPr>
        <w:t xml:space="preserve">Según los parámetros de cumplimiento, el resultado obtenido se encuentra dentro del rango de cumplimiento medio (CM), </w:t>
      </w:r>
      <w:r w:rsidRPr="00375150">
        <w:rPr>
          <w:rFonts w:ascii="Arial" w:hAnsi="Arial" w:cs="Arial"/>
          <w:b/>
          <w:sz w:val="20"/>
          <w:szCs w:val="20"/>
          <w:lang w:val="es-MX"/>
        </w:rPr>
        <w:t>sin embargo, al proyectar el ingreso de personas que posiblemente recibirán asistencia legal durante el último trimestre 2018, se espera que al finalizar el año se hayan tramitado cerca de 124.000 asuntos nuevos de personas que requieren asistencia legal en las materias en las que la Defensa Pública brinda servicio.</w:t>
      </w:r>
      <w:r w:rsidRPr="00375150">
        <w:rPr>
          <w:rFonts w:ascii="Arial" w:hAnsi="Arial" w:cs="Arial"/>
          <w:sz w:val="20"/>
          <w:szCs w:val="20"/>
          <w:lang w:val="es-MX"/>
        </w:rPr>
        <w:t xml:space="preserve"> Con este resultado se estaría con un cumplimiento alto.</w:t>
      </w:r>
    </w:p>
    <w:p w:rsidR="00A81C19" w:rsidRPr="00375150" w:rsidRDefault="00A81C19" w:rsidP="00A81C19">
      <w:pPr>
        <w:spacing w:line="360" w:lineRule="auto"/>
        <w:contextualSpacing/>
        <w:jc w:val="both"/>
        <w:rPr>
          <w:rFonts w:ascii="Arial" w:hAnsi="Arial" w:cs="Arial"/>
          <w:sz w:val="20"/>
          <w:szCs w:val="20"/>
          <w:lang w:val="es-MX"/>
        </w:rPr>
      </w:pPr>
    </w:p>
    <w:p w:rsidR="00A81C19" w:rsidRPr="00375150" w:rsidRDefault="00A81C19" w:rsidP="00A81C19">
      <w:pPr>
        <w:spacing w:line="360" w:lineRule="auto"/>
        <w:contextualSpacing/>
        <w:jc w:val="both"/>
        <w:rPr>
          <w:rFonts w:ascii="Arial" w:hAnsi="Arial" w:cs="Arial"/>
          <w:sz w:val="20"/>
          <w:szCs w:val="20"/>
          <w:lang w:val="es-MX"/>
        </w:rPr>
      </w:pPr>
      <w:r w:rsidRPr="00375150">
        <w:rPr>
          <w:rFonts w:ascii="Arial" w:hAnsi="Arial" w:cs="Arial"/>
          <w:sz w:val="20"/>
          <w:szCs w:val="20"/>
          <w:lang w:val="es-MX"/>
        </w:rPr>
        <w:t>Con respecto al procesamiento de la información que se requiere para dar respuesta a este indicador, la Defensa Pública en conjunto con la Dirección de Planificación del Poder Judicial, se encuentran en el proceso de certificación de los datos que se generan por medio del aplicativo denominado Sistema de Seguimiento Casos, el cual se utilizará para la generación de los datos estadísticos.</w:t>
      </w:r>
    </w:p>
    <w:p w:rsidR="00A81C19" w:rsidRPr="00375150" w:rsidRDefault="00A81C19" w:rsidP="00A81C19">
      <w:pPr>
        <w:spacing w:line="360" w:lineRule="auto"/>
        <w:contextualSpacing/>
        <w:jc w:val="both"/>
        <w:rPr>
          <w:rFonts w:ascii="Arial" w:hAnsi="Arial" w:cs="Arial"/>
          <w:sz w:val="20"/>
          <w:szCs w:val="20"/>
          <w:lang w:val="es-MX"/>
        </w:rPr>
      </w:pPr>
    </w:p>
    <w:p w:rsidR="00A81C19" w:rsidRPr="00375150" w:rsidRDefault="00A81C19" w:rsidP="00A81C19">
      <w:pPr>
        <w:numPr>
          <w:ilvl w:val="0"/>
          <w:numId w:val="3"/>
        </w:numPr>
        <w:spacing w:line="360" w:lineRule="auto"/>
        <w:ind w:left="426"/>
        <w:jc w:val="both"/>
        <w:rPr>
          <w:rFonts w:ascii="Arial" w:hAnsi="Arial" w:cs="Arial"/>
          <w:sz w:val="20"/>
          <w:szCs w:val="20"/>
        </w:rPr>
      </w:pPr>
      <w:r w:rsidRPr="00375150">
        <w:rPr>
          <w:rFonts w:ascii="Arial" w:hAnsi="Arial" w:cs="Arial"/>
          <w:bCs/>
          <w:sz w:val="20"/>
          <w:szCs w:val="20"/>
        </w:rPr>
        <w:t>Elabore un</w:t>
      </w:r>
      <w:r w:rsidRPr="00375150">
        <w:rPr>
          <w:rFonts w:ascii="Arial" w:hAnsi="Arial" w:cs="Arial"/>
          <w:sz w:val="20"/>
          <w:szCs w:val="20"/>
        </w:rPr>
        <w:t xml:space="preserve"> análisis amplio de los resultados de </w:t>
      </w:r>
      <w:r w:rsidRPr="00375150">
        <w:rPr>
          <w:rFonts w:ascii="Arial" w:hAnsi="Arial" w:cs="Arial"/>
          <w:b/>
          <w:sz w:val="20"/>
          <w:szCs w:val="20"/>
          <w:u w:val="single"/>
        </w:rPr>
        <w:t>cada indicador de producto</w:t>
      </w:r>
      <w:r w:rsidRPr="00375150">
        <w:rPr>
          <w:rFonts w:ascii="Arial" w:hAnsi="Arial" w:cs="Arial"/>
          <w:sz w:val="20"/>
          <w:szCs w:val="20"/>
        </w:rPr>
        <w:t xml:space="preserve"> del programa y/o subprograma, considerando los siguientes aspectos:</w:t>
      </w:r>
    </w:p>
    <w:p w:rsidR="00A81C19" w:rsidRPr="00375150" w:rsidRDefault="00A81C19" w:rsidP="00A81C19">
      <w:pPr>
        <w:spacing w:line="360" w:lineRule="auto"/>
        <w:jc w:val="both"/>
        <w:rPr>
          <w:rFonts w:ascii="Arial" w:hAnsi="Arial" w:cs="Arial"/>
          <w:sz w:val="20"/>
          <w:szCs w:val="20"/>
        </w:rPr>
      </w:pPr>
    </w:p>
    <w:p w:rsidR="00A81C19" w:rsidRPr="00375150" w:rsidRDefault="00A81C19" w:rsidP="00A81C19">
      <w:pPr>
        <w:numPr>
          <w:ilvl w:val="0"/>
          <w:numId w:val="1"/>
        </w:numPr>
        <w:tabs>
          <w:tab w:val="clear" w:pos="720"/>
          <w:tab w:val="num" w:pos="851"/>
        </w:tabs>
        <w:spacing w:line="360" w:lineRule="auto"/>
        <w:ind w:left="851" w:hanging="425"/>
        <w:jc w:val="both"/>
        <w:rPr>
          <w:rFonts w:ascii="Arial" w:hAnsi="Arial" w:cs="Arial"/>
          <w:sz w:val="20"/>
          <w:szCs w:val="20"/>
        </w:rPr>
      </w:pPr>
      <w:r w:rsidRPr="00375150">
        <w:rPr>
          <w:rFonts w:ascii="Arial" w:hAnsi="Arial" w:cs="Arial"/>
          <w:sz w:val="20"/>
          <w:szCs w:val="20"/>
        </w:rPr>
        <w:t xml:space="preserve">De los indicadores con un </w:t>
      </w:r>
      <w:r w:rsidRPr="00375150">
        <w:rPr>
          <w:rFonts w:ascii="Arial" w:hAnsi="Arial" w:cs="Arial"/>
          <w:b/>
          <w:sz w:val="20"/>
          <w:szCs w:val="20"/>
        </w:rPr>
        <w:t>cumplimiento alto</w:t>
      </w:r>
      <w:r w:rsidRPr="00375150">
        <w:rPr>
          <w:rFonts w:ascii="Arial" w:hAnsi="Arial" w:cs="Arial"/>
          <w:sz w:val="20"/>
          <w:szCs w:val="20"/>
        </w:rPr>
        <w:t xml:space="preserve"> (mayor o igual a 90,0%), indique los beneficios brindados a la población objeto. En caso de existir metas con resultados mayores a lo programado, se deberá justificar las razones que lo generaron.</w:t>
      </w:r>
    </w:p>
    <w:p w:rsidR="00A81C19" w:rsidRPr="00375150" w:rsidRDefault="00A81C19" w:rsidP="00A81C19">
      <w:pPr>
        <w:spacing w:line="360" w:lineRule="auto"/>
        <w:jc w:val="both"/>
        <w:rPr>
          <w:rFonts w:ascii="Arial" w:hAnsi="Arial" w:cs="Arial"/>
          <w:sz w:val="20"/>
          <w:szCs w:val="20"/>
        </w:rPr>
      </w:pPr>
    </w:p>
    <w:p w:rsidR="00A81C19" w:rsidRPr="00375150" w:rsidRDefault="00A81C19" w:rsidP="00A81C19">
      <w:pPr>
        <w:spacing w:line="360" w:lineRule="auto"/>
        <w:jc w:val="both"/>
        <w:rPr>
          <w:rFonts w:ascii="Arial" w:hAnsi="Arial" w:cs="Arial"/>
          <w:sz w:val="20"/>
          <w:szCs w:val="20"/>
          <w:lang w:val="es-MX"/>
        </w:rPr>
      </w:pPr>
      <w:r w:rsidRPr="00375150">
        <w:rPr>
          <w:rFonts w:ascii="Arial" w:hAnsi="Arial" w:cs="Arial"/>
          <w:sz w:val="20"/>
          <w:szCs w:val="20"/>
          <w:lang w:val="es-MX"/>
        </w:rPr>
        <w:t xml:space="preserve">La mayoría de las personas usuarias se sienten satisfechas con respecto al tiempo que le dedica la Defensora o Defensor Público cuando le atiende (68%), lo cual implica un cumplimiento alto en este indicador con respecto a la meta programada. </w:t>
      </w:r>
    </w:p>
    <w:p w:rsidR="00A81C19" w:rsidRPr="00375150" w:rsidRDefault="00A81C19" w:rsidP="00A81C19">
      <w:pPr>
        <w:spacing w:line="360" w:lineRule="auto"/>
        <w:jc w:val="both"/>
        <w:rPr>
          <w:rFonts w:ascii="Arial" w:hAnsi="Arial" w:cs="Arial"/>
          <w:sz w:val="20"/>
          <w:szCs w:val="20"/>
          <w:lang w:val="es-MX"/>
        </w:rPr>
      </w:pPr>
    </w:p>
    <w:p w:rsidR="00A81C19" w:rsidRPr="00375150" w:rsidRDefault="00A81C19" w:rsidP="00A81C19">
      <w:pPr>
        <w:spacing w:line="360" w:lineRule="auto"/>
        <w:jc w:val="both"/>
        <w:rPr>
          <w:rFonts w:ascii="Arial" w:hAnsi="Arial" w:cs="Arial"/>
          <w:sz w:val="20"/>
          <w:szCs w:val="20"/>
        </w:rPr>
      </w:pPr>
      <w:r w:rsidRPr="00375150">
        <w:rPr>
          <w:rFonts w:ascii="Arial" w:hAnsi="Arial" w:cs="Arial"/>
          <w:sz w:val="20"/>
          <w:szCs w:val="20"/>
          <w:lang w:val="es-MX"/>
        </w:rPr>
        <w:t>El beneficio deriva en que un tiempo de atención adecuado permite una interacción con la persona representada, el proceso y el defensor público necesarios para desarrollar una estrategia de defensa de conformidad con las particularidades de cada caso y garantizar así la calidad del servicio y el mejor resultado posible.</w:t>
      </w:r>
    </w:p>
    <w:p w:rsidR="00A81C19" w:rsidRPr="00375150" w:rsidRDefault="00A81C19" w:rsidP="00A81C19">
      <w:pPr>
        <w:tabs>
          <w:tab w:val="num" w:pos="851"/>
        </w:tabs>
        <w:spacing w:line="360" w:lineRule="auto"/>
        <w:ind w:left="851" w:hanging="425"/>
        <w:jc w:val="both"/>
        <w:rPr>
          <w:rFonts w:ascii="Arial" w:hAnsi="Arial" w:cs="Arial"/>
          <w:sz w:val="20"/>
          <w:szCs w:val="20"/>
        </w:rPr>
      </w:pPr>
    </w:p>
    <w:p w:rsidR="00064B10" w:rsidRPr="00E17887" w:rsidRDefault="00A81C19" w:rsidP="00A81C19">
      <w:pPr>
        <w:numPr>
          <w:ilvl w:val="0"/>
          <w:numId w:val="2"/>
        </w:numPr>
        <w:tabs>
          <w:tab w:val="num" w:pos="851"/>
        </w:tabs>
        <w:spacing w:line="360" w:lineRule="auto"/>
        <w:ind w:left="851" w:hanging="425"/>
        <w:jc w:val="both"/>
        <w:rPr>
          <w:rFonts w:ascii="Arial" w:hAnsi="Arial" w:cs="Arial"/>
          <w:bCs/>
          <w:sz w:val="20"/>
          <w:szCs w:val="20"/>
        </w:rPr>
      </w:pPr>
      <w:r w:rsidRPr="00375150">
        <w:rPr>
          <w:rFonts w:ascii="Arial" w:hAnsi="Arial" w:cs="Arial"/>
          <w:sz w:val="20"/>
          <w:szCs w:val="20"/>
        </w:rPr>
        <w:t xml:space="preserve">De los indicadores con un </w:t>
      </w:r>
      <w:r w:rsidRPr="00375150">
        <w:rPr>
          <w:rFonts w:ascii="Arial" w:hAnsi="Arial" w:cs="Arial"/>
          <w:b/>
          <w:sz w:val="20"/>
          <w:szCs w:val="20"/>
        </w:rPr>
        <w:t>cumplimiento medio y bajo</w:t>
      </w:r>
      <w:r w:rsidRPr="00375150">
        <w:rPr>
          <w:rFonts w:ascii="Arial" w:hAnsi="Arial" w:cs="Arial"/>
          <w:sz w:val="20"/>
          <w:szCs w:val="20"/>
        </w:rPr>
        <w:t xml:space="preserve"> (menor o igual a 89,99%), refiérase a cómo esto afectó a la población objeto por los beneficios que dejó de recibir. Señalar las causas que propiciaron el incumplimiento y las medidas correctivas que la institución llevará a cabo </w:t>
      </w:r>
      <w:r w:rsidRPr="00375150">
        <w:rPr>
          <w:rFonts w:ascii="Arial" w:hAnsi="Arial" w:cs="Arial"/>
          <w:sz w:val="20"/>
          <w:szCs w:val="20"/>
          <w:u w:val="single"/>
          <w:lang w:val="es-MX"/>
        </w:rPr>
        <w:t>con la fecha de implementación de las mismas</w:t>
      </w:r>
      <w:r w:rsidRPr="00375150">
        <w:rPr>
          <w:rFonts w:ascii="Arial" w:hAnsi="Arial" w:cs="Arial"/>
          <w:sz w:val="20"/>
          <w:szCs w:val="20"/>
        </w:rPr>
        <w:t xml:space="preserve">, </w:t>
      </w:r>
      <w:r w:rsidRPr="00375150">
        <w:rPr>
          <w:rFonts w:ascii="Arial" w:hAnsi="Arial" w:cs="Arial"/>
          <w:bCs/>
          <w:sz w:val="20"/>
          <w:szCs w:val="20"/>
        </w:rPr>
        <w:t>así como el nombre de la unidad o departamento que las ejecutará y dará seguimiento para efectuar una mejor gestión.</w:t>
      </w:r>
      <w:r w:rsidRPr="00375150">
        <w:rPr>
          <w:rFonts w:ascii="Arial" w:hAnsi="Arial" w:cs="Arial"/>
          <w:sz w:val="20"/>
          <w:szCs w:val="20"/>
        </w:rPr>
        <w:t xml:space="preserve"> En los casos que sean reincidentes, referirse a las acciones que ha llevado a cabo la entidad para mejorar la situación. </w:t>
      </w:r>
    </w:p>
    <w:p w:rsidR="00064B10" w:rsidRPr="0084580C" w:rsidRDefault="00064B10" w:rsidP="0084580C">
      <w:pPr>
        <w:spacing w:line="360" w:lineRule="auto"/>
        <w:ind w:left="851"/>
        <w:jc w:val="both"/>
        <w:rPr>
          <w:rFonts w:ascii="Arial" w:hAnsi="Arial" w:cs="Arial"/>
          <w:bCs/>
          <w:sz w:val="20"/>
          <w:szCs w:val="20"/>
        </w:rPr>
      </w:pPr>
    </w:p>
    <w:p w:rsidR="00A81C19" w:rsidRPr="00375150" w:rsidRDefault="00A81C19" w:rsidP="00A81C19">
      <w:pPr>
        <w:spacing w:line="360" w:lineRule="auto"/>
        <w:ind w:left="851"/>
        <w:jc w:val="both"/>
        <w:rPr>
          <w:rFonts w:ascii="Arial" w:hAnsi="Arial" w:cs="Arial"/>
          <w:bCs/>
          <w:sz w:val="20"/>
          <w:szCs w:val="20"/>
        </w:rPr>
      </w:pPr>
    </w:p>
    <w:p w:rsidR="00A81C19" w:rsidRPr="00375150" w:rsidRDefault="00A81C19" w:rsidP="00A81C19">
      <w:pPr>
        <w:spacing w:line="360" w:lineRule="auto"/>
        <w:jc w:val="both"/>
        <w:rPr>
          <w:rFonts w:ascii="Arial" w:hAnsi="Arial" w:cs="Arial"/>
          <w:sz w:val="20"/>
          <w:szCs w:val="20"/>
          <w:lang w:val="es-MX"/>
        </w:rPr>
      </w:pPr>
      <w:r w:rsidRPr="00375150">
        <w:rPr>
          <w:rFonts w:ascii="Arial" w:hAnsi="Arial" w:cs="Arial"/>
          <w:sz w:val="20"/>
          <w:szCs w:val="20"/>
          <w:lang w:val="es-MX"/>
        </w:rPr>
        <w:t>En el caso del “Porcentaje de satisfacción de las personas usuarias que se encuentran en libertad respecto al tiempo de espera antes de ser atendido por la Defensora o el Defensor Público”, el porcentaje alcanzó el 80,8% con respecto a lo programado, por tanto este indicador se encuentra con un cumplimiento medio, según los parámetros de medición establecidos.</w:t>
      </w:r>
    </w:p>
    <w:p w:rsidR="00A81C19" w:rsidRPr="00375150" w:rsidRDefault="00A81C19" w:rsidP="00A81C19">
      <w:pPr>
        <w:spacing w:line="360" w:lineRule="auto"/>
        <w:jc w:val="both"/>
        <w:rPr>
          <w:rFonts w:ascii="Arial" w:hAnsi="Arial" w:cs="Arial"/>
          <w:sz w:val="20"/>
          <w:szCs w:val="20"/>
          <w:lang w:val="es-MX"/>
        </w:rPr>
      </w:pPr>
    </w:p>
    <w:p w:rsidR="00A81C19" w:rsidRPr="00375150" w:rsidRDefault="00A81C19" w:rsidP="00A81C19">
      <w:pPr>
        <w:spacing w:line="360" w:lineRule="auto"/>
        <w:jc w:val="both"/>
        <w:rPr>
          <w:rFonts w:ascii="Arial" w:hAnsi="Arial" w:cs="Arial"/>
          <w:sz w:val="20"/>
          <w:szCs w:val="20"/>
          <w:lang w:val="es-MX"/>
        </w:rPr>
      </w:pPr>
      <w:r w:rsidRPr="00375150">
        <w:rPr>
          <w:rFonts w:ascii="Arial" w:hAnsi="Arial" w:cs="Arial"/>
          <w:sz w:val="20"/>
          <w:szCs w:val="20"/>
          <w:lang w:val="es-MX"/>
        </w:rPr>
        <w:t>En la última evaluación realizada este indicador tendió a la baja e interrumpió el comportamiento histórico que se venía observando.</w:t>
      </w:r>
    </w:p>
    <w:p w:rsidR="00A81C19" w:rsidRPr="00375150" w:rsidRDefault="00A81C19" w:rsidP="00A81C19">
      <w:pPr>
        <w:spacing w:line="360" w:lineRule="auto"/>
        <w:jc w:val="both"/>
        <w:rPr>
          <w:rFonts w:ascii="Arial" w:hAnsi="Arial" w:cs="Arial"/>
          <w:sz w:val="20"/>
          <w:szCs w:val="20"/>
          <w:lang w:val="es-MX"/>
        </w:rPr>
      </w:pPr>
    </w:p>
    <w:p w:rsidR="00A81C19" w:rsidRPr="00375150" w:rsidRDefault="00A81C19" w:rsidP="00A81C19">
      <w:pPr>
        <w:spacing w:line="360" w:lineRule="auto"/>
        <w:rPr>
          <w:rFonts w:ascii="Arial" w:hAnsi="Arial" w:cs="Arial"/>
          <w:sz w:val="20"/>
          <w:szCs w:val="20"/>
          <w:lang w:val="es-MX"/>
        </w:rPr>
      </w:pPr>
    </w:p>
    <w:p w:rsidR="00A81C19" w:rsidRPr="0077710A" w:rsidRDefault="00A81C19" w:rsidP="00A81C19">
      <w:pPr>
        <w:spacing w:line="360" w:lineRule="auto"/>
        <w:rPr>
          <w:rFonts w:ascii="Arial" w:hAnsi="Arial" w:cs="Arial"/>
          <w:sz w:val="20"/>
          <w:szCs w:val="20"/>
          <w:lang w:val="es-MX"/>
        </w:rPr>
      </w:pPr>
      <w:r w:rsidRPr="0077710A">
        <w:rPr>
          <w:rFonts w:ascii="Arial" w:hAnsi="Arial" w:cs="Arial"/>
          <w:noProof/>
          <w:sz w:val="20"/>
          <w:szCs w:val="20"/>
          <w:lang w:val="es-CR" w:eastAsia="es-CR"/>
        </w:rPr>
        <w:lastRenderedPageBreak/>
        <w:drawing>
          <wp:inline distT="0" distB="0" distL="0" distR="0">
            <wp:extent cx="5400040" cy="3051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400040" cy="3051175"/>
                    </a:xfrm>
                    <a:prstGeom prst="rect">
                      <a:avLst/>
                    </a:prstGeom>
                  </pic:spPr>
                </pic:pic>
              </a:graphicData>
            </a:graphic>
          </wp:inline>
        </w:drawing>
      </w:r>
    </w:p>
    <w:p w:rsidR="00A81C19" w:rsidRPr="00375150" w:rsidRDefault="00A81C19" w:rsidP="00A81C19">
      <w:pPr>
        <w:spacing w:line="360" w:lineRule="auto"/>
        <w:rPr>
          <w:rFonts w:ascii="Arial" w:hAnsi="Arial" w:cs="Arial"/>
          <w:sz w:val="20"/>
          <w:szCs w:val="20"/>
          <w:lang w:val="es-MX"/>
        </w:rPr>
      </w:pPr>
    </w:p>
    <w:p w:rsidR="00A81C19" w:rsidRPr="00375150" w:rsidRDefault="00A81C19" w:rsidP="00A81C19">
      <w:pPr>
        <w:spacing w:line="360" w:lineRule="auto"/>
        <w:jc w:val="both"/>
        <w:rPr>
          <w:rFonts w:ascii="Arial" w:hAnsi="Arial" w:cs="Arial"/>
          <w:sz w:val="20"/>
          <w:szCs w:val="20"/>
          <w:lang w:val="es-MX"/>
        </w:rPr>
      </w:pPr>
      <w:r w:rsidRPr="00375150">
        <w:rPr>
          <w:rFonts w:ascii="Arial" w:hAnsi="Arial" w:cs="Arial"/>
          <w:sz w:val="20"/>
          <w:szCs w:val="20"/>
          <w:lang w:val="es-MX"/>
        </w:rPr>
        <w:t>Al desagregar los datos por materia, se logra determinar que en materia de Pensiones Alimentarias existe una oportunidad de mejora importante, ya que presenta el grado de satisfacción más bajo observado en la encuesta realizada en el año 2018 (53%). En razón del resultado, la Dirección de la Defensa Pública está implementando como medidas de mejora, giras de Supervisión como de Jefatura en las oficinas y reuniones con los Coordinadores de Oficina y Materia a fin de concienciar sobre el tema, además, se estará coordinando con la Dirección de Planificación y sus Ingenieros Industriales el análisis de los procedimientos de atención a la persona usuaria con el fin de identificar cuellos de botella e implementar propuestas de mejora. Las fechas de implementación serían 11 de febrero, 08 de abril, 10 de junio, 12 de agosto y 14 de octubre 2019.</w:t>
      </w:r>
    </w:p>
    <w:p w:rsidR="00A81C19" w:rsidRPr="0077710A" w:rsidRDefault="00A81C19" w:rsidP="00A81C19">
      <w:pPr>
        <w:spacing w:line="360" w:lineRule="auto"/>
        <w:jc w:val="center"/>
        <w:rPr>
          <w:rFonts w:ascii="Arial" w:hAnsi="Arial" w:cs="Arial"/>
          <w:sz w:val="20"/>
          <w:szCs w:val="20"/>
          <w:lang w:val="es-MX"/>
        </w:rPr>
      </w:pPr>
      <w:r w:rsidRPr="0084580C">
        <w:rPr>
          <w:rFonts w:ascii="Arial" w:hAnsi="Arial" w:cs="Arial"/>
          <w:noProof/>
          <w:szCs w:val="20"/>
          <w:lang w:val="es-CR" w:eastAsia="es-CR"/>
        </w:rPr>
        <w:drawing>
          <wp:inline distT="0" distB="0" distL="0" distR="0">
            <wp:extent cx="5395595" cy="2327031"/>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00040" cy="2328948"/>
                    </a:xfrm>
                    <a:prstGeom prst="rect">
                      <a:avLst/>
                    </a:prstGeom>
                    <a:noFill/>
                    <a:ln w="9525">
                      <a:noFill/>
                      <a:miter lim="800000"/>
                      <a:headEnd/>
                      <a:tailEnd/>
                    </a:ln>
                  </pic:spPr>
                </pic:pic>
              </a:graphicData>
            </a:graphic>
          </wp:inline>
        </w:drawing>
      </w:r>
    </w:p>
    <w:p w:rsidR="00A81C19" w:rsidRPr="00375150" w:rsidRDefault="00A81C19" w:rsidP="00A81C19">
      <w:pPr>
        <w:spacing w:line="360" w:lineRule="auto"/>
        <w:jc w:val="both"/>
        <w:rPr>
          <w:rFonts w:ascii="Arial" w:hAnsi="Arial" w:cs="Arial"/>
          <w:sz w:val="20"/>
          <w:szCs w:val="20"/>
          <w:lang w:val="es-MX"/>
        </w:rPr>
      </w:pPr>
    </w:p>
    <w:p w:rsidR="00A81C19" w:rsidRPr="00375150" w:rsidRDefault="00A81C19" w:rsidP="00A81C19">
      <w:pPr>
        <w:spacing w:line="360" w:lineRule="auto"/>
        <w:jc w:val="both"/>
        <w:rPr>
          <w:rFonts w:ascii="Arial" w:hAnsi="Arial" w:cs="Arial"/>
          <w:sz w:val="20"/>
          <w:szCs w:val="20"/>
          <w:lang w:val="es-MX"/>
        </w:rPr>
      </w:pPr>
      <w:r w:rsidRPr="00375150">
        <w:rPr>
          <w:rFonts w:ascii="Arial" w:hAnsi="Arial" w:cs="Arial"/>
          <w:sz w:val="20"/>
          <w:szCs w:val="20"/>
          <w:lang w:val="es-MX"/>
        </w:rPr>
        <w:lastRenderedPageBreak/>
        <w:t>Es necesario revisar el proceso de atención de las personas usuarias en esta materia, ya que quienes requieren de este servicio generalmente visitan las oficinas con el objetivo de presentar una demanda alimentaria, la atención es prioritaria y no es recomendable, para bajar los tiempos de espera, establecer un rol de citas para la atención de estos casos. Por lo anterior, es razonable que las personas usuarias deban esperar en “cola” para ser atendidas por el profesional especializado en la atención de esta materia, quién además de la atención de las personas usuarias que requieren plantear una demanda, debe asistir a distintas diligencias que limitan el tiempo que pasa en la oficina.</w:t>
      </w:r>
    </w:p>
    <w:p w:rsidR="00A81C19" w:rsidRPr="00375150" w:rsidRDefault="00A81C19" w:rsidP="00A81C19">
      <w:pPr>
        <w:spacing w:line="360" w:lineRule="auto"/>
        <w:jc w:val="both"/>
        <w:rPr>
          <w:rFonts w:ascii="Arial" w:hAnsi="Arial" w:cs="Arial"/>
          <w:sz w:val="20"/>
          <w:szCs w:val="20"/>
          <w:lang w:val="es-MX"/>
        </w:rPr>
      </w:pPr>
    </w:p>
    <w:p w:rsidR="00A81C19" w:rsidRPr="00375150" w:rsidRDefault="00A81C19" w:rsidP="00A81C19">
      <w:pPr>
        <w:spacing w:line="360" w:lineRule="auto"/>
        <w:jc w:val="both"/>
        <w:rPr>
          <w:rFonts w:ascii="Arial" w:hAnsi="Arial" w:cs="Arial"/>
          <w:sz w:val="20"/>
          <w:szCs w:val="20"/>
          <w:lang w:val="es-MX"/>
        </w:rPr>
      </w:pPr>
      <w:r w:rsidRPr="00375150">
        <w:rPr>
          <w:rFonts w:ascii="Arial" w:hAnsi="Arial" w:cs="Arial"/>
          <w:sz w:val="20"/>
          <w:szCs w:val="20"/>
          <w:lang w:val="es-MX"/>
        </w:rPr>
        <w:t>As</w:t>
      </w:r>
      <w:r w:rsidR="00DF0B2F" w:rsidRPr="00375150">
        <w:rPr>
          <w:rFonts w:ascii="Arial" w:hAnsi="Arial" w:cs="Arial"/>
          <w:sz w:val="20"/>
          <w:szCs w:val="20"/>
          <w:lang w:val="es-MX"/>
        </w:rPr>
        <w:t>i</w:t>
      </w:r>
      <w:r w:rsidRPr="00375150">
        <w:rPr>
          <w:rFonts w:ascii="Arial" w:hAnsi="Arial" w:cs="Arial"/>
          <w:sz w:val="20"/>
          <w:szCs w:val="20"/>
          <w:lang w:val="es-MX"/>
        </w:rPr>
        <w:t>mismo, en la encuesta de la cual se obtiene este indicador, también se consulta sobre los tiempos de espera. Al respecto, se obtuvo que aproximadamente tres cuartas partes de las personas entrevista</w:t>
      </w:r>
      <w:r w:rsidR="00DF0B2F" w:rsidRPr="00375150">
        <w:rPr>
          <w:rFonts w:ascii="Arial" w:hAnsi="Arial" w:cs="Arial"/>
          <w:sz w:val="20"/>
          <w:szCs w:val="20"/>
          <w:lang w:val="es-MX"/>
        </w:rPr>
        <w:t>das</w:t>
      </w:r>
      <w:r w:rsidRPr="00375150">
        <w:rPr>
          <w:rFonts w:ascii="Arial" w:hAnsi="Arial" w:cs="Arial"/>
          <w:sz w:val="20"/>
          <w:szCs w:val="20"/>
          <w:lang w:val="es-MX"/>
        </w:rPr>
        <w:t xml:space="preserve"> indican que esperan 30 minutos o menos para ser atendidas, de este porcentaje la mayoría (56%) esperan menos de 15 minutos. Por otra, parte, el 16% de las personas indicaron que esperan entre 30 y 45 minutos y un 2% indica tener tiempos de espera cercanos a una hora.</w:t>
      </w:r>
    </w:p>
    <w:p w:rsidR="00A81C19" w:rsidRPr="00375150" w:rsidRDefault="00A81C19" w:rsidP="00A81C19">
      <w:pPr>
        <w:spacing w:line="360" w:lineRule="auto"/>
        <w:jc w:val="both"/>
        <w:rPr>
          <w:rFonts w:ascii="Arial" w:hAnsi="Arial" w:cs="Arial"/>
          <w:sz w:val="20"/>
          <w:szCs w:val="20"/>
          <w:lang w:val="es-MX"/>
        </w:rPr>
      </w:pPr>
    </w:p>
    <w:p w:rsidR="00A81C19" w:rsidRPr="0077710A" w:rsidRDefault="00A81C19" w:rsidP="00A81C19">
      <w:pPr>
        <w:spacing w:line="360" w:lineRule="auto"/>
        <w:jc w:val="center"/>
        <w:rPr>
          <w:rFonts w:ascii="Arial" w:hAnsi="Arial" w:cs="Arial"/>
          <w:sz w:val="20"/>
          <w:szCs w:val="20"/>
          <w:lang w:val="es-MX"/>
        </w:rPr>
      </w:pPr>
      <w:r w:rsidRPr="0084580C">
        <w:rPr>
          <w:rFonts w:ascii="Arial" w:hAnsi="Arial" w:cs="Arial"/>
          <w:noProof/>
          <w:szCs w:val="20"/>
          <w:lang w:val="es-CR" w:eastAsia="es-CR"/>
        </w:rPr>
        <w:drawing>
          <wp:inline distT="0" distB="0" distL="0" distR="0">
            <wp:extent cx="3030220" cy="250888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030220" cy="2508885"/>
                    </a:xfrm>
                    <a:prstGeom prst="rect">
                      <a:avLst/>
                    </a:prstGeom>
                    <a:noFill/>
                    <a:ln w="9525">
                      <a:noFill/>
                      <a:miter lim="800000"/>
                      <a:headEnd/>
                      <a:tailEnd/>
                    </a:ln>
                  </pic:spPr>
                </pic:pic>
              </a:graphicData>
            </a:graphic>
          </wp:inline>
        </w:drawing>
      </w:r>
    </w:p>
    <w:p w:rsidR="00A81C19" w:rsidRPr="00375150" w:rsidRDefault="00A81C19" w:rsidP="00A81C19">
      <w:pPr>
        <w:spacing w:line="360" w:lineRule="auto"/>
        <w:jc w:val="both"/>
        <w:rPr>
          <w:rFonts w:ascii="Arial" w:hAnsi="Arial" w:cs="Arial"/>
          <w:sz w:val="20"/>
          <w:szCs w:val="20"/>
          <w:lang w:val="es-MX"/>
        </w:rPr>
      </w:pPr>
    </w:p>
    <w:p w:rsidR="00A81C19" w:rsidRPr="00375150" w:rsidRDefault="00A81C19" w:rsidP="00A81C19">
      <w:pPr>
        <w:spacing w:line="360" w:lineRule="auto"/>
        <w:jc w:val="both"/>
        <w:rPr>
          <w:rFonts w:ascii="Arial" w:hAnsi="Arial" w:cs="Arial"/>
          <w:sz w:val="20"/>
          <w:szCs w:val="20"/>
          <w:lang w:val="es-MX"/>
        </w:rPr>
      </w:pPr>
      <w:r w:rsidRPr="00375150">
        <w:rPr>
          <w:rFonts w:ascii="Arial" w:hAnsi="Arial" w:cs="Arial"/>
          <w:sz w:val="20"/>
          <w:szCs w:val="20"/>
          <w:lang w:val="es-MX"/>
        </w:rPr>
        <w:t>Estos tiempos de espera son razonables, inclusive en materia de Pensiones Alimentarias es congruente que la atención de una persona usuaria por demanda tarde hasta una hora y media.</w:t>
      </w:r>
    </w:p>
    <w:p w:rsidR="00A81C19" w:rsidRPr="00375150" w:rsidRDefault="00A81C19" w:rsidP="00A81C19">
      <w:pPr>
        <w:spacing w:line="360" w:lineRule="auto"/>
        <w:jc w:val="both"/>
        <w:rPr>
          <w:rFonts w:ascii="Arial" w:hAnsi="Arial" w:cs="Arial"/>
          <w:sz w:val="20"/>
          <w:szCs w:val="20"/>
          <w:lang w:val="es-MX"/>
        </w:rPr>
      </w:pPr>
    </w:p>
    <w:p w:rsidR="00A81C19" w:rsidRPr="00375150" w:rsidRDefault="00A81C19" w:rsidP="00A81C19">
      <w:pPr>
        <w:spacing w:line="360" w:lineRule="auto"/>
        <w:jc w:val="both"/>
        <w:rPr>
          <w:rFonts w:ascii="Arial" w:hAnsi="Arial" w:cs="Arial"/>
          <w:sz w:val="20"/>
          <w:szCs w:val="20"/>
          <w:lang w:val="es-MX"/>
        </w:rPr>
      </w:pPr>
      <w:r w:rsidRPr="00375150">
        <w:rPr>
          <w:rFonts w:ascii="Arial" w:hAnsi="Arial" w:cs="Arial"/>
          <w:sz w:val="20"/>
          <w:szCs w:val="20"/>
          <w:lang w:val="es-MX"/>
        </w:rPr>
        <w:t>El resultado de este indicador se analizará con la Unidad Especializada de Pensiones Alimentarias, para determinar oportunidades de mejora.</w:t>
      </w:r>
    </w:p>
    <w:p w:rsidR="00A81C19" w:rsidRPr="00375150" w:rsidRDefault="00A81C19" w:rsidP="00A81C19">
      <w:pPr>
        <w:spacing w:line="360" w:lineRule="auto"/>
        <w:jc w:val="both"/>
        <w:rPr>
          <w:rFonts w:ascii="Arial" w:hAnsi="Arial" w:cs="Arial"/>
          <w:color w:val="FF0000"/>
          <w:sz w:val="20"/>
          <w:szCs w:val="20"/>
        </w:rPr>
      </w:pPr>
    </w:p>
    <w:p w:rsidR="00A81C19" w:rsidRPr="00375150" w:rsidRDefault="00A81C19" w:rsidP="00A81C19">
      <w:pPr>
        <w:spacing w:line="360" w:lineRule="auto"/>
        <w:jc w:val="both"/>
        <w:rPr>
          <w:rFonts w:ascii="Arial" w:hAnsi="Arial" w:cs="Arial"/>
          <w:color w:val="FF0000"/>
          <w:sz w:val="20"/>
          <w:szCs w:val="20"/>
        </w:rPr>
      </w:pPr>
    </w:p>
    <w:p w:rsidR="00064B10" w:rsidRPr="0071763C" w:rsidRDefault="00064B10" w:rsidP="00064B10">
      <w:pPr>
        <w:numPr>
          <w:ilvl w:val="0"/>
          <w:numId w:val="2"/>
        </w:numPr>
        <w:tabs>
          <w:tab w:val="num" w:pos="851"/>
        </w:tabs>
        <w:spacing w:line="360" w:lineRule="auto"/>
        <w:ind w:left="851" w:hanging="425"/>
        <w:jc w:val="both"/>
        <w:rPr>
          <w:rFonts w:ascii="Arial" w:hAnsi="Arial" w:cs="Arial"/>
          <w:bCs/>
          <w:sz w:val="20"/>
          <w:szCs w:val="20"/>
        </w:rPr>
      </w:pPr>
      <w:r w:rsidRPr="0071763C">
        <w:rPr>
          <w:rFonts w:ascii="Arial" w:hAnsi="Arial" w:cs="Arial"/>
          <w:sz w:val="20"/>
          <w:szCs w:val="20"/>
          <w:lang w:val="es-MX"/>
        </w:rPr>
        <w:lastRenderedPageBreak/>
        <w:t xml:space="preserve">Informe sobre los resultados de la aplicación de las acciones correctivas indicadas en </w:t>
      </w:r>
      <w:r w:rsidRPr="0071763C">
        <w:rPr>
          <w:rFonts w:ascii="Arial" w:hAnsi="Arial" w:cs="Arial"/>
          <w:bCs/>
          <w:sz w:val="20"/>
          <w:szCs w:val="20"/>
        </w:rPr>
        <w:t>el Informe de Seguimiento Semestral.</w:t>
      </w:r>
    </w:p>
    <w:p w:rsidR="00A81C19" w:rsidRDefault="00A81C19" w:rsidP="00A81C19">
      <w:pPr>
        <w:spacing w:line="360" w:lineRule="auto"/>
        <w:jc w:val="both"/>
        <w:rPr>
          <w:rFonts w:ascii="Arial" w:hAnsi="Arial" w:cs="Arial"/>
          <w:color w:val="FF0000"/>
          <w:sz w:val="20"/>
          <w:szCs w:val="20"/>
        </w:rPr>
      </w:pPr>
    </w:p>
    <w:p w:rsidR="00555B5B" w:rsidRPr="0084580C" w:rsidRDefault="00122C2B" w:rsidP="0084580C">
      <w:pPr>
        <w:pStyle w:val="Default"/>
        <w:spacing w:line="360" w:lineRule="auto"/>
        <w:jc w:val="both"/>
        <w:rPr>
          <w:sz w:val="20"/>
          <w:szCs w:val="20"/>
        </w:rPr>
      </w:pPr>
      <w:r w:rsidRPr="0084580C">
        <w:rPr>
          <w:color w:val="auto"/>
          <w:sz w:val="20"/>
          <w:szCs w:val="20"/>
        </w:rPr>
        <w:t>Sobre este punto</w:t>
      </w:r>
      <w:r w:rsidRPr="004A25EE">
        <w:rPr>
          <w:sz w:val="20"/>
          <w:szCs w:val="20"/>
        </w:rPr>
        <w:t xml:space="preserve">, en atención al oficio DGPN-0384-2018 del 4 de setiembre del 2018 suscrito por Marjorie Morera Gonzalez, </w:t>
      </w:r>
      <w:r w:rsidR="00555B5B" w:rsidRPr="004A25EE">
        <w:rPr>
          <w:sz w:val="20"/>
          <w:szCs w:val="20"/>
        </w:rPr>
        <w:t xml:space="preserve">que indica sobre </w:t>
      </w:r>
      <w:r w:rsidR="00555B5B" w:rsidRPr="0084580C">
        <w:rPr>
          <w:sz w:val="20"/>
          <w:szCs w:val="20"/>
        </w:rPr>
        <w:t>los 2 indicadores</w:t>
      </w:r>
      <w:r w:rsidR="00555B5B" w:rsidRPr="004A25EE">
        <w:rPr>
          <w:sz w:val="20"/>
          <w:szCs w:val="20"/>
        </w:rPr>
        <w:t xml:space="preserve"> que </w:t>
      </w:r>
      <w:r w:rsidR="00555B5B" w:rsidRPr="0084580C">
        <w:rPr>
          <w:sz w:val="20"/>
          <w:szCs w:val="20"/>
        </w:rPr>
        <w:t>pertenecen al programa 930-Defensa Pública y ambos miden porcentajes de satisfacción de las personas usuarias que se encuentran en libertad, el primero de ellos con respecto al tiempo que le dedica</w:t>
      </w:r>
      <w:r w:rsidR="004A25EE" w:rsidRPr="0084580C">
        <w:rPr>
          <w:sz w:val="20"/>
          <w:szCs w:val="20"/>
        </w:rPr>
        <w:t xml:space="preserve"> la Defensora</w:t>
      </w:r>
      <w:r w:rsidR="00555B5B" w:rsidRPr="0084580C">
        <w:rPr>
          <w:sz w:val="20"/>
          <w:szCs w:val="20"/>
        </w:rPr>
        <w:t xml:space="preserve"> </w:t>
      </w:r>
      <w:r w:rsidR="004A25EE" w:rsidRPr="0084580C">
        <w:rPr>
          <w:sz w:val="20"/>
          <w:szCs w:val="20"/>
        </w:rPr>
        <w:t>o</w:t>
      </w:r>
      <w:r w:rsidR="00555B5B" w:rsidRPr="0084580C">
        <w:rPr>
          <w:sz w:val="20"/>
          <w:szCs w:val="20"/>
        </w:rPr>
        <w:t xml:space="preserve"> </w:t>
      </w:r>
      <w:r w:rsidR="008425B7" w:rsidRPr="0084580C">
        <w:rPr>
          <w:sz w:val="20"/>
          <w:szCs w:val="20"/>
        </w:rPr>
        <w:t>D</w:t>
      </w:r>
      <w:r w:rsidR="00555B5B" w:rsidRPr="0084580C">
        <w:rPr>
          <w:sz w:val="20"/>
          <w:szCs w:val="20"/>
        </w:rPr>
        <w:t xml:space="preserve">efensor  y el segundo respecto al tiempo de espera antes de ser atendido por </w:t>
      </w:r>
      <w:r w:rsidR="004A25EE" w:rsidRPr="0084580C">
        <w:rPr>
          <w:sz w:val="20"/>
          <w:szCs w:val="20"/>
        </w:rPr>
        <w:t>la Defensora o</w:t>
      </w:r>
      <w:r w:rsidR="00555B5B" w:rsidRPr="0084580C">
        <w:rPr>
          <w:sz w:val="20"/>
          <w:szCs w:val="20"/>
        </w:rPr>
        <w:t xml:space="preserve"> </w:t>
      </w:r>
      <w:r w:rsidR="004A25EE" w:rsidRPr="0084580C">
        <w:rPr>
          <w:sz w:val="20"/>
          <w:szCs w:val="20"/>
        </w:rPr>
        <w:t>D</w:t>
      </w:r>
      <w:r w:rsidR="00555B5B" w:rsidRPr="0084580C">
        <w:rPr>
          <w:sz w:val="20"/>
          <w:szCs w:val="20"/>
        </w:rPr>
        <w:t>efensor, y la razón por la que no presentan avance es porque los resultados son extraídos de una encuesta que se realiza entre los meses de octubre y noviembre, lo cual es justificabl</w:t>
      </w:r>
      <w:r w:rsidR="00555B5B" w:rsidRPr="004A25EE">
        <w:rPr>
          <w:sz w:val="20"/>
          <w:szCs w:val="20"/>
        </w:rPr>
        <w:t>e. Por lo tanto, no hay aplicación de acciones correctivas del informe de seguimiento semestral.</w:t>
      </w:r>
    </w:p>
    <w:p w:rsidR="00064B10" w:rsidRPr="0084580C" w:rsidRDefault="00064B10">
      <w:pPr>
        <w:spacing w:line="360" w:lineRule="auto"/>
        <w:jc w:val="both"/>
        <w:rPr>
          <w:rFonts w:ascii="Arial" w:hAnsi="Arial" w:cs="Arial"/>
          <w:color w:val="000000"/>
          <w:sz w:val="20"/>
          <w:szCs w:val="20"/>
          <w:lang w:val="es-CR"/>
        </w:rPr>
      </w:pPr>
    </w:p>
    <w:p w:rsidR="00064B10" w:rsidRPr="0077710A" w:rsidRDefault="00064B10" w:rsidP="00A81C19">
      <w:pPr>
        <w:spacing w:line="360" w:lineRule="auto"/>
        <w:jc w:val="both"/>
        <w:rPr>
          <w:rFonts w:ascii="Arial" w:hAnsi="Arial" w:cs="Arial"/>
          <w:color w:val="FF0000"/>
          <w:sz w:val="20"/>
          <w:szCs w:val="20"/>
        </w:rPr>
      </w:pPr>
    </w:p>
    <w:p w:rsidR="00A81C19" w:rsidRPr="00375150" w:rsidRDefault="00A81C19" w:rsidP="00A81C19">
      <w:pPr>
        <w:numPr>
          <w:ilvl w:val="0"/>
          <w:numId w:val="3"/>
        </w:numPr>
        <w:spacing w:line="360" w:lineRule="auto"/>
        <w:ind w:left="426"/>
        <w:jc w:val="both"/>
        <w:rPr>
          <w:rFonts w:ascii="Arial" w:hAnsi="Arial" w:cs="Arial"/>
          <w:bCs/>
          <w:sz w:val="20"/>
          <w:szCs w:val="20"/>
        </w:rPr>
      </w:pPr>
      <w:r w:rsidRPr="00375150">
        <w:rPr>
          <w:rFonts w:ascii="Arial" w:hAnsi="Arial" w:cs="Arial"/>
          <w:bCs/>
          <w:sz w:val="20"/>
          <w:szCs w:val="20"/>
        </w:rPr>
        <w:t xml:space="preserve">Refiérase a los recursos ejecutados del programa y/o subprograma en relación con los logros alcanzados. </w:t>
      </w:r>
    </w:p>
    <w:p w:rsidR="00A81C19" w:rsidRPr="00375150" w:rsidRDefault="00A81C19" w:rsidP="00A81C19">
      <w:pPr>
        <w:spacing w:line="360" w:lineRule="auto"/>
        <w:ind w:left="720"/>
        <w:jc w:val="both"/>
        <w:rPr>
          <w:rFonts w:ascii="Arial" w:hAnsi="Arial" w:cs="Arial"/>
          <w:bCs/>
          <w:sz w:val="20"/>
          <w:szCs w:val="20"/>
        </w:rPr>
      </w:pPr>
    </w:p>
    <w:p w:rsidR="00A81C19" w:rsidRPr="00375150" w:rsidRDefault="00A81C19" w:rsidP="00A81C19">
      <w:pPr>
        <w:spacing w:line="360" w:lineRule="auto"/>
        <w:ind w:left="708"/>
        <w:jc w:val="both"/>
        <w:rPr>
          <w:rFonts w:ascii="Arial" w:hAnsi="Arial" w:cs="Arial"/>
          <w:sz w:val="20"/>
          <w:szCs w:val="20"/>
        </w:rPr>
      </w:pPr>
      <w:r w:rsidRPr="00375150">
        <w:rPr>
          <w:rFonts w:ascii="Arial" w:hAnsi="Arial" w:cs="Arial"/>
          <w:sz w:val="20"/>
          <w:szCs w:val="20"/>
        </w:rPr>
        <w:t xml:space="preserve">Para el año 2018 se ejecutó ¢ 38.146.658.061,29 del presupuesto otorgado que fue de ¢ 38.846.910.657,00, lo que representa un 98.19% de ejecución. Los recursos no ejecutados corresponden a procesos de contratación específicamente en alquiler de oficinas que se declararon infructuosos y otros que producto de la dinámica del procedimiento el alquiler inicio en meses posteriores a lo presupuestado. </w:t>
      </w:r>
    </w:p>
    <w:p w:rsidR="00A81C19" w:rsidRPr="00375150" w:rsidRDefault="00A81C19" w:rsidP="00A81C19">
      <w:pPr>
        <w:spacing w:line="360" w:lineRule="auto"/>
        <w:ind w:left="708"/>
        <w:jc w:val="both"/>
        <w:rPr>
          <w:rFonts w:ascii="Arial" w:hAnsi="Arial" w:cs="Arial"/>
          <w:sz w:val="20"/>
          <w:szCs w:val="20"/>
        </w:rPr>
      </w:pPr>
    </w:p>
    <w:p w:rsidR="00A81C19" w:rsidRPr="00375150" w:rsidRDefault="00A81C19" w:rsidP="00A81C19">
      <w:pPr>
        <w:spacing w:line="360" w:lineRule="auto"/>
        <w:ind w:left="708"/>
        <w:jc w:val="both"/>
        <w:rPr>
          <w:rFonts w:ascii="Arial" w:hAnsi="Arial" w:cs="Arial"/>
          <w:sz w:val="20"/>
          <w:szCs w:val="20"/>
        </w:rPr>
      </w:pPr>
      <w:r w:rsidRPr="00375150">
        <w:rPr>
          <w:rFonts w:ascii="Arial" w:hAnsi="Arial" w:cs="Arial"/>
          <w:sz w:val="20"/>
          <w:szCs w:val="20"/>
        </w:rPr>
        <w:t xml:space="preserve">La excelente ejecución presupuestaria se refleja en el porcentaje de avance de los indicadores, por ejemplo se estima que al finalizar el 2018 se atenderán 124.000 personas usuarias, ya que para la atención de nuestros usuarios intervienen las diferentes partidas presupuestarias. </w:t>
      </w:r>
    </w:p>
    <w:p w:rsidR="00A81C19" w:rsidRPr="00375150" w:rsidRDefault="00A81C19" w:rsidP="00A81C19">
      <w:pPr>
        <w:spacing w:line="360" w:lineRule="auto"/>
        <w:ind w:left="720"/>
        <w:jc w:val="both"/>
        <w:rPr>
          <w:rFonts w:ascii="Arial" w:hAnsi="Arial" w:cs="Arial"/>
          <w:bCs/>
          <w:sz w:val="20"/>
          <w:szCs w:val="20"/>
        </w:rPr>
      </w:pPr>
      <w:r w:rsidRPr="00375150">
        <w:rPr>
          <w:rFonts w:ascii="Arial" w:hAnsi="Arial" w:cs="Arial"/>
          <w:bCs/>
          <w:sz w:val="20"/>
          <w:szCs w:val="20"/>
        </w:rPr>
        <w:t xml:space="preserve">  </w:t>
      </w:r>
    </w:p>
    <w:p w:rsidR="00A81C19" w:rsidRPr="00375150" w:rsidRDefault="00A81C19" w:rsidP="00A81C19">
      <w:pPr>
        <w:pStyle w:val="Sangra2detindependiente"/>
        <w:ind w:left="0"/>
        <w:jc w:val="both"/>
        <w:rPr>
          <w:rFonts w:ascii="Arial" w:hAnsi="Arial" w:cs="Arial"/>
          <w:b/>
          <w:bCs/>
          <w:sz w:val="20"/>
          <w:szCs w:val="20"/>
        </w:rPr>
      </w:pPr>
    </w:p>
    <w:p w:rsidR="00A81C19" w:rsidRPr="00375150" w:rsidRDefault="00A81C19" w:rsidP="00A81C19">
      <w:pPr>
        <w:pStyle w:val="Sangra2detindependiente"/>
        <w:ind w:left="0"/>
        <w:jc w:val="both"/>
        <w:rPr>
          <w:rFonts w:ascii="Arial" w:hAnsi="Arial" w:cs="Arial"/>
          <w:b/>
          <w:bCs/>
          <w:color w:val="000000" w:themeColor="text1"/>
          <w:sz w:val="20"/>
          <w:szCs w:val="20"/>
        </w:rPr>
      </w:pPr>
      <w:r w:rsidRPr="00375150">
        <w:rPr>
          <w:rFonts w:ascii="Arial" w:hAnsi="Arial" w:cs="Arial"/>
          <w:b/>
          <w:bCs/>
          <w:color w:val="000000" w:themeColor="text1"/>
          <w:sz w:val="20"/>
          <w:szCs w:val="20"/>
        </w:rPr>
        <w:t>Datos del (la) Director (a) del Programa o Subprograma:</w:t>
      </w:r>
    </w:p>
    <w:p w:rsidR="00A81C19" w:rsidRPr="00375150" w:rsidRDefault="00A81C19" w:rsidP="00A81C19">
      <w:pPr>
        <w:pStyle w:val="Sangra2detindependiente"/>
        <w:ind w:left="0"/>
        <w:rPr>
          <w:rFonts w:ascii="Arial" w:hAnsi="Arial" w:cs="Arial"/>
          <w:b/>
          <w:bCs/>
          <w:sz w:val="20"/>
          <w:szCs w:val="20"/>
        </w:rPr>
      </w:pPr>
    </w:p>
    <w:p w:rsidR="00A81C19" w:rsidRPr="00375150" w:rsidRDefault="00A81C19" w:rsidP="00A81C19">
      <w:pPr>
        <w:pStyle w:val="Sangra2detindependiente"/>
        <w:ind w:left="0"/>
        <w:jc w:val="both"/>
        <w:rPr>
          <w:rFonts w:ascii="Arial" w:hAnsi="Arial" w:cs="Arial"/>
          <w:bCs/>
          <w:sz w:val="20"/>
          <w:szCs w:val="20"/>
        </w:rPr>
      </w:pPr>
      <w:r w:rsidRPr="00375150">
        <w:rPr>
          <w:rFonts w:ascii="Arial" w:hAnsi="Arial" w:cs="Arial"/>
          <w:b/>
          <w:bCs/>
          <w:sz w:val="20"/>
          <w:szCs w:val="20"/>
        </w:rPr>
        <w:t xml:space="preserve">Nombre: </w:t>
      </w:r>
      <w:r w:rsidRPr="00375150">
        <w:rPr>
          <w:rFonts w:ascii="Arial" w:hAnsi="Arial" w:cs="Arial"/>
          <w:bCs/>
          <w:sz w:val="20"/>
          <w:szCs w:val="20"/>
        </w:rPr>
        <w:t>M.Sc. Diana Montero Montero. Directora a.í., de la Defensa Pública</w:t>
      </w:r>
    </w:p>
    <w:p w:rsidR="00A81C19" w:rsidRPr="00375150" w:rsidRDefault="00A81C19" w:rsidP="00A81C19">
      <w:pPr>
        <w:pStyle w:val="Sangra2detindependiente"/>
        <w:ind w:left="0"/>
        <w:rPr>
          <w:rFonts w:ascii="Arial" w:hAnsi="Arial" w:cs="Arial"/>
          <w:b/>
          <w:bCs/>
          <w:sz w:val="20"/>
          <w:szCs w:val="20"/>
        </w:rPr>
      </w:pPr>
    </w:p>
    <w:p w:rsidR="00A81C19" w:rsidRPr="00375150" w:rsidRDefault="00A81C19" w:rsidP="00A81C19">
      <w:pPr>
        <w:pStyle w:val="Sangra2detindependiente"/>
        <w:ind w:left="0"/>
        <w:rPr>
          <w:rFonts w:ascii="Arial" w:hAnsi="Arial" w:cs="Arial"/>
          <w:bCs/>
          <w:sz w:val="20"/>
          <w:szCs w:val="20"/>
        </w:rPr>
      </w:pPr>
      <w:r w:rsidRPr="00375150">
        <w:rPr>
          <w:rFonts w:ascii="Arial" w:hAnsi="Arial" w:cs="Arial"/>
          <w:b/>
          <w:bCs/>
          <w:sz w:val="20"/>
          <w:szCs w:val="20"/>
        </w:rPr>
        <w:t xml:space="preserve">Dirección de correo electrónico: </w:t>
      </w:r>
      <w:r w:rsidRPr="00375150">
        <w:rPr>
          <w:rFonts w:ascii="Arial" w:hAnsi="Arial" w:cs="Arial"/>
          <w:bCs/>
          <w:sz w:val="20"/>
          <w:szCs w:val="20"/>
        </w:rPr>
        <w:t>dmonterom@poder-judicial.go.cr</w:t>
      </w:r>
    </w:p>
    <w:p w:rsidR="00A81C19" w:rsidRPr="00375150" w:rsidRDefault="00A81C19" w:rsidP="00A81C19">
      <w:pPr>
        <w:pStyle w:val="Sangra2detindependiente"/>
        <w:ind w:left="0"/>
        <w:rPr>
          <w:rFonts w:ascii="Arial" w:hAnsi="Arial" w:cs="Arial"/>
          <w:b/>
          <w:bCs/>
          <w:sz w:val="20"/>
          <w:szCs w:val="20"/>
        </w:rPr>
      </w:pPr>
    </w:p>
    <w:p w:rsidR="00A81C19" w:rsidRPr="00375150" w:rsidRDefault="00A81C19" w:rsidP="00A81C19">
      <w:pPr>
        <w:pStyle w:val="Sangra2detindependiente"/>
        <w:ind w:left="0"/>
        <w:jc w:val="both"/>
        <w:rPr>
          <w:rFonts w:ascii="Arial" w:hAnsi="Arial" w:cs="Arial"/>
          <w:bCs/>
          <w:sz w:val="20"/>
          <w:szCs w:val="20"/>
        </w:rPr>
      </w:pPr>
      <w:r w:rsidRPr="00375150">
        <w:rPr>
          <w:rFonts w:ascii="Arial" w:hAnsi="Arial" w:cs="Arial"/>
          <w:b/>
          <w:bCs/>
          <w:sz w:val="20"/>
          <w:szCs w:val="20"/>
        </w:rPr>
        <w:t xml:space="preserve">Número telefónico: </w:t>
      </w:r>
      <w:r w:rsidRPr="00375150">
        <w:rPr>
          <w:rFonts w:ascii="Arial" w:hAnsi="Arial" w:cs="Arial"/>
          <w:bCs/>
          <w:sz w:val="20"/>
          <w:szCs w:val="20"/>
        </w:rPr>
        <w:t>2211-9840</w:t>
      </w:r>
    </w:p>
    <w:p w:rsidR="00A81C19" w:rsidRPr="00375150" w:rsidRDefault="00A81C19" w:rsidP="00A81C19">
      <w:pPr>
        <w:pStyle w:val="Sangra2detindependiente"/>
        <w:ind w:left="0"/>
        <w:jc w:val="both"/>
        <w:rPr>
          <w:rFonts w:ascii="Arial" w:hAnsi="Arial" w:cs="Arial"/>
          <w:b/>
          <w:bCs/>
          <w:sz w:val="20"/>
          <w:szCs w:val="20"/>
        </w:rPr>
      </w:pPr>
    </w:p>
    <w:p w:rsidR="00A81C19" w:rsidRPr="00375150" w:rsidRDefault="00A81C19" w:rsidP="00A81C19">
      <w:pPr>
        <w:pStyle w:val="Sangra2detindependiente"/>
        <w:ind w:left="0"/>
        <w:jc w:val="both"/>
        <w:rPr>
          <w:rFonts w:ascii="Arial" w:hAnsi="Arial" w:cs="Arial"/>
          <w:b/>
          <w:bCs/>
          <w:sz w:val="20"/>
          <w:szCs w:val="20"/>
        </w:rPr>
      </w:pPr>
      <w:r w:rsidRPr="00375150">
        <w:rPr>
          <w:rFonts w:ascii="Arial" w:hAnsi="Arial" w:cs="Arial"/>
          <w:b/>
          <w:bCs/>
          <w:sz w:val="20"/>
          <w:szCs w:val="20"/>
        </w:rPr>
        <w:t>Firma:</w:t>
      </w:r>
    </w:p>
    <w:p w:rsidR="00A81C19" w:rsidRPr="00375150" w:rsidRDefault="00A81C19" w:rsidP="00A81C19">
      <w:pPr>
        <w:pStyle w:val="Sangra2detindependiente"/>
        <w:ind w:left="0"/>
        <w:jc w:val="both"/>
        <w:rPr>
          <w:rFonts w:ascii="Arial" w:hAnsi="Arial" w:cs="Arial"/>
          <w:b/>
          <w:bCs/>
          <w:sz w:val="20"/>
          <w:szCs w:val="20"/>
        </w:rPr>
      </w:pPr>
    </w:p>
    <w:p w:rsidR="00A81C19" w:rsidRPr="00375150" w:rsidRDefault="00A81C19" w:rsidP="00BD5F61">
      <w:pPr>
        <w:spacing w:line="360" w:lineRule="auto"/>
        <w:jc w:val="both"/>
        <w:rPr>
          <w:rFonts w:ascii="Arial" w:hAnsi="Arial" w:cs="Arial"/>
          <w:b/>
          <w:color w:val="000000" w:themeColor="text1"/>
          <w:sz w:val="20"/>
          <w:szCs w:val="20"/>
          <w:lang w:val="es-MX"/>
        </w:rPr>
      </w:pPr>
    </w:p>
    <w:p w:rsidR="00403BB7" w:rsidRDefault="00403BB7">
      <w:pPr>
        <w:rPr>
          <w:rFonts w:ascii="Arial" w:hAnsi="Arial" w:cs="Arial"/>
          <w:b/>
          <w:color w:val="000000" w:themeColor="text1"/>
          <w:sz w:val="20"/>
          <w:szCs w:val="20"/>
          <w:lang w:val="es-MX"/>
        </w:rPr>
      </w:pPr>
      <w:r>
        <w:rPr>
          <w:rFonts w:ascii="Arial" w:hAnsi="Arial" w:cs="Arial"/>
          <w:b/>
          <w:color w:val="000000" w:themeColor="text1"/>
          <w:sz w:val="20"/>
          <w:szCs w:val="20"/>
          <w:lang w:val="es-MX"/>
        </w:rPr>
        <w:br w:type="page"/>
      </w:r>
    </w:p>
    <w:p w:rsidR="00A81C19" w:rsidRPr="0077710A" w:rsidRDefault="00A81C19" w:rsidP="00BD5F61">
      <w:pPr>
        <w:spacing w:line="360" w:lineRule="auto"/>
        <w:jc w:val="both"/>
        <w:rPr>
          <w:rFonts w:ascii="Arial" w:hAnsi="Arial" w:cs="Arial"/>
          <w:b/>
          <w:color w:val="000000" w:themeColor="text1"/>
          <w:sz w:val="20"/>
          <w:szCs w:val="20"/>
          <w:lang w:val="es-MX"/>
        </w:rPr>
      </w:pPr>
    </w:p>
    <w:p w:rsidR="00CE0210" w:rsidRDefault="00CE0210" w:rsidP="00A81C19">
      <w:pPr>
        <w:spacing w:line="360" w:lineRule="auto"/>
        <w:rPr>
          <w:rFonts w:ascii="Arial" w:hAnsi="Arial" w:cs="Arial"/>
          <w:b/>
          <w:color w:val="000000" w:themeColor="text1"/>
          <w:sz w:val="20"/>
          <w:szCs w:val="20"/>
          <w:lang w:val="es-MX"/>
        </w:rPr>
      </w:pPr>
    </w:p>
    <w:p w:rsidR="00A81C19" w:rsidRPr="0084580C" w:rsidRDefault="00A81C19" w:rsidP="00A81C19">
      <w:pPr>
        <w:spacing w:line="360" w:lineRule="auto"/>
        <w:rPr>
          <w:rFonts w:ascii="Arial" w:hAnsi="Arial" w:cs="Arial"/>
          <w:b/>
          <w:sz w:val="20"/>
          <w:szCs w:val="20"/>
          <w:lang w:val="es-MX"/>
        </w:rPr>
      </w:pPr>
      <w:r w:rsidRPr="0077710A">
        <w:rPr>
          <w:rFonts w:ascii="Arial" w:hAnsi="Arial" w:cs="Arial"/>
          <w:b/>
          <w:color w:val="000000" w:themeColor="text1"/>
          <w:sz w:val="20"/>
          <w:szCs w:val="20"/>
          <w:lang w:val="es-MX"/>
        </w:rPr>
        <w:t xml:space="preserve">Código y </w:t>
      </w:r>
      <w:r w:rsidRPr="00375150">
        <w:rPr>
          <w:rFonts w:ascii="Arial" w:hAnsi="Arial" w:cs="Arial"/>
          <w:b/>
          <w:color w:val="000000" w:themeColor="text1"/>
          <w:sz w:val="20"/>
          <w:szCs w:val="20"/>
          <w:lang w:val="es-MX"/>
        </w:rPr>
        <w:t>nombre del Programa o Subprograma</w:t>
      </w:r>
      <w:r w:rsidRPr="00CE0210">
        <w:rPr>
          <w:rFonts w:ascii="Arial" w:hAnsi="Arial" w:cs="Arial"/>
          <w:b/>
          <w:color w:val="000000" w:themeColor="text1"/>
          <w:sz w:val="20"/>
          <w:szCs w:val="20"/>
          <w:lang w:val="es-MX"/>
        </w:rPr>
        <w:t xml:space="preserve">: </w:t>
      </w:r>
      <w:r w:rsidRPr="0084580C">
        <w:rPr>
          <w:rFonts w:ascii="Arial" w:hAnsi="Arial" w:cs="Arial"/>
          <w:b/>
          <w:sz w:val="20"/>
          <w:szCs w:val="20"/>
          <w:lang w:val="es-MX"/>
        </w:rPr>
        <w:t>Programa Presupuestario 950 “Servicio de Atención y Protección a Víctimas y demás sujetos intervinientes en el Proceso Penal”</w:t>
      </w:r>
    </w:p>
    <w:p w:rsidR="00A81C19" w:rsidRPr="0077710A" w:rsidRDefault="00A81C19" w:rsidP="00A81C19">
      <w:pPr>
        <w:spacing w:line="360" w:lineRule="auto"/>
        <w:jc w:val="both"/>
        <w:rPr>
          <w:rFonts w:ascii="Arial" w:hAnsi="Arial" w:cs="Arial"/>
          <w:b/>
          <w:color w:val="000000" w:themeColor="text1"/>
          <w:sz w:val="20"/>
          <w:szCs w:val="20"/>
          <w:lang w:val="es-MX"/>
        </w:rPr>
      </w:pPr>
    </w:p>
    <w:p w:rsidR="00A81C19" w:rsidRPr="00375150" w:rsidRDefault="00A81C19" w:rsidP="00A81C19">
      <w:pPr>
        <w:pStyle w:val="Ttulo2"/>
        <w:numPr>
          <w:ilvl w:val="0"/>
          <w:numId w:val="0"/>
        </w:numPr>
        <w:spacing w:line="360" w:lineRule="auto"/>
        <w:jc w:val="left"/>
        <w:rPr>
          <w:rFonts w:ascii="Arial" w:eastAsiaTheme="majorEastAsia" w:hAnsi="Arial" w:cs="Arial"/>
          <w:iCs/>
          <w:smallCaps/>
          <w:color w:val="000000" w:themeColor="text1"/>
          <w:spacing w:val="15"/>
          <w:szCs w:val="20"/>
        </w:rPr>
      </w:pPr>
      <w:r w:rsidRPr="00375150">
        <w:rPr>
          <w:rFonts w:ascii="Arial" w:eastAsiaTheme="majorEastAsia" w:hAnsi="Arial" w:cs="Arial"/>
          <w:iCs/>
          <w:smallCaps/>
          <w:color w:val="000000" w:themeColor="text1"/>
          <w:spacing w:val="15"/>
          <w:szCs w:val="20"/>
        </w:rPr>
        <w:t>Análisis de los logros obtenidos</w:t>
      </w:r>
    </w:p>
    <w:p w:rsidR="00A81C19" w:rsidRPr="00375150" w:rsidRDefault="00A81C19" w:rsidP="00A81C19">
      <w:pPr>
        <w:spacing w:line="360" w:lineRule="auto"/>
        <w:jc w:val="both"/>
        <w:rPr>
          <w:rFonts w:ascii="Arial" w:hAnsi="Arial" w:cs="Arial"/>
          <w:b/>
          <w:sz w:val="20"/>
          <w:szCs w:val="20"/>
        </w:rPr>
      </w:pPr>
    </w:p>
    <w:p w:rsidR="00A81C19" w:rsidRPr="0084580C" w:rsidRDefault="00A81C19" w:rsidP="00A81C19">
      <w:pPr>
        <w:spacing w:line="360" w:lineRule="auto"/>
        <w:jc w:val="both"/>
        <w:rPr>
          <w:rFonts w:ascii="Arial" w:hAnsi="Arial" w:cs="Arial"/>
          <w:b/>
          <w:i/>
          <w:sz w:val="20"/>
          <w:szCs w:val="20"/>
          <w:lang w:val="es-MX"/>
        </w:rPr>
      </w:pPr>
      <w:r w:rsidRPr="0084580C">
        <w:rPr>
          <w:rFonts w:ascii="Arial" w:hAnsi="Arial" w:cs="Arial"/>
          <w:b/>
          <w:i/>
          <w:sz w:val="20"/>
          <w:szCs w:val="20"/>
          <w:lang w:val="es-MX"/>
        </w:rPr>
        <w:t>Para el caso de los programas y/o subprogramas con producción no cuantificable, deberán aplicar únicamente lo que se solicita en los puntos a) y b).</w:t>
      </w:r>
    </w:p>
    <w:p w:rsidR="00A81C19" w:rsidRPr="0084580C" w:rsidRDefault="00A81C19" w:rsidP="00A81C19">
      <w:pPr>
        <w:spacing w:line="360" w:lineRule="auto"/>
        <w:jc w:val="both"/>
        <w:rPr>
          <w:rFonts w:ascii="Arial" w:hAnsi="Arial" w:cs="Arial"/>
          <w:b/>
          <w:i/>
          <w:sz w:val="20"/>
          <w:szCs w:val="20"/>
          <w:lang w:val="es-MX"/>
        </w:rPr>
      </w:pPr>
    </w:p>
    <w:p w:rsidR="00A81C19" w:rsidRPr="00403BB7" w:rsidRDefault="00A81C19" w:rsidP="0084580C">
      <w:pPr>
        <w:pStyle w:val="Prrafodelista"/>
        <w:numPr>
          <w:ilvl w:val="0"/>
          <w:numId w:val="20"/>
        </w:numPr>
        <w:spacing w:line="360" w:lineRule="auto"/>
        <w:jc w:val="both"/>
        <w:rPr>
          <w:rFonts w:ascii="Arial" w:hAnsi="Arial" w:cs="Arial"/>
          <w:b/>
          <w:bCs/>
          <w:sz w:val="20"/>
          <w:szCs w:val="20"/>
        </w:rPr>
      </w:pPr>
      <w:r w:rsidRPr="0077710A">
        <w:rPr>
          <w:rFonts w:ascii="Arial" w:hAnsi="Arial" w:cs="Arial"/>
          <w:b/>
          <w:bCs/>
          <w:sz w:val="20"/>
          <w:szCs w:val="20"/>
        </w:rPr>
        <w:t>Comente ¿c</w:t>
      </w:r>
      <w:r w:rsidRPr="00403BB7">
        <w:rPr>
          <w:rFonts w:ascii="Arial" w:hAnsi="Arial" w:cs="Arial"/>
          <w:b/>
          <w:bCs/>
          <w:sz w:val="20"/>
          <w:szCs w:val="20"/>
        </w:rPr>
        <w:t>ómo la gestión desarrollada contribuyó con la misión institucional?</w:t>
      </w:r>
    </w:p>
    <w:p w:rsidR="00A81C19" w:rsidRPr="00375150" w:rsidRDefault="00A81C19" w:rsidP="00A81C19">
      <w:pPr>
        <w:pStyle w:val="Predeterminado"/>
        <w:spacing w:after="0" w:line="360" w:lineRule="auto"/>
        <w:jc w:val="both"/>
        <w:rPr>
          <w:rFonts w:ascii="Arial" w:eastAsia="Arial Unicode MS" w:hAnsi="Arial" w:cs="Arial"/>
          <w:sz w:val="20"/>
          <w:szCs w:val="20"/>
          <w:lang w:val="es-ES"/>
        </w:rPr>
      </w:pPr>
    </w:p>
    <w:p w:rsidR="00A81C19" w:rsidRPr="00375150" w:rsidRDefault="00A81C19" w:rsidP="00A81C19">
      <w:pPr>
        <w:pStyle w:val="Predeterminado"/>
        <w:spacing w:after="0" w:line="360" w:lineRule="auto"/>
        <w:jc w:val="both"/>
        <w:rPr>
          <w:rFonts w:ascii="Arial" w:eastAsia="Arial Unicode MS" w:hAnsi="Arial" w:cs="Arial"/>
          <w:sz w:val="20"/>
          <w:szCs w:val="20"/>
        </w:rPr>
      </w:pPr>
      <w:r w:rsidRPr="00375150">
        <w:rPr>
          <w:rFonts w:ascii="Arial" w:eastAsia="Arial Unicode MS" w:hAnsi="Arial" w:cs="Arial"/>
          <w:sz w:val="20"/>
          <w:szCs w:val="20"/>
        </w:rPr>
        <w:t>Con la finalidad de apoyar a un segmento de la población que por mucho tiempo permaneció relegado en el ámbito judicial como lo son el caso de las personas víctimas y testigos, en el 2009 entró en vigencia la Ley 8720 “Ley de Protección a Víctimas, Testigos y demás Sujetos Intervinientes en el Proceso Penal” instrumento jurídico que vino a proteger y regular los derechos de la</w:t>
      </w:r>
      <w:r w:rsidR="0084626E" w:rsidRPr="00375150">
        <w:rPr>
          <w:rFonts w:ascii="Arial" w:eastAsia="Arial Unicode MS" w:hAnsi="Arial" w:cs="Arial"/>
          <w:sz w:val="20"/>
          <w:szCs w:val="20"/>
        </w:rPr>
        <w:t>s</w:t>
      </w:r>
      <w:r w:rsidRPr="00375150">
        <w:rPr>
          <w:rFonts w:ascii="Arial" w:eastAsia="Arial Unicode MS" w:hAnsi="Arial" w:cs="Arial"/>
          <w:sz w:val="20"/>
          <w:szCs w:val="20"/>
        </w:rPr>
        <w:t xml:space="preserve"> personas víctimas y testigos en el derecho penal costarricense. </w:t>
      </w:r>
    </w:p>
    <w:p w:rsidR="00A81C19" w:rsidRPr="00375150" w:rsidRDefault="00A81C19" w:rsidP="00A81C19">
      <w:pPr>
        <w:spacing w:line="360" w:lineRule="auto"/>
        <w:rPr>
          <w:rFonts w:ascii="Arial" w:eastAsia="Arial Unicode MS" w:hAnsi="Arial" w:cs="Arial"/>
          <w:sz w:val="20"/>
          <w:szCs w:val="20"/>
          <w:lang w:val="es-CR"/>
        </w:rPr>
      </w:pPr>
    </w:p>
    <w:p w:rsidR="00A81C19" w:rsidRPr="00375150" w:rsidRDefault="00A81C19" w:rsidP="00A81C19">
      <w:pPr>
        <w:pStyle w:val="Predeterminado"/>
        <w:spacing w:after="0" w:line="360" w:lineRule="auto"/>
        <w:jc w:val="both"/>
        <w:rPr>
          <w:rFonts w:ascii="Arial" w:eastAsia="Arial Unicode MS" w:hAnsi="Arial" w:cs="Arial"/>
          <w:sz w:val="20"/>
          <w:szCs w:val="20"/>
        </w:rPr>
      </w:pPr>
      <w:r w:rsidRPr="00375150">
        <w:rPr>
          <w:rFonts w:ascii="Arial" w:eastAsia="Arial Unicode MS" w:hAnsi="Arial" w:cs="Arial"/>
          <w:sz w:val="20"/>
          <w:szCs w:val="20"/>
        </w:rPr>
        <w:t>La asignación de la Ley 8720 permitió la asignación de recurso económico y humano para fortalecer la Oficina de Atención y Protección a Víctimas de Delito del Ministerio Público, asimismo dio apertura a la Unidad de Protección a Víctimas y Testigos en el Organismo de Investigación Judicial, ambos despachos integran a la fecha el Programa de Servicio a Víctimas, conocido como el programa presupuestario 950.</w:t>
      </w:r>
    </w:p>
    <w:p w:rsidR="00A81C19" w:rsidRPr="00375150" w:rsidRDefault="00A81C19" w:rsidP="00A81C19">
      <w:pPr>
        <w:spacing w:line="360" w:lineRule="auto"/>
        <w:rPr>
          <w:rFonts w:ascii="Arial" w:eastAsia="Arial Unicode MS" w:hAnsi="Arial" w:cs="Arial"/>
          <w:sz w:val="20"/>
          <w:szCs w:val="20"/>
          <w:lang w:val="es-CR"/>
        </w:rPr>
      </w:pPr>
    </w:p>
    <w:p w:rsidR="00A81C19" w:rsidRPr="00375150" w:rsidRDefault="00A81C19" w:rsidP="00A81C19">
      <w:pPr>
        <w:pStyle w:val="Predeterminado"/>
        <w:spacing w:after="0" w:line="360" w:lineRule="auto"/>
        <w:jc w:val="both"/>
        <w:rPr>
          <w:rFonts w:ascii="Arial" w:eastAsia="Arial Unicode MS" w:hAnsi="Arial" w:cs="Arial"/>
          <w:sz w:val="20"/>
          <w:szCs w:val="20"/>
        </w:rPr>
      </w:pPr>
      <w:r w:rsidRPr="00375150">
        <w:rPr>
          <w:rFonts w:ascii="Arial" w:eastAsia="Arial Unicode MS" w:hAnsi="Arial" w:cs="Arial"/>
          <w:sz w:val="20"/>
          <w:szCs w:val="20"/>
        </w:rPr>
        <w:t>La contribución del programa 950 a la misión institucional, se refleja en el servicio público que se presta, garantizando siempre la búsqueda de los derechos y participación de las personas víctimas de un delito en el proceso penal; trabajo que se realiza mediante un abordaje interdisciplinario, promoviendo un trato digno y en coordinación con otras instituciones.</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Para el 2018 desde la Oficina de Atención y Protección a Víctimas de Delito (en adelante OAPVD) se atendieron, 24.313 asuntos, de los cuales ingresaron al Programa de Atención 16.825 y al Programa de Protección 7.488.</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Desde la disciplina de psicología de la OAPVD se brindó el servicio de    intervención psicológica, lo cual empodera a la persona usuaria permitiéndole una mejor participación en las distintas etapas del proceso penal, participación que contribuye a disminuir la impunidad, logrando así una mayor eficiencia en el sistema judicial. </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Además, al finalizar el 2018 se contabilizaron 3.213 visitas domiciliarias, dichas visitas posibilitan a los habitantes nacionales y extranjeros ejercer el derecho de acceso a la justicia, lo que mejora   continuamente la calidad del servicio público y fortaleciendo la credibilidad institucional. </w:t>
      </w:r>
    </w:p>
    <w:p w:rsidR="00A81C19" w:rsidRPr="00375150" w:rsidRDefault="00A81C19" w:rsidP="00A81C19">
      <w:pPr>
        <w:autoSpaceDE w:val="0"/>
        <w:spacing w:line="360" w:lineRule="auto"/>
        <w:jc w:val="both"/>
        <w:rPr>
          <w:rFonts w:ascii="Arial" w:eastAsia="Arial Unicode MS" w:hAnsi="Arial" w:cs="Arial"/>
          <w:sz w:val="20"/>
          <w:szCs w:val="20"/>
          <w:lang w:val="es-CR"/>
        </w:rPr>
      </w:pPr>
    </w:p>
    <w:p w:rsidR="00A81C19" w:rsidRPr="00375150" w:rsidRDefault="00A81C19" w:rsidP="00A81C19">
      <w:pPr>
        <w:autoSpaceDE w:val="0"/>
        <w:spacing w:line="360" w:lineRule="auto"/>
        <w:jc w:val="both"/>
        <w:rPr>
          <w:rFonts w:ascii="Arial" w:hAnsi="Arial" w:cs="Arial"/>
          <w:sz w:val="20"/>
          <w:szCs w:val="20"/>
        </w:rPr>
      </w:pPr>
      <w:r w:rsidRPr="00375150">
        <w:rPr>
          <w:rFonts w:ascii="Arial" w:eastAsia="Arial Unicode MS" w:hAnsi="Arial" w:cs="Arial"/>
          <w:sz w:val="20"/>
          <w:szCs w:val="20"/>
          <w:lang w:val="es-CR"/>
        </w:rPr>
        <w:t xml:space="preserve">Desde el área Legal, se fortaleció el servicio por medio de </w:t>
      </w:r>
      <w:r w:rsidRPr="00375150">
        <w:rPr>
          <w:rFonts w:ascii="Arial" w:hAnsi="Arial" w:cs="Arial"/>
          <w:sz w:val="20"/>
          <w:szCs w:val="20"/>
          <w:lang w:val="es-MX"/>
        </w:rPr>
        <w:t xml:space="preserve">la modalidad de las asesorías legales telefónicas, a cargo del personal profesional en derecho de la OAPVD, esto se realizó con la finalidad de que las víctimas y testigos se mantuvieran informadas respecto el estado de  sus  procesos penales, derechos procesales y extraprocesales. </w:t>
      </w:r>
    </w:p>
    <w:p w:rsidR="00A81C19" w:rsidRPr="00375150" w:rsidRDefault="00A81C19" w:rsidP="00A81C19">
      <w:pPr>
        <w:spacing w:line="360" w:lineRule="auto"/>
        <w:ind w:left="426"/>
        <w:jc w:val="both"/>
        <w:rPr>
          <w:rFonts w:ascii="Arial" w:eastAsia="Arial Unicode MS" w:hAnsi="Arial" w:cs="Arial"/>
          <w:sz w:val="20"/>
          <w:szCs w:val="20"/>
          <w:lang w:val="es-CR"/>
        </w:rPr>
      </w:pPr>
    </w:p>
    <w:p w:rsidR="00A81C19" w:rsidRPr="00375150" w:rsidRDefault="00A81C19" w:rsidP="00A81C19">
      <w:pPr>
        <w:spacing w:line="360" w:lineRule="auto"/>
        <w:ind w:left="426"/>
        <w:jc w:val="both"/>
        <w:rPr>
          <w:rFonts w:ascii="Arial" w:hAnsi="Arial" w:cs="Arial"/>
          <w:bCs/>
          <w:sz w:val="20"/>
          <w:szCs w:val="20"/>
          <w:lang w:val="es-CR"/>
        </w:rPr>
      </w:pPr>
    </w:p>
    <w:p w:rsidR="00A81C19" w:rsidRPr="0084580C" w:rsidRDefault="00A81C19" w:rsidP="0084580C">
      <w:pPr>
        <w:numPr>
          <w:ilvl w:val="0"/>
          <w:numId w:val="20"/>
        </w:numPr>
        <w:spacing w:line="360" w:lineRule="auto"/>
        <w:ind w:left="426"/>
        <w:jc w:val="both"/>
        <w:rPr>
          <w:rFonts w:ascii="Arial" w:hAnsi="Arial" w:cs="Arial"/>
          <w:b/>
          <w:bCs/>
          <w:sz w:val="20"/>
          <w:szCs w:val="20"/>
          <w:u w:val="single"/>
        </w:rPr>
      </w:pPr>
      <w:r w:rsidRPr="00375150">
        <w:rPr>
          <w:rFonts w:ascii="Arial" w:hAnsi="Arial" w:cs="Arial"/>
          <w:b/>
          <w:bCs/>
          <w:sz w:val="20"/>
          <w:szCs w:val="20"/>
        </w:rPr>
        <w:t>En caso que corresponda, refiérase a la vinculación de los logros del programa y/o subprograma con lo establecido en el Plan Nacional de Desarrollo 2015-2018</w:t>
      </w:r>
      <w:r w:rsidRPr="0084580C">
        <w:rPr>
          <w:rFonts w:ascii="Arial" w:hAnsi="Arial" w:cs="Arial"/>
          <w:b/>
          <w:bCs/>
          <w:sz w:val="20"/>
          <w:szCs w:val="20"/>
          <w:u w:val="single"/>
        </w:rPr>
        <w:t xml:space="preserve">.  ( No aplica para el programa 950) </w:t>
      </w:r>
    </w:p>
    <w:p w:rsidR="004F3FDF" w:rsidRPr="0084580C" w:rsidRDefault="004F3FDF" w:rsidP="00A81C19">
      <w:pPr>
        <w:spacing w:line="360" w:lineRule="auto"/>
        <w:jc w:val="both"/>
        <w:rPr>
          <w:rFonts w:ascii="Arial" w:hAnsi="Arial" w:cs="Arial"/>
          <w:i/>
          <w:sz w:val="20"/>
          <w:szCs w:val="20"/>
          <w:u w:val="single"/>
        </w:rPr>
      </w:pPr>
    </w:p>
    <w:p w:rsidR="004F3FDF" w:rsidRPr="0077710A" w:rsidRDefault="004F3FDF" w:rsidP="00A81C19">
      <w:pPr>
        <w:spacing w:line="360" w:lineRule="auto"/>
        <w:jc w:val="both"/>
        <w:rPr>
          <w:rFonts w:ascii="Arial" w:hAnsi="Arial" w:cs="Arial"/>
          <w:i/>
          <w:sz w:val="20"/>
          <w:szCs w:val="20"/>
        </w:rPr>
      </w:pPr>
    </w:p>
    <w:p w:rsidR="00A81C19" w:rsidRPr="00375150" w:rsidRDefault="00A81C19" w:rsidP="00A81C19">
      <w:pPr>
        <w:spacing w:line="360" w:lineRule="auto"/>
        <w:jc w:val="both"/>
        <w:rPr>
          <w:rFonts w:ascii="Arial" w:hAnsi="Arial" w:cs="Arial"/>
          <w:b/>
          <w:sz w:val="20"/>
          <w:szCs w:val="20"/>
          <w:lang w:val="es-MX"/>
        </w:rPr>
      </w:pPr>
      <w:r w:rsidRPr="00375150">
        <w:rPr>
          <w:rFonts w:ascii="Arial" w:hAnsi="Arial" w:cs="Arial"/>
          <w:b/>
          <w:sz w:val="20"/>
          <w:szCs w:val="20"/>
          <w:lang w:val="es-MX"/>
        </w:rPr>
        <w:t xml:space="preserve">Coloque en este apartado, la información del archivo remitido cuya hoja se llama “Programación” una vez que haya sido completada, la cual contiene los productos, unidades de medida e indicadores de producto para cada uno de los programas y/o subprogramas incluidos en la Ley de Presupuesto Nacional 2018 y sus modificaciones de su representada. </w:t>
      </w:r>
    </w:p>
    <w:p w:rsidR="00A81C19" w:rsidRPr="00375150" w:rsidRDefault="00A81C19" w:rsidP="00A81C19">
      <w:pPr>
        <w:spacing w:line="360" w:lineRule="auto"/>
        <w:jc w:val="center"/>
        <w:rPr>
          <w:rFonts w:ascii="Arial" w:hAnsi="Arial" w:cs="Arial"/>
          <w:b/>
          <w:sz w:val="20"/>
          <w:szCs w:val="20"/>
          <w:lang w:val="es-MX"/>
        </w:rPr>
      </w:pP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Cuadro 3</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 xml:space="preserve">Poder Judicial </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 xml:space="preserve">Ministerio Público </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Programa Servicio de Atención y Protección de Víctimas y Testigos</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 xml:space="preserve">Cumplimiento de unidades de medida </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Al 31 de diciembre</w:t>
      </w:r>
    </w:p>
    <w:tbl>
      <w:tblPr>
        <w:tblStyle w:val="Listaclara-nfasis5"/>
        <w:tblW w:w="8580" w:type="dxa"/>
        <w:jc w:val="center"/>
        <w:tblBorders>
          <w:insideH w:val="single" w:sz="8" w:space="0" w:color="4BACC6" w:themeColor="accent5"/>
          <w:insideV w:val="single" w:sz="8" w:space="0" w:color="4BACC6" w:themeColor="accent5"/>
        </w:tblBorders>
        <w:tblLook w:val="04A0"/>
      </w:tblPr>
      <w:tblGrid>
        <w:gridCol w:w="1549"/>
        <w:gridCol w:w="1538"/>
        <w:gridCol w:w="1642"/>
        <w:gridCol w:w="1395"/>
        <w:gridCol w:w="1217"/>
        <w:gridCol w:w="1239"/>
      </w:tblGrid>
      <w:tr w:rsidR="00A81C19" w:rsidRPr="00375150" w:rsidTr="00A81C19">
        <w:trPr>
          <w:cnfStyle w:val="100000000000"/>
          <w:tblHeader/>
          <w:jc w:val="center"/>
        </w:trPr>
        <w:tc>
          <w:tcPr>
            <w:cnfStyle w:val="001000000000"/>
            <w:tcW w:w="1598" w:type="dxa"/>
          </w:tcPr>
          <w:p w:rsidR="00A81C19" w:rsidRPr="00375150" w:rsidRDefault="00A81C19" w:rsidP="00A81C19">
            <w:pPr>
              <w:spacing w:line="360" w:lineRule="auto"/>
              <w:jc w:val="center"/>
              <w:rPr>
                <w:rFonts w:ascii="Arial" w:hAnsi="Arial" w:cs="Arial"/>
                <w:b w:val="0"/>
                <w:sz w:val="20"/>
                <w:szCs w:val="20"/>
              </w:rPr>
            </w:pPr>
            <w:r w:rsidRPr="00375150">
              <w:rPr>
                <w:rFonts w:ascii="Arial" w:hAnsi="Arial" w:cs="Arial"/>
                <w:sz w:val="20"/>
                <w:szCs w:val="20"/>
              </w:rPr>
              <w:t>Nombre del Programa o Subprograma</w:t>
            </w:r>
          </w:p>
        </w:tc>
        <w:tc>
          <w:tcPr>
            <w:tcW w:w="1572" w:type="dxa"/>
          </w:tcPr>
          <w:p w:rsidR="00A81C19" w:rsidRPr="00375150" w:rsidRDefault="00A81C19" w:rsidP="00A81C19">
            <w:pPr>
              <w:spacing w:line="360" w:lineRule="auto"/>
              <w:jc w:val="center"/>
              <w:cnfStyle w:val="100000000000"/>
              <w:rPr>
                <w:rFonts w:ascii="Arial" w:hAnsi="Arial" w:cs="Arial"/>
                <w:b w:val="0"/>
                <w:sz w:val="20"/>
                <w:szCs w:val="20"/>
              </w:rPr>
            </w:pPr>
            <w:r w:rsidRPr="00375150">
              <w:rPr>
                <w:rFonts w:ascii="Arial" w:hAnsi="Arial" w:cs="Arial"/>
                <w:sz w:val="20"/>
                <w:szCs w:val="20"/>
              </w:rPr>
              <w:t>Nombre del Producto</w:t>
            </w:r>
          </w:p>
        </w:tc>
        <w:tc>
          <w:tcPr>
            <w:tcW w:w="2397" w:type="dxa"/>
          </w:tcPr>
          <w:p w:rsidR="00A81C19" w:rsidRPr="00375150" w:rsidRDefault="00A81C19" w:rsidP="00A81C19">
            <w:pPr>
              <w:spacing w:line="360" w:lineRule="auto"/>
              <w:jc w:val="center"/>
              <w:cnfStyle w:val="100000000000"/>
              <w:rPr>
                <w:rFonts w:ascii="Arial" w:hAnsi="Arial" w:cs="Arial"/>
                <w:b w:val="0"/>
                <w:sz w:val="20"/>
                <w:szCs w:val="20"/>
              </w:rPr>
            </w:pPr>
            <w:r w:rsidRPr="00375150">
              <w:rPr>
                <w:rFonts w:ascii="Arial" w:hAnsi="Arial" w:cs="Arial"/>
                <w:sz w:val="20"/>
                <w:szCs w:val="20"/>
              </w:rPr>
              <w:t>Nombre de la Unidad de Medida</w:t>
            </w:r>
          </w:p>
        </w:tc>
        <w:tc>
          <w:tcPr>
            <w:tcW w:w="1134" w:type="dxa"/>
          </w:tcPr>
          <w:p w:rsidR="00A81C19" w:rsidRPr="00375150" w:rsidRDefault="00A81C19" w:rsidP="00A81C19">
            <w:pPr>
              <w:spacing w:line="360" w:lineRule="auto"/>
              <w:jc w:val="center"/>
              <w:cnfStyle w:val="100000000000"/>
              <w:rPr>
                <w:rFonts w:ascii="Arial" w:hAnsi="Arial" w:cs="Arial"/>
                <w:b w:val="0"/>
                <w:sz w:val="20"/>
                <w:szCs w:val="20"/>
              </w:rPr>
            </w:pPr>
            <w:r w:rsidRPr="00375150">
              <w:rPr>
                <w:rFonts w:ascii="Arial" w:hAnsi="Arial" w:cs="Arial"/>
                <w:sz w:val="20"/>
                <w:szCs w:val="20"/>
              </w:rPr>
              <w:t>Programado</w:t>
            </w:r>
          </w:p>
        </w:tc>
        <w:tc>
          <w:tcPr>
            <w:tcW w:w="960" w:type="dxa"/>
          </w:tcPr>
          <w:p w:rsidR="00A81C19" w:rsidRPr="00375150" w:rsidRDefault="00A81C19" w:rsidP="00A81C19">
            <w:pPr>
              <w:spacing w:line="360" w:lineRule="auto"/>
              <w:jc w:val="center"/>
              <w:cnfStyle w:val="100000000000"/>
              <w:rPr>
                <w:rFonts w:ascii="Arial" w:hAnsi="Arial" w:cs="Arial"/>
                <w:b w:val="0"/>
                <w:sz w:val="20"/>
                <w:szCs w:val="20"/>
              </w:rPr>
            </w:pPr>
            <w:r w:rsidRPr="00375150">
              <w:rPr>
                <w:rFonts w:ascii="Arial" w:hAnsi="Arial" w:cs="Arial"/>
                <w:sz w:val="20"/>
                <w:szCs w:val="20"/>
              </w:rPr>
              <w:t>Alcanzado</w:t>
            </w:r>
          </w:p>
        </w:tc>
        <w:tc>
          <w:tcPr>
            <w:tcW w:w="919" w:type="dxa"/>
          </w:tcPr>
          <w:p w:rsidR="00A81C19" w:rsidRPr="00375150" w:rsidRDefault="00A81C19" w:rsidP="00A81C19">
            <w:pPr>
              <w:spacing w:line="360" w:lineRule="auto"/>
              <w:jc w:val="center"/>
              <w:cnfStyle w:val="100000000000"/>
              <w:rPr>
                <w:rFonts w:ascii="Arial" w:hAnsi="Arial" w:cs="Arial"/>
                <w:b w:val="0"/>
                <w:sz w:val="20"/>
                <w:szCs w:val="20"/>
              </w:rPr>
            </w:pPr>
            <w:r w:rsidRPr="00375150">
              <w:rPr>
                <w:rFonts w:ascii="Arial" w:hAnsi="Arial" w:cs="Arial"/>
                <w:sz w:val="20"/>
                <w:szCs w:val="20"/>
              </w:rPr>
              <w:t>Porcentaje Alcanzado</w:t>
            </w:r>
          </w:p>
        </w:tc>
      </w:tr>
      <w:tr w:rsidR="00A81C19" w:rsidRPr="00375150" w:rsidTr="00A81C19">
        <w:trPr>
          <w:cnfStyle w:val="000000100000"/>
          <w:jc w:val="center"/>
        </w:trPr>
        <w:tc>
          <w:tcPr>
            <w:cnfStyle w:val="001000000000"/>
            <w:tcW w:w="1598" w:type="dxa"/>
          </w:tcPr>
          <w:p w:rsidR="00A81C19" w:rsidRPr="00375150" w:rsidRDefault="00A81C19" w:rsidP="00A81C19">
            <w:pPr>
              <w:spacing w:line="360" w:lineRule="auto"/>
              <w:jc w:val="center"/>
              <w:rPr>
                <w:rFonts w:ascii="Arial" w:hAnsi="Arial" w:cs="Arial"/>
                <w:b w:val="0"/>
                <w:sz w:val="20"/>
                <w:szCs w:val="20"/>
                <w:lang w:val="es-ES_tradnl"/>
              </w:rPr>
            </w:pPr>
            <w:r w:rsidRPr="0077710A">
              <w:rPr>
                <w:rFonts w:ascii="Arial" w:hAnsi="Arial" w:cs="Arial"/>
                <w:b w:val="0"/>
                <w:sz w:val="20"/>
                <w:szCs w:val="20"/>
                <w:lang w:val="es-ES_tradnl"/>
              </w:rPr>
              <w:t xml:space="preserve">Servicio a Víctimas </w:t>
            </w:r>
          </w:p>
          <w:p w:rsidR="00A81C19" w:rsidRPr="00375150" w:rsidRDefault="00A81C19" w:rsidP="00A81C19">
            <w:pPr>
              <w:spacing w:line="360" w:lineRule="auto"/>
              <w:jc w:val="center"/>
              <w:rPr>
                <w:rFonts w:ascii="Arial" w:hAnsi="Arial" w:cs="Arial"/>
                <w:b w:val="0"/>
                <w:sz w:val="20"/>
                <w:szCs w:val="20"/>
                <w:lang w:val="es-ES_tradnl"/>
              </w:rPr>
            </w:pPr>
            <w:r w:rsidRPr="00375150">
              <w:rPr>
                <w:rFonts w:ascii="Arial" w:hAnsi="Arial" w:cs="Arial"/>
                <w:sz w:val="20"/>
                <w:szCs w:val="20"/>
                <w:lang w:val="es-ES_tradnl"/>
              </w:rPr>
              <w:t xml:space="preserve">(Programa 950) </w:t>
            </w:r>
          </w:p>
        </w:tc>
        <w:tc>
          <w:tcPr>
            <w:tcW w:w="1572" w:type="dxa"/>
          </w:tcPr>
          <w:p w:rsidR="00A81C19" w:rsidRPr="00375150" w:rsidRDefault="00A81C19" w:rsidP="00A81C19">
            <w:pPr>
              <w:spacing w:line="360" w:lineRule="auto"/>
              <w:jc w:val="center"/>
              <w:cnfStyle w:val="000000100000"/>
              <w:rPr>
                <w:rFonts w:ascii="Arial" w:hAnsi="Arial" w:cs="Arial"/>
                <w:b/>
                <w:sz w:val="20"/>
                <w:szCs w:val="20"/>
                <w:lang w:val="es-ES_tradnl"/>
              </w:rPr>
            </w:pPr>
            <w:r w:rsidRPr="00375150">
              <w:rPr>
                <w:rFonts w:ascii="Arial" w:hAnsi="Arial" w:cs="Arial"/>
                <w:b/>
                <w:sz w:val="20"/>
                <w:szCs w:val="20"/>
                <w:lang w:val="es-ES_tradnl"/>
              </w:rPr>
              <w:t xml:space="preserve">Servicio de Atención y Protección a Víctimas y demás </w:t>
            </w:r>
            <w:r w:rsidRPr="00375150">
              <w:rPr>
                <w:rFonts w:ascii="Arial" w:hAnsi="Arial" w:cs="Arial"/>
                <w:b/>
                <w:sz w:val="20"/>
                <w:szCs w:val="20"/>
                <w:lang w:val="es-ES_tradnl"/>
              </w:rPr>
              <w:lastRenderedPageBreak/>
              <w:t xml:space="preserve">sujetos intervinientes en el Proceso Penal </w:t>
            </w:r>
          </w:p>
        </w:tc>
        <w:tc>
          <w:tcPr>
            <w:tcW w:w="2397" w:type="dxa"/>
          </w:tcPr>
          <w:p w:rsidR="00A81C19" w:rsidRPr="00375150" w:rsidRDefault="00A81C19" w:rsidP="00A81C19">
            <w:pPr>
              <w:spacing w:line="360" w:lineRule="auto"/>
              <w:jc w:val="center"/>
              <w:cnfStyle w:val="000000100000"/>
              <w:rPr>
                <w:rFonts w:ascii="Arial" w:hAnsi="Arial" w:cs="Arial"/>
                <w:sz w:val="20"/>
                <w:szCs w:val="20"/>
                <w:lang w:val="es-ES_tradnl"/>
              </w:rPr>
            </w:pPr>
            <w:r w:rsidRPr="00375150">
              <w:rPr>
                <w:rFonts w:ascii="Arial" w:hAnsi="Arial" w:cs="Arial"/>
                <w:sz w:val="20"/>
                <w:szCs w:val="20"/>
                <w:lang w:val="es-ES_tradnl"/>
              </w:rPr>
              <w:lastRenderedPageBreak/>
              <w:t>Solicitud Atendida de Atención de Protección o de Atención</w:t>
            </w:r>
          </w:p>
        </w:tc>
        <w:tc>
          <w:tcPr>
            <w:tcW w:w="1134" w:type="dxa"/>
          </w:tcPr>
          <w:p w:rsidR="00A81C19" w:rsidRPr="00375150" w:rsidRDefault="00A81C19" w:rsidP="00A81C19">
            <w:pPr>
              <w:spacing w:line="360" w:lineRule="auto"/>
              <w:jc w:val="center"/>
              <w:cnfStyle w:val="000000100000"/>
              <w:rPr>
                <w:rFonts w:ascii="Arial" w:hAnsi="Arial" w:cs="Arial"/>
                <w:sz w:val="20"/>
                <w:szCs w:val="20"/>
                <w:lang w:val="es-ES_tradnl"/>
              </w:rPr>
            </w:pPr>
            <w:r w:rsidRPr="00375150">
              <w:rPr>
                <w:rFonts w:ascii="Arial" w:hAnsi="Arial" w:cs="Arial"/>
                <w:sz w:val="20"/>
                <w:szCs w:val="20"/>
                <w:lang w:val="es-ES_tradnl"/>
              </w:rPr>
              <w:t>20.000</w:t>
            </w:r>
          </w:p>
        </w:tc>
        <w:tc>
          <w:tcPr>
            <w:tcW w:w="960" w:type="dxa"/>
          </w:tcPr>
          <w:p w:rsidR="00A81C19" w:rsidRPr="00375150" w:rsidRDefault="00A81C19" w:rsidP="00A81C19">
            <w:pPr>
              <w:spacing w:line="360" w:lineRule="auto"/>
              <w:jc w:val="center"/>
              <w:cnfStyle w:val="000000100000"/>
              <w:rPr>
                <w:rFonts w:ascii="Arial" w:hAnsi="Arial" w:cs="Arial"/>
                <w:sz w:val="20"/>
                <w:szCs w:val="20"/>
                <w:lang w:val="es-ES_tradnl"/>
              </w:rPr>
            </w:pPr>
            <w:r w:rsidRPr="00375150">
              <w:rPr>
                <w:rFonts w:ascii="Arial" w:hAnsi="Arial" w:cs="Arial"/>
                <w:sz w:val="20"/>
                <w:szCs w:val="20"/>
                <w:lang w:val="es-ES_tradnl"/>
              </w:rPr>
              <w:t>24.313</w:t>
            </w:r>
          </w:p>
        </w:tc>
        <w:tc>
          <w:tcPr>
            <w:tcW w:w="919" w:type="dxa"/>
          </w:tcPr>
          <w:p w:rsidR="00A81C19" w:rsidRPr="00375150" w:rsidRDefault="00A81C19" w:rsidP="00A81C19">
            <w:pPr>
              <w:spacing w:line="360" w:lineRule="auto"/>
              <w:jc w:val="center"/>
              <w:cnfStyle w:val="000000100000"/>
              <w:rPr>
                <w:rFonts w:ascii="Arial" w:hAnsi="Arial" w:cs="Arial"/>
                <w:sz w:val="20"/>
                <w:szCs w:val="20"/>
                <w:lang w:val="es-ES_tradnl"/>
              </w:rPr>
            </w:pPr>
            <w:r w:rsidRPr="00375150">
              <w:rPr>
                <w:rFonts w:ascii="Arial" w:hAnsi="Arial" w:cs="Arial"/>
                <w:sz w:val="20"/>
                <w:szCs w:val="20"/>
                <w:lang w:val="es-ES_tradnl"/>
              </w:rPr>
              <w:t>121,</w:t>
            </w:r>
            <w:r w:rsidR="00CE0210" w:rsidRPr="0084580C">
              <w:rPr>
                <w:rFonts w:ascii="Arial" w:hAnsi="Arial" w:cs="Arial"/>
                <w:sz w:val="20"/>
                <w:szCs w:val="20"/>
                <w:lang w:val="es-ES_tradnl"/>
              </w:rPr>
              <w:t>6</w:t>
            </w:r>
            <w:r w:rsidRPr="00375150">
              <w:rPr>
                <w:rFonts w:ascii="Arial" w:hAnsi="Arial" w:cs="Arial"/>
                <w:sz w:val="20"/>
                <w:szCs w:val="20"/>
                <w:lang w:val="es-ES_tradnl"/>
              </w:rPr>
              <w:t>%</w:t>
            </w:r>
          </w:p>
        </w:tc>
      </w:tr>
    </w:tbl>
    <w:p w:rsidR="00A81C19" w:rsidRPr="00375150" w:rsidRDefault="00A81C19" w:rsidP="00A81C19">
      <w:pPr>
        <w:spacing w:line="360" w:lineRule="auto"/>
        <w:ind w:left="-142"/>
        <w:jc w:val="both"/>
        <w:rPr>
          <w:rFonts w:ascii="Arial" w:hAnsi="Arial" w:cs="Arial"/>
          <w:sz w:val="20"/>
          <w:szCs w:val="20"/>
          <w:lang w:val="es-ES_tradnl"/>
        </w:rPr>
      </w:pPr>
      <w:r w:rsidRPr="0077710A">
        <w:rPr>
          <w:rFonts w:ascii="Arial" w:hAnsi="Arial" w:cs="Arial"/>
          <w:b/>
          <w:sz w:val="20"/>
          <w:szCs w:val="20"/>
          <w:lang w:val="es-ES_tradnl"/>
        </w:rPr>
        <w:lastRenderedPageBreak/>
        <w:t xml:space="preserve"> Fuente</w:t>
      </w:r>
      <w:r w:rsidRPr="00375150">
        <w:rPr>
          <w:rFonts w:ascii="Arial" w:hAnsi="Arial" w:cs="Arial"/>
          <w:sz w:val="20"/>
          <w:szCs w:val="20"/>
          <w:lang w:val="es-ES_tradnl"/>
        </w:rPr>
        <w:t xml:space="preserve">: Oficina de Atención y Protección a Víctimas de Delito </w:t>
      </w:r>
    </w:p>
    <w:p w:rsidR="00A81C19" w:rsidRPr="00375150" w:rsidRDefault="00A81C19" w:rsidP="00A81C19">
      <w:pPr>
        <w:spacing w:line="360" w:lineRule="auto"/>
        <w:contextualSpacing/>
        <w:jc w:val="both"/>
        <w:rPr>
          <w:rFonts w:ascii="Arial" w:hAnsi="Arial" w:cs="Arial"/>
          <w:sz w:val="20"/>
          <w:szCs w:val="20"/>
          <w:lang w:val="es-ES_tradnl"/>
        </w:rPr>
      </w:pPr>
    </w:p>
    <w:p w:rsidR="00A81C19" w:rsidRPr="00375150" w:rsidRDefault="00A81C19" w:rsidP="0084626E">
      <w:pPr>
        <w:spacing w:after="160" w:line="360" w:lineRule="auto"/>
        <w:jc w:val="center"/>
        <w:rPr>
          <w:rFonts w:ascii="Arial" w:hAnsi="Arial" w:cs="Arial"/>
          <w:b/>
          <w:sz w:val="20"/>
          <w:szCs w:val="20"/>
          <w:lang w:val="es-ES_tradnl"/>
        </w:rPr>
      </w:pPr>
      <w:r w:rsidRPr="00375150">
        <w:rPr>
          <w:rFonts w:ascii="Arial" w:hAnsi="Arial" w:cs="Arial"/>
          <w:b/>
          <w:sz w:val="20"/>
          <w:szCs w:val="20"/>
          <w:lang w:val="es-ES_tradnl"/>
        </w:rPr>
        <w:br w:type="page"/>
      </w:r>
      <w:r w:rsidRPr="00375150">
        <w:rPr>
          <w:rFonts w:ascii="Arial" w:hAnsi="Arial" w:cs="Arial"/>
          <w:b/>
          <w:sz w:val="20"/>
          <w:szCs w:val="20"/>
          <w:lang w:val="es-ES_tradnl"/>
        </w:rPr>
        <w:lastRenderedPageBreak/>
        <w:t>Cuadro 4</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 xml:space="preserve">Poder Judicial </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 xml:space="preserve">Ministerio Público </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Programa Servicio de Atención y Protección de Víctimas y Testigos</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Cumplimiento de indicadores de producto</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Al 31 de diciembre</w:t>
      </w:r>
    </w:p>
    <w:tbl>
      <w:tblPr>
        <w:tblStyle w:val="Listaclara-nfasis5"/>
        <w:tblW w:w="8772" w:type="dxa"/>
        <w:jc w:val="center"/>
        <w:tblBorders>
          <w:insideH w:val="single" w:sz="8" w:space="0" w:color="4BACC6" w:themeColor="accent5"/>
          <w:insideV w:val="single" w:sz="8" w:space="0" w:color="4BACC6" w:themeColor="accent5"/>
        </w:tblBorders>
        <w:tblLook w:val="04A0"/>
      </w:tblPr>
      <w:tblGrid>
        <w:gridCol w:w="1517"/>
        <w:gridCol w:w="1139"/>
        <w:gridCol w:w="1529"/>
        <w:gridCol w:w="1395"/>
        <w:gridCol w:w="1217"/>
        <w:gridCol w:w="1239"/>
        <w:gridCol w:w="1339"/>
      </w:tblGrid>
      <w:tr w:rsidR="00A81C19" w:rsidRPr="00375150" w:rsidTr="00A81C19">
        <w:trPr>
          <w:cnfStyle w:val="100000000000"/>
          <w:tblHeader/>
          <w:jc w:val="center"/>
        </w:trPr>
        <w:tc>
          <w:tcPr>
            <w:cnfStyle w:val="001000000000"/>
            <w:tcW w:w="1327" w:type="dxa"/>
          </w:tcPr>
          <w:p w:rsidR="00A81C19" w:rsidRPr="00375150" w:rsidRDefault="00A81C19" w:rsidP="00A81C19">
            <w:pPr>
              <w:spacing w:line="360" w:lineRule="auto"/>
              <w:jc w:val="center"/>
              <w:rPr>
                <w:rFonts w:ascii="Arial" w:hAnsi="Arial" w:cs="Arial"/>
                <w:b w:val="0"/>
                <w:sz w:val="20"/>
                <w:szCs w:val="20"/>
              </w:rPr>
            </w:pPr>
            <w:r w:rsidRPr="00375150">
              <w:rPr>
                <w:rFonts w:ascii="Arial" w:hAnsi="Arial" w:cs="Arial"/>
                <w:sz w:val="20"/>
                <w:szCs w:val="20"/>
              </w:rPr>
              <w:t>Programa o Subprograma</w:t>
            </w:r>
          </w:p>
        </w:tc>
        <w:tc>
          <w:tcPr>
            <w:tcW w:w="1129" w:type="dxa"/>
          </w:tcPr>
          <w:p w:rsidR="00A81C19" w:rsidRPr="00375150" w:rsidRDefault="00A81C19" w:rsidP="00A81C19">
            <w:pPr>
              <w:spacing w:line="360" w:lineRule="auto"/>
              <w:jc w:val="center"/>
              <w:cnfStyle w:val="100000000000"/>
              <w:rPr>
                <w:rFonts w:ascii="Arial" w:hAnsi="Arial" w:cs="Arial"/>
                <w:b w:val="0"/>
                <w:sz w:val="20"/>
                <w:szCs w:val="20"/>
              </w:rPr>
            </w:pPr>
            <w:r w:rsidRPr="00375150">
              <w:rPr>
                <w:rFonts w:ascii="Arial" w:hAnsi="Arial" w:cs="Arial"/>
                <w:sz w:val="20"/>
                <w:szCs w:val="20"/>
              </w:rPr>
              <w:t>Nombre del Producto</w:t>
            </w:r>
          </w:p>
        </w:tc>
        <w:tc>
          <w:tcPr>
            <w:tcW w:w="1644" w:type="dxa"/>
          </w:tcPr>
          <w:p w:rsidR="00A81C19" w:rsidRPr="00375150" w:rsidRDefault="00A81C19" w:rsidP="00A81C19">
            <w:pPr>
              <w:spacing w:line="360" w:lineRule="auto"/>
              <w:jc w:val="center"/>
              <w:cnfStyle w:val="100000000000"/>
              <w:rPr>
                <w:rFonts w:ascii="Arial" w:hAnsi="Arial" w:cs="Arial"/>
                <w:b w:val="0"/>
                <w:sz w:val="20"/>
                <w:szCs w:val="20"/>
              </w:rPr>
            </w:pPr>
            <w:r w:rsidRPr="00375150">
              <w:rPr>
                <w:rFonts w:ascii="Arial" w:hAnsi="Arial" w:cs="Arial"/>
                <w:sz w:val="20"/>
                <w:szCs w:val="20"/>
              </w:rPr>
              <w:t>Nombre del Indicador</w:t>
            </w:r>
          </w:p>
        </w:tc>
        <w:tc>
          <w:tcPr>
            <w:tcW w:w="1207" w:type="dxa"/>
          </w:tcPr>
          <w:p w:rsidR="00A81C19" w:rsidRPr="00375150" w:rsidRDefault="00A81C19" w:rsidP="00A81C19">
            <w:pPr>
              <w:spacing w:line="360" w:lineRule="auto"/>
              <w:jc w:val="center"/>
              <w:cnfStyle w:val="100000000000"/>
              <w:rPr>
                <w:rFonts w:ascii="Arial" w:hAnsi="Arial" w:cs="Arial"/>
                <w:b w:val="0"/>
                <w:sz w:val="20"/>
                <w:szCs w:val="20"/>
              </w:rPr>
            </w:pPr>
            <w:r w:rsidRPr="00375150">
              <w:rPr>
                <w:rFonts w:ascii="Arial" w:hAnsi="Arial" w:cs="Arial"/>
                <w:sz w:val="20"/>
                <w:szCs w:val="20"/>
              </w:rPr>
              <w:t>Programado</w:t>
            </w:r>
          </w:p>
        </w:tc>
        <w:tc>
          <w:tcPr>
            <w:tcW w:w="1057" w:type="dxa"/>
          </w:tcPr>
          <w:p w:rsidR="00A81C19" w:rsidRPr="00375150" w:rsidRDefault="00A81C19" w:rsidP="00A81C19">
            <w:pPr>
              <w:spacing w:line="360" w:lineRule="auto"/>
              <w:jc w:val="center"/>
              <w:cnfStyle w:val="100000000000"/>
              <w:rPr>
                <w:rFonts w:ascii="Arial" w:hAnsi="Arial" w:cs="Arial"/>
                <w:b w:val="0"/>
                <w:sz w:val="20"/>
                <w:szCs w:val="20"/>
              </w:rPr>
            </w:pPr>
            <w:r w:rsidRPr="00375150">
              <w:rPr>
                <w:rFonts w:ascii="Arial" w:hAnsi="Arial" w:cs="Arial"/>
                <w:sz w:val="20"/>
                <w:szCs w:val="20"/>
              </w:rPr>
              <w:t>Alcanzado</w:t>
            </w:r>
          </w:p>
        </w:tc>
        <w:tc>
          <w:tcPr>
            <w:tcW w:w="1077" w:type="dxa"/>
          </w:tcPr>
          <w:p w:rsidR="00A81C19" w:rsidRPr="00375150" w:rsidRDefault="00A81C19" w:rsidP="00A81C19">
            <w:pPr>
              <w:spacing w:line="360" w:lineRule="auto"/>
              <w:jc w:val="center"/>
              <w:cnfStyle w:val="100000000000"/>
              <w:rPr>
                <w:rFonts w:ascii="Arial" w:hAnsi="Arial" w:cs="Arial"/>
                <w:b w:val="0"/>
                <w:sz w:val="20"/>
                <w:szCs w:val="20"/>
              </w:rPr>
            </w:pPr>
            <w:r w:rsidRPr="00375150">
              <w:rPr>
                <w:rFonts w:ascii="Arial" w:hAnsi="Arial" w:cs="Arial"/>
                <w:sz w:val="20"/>
                <w:szCs w:val="20"/>
              </w:rPr>
              <w:t>Porcentaje Alcanzado</w:t>
            </w:r>
          </w:p>
        </w:tc>
        <w:tc>
          <w:tcPr>
            <w:tcW w:w="1331" w:type="dxa"/>
          </w:tcPr>
          <w:p w:rsidR="00A81C19" w:rsidRPr="00375150" w:rsidRDefault="00A81C19" w:rsidP="00A81C19">
            <w:pPr>
              <w:spacing w:line="360" w:lineRule="auto"/>
              <w:jc w:val="center"/>
              <w:cnfStyle w:val="100000000000"/>
              <w:rPr>
                <w:rFonts w:ascii="Arial" w:hAnsi="Arial" w:cs="Arial"/>
                <w:b w:val="0"/>
                <w:sz w:val="20"/>
                <w:szCs w:val="20"/>
              </w:rPr>
            </w:pPr>
            <w:r w:rsidRPr="00375150">
              <w:rPr>
                <w:rFonts w:ascii="Arial" w:hAnsi="Arial" w:cs="Arial"/>
                <w:sz w:val="20"/>
                <w:szCs w:val="20"/>
              </w:rPr>
              <w:t>Fuente de datos de los indicadores</w:t>
            </w:r>
          </w:p>
        </w:tc>
      </w:tr>
      <w:tr w:rsidR="00A81C19" w:rsidRPr="00375150" w:rsidTr="00A81C19">
        <w:trPr>
          <w:cnfStyle w:val="000000100000"/>
          <w:jc w:val="center"/>
        </w:trPr>
        <w:tc>
          <w:tcPr>
            <w:cnfStyle w:val="001000000000"/>
            <w:tcW w:w="1327" w:type="dxa"/>
            <w:vMerge w:val="restart"/>
          </w:tcPr>
          <w:p w:rsidR="00A81C19" w:rsidRPr="0077710A" w:rsidRDefault="00A81C19" w:rsidP="00A81C19">
            <w:pPr>
              <w:spacing w:line="360" w:lineRule="auto"/>
              <w:jc w:val="center"/>
              <w:rPr>
                <w:rFonts w:ascii="Arial" w:hAnsi="Arial" w:cs="Arial"/>
                <w:b w:val="0"/>
                <w:sz w:val="20"/>
                <w:szCs w:val="20"/>
                <w:lang w:val="es-ES_tradnl"/>
              </w:rPr>
            </w:pPr>
          </w:p>
          <w:p w:rsidR="00A81C19" w:rsidRPr="00375150" w:rsidRDefault="00A81C19" w:rsidP="00A81C19">
            <w:pPr>
              <w:spacing w:line="360" w:lineRule="auto"/>
              <w:jc w:val="center"/>
              <w:rPr>
                <w:rFonts w:ascii="Arial" w:hAnsi="Arial" w:cs="Arial"/>
                <w:b w:val="0"/>
                <w:sz w:val="20"/>
                <w:szCs w:val="20"/>
                <w:lang w:val="es-ES_tradnl"/>
              </w:rPr>
            </w:pPr>
          </w:p>
          <w:p w:rsidR="00A81C19" w:rsidRPr="00375150" w:rsidRDefault="00A81C19" w:rsidP="00A81C19">
            <w:pPr>
              <w:spacing w:line="360" w:lineRule="auto"/>
              <w:jc w:val="center"/>
              <w:rPr>
                <w:rFonts w:ascii="Arial" w:hAnsi="Arial" w:cs="Arial"/>
                <w:b w:val="0"/>
                <w:sz w:val="20"/>
                <w:szCs w:val="20"/>
                <w:lang w:val="es-ES_tradnl"/>
              </w:rPr>
            </w:pPr>
          </w:p>
          <w:p w:rsidR="00A81C19" w:rsidRPr="00375150" w:rsidRDefault="00A81C19" w:rsidP="00A81C19">
            <w:pPr>
              <w:spacing w:line="360" w:lineRule="auto"/>
              <w:jc w:val="center"/>
              <w:rPr>
                <w:rFonts w:ascii="Arial" w:hAnsi="Arial" w:cs="Arial"/>
                <w:b w:val="0"/>
                <w:sz w:val="20"/>
                <w:szCs w:val="20"/>
                <w:lang w:val="es-ES_tradnl"/>
              </w:rPr>
            </w:pPr>
          </w:p>
          <w:p w:rsidR="00A81C19" w:rsidRPr="00375150" w:rsidRDefault="00A81C19" w:rsidP="00A81C19">
            <w:pPr>
              <w:spacing w:line="360" w:lineRule="auto"/>
              <w:jc w:val="center"/>
              <w:rPr>
                <w:rFonts w:ascii="Arial" w:hAnsi="Arial" w:cs="Arial"/>
                <w:b w:val="0"/>
                <w:sz w:val="20"/>
                <w:szCs w:val="20"/>
                <w:lang w:val="es-ES_tradnl"/>
              </w:rPr>
            </w:pPr>
          </w:p>
          <w:p w:rsidR="00A81C19" w:rsidRPr="00375150" w:rsidRDefault="00A81C19" w:rsidP="00A81C19">
            <w:pPr>
              <w:spacing w:line="360" w:lineRule="auto"/>
              <w:jc w:val="center"/>
              <w:rPr>
                <w:rFonts w:ascii="Arial" w:hAnsi="Arial" w:cs="Arial"/>
                <w:b w:val="0"/>
                <w:sz w:val="20"/>
                <w:szCs w:val="20"/>
                <w:lang w:val="es-ES_tradnl"/>
              </w:rPr>
            </w:pPr>
          </w:p>
          <w:p w:rsidR="00A81C19" w:rsidRPr="00375150" w:rsidRDefault="00A81C19" w:rsidP="00A81C19">
            <w:pPr>
              <w:spacing w:line="360" w:lineRule="auto"/>
              <w:jc w:val="center"/>
              <w:rPr>
                <w:rFonts w:ascii="Arial" w:hAnsi="Arial" w:cs="Arial"/>
                <w:b w:val="0"/>
                <w:sz w:val="20"/>
                <w:szCs w:val="20"/>
                <w:lang w:val="es-ES_tradnl"/>
              </w:rPr>
            </w:pPr>
          </w:p>
          <w:p w:rsidR="00A81C19" w:rsidRPr="00375150" w:rsidRDefault="00A81C19" w:rsidP="00A81C19">
            <w:pPr>
              <w:spacing w:line="360" w:lineRule="auto"/>
              <w:jc w:val="center"/>
              <w:rPr>
                <w:rFonts w:ascii="Arial" w:hAnsi="Arial" w:cs="Arial"/>
                <w:b w:val="0"/>
                <w:sz w:val="20"/>
                <w:szCs w:val="20"/>
                <w:lang w:val="es-ES_tradnl"/>
              </w:rPr>
            </w:pPr>
          </w:p>
          <w:p w:rsidR="00A81C19" w:rsidRPr="00375150" w:rsidRDefault="00A81C19" w:rsidP="00A81C19">
            <w:pPr>
              <w:spacing w:line="360" w:lineRule="auto"/>
              <w:jc w:val="center"/>
              <w:rPr>
                <w:rFonts w:ascii="Arial" w:hAnsi="Arial" w:cs="Arial"/>
                <w:b w:val="0"/>
                <w:sz w:val="20"/>
                <w:szCs w:val="20"/>
                <w:lang w:val="es-ES_tradnl"/>
              </w:rPr>
            </w:pPr>
          </w:p>
          <w:p w:rsidR="00A81C19" w:rsidRPr="00375150" w:rsidRDefault="00A81C19" w:rsidP="00A81C19">
            <w:pPr>
              <w:spacing w:line="360" w:lineRule="auto"/>
              <w:jc w:val="center"/>
              <w:rPr>
                <w:rFonts w:ascii="Arial" w:hAnsi="Arial" w:cs="Arial"/>
                <w:b w:val="0"/>
                <w:sz w:val="20"/>
                <w:szCs w:val="20"/>
                <w:lang w:val="es-ES_tradnl"/>
              </w:rPr>
            </w:pPr>
          </w:p>
          <w:p w:rsidR="00A81C19" w:rsidRPr="00375150" w:rsidRDefault="00A81C19" w:rsidP="00A81C19">
            <w:pPr>
              <w:spacing w:line="360" w:lineRule="auto"/>
              <w:jc w:val="center"/>
              <w:rPr>
                <w:rFonts w:ascii="Arial" w:hAnsi="Arial" w:cs="Arial"/>
                <w:b w:val="0"/>
                <w:sz w:val="20"/>
                <w:szCs w:val="20"/>
                <w:lang w:val="es-ES_tradnl"/>
              </w:rPr>
            </w:pPr>
          </w:p>
          <w:p w:rsidR="00A81C19" w:rsidRPr="00375150" w:rsidRDefault="00A81C19" w:rsidP="00A81C19">
            <w:pPr>
              <w:spacing w:line="360" w:lineRule="auto"/>
              <w:jc w:val="center"/>
              <w:rPr>
                <w:rFonts w:ascii="Arial" w:hAnsi="Arial" w:cs="Arial"/>
                <w:b w:val="0"/>
                <w:sz w:val="20"/>
                <w:szCs w:val="20"/>
                <w:lang w:val="es-ES_tradnl"/>
              </w:rPr>
            </w:pPr>
          </w:p>
          <w:p w:rsidR="00A81C19" w:rsidRPr="00375150" w:rsidRDefault="00A81C19" w:rsidP="00A81C19">
            <w:pPr>
              <w:spacing w:line="360" w:lineRule="auto"/>
              <w:jc w:val="center"/>
              <w:rPr>
                <w:rFonts w:ascii="Arial" w:hAnsi="Arial" w:cs="Arial"/>
                <w:b w:val="0"/>
                <w:sz w:val="20"/>
                <w:szCs w:val="20"/>
                <w:lang w:val="es-ES_tradnl"/>
              </w:rPr>
            </w:pPr>
          </w:p>
          <w:p w:rsidR="00A81C19" w:rsidRPr="00375150" w:rsidRDefault="00A81C19" w:rsidP="00A81C19">
            <w:pPr>
              <w:spacing w:line="360" w:lineRule="auto"/>
              <w:jc w:val="center"/>
              <w:rPr>
                <w:rFonts w:ascii="Arial" w:hAnsi="Arial" w:cs="Arial"/>
                <w:b w:val="0"/>
                <w:sz w:val="20"/>
                <w:szCs w:val="20"/>
                <w:lang w:val="es-ES_tradnl"/>
              </w:rPr>
            </w:pPr>
            <w:r w:rsidRPr="00375150">
              <w:rPr>
                <w:rFonts w:ascii="Arial" w:hAnsi="Arial" w:cs="Arial"/>
                <w:sz w:val="20"/>
                <w:szCs w:val="20"/>
                <w:lang w:val="es-ES_tradnl"/>
              </w:rPr>
              <w:t xml:space="preserve">Servicio a Víctimas </w:t>
            </w:r>
          </w:p>
          <w:p w:rsidR="00A81C19" w:rsidRPr="00375150" w:rsidRDefault="00A81C19" w:rsidP="00A81C19">
            <w:pPr>
              <w:spacing w:line="360" w:lineRule="auto"/>
              <w:jc w:val="center"/>
              <w:rPr>
                <w:rFonts w:ascii="Arial" w:hAnsi="Arial" w:cs="Arial"/>
                <w:b w:val="0"/>
                <w:sz w:val="20"/>
                <w:szCs w:val="20"/>
                <w:lang w:val="es-ES_tradnl"/>
              </w:rPr>
            </w:pPr>
            <w:r w:rsidRPr="00375150">
              <w:rPr>
                <w:rFonts w:ascii="Arial" w:hAnsi="Arial" w:cs="Arial"/>
                <w:sz w:val="20"/>
                <w:szCs w:val="20"/>
                <w:lang w:val="es-ES_tradnl"/>
              </w:rPr>
              <w:t>(Programa 950)</w:t>
            </w:r>
          </w:p>
        </w:tc>
        <w:tc>
          <w:tcPr>
            <w:tcW w:w="1129" w:type="dxa"/>
            <w:vMerge w:val="restart"/>
          </w:tcPr>
          <w:p w:rsidR="00A81C19" w:rsidRPr="00375150" w:rsidRDefault="00A81C19" w:rsidP="00A81C19">
            <w:pPr>
              <w:spacing w:line="360" w:lineRule="auto"/>
              <w:jc w:val="center"/>
              <w:cnfStyle w:val="000000100000"/>
              <w:rPr>
                <w:rFonts w:ascii="Arial" w:hAnsi="Arial" w:cs="Arial"/>
                <w:sz w:val="20"/>
                <w:szCs w:val="20"/>
                <w:lang w:val="es-ES_tradnl"/>
              </w:rPr>
            </w:pPr>
          </w:p>
          <w:p w:rsidR="00A81C19" w:rsidRPr="00375150" w:rsidRDefault="00A81C19" w:rsidP="00A81C19">
            <w:pPr>
              <w:spacing w:line="360" w:lineRule="auto"/>
              <w:jc w:val="center"/>
              <w:cnfStyle w:val="000000100000"/>
              <w:rPr>
                <w:rFonts w:ascii="Arial" w:hAnsi="Arial" w:cs="Arial"/>
                <w:sz w:val="20"/>
                <w:szCs w:val="20"/>
                <w:lang w:val="es-ES_tradnl"/>
              </w:rPr>
            </w:pPr>
          </w:p>
          <w:p w:rsidR="00A81C19" w:rsidRPr="00375150" w:rsidRDefault="00A81C19" w:rsidP="00A81C19">
            <w:pPr>
              <w:spacing w:line="360" w:lineRule="auto"/>
              <w:jc w:val="center"/>
              <w:cnfStyle w:val="000000100000"/>
              <w:rPr>
                <w:rFonts w:ascii="Arial" w:hAnsi="Arial" w:cs="Arial"/>
                <w:sz w:val="20"/>
                <w:szCs w:val="20"/>
                <w:lang w:val="es-ES_tradnl"/>
              </w:rPr>
            </w:pPr>
          </w:p>
          <w:p w:rsidR="00A81C19" w:rsidRPr="00375150" w:rsidRDefault="00A81C19" w:rsidP="00A81C19">
            <w:pPr>
              <w:spacing w:line="360" w:lineRule="auto"/>
              <w:jc w:val="center"/>
              <w:cnfStyle w:val="000000100000"/>
              <w:rPr>
                <w:rFonts w:ascii="Arial" w:hAnsi="Arial" w:cs="Arial"/>
                <w:sz w:val="20"/>
                <w:szCs w:val="20"/>
                <w:lang w:val="es-ES_tradnl"/>
              </w:rPr>
            </w:pPr>
          </w:p>
          <w:p w:rsidR="00A81C19" w:rsidRPr="00375150" w:rsidRDefault="00A81C19" w:rsidP="00A81C19">
            <w:pPr>
              <w:spacing w:line="360" w:lineRule="auto"/>
              <w:jc w:val="center"/>
              <w:cnfStyle w:val="000000100000"/>
              <w:rPr>
                <w:rFonts w:ascii="Arial" w:hAnsi="Arial" w:cs="Arial"/>
                <w:sz w:val="20"/>
                <w:szCs w:val="20"/>
                <w:lang w:val="es-ES_tradnl"/>
              </w:rPr>
            </w:pPr>
          </w:p>
          <w:p w:rsidR="00A81C19" w:rsidRPr="00375150" w:rsidRDefault="00A81C19" w:rsidP="00A81C19">
            <w:pPr>
              <w:spacing w:line="360" w:lineRule="auto"/>
              <w:jc w:val="center"/>
              <w:cnfStyle w:val="000000100000"/>
              <w:rPr>
                <w:rFonts w:ascii="Arial" w:hAnsi="Arial" w:cs="Arial"/>
                <w:sz w:val="20"/>
                <w:szCs w:val="20"/>
                <w:lang w:val="es-ES_tradnl"/>
              </w:rPr>
            </w:pPr>
          </w:p>
          <w:p w:rsidR="00A81C19" w:rsidRPr="00375150" w:rsidRDefault="00A81C19" w:rsidP="00A81C19">
            <w:pPr>
              <w:spacing w:line="360" w:lineRule="auto"/>
              <w:jc w:val="center"/>
              <w:cnfStyle w:val="000000100000"/>
              <w:rPr>
                <w:rFonts w:ascii="Arial" w:hAnsi="Arial" w:cs="Arial"/>
                <w:sz w:val="20"/>
                <w:szCs w:val="20"/>
                <w:lang w:val="es-ES_tradnl"/>
              </w:rPr>
            </w:pPr>
          </w:p>
          <w:p w:rsidR="00A81C19" w:rsidRPr="00375150" w:rsidRDefault="00A81C19" w:rsidP="00A81C19">
            <w:pPr>
              <w:spacing w:line="360" w:lineRule="auto"/>
              <w:jc w:val="center"/>
              <w:cnfStyle w:val="000000100000"/>
              <w:rPr>
                <w:rFonts w:ascii="Arial" w:hAnsi="Arial" w:cs="Arial"/>
                <w:sz w:val="20"/>
                <w:szCs w:val="20"/>
                <w:lang w:val="es-ES_tradnl"/>
              </w:rPr>
            </w:pPr>
          </w:p>
          <w:p w:rsidR="00A81C19" w:rsidRPr="00375150" w:rsidRDefault="00A81C19" w:rsidP="00A81C19">
            <w:pPr>
              <w:spacing w:line="360" w:lineRule="auto"/>
              <w:jc w:val="center"/>
              <w:cnfStyle w:val="000000100000"/>
              <w:rPr>
                <w:rFonts w:ascii="Arial" w:hAnsi="Arial" w:cs="Arial"/>
                <w:sz w:val="20"/>
                <w:szCs w:val="20"/>
                <w:lang w:val="es-ES_tradnl"/>
              </w:rPr>
            </w:pPr>
          </w:p>
          <w:p w:rsidR="00A81C19" w:rsidRPr="00375150" w:rsidRDefault="00A81C19" w:rsidP="00A81C19">
            <w:pPr>
              <w:spacing w:line="360" w:lineRule="auto"/>
              <w:jc w:val="center"/>
              <w:cnfStyle w:val="000000100000"/>
              <w:rPr>
                <w:rFonts w:ascii="Arial" w:hAnsi="Arial" w:cs="Arial"/>
                <w:sz w:val="20"/>
                <w:szCs w:val="20"/>
                <w:lang w:val="es-ES_tradnl"/>
              </w:rPr>
            </w:pPr>
          </w:p>
          <w:p w:rsidR="00A81C19" w:rsidRPr="00375150" w:rsidRDefault="00A81C19" w:rsidP="00A81C19">
            <w:pPr>
              <w:spacing w:line="360" w:lineRule="auto"/>
              <w:jc w:val="center"/>
              <w:cnfStyle w:val="000000100000"/>
              <w:rPr>
                <w:rFonts w:ascii="Arial" w:hAnsi="Arial" w:cs="Arial"/>
                <w:sz w:val="20"/>
                <w:szCs w:val="20"/>
                <w:lang w:val="es-ES_tradnl"/>
              </w:rPr>
            </w:pPr>
          </w:p>
          <w:p w:rsidR="00A81C19" w:rsidRPr="00375150" w:rsidRDefault="00A81C19" w:rsidP="00A81C19">
            <w:pPr>
              <w:spacing w:line="360" w:lineRule="auto"/>
              <w:jc w:val="center"/>
              <w:cnfStyle w:val="000000100000"/>
              <w:rPr>
                <w:rFonts w:ascii="Arial" w:hAnsi="Arial" w:cs="Arial"/>
                <w:sz w:val="20"/>
                <w:szCs w:val="20"/>
                <w:lang w:val="es-ES_tradnl"/>
              </w:rPr>
            </w:pPr>
          </w:p>
          <w:p w:rsidR="00A81C19" w:rsidRPr="00375150" w:rsidRDefault="00A81C19" w:rsidP="00A81C19">
            <w:pPr>
              <w:spacing w:line="360" w:lineRule="auto"/>
              <w:jc w:val="center"/>
              <w:cnfStyle w:val="000000100000"/>
              <w:rPr>
                <w:rFonts w:ascii="Arial" w:hAnsi="Arial" w:cs="Arial"/>
                <w:sz w:val="20"/>
                <w:szCs w:val="20"/>
                <w:lang w:val="es-ES_tradnl"/>
              </w:rPr>
            </w:pPr>
            <w:r w:rsidRPr="00375150">
              <w:rPr>
                <w:rFonts w:ascii="Arial" w:hAnsi="Arial" w:cs="Arial"/>
                <w:sz w:val="20"/>
                <w:szCs w:val="20"/>
                <w:lang w:val="es-ES_tradnl"/>
              </w:rPr>
              <w:t>Solicitud atendida de protección ó de atención.</w:t>
            </w:r>
          </w:p>
        </w:tc>
        <w:tc>
          <w:tcPr>
            <w:tcW w:w="1644" w:type="dxa"/>
          </w:tcPr>
          <w:p w:rsidR="00A81C19" w:rsidRPr="00375150" w:rsidRDefault="00A81C19" w:rsidP="00A81C19">
            <w:pPr>
              <w:spacing w:line="360" w:lineRule="auto"/>
              <w:jc w:val="both"/>
              <w:cnfStyle w:val="000000100000"/>
              <w:rPr>
                <w:rFonts w:ascii="Arial" w:hAnsi="Arial" w:cs="Arial"/>
                <w:sz w:val="20"/>
                <w:szCs w:val="20"/>
                <w:lang w:val="es-ES_tradnl"/>
              </w:rPr>
            </w:pPr>
            <w:r w:rsidRPr="00375150">
              <w:rPr>
                <w:rFonts w:ascii="Arial" w:hAnsi="Arial" w:cs="Arial"/>
                <w:sz w:val="20"/>
                <w:szCs w:val="20"/>
                <w:lang w:val="es-ES_tradnl"/>
              </w:rPr>
              <w:t xml:space="preserve">0.01.1. Porcentaje de </w:t>
            </w:r>
            <w:r w:rsidRPr="0077710A">
              <w:rPr>
                <w:rStyle w:val="Refdenotaalpie"/>
                <w:rFonts w:ascii="Arial" w:hAnsi="Arial" w:cs="Arial"/>
                <w:sz w:val="20"/>
                <w:szCs w:val="20"/>
                <w:lang w:val="es-ES_tradnl"/>
              </w:rPr>
              <w:footnoteReference w:id="3"/>
            </w:r>
            <w:r w:rsidRPr="0077710A">
              <w:rPr>
                <w:rFonts w:ascii="Arial" w:hAnsi="Arial" w:cs="Arial"/>
                <w:sz w:val="20"/>
                <w:szCs w:val="20"/>
                <w:lang w:val="es-ES_tradnl"/>
              </w:rPr>
              <w:t>casos concluidos por disminución del riesgo respecto a cantidad de casos totales concluidos por terminación del proceso en el programa de Protección.</w:t>
            </w:r>
          </w:p>
        </w:tc>
        <w:tc>
          <w:tcPr>
            <w:tcW w:w="1207" w:type="dxa"/>
          </w:tcPr>
          <w:p w:rsidR="00A81C19" w:rsidRPr="00375150" w:rsidRDefault="00A81C19" w:rsidP="00A81C19">
            <w:pPr>
              <w:spacing w:line="360" w:lineRule="auto"/>
              <w:jc w:val="center"/>
              <w:cnfStyle w:val="000000100000"/>
              <w:rPr>
                <w:rFonts w:ascii="Arial" w:hAnsi="Arial" w:cs="Arial"/>
                <w:sz w:val="20"/>
                <w:szCs w:val="20"/>
                <w:lang w:val="es-ES_tradnl"/>
              </w:rPr>
            </w:pPr>
            <w:r w:rsidRPr="00375150">
              <w:rPr>
                <w:rFonts w:ascii="Arial" w:hAnsi="Arial" w:cs="Arial"/>
                <w:sz w:val="20"/>
                <w:szCs w:val="20"/>
                <w:lang w:val="es-ES_tradnl"/>
              </w:rPr>
              <w:t>12.5%</w:t>
            </w:r>
          </w:p>
        </w:tc>
        <w:tc>
          <w:tcPr>
            <w:tcW w:w="1057" w:type="dxa"/>
          </w:tcPr>
          <w:p w:rsidR="00A81C19" w:rsidRPr="00375150" w:rsidRDefault="00A81C19" w:rsidP="00A81C19">
            <w:pPr>
              <w:spacing w:line="360" w:lineRule="auto"/>
              <w:jc w:val="center"/>
              <w:cnfStyle w:val="000000100000"/>
              <w:rPr>
                <w:rFonts w:ascii="Arial" w:hAnsi="Arial" w:cs="Arial"/>
                <w:sz w:val="20"/>
                <w:szCs w:val="20"/>
                <w:lang w:val="es-ES_tradnl"/>
              </w:rPr>
            </w:pPr>
            <w:r w:rsidRPr="00375150">
              <w:rPr>
                <w:rFonts w:ascii="Arial" w:hAnsi="Arial" w:cs="Arial"/>
                <w:sz w:val="20"/>
                <w:szCs w:val="20"/>
                <w:lang w:val="es-ES_tradnl"/>
              </w:rPr>
              <w:t>11%</w:t>
            </w:r>
          </w:p>
        </w:tc>
        <w:tc>
          <w:tcPr>
            <w:tcW w:w="1077" w:type="dxa"/>
          </w:tcPr>
          <w:p w:rsidR="00A81C19" w:rsidRPr="00375150" w:rsidRDefault="00A81C19" w:rsidP="00A81C19">
            <w:pPr>
              <w:spacing w:line="360" w:lineRule="auto"/>
              <w:jc w:val="center"/>
              <w:cnfStyle w:val="000000100000"/>
              <w:rPr>
                <w:rFonts w:ascii="Arial" w:hAnsi="Arial" w:cs="Arial"/>
                <w:sz w:val="20"/>
                <w:szCs w:val="20"/>
                <w:lang w:val="es-ES_tradnl"/>
              </w:rPr>
            </w:pPr>
            <w:r w:rsidRPr="00375150">
              <w:rPr>
                <w:rFonts w:ascii="Arial" w:hAnsi="Arial" w:cs="Arial"/>
                <w:sz w:val="20"/>
                <w:szCs w:val="20"/>
                <w:lang w:val="es-ES_tradnl"/>
              </w:rPr>
              <w:t>88%</w:t>
            </w:r>
          </w:p>
        </w:tc>
        <w:tc>
          <w:tcPr>
            <w:tcW w:w="1331" w:type="dxa"/>
            <w:vAlign w:val="center"/>
          </w:tcPr>
          <w:p w:rsidR="00A81C19" w:rsidRPr="00375150" w:rsidRDefault="00A81C19" w:rsidP="00A81C19">
            <w:pPr>
              <w:spacing w:line="360" w:lineRule="auto"/>
              <w:cnfStyle w:val="000000100000"/>
              <w:rPr>
                <w:rFonts w:ascii="Arial" w:hAnsi="Arial" w:cs="Arial"/>
                <w:sz w:val="20"/>
                <w:szCs w:val="20"/>
              </w:rPr>
            </w:pPr>
            <w:r w:rsidRPr="00375150">
              <w:rPr>
                <w:rFonts w:ascii="Arial" w:hAnsi="Arial" w:cs="Arial"/>
                <w:sz w:val="20"/>
                <w:szCs w:val="20"/>
              </w:rPr>
              <w:t xml:space="preserve">Estadística Oficina de Atención y Protección a la Víctima del Delito </w:t>
            </w:r>
          </w:p>
        </w:tc>
      </w:tr>
      <w:tr w:rsidR="00A81C19" w:rsidRPr="00375150" w:rsidTr="00A81C19">
        <w:trPr>
          <w:jc w:val="center"/>
        </w:trPr>
        <w:tc>
          <w:tcPr>
            <w:cnfStyle w:val="001000000000"/>
            <w:tcW w:w="1327" w:type="dxa"/>
            <w:vMerge/>
          </w:tcPr>
          <w:p w:rsidR="00A81C19" w:rsidRPr="00375150" w:rsidRDefault="00A81C19" w:rsidP="00A81C19">
            <w:pPr>
              <w:spacing w:line="360" w:lineRule="auto"/>
              <w:jc w:val="center"/>
              <w:rPr>
                <w:rFonts w:ascii="Arial" w:hAnsi="Arial" w:cs="Arial"/>
                <w:b w:val="0"/>
                <w:sz w:val="20"/>
                <w:szCs w:val="20"/>
                <w:lang w:val="es-ES_tradnl"/>
              </w:rPr>
            </w:pPr>
          </w:p>
        </w:tc>
        <w:tc>
          <w:tcPr>
            <w:tcW w:w="1129" w:type="dxa"/>
            <w:vMerge/>
          </w:tcPr>
          <w:p w:rsidR="00A81C19" w:rsidRPr="00375150" w:rsidRDefault="00A81C19" w:rsidP="00A81C19">
            <w:pPr>
              <w:spacing w:line="360" w:lineRule="auto"/>
              <w:jc w:val="center"/>
              <w:cnfStyle w:val="000000000000"/>
              <w:rPr>
                <w:rFonts w:ascii="Arial" w:hAnsi="Arial" w:cs="Arial"/>
                <w:sz w:val="20"/>
                <w:szCs w:val="20"/>
                <w:lang w:val="es-ES_tradnl"/>
              </w:rPr>
            </w:pPr>
          </w:p>
        </w:tc>
        <w:tc>
          <w:tcPr>
            <w:tcW w:w="1644" w:type="dxa"/>
          </w:tcPr>
          <w:p w:rsidR="00A81C19" w:rsidRPr="0077710A" w:rsidRDefault="00A81C19" w:rsidP="00A81C19">
            <w:pPr>
              <w:spacing w:line="360" w:lineRule="auto"/>
              <w:jc w:val="both"/>
              <w:cnfStyle w:val="000000000000"/>
              <w:rPr>
                <w:rFonts w:ascii="Arial" w:hAnsi="Arial" w:cs="Arial"/>
                <w:sz w:val="20"/>
                <w:szCs w:val="20"/>
                <w:lang w:val="es-ES_tradnl"/>
              </w:rPr>
            </w:pPr>
            <w:r w:rsidRPr="00375150">
              <w:rPr>
                <w:rFonts w:ascii="Arial" w:hAnsi="Arial" w:cs="Arial"/>
                <w:sz w:val="20"/>
                <w:szCs w:val="20"/>
                <w:lang w:val="es-ES_tradnl"/>
              </w:rPr>
              <w:t xml:space="preserve">0.02.1. Porcentaje de casos concluidos por finalización del </w:t>
            </w:r>
            <w:r w:rsidRPr="0077710A">
              <w:rPr>
                <w:rStyle w:val="Refdenotaalpie"/>
                <w:rFonts w:ascii="Arial" w:hAnsi="Arial" w:cs="Arial"/>
                <w:sz w:val="20"/>
                <w:szCs w:val="20"/>
                <w:lang w:val="es-ES_tradnl"/>
              </w:rPr>
              <w:footnoteReference w:id="4"/>
            </w:r>
            <w:r w:rsidRPr="0077710A">
              <w:rPr>
                <w:rFonts w:ascii="Arial" w:hAnsi="Arial" w:cs="Arial"/>
                <w:sz w:val="20"/>
                <w:szCs w:val="20"/>
                <w:lang w:val="es-ES_tradnl"/>
              </w:rPr>
              <w:t xml:space="preserve">plan de intervención individualizado con respecto a </w:t>
            </w:r>
            <w:r w:rsidRPr="0077710A">
              <w:rPr>
                <w:rFonts w:ascii="Arial" w:hAnsi="Arial" w:cs="Arial"/>
                <w:sz w:val="20"/>
                <w:szCs w:val="20"/>
                <w:lang w:val="es-ES_tradnl"/>
              </w:rPr>
              <w:lastRenderedPageBreak/>
              <w:t>cantidad total de casos concluidos por terminación del proceso de Atención.</w:t>
            </w:r>
          </w:p>
        </w:tc>
        <w:tc>
          <w:tcPr>
            <w:tcW w:w="1207" w:type="dxa"/>
          </w:tcPr>
          <w:p w:rsidR="00A81C19" w:rsidRPr="00375150" w:rsidRDefault="00A81C19" w:rsidP="00A81C19">
            <w:pPr>
              <w:spacing w:line="360" w:lineRule="auto"/>
              <w:jc w:val="center"/>
              <w:cnfStyle w:val="000000000000"/>
              <w:rPr>
                <w:rFonts w:ascii="Arial" w:hAnsi="Arial" w:cs="Arial"/>
                <w:sz w:val="20"/>
                <w:szCs w:val="20"/>
                <w:lang w:val="es-ES_tradnl"/>
              </w:rPr>
            </w:pPr>
            <w:r w:rsidRPr="00375150">
              <w:rPr>
                <w:rFonts w:ascii="Arial" w:hAnsi="Arial" w:cs="Arial"/>
                <w:sz w:val="20"/>
                <w:szCs w:val="20"/>
                <w:lang w:val="es-ES_tradnl"/>
              </w:rPr>
              <w:lastRenderedPageBreak/>
              <w:t>42%</w:t>
            </w:r>
          </w:p>
        </w:tc>
        <w:tc>
          <w:tcPr>
            <w:tcW w:w="1057" w:type="dxa"/>
          </w:tcPr>
          <w:p w:rsidR="00A81C19" w:rsidRPr="00375150" w:rsidRDefault="00A81C19" w:rsidP="00A81C19">
            <w:pPr>
              <w:spacing w:line="360" w:lineRule="auto"/>
              <w:jc w:val="center"/>
              <w:cnfStyle w:val="000000000000"/>
              <w:rPr>
                <w:rFonts w:ascii="Arial" w:hAnsi="Arial" w:cs="Arial"/>
                <w:sz w:val="20"/>
                <w:szCs w:val="20"/>
                <w:lang w:val="es-ES_tradnl"/>
              </w:rPr>
            </w:pPr>
            <w:r w:rsidRPr="00375150">
              <w:rPr>
                <w:rFonts w:ascii="Arial" w:hAnsi="Arial" w:cs="Arial"/>
                <w:sz w:val="20"/>
                <w:szCs w:val="20"/>
                <w:lang w:val="es-ES_tradnl"/>
              </w:rPr>
              <w:t>40.6%</w:t>
            </w:r>
          </w:p>
        </w:tc>
        <w:tc>
          <w:tcPr>
            <w:tcW w:w="1077" w:type="dxa"/>
          </w:tcPr>
          <w:p w:rsidR="00A81C19" w:rsidRPr="00375150" w:rsidRDefault="00A81C19" w:rsidP="00A81C19">
            <w:pPr>
              <w:spacing w:line="360" w:lineRule="auto"/>
              <w:jc w:val="center"/>
              <w:cnfStyle w:val="000000000000"/>
              <w:rPr>
                <w:rFonts w:ascii="Arial" w:hAnsi="Arial" w:cs="Arial"/>
                <w:sz w:val="20"/>
                <w:szCs w:val="20"/>
                <w:lang w:val="es-ES_tradnl"/>
              </w:rPr>
            </w:pPr>
            <w:r w:rsidRPr="0084580C">
              <w:rPr>
                <w:rFonts w:ascii="Arial" w:hAnsi="Arial" w:cs="Arial"/>
                <w:sz w:val="20"/>
                <w:szCs w:val="20"/>
                <w:lang w:val="es-ES_tradnl"/>
              </w:rPr>
              <w:t>9</w:t>
            </w:r>
            <w:r w:rsidR="00B76147" w:rsidRPr="0084580C">
              <w:rPr>
                <w:rFonts w:ascii="Arial" w:hAnsi="Arial" w:cs="Arial"/>
                <w:sz w:val="20"/>
                <w:szCs w:val="20"/>
                <w:lang w:val="es-ES_tradnl"/>
              </w:rPr>
              <w:t>6,7</w:t>
            </w:r>
            <w:r w:rsidRPr="0077710A">
              <w:rPr>
                <w:rFonts w:ascii="Arial" w:hAnsi="Arial" w:cs="Arial"/>
                <w:sz w:val="20"/>
                <w:szCs w:val="20"/>
                <w:lang w:val="es-ES_tradnl"/>
              </w:rPr>
              <w:t>%</w:t>
            </w:r>
          </w:p>
        </w:tc>
        <w:tc>
          <w:tcPr>
            <w:tcW w:w="1331" w:type="dxa"/>
            <w:vAlign w:val="center"/>
          </w:tcPr>
          <w:p w:rsidR="00A81C19" w:rsidRPr="00375150" w:rsidRDefault="00A81C19" w:rsidP="00A81C19">
            <w:pPr>
              <w:spacing w:line="360" w:lineRule="auto"/>
              <w:cnfStyle w:val="000000000000"/>
              <w:rPr>
                <w:rFonts w:ascii="Arial" w:hAnsi="Arial" w:cs="Arial"/>
                <w:sz w:val="20"/>
                <w:szCs w:val="20"/>
              </w:rPr>
            </w:pPr>
            <w:r w:rsidRPr="00375150">
              <w:rPr>
                <w:rFonts w:ascii="Arial" w:hAnsi="Arial" w:cs="Arial"/>
                <w:sz w:val="20"/>
                <w:szCs w:val="20"/>
              </w:rPr>
              <w:t xml:space="preserve">Estadística Oficina de Atención y Protección a la Víctima del Delito </w:t>
            </w:r>
          </w:p>
        </w:tc>
      </w:tr>
      <w:tr w:rsidR="00A81C19" w:rsidRPr="00375150" w:rsidTr="00A81C19">
        <w:trPr>
          <w:cnfStyle w:val="000000100000"/>
          <w:jc w:val="center"/>
        </w:trPr>
        <w:tc>
          <w:tcPr>
            <w:cnfStyle w:val="001000000000"/>
            <w:tcW w:w="1327" w:type="dxa"/>
            <w:vMerge/>
          </w:tcPr>
          <w:p w:rsidR="00A81C19" w:rsidRPr="00375150" w:rsidRDefault="00A81C19" w:rsidP="00A81C19">
            <w:pPr>
              <w:spacing w:line="360" w:lineRule="auto"/>
              <w:jc w:val="center"/>
              <w:rPr>
                <w:rFonts w:ascii="Arial" w:hAnsi="Arial" w:cs="Arial"/>
                <w:b w:val="0"/>
                <w:sz w:val="20"/>
                <w:szCs w:val="20"/>
                <w:lang w:val="es-ES_tradnl"/>
              </w:rPr>
            </w:pPr>
          </w:p>
        </w:tc>
        <w:tc>
          <w:tcPr>
            <w:tcW w:w="1129" w:type="dxa"/>
            <w:vMerge/>
          </w:tcPr>
          <w:p w:rsidR="00A81C19" w:rsidRPr="00375150" w:rsidRDefault="00A81C19" w:rsidP="00A81C19">
            <w:pPr>
              <w:spacing w:line="360" w:lineRule="auto"/>
              <w:jc w:val="center"/>
              <w:cnfStyle w:val="000000100000"/>
              <w:rPr>
                <w:rFonts w:ascii="Arial" w:hAnsi="Arial" w:cs="Arial"/>
                <w:sz w:val="20"/>
                <w:szCs w:val="20"/>
                <w:lang w:val="es-ES_tradnl"/>
              </w:rPr>
            </w:pPr>
          </w:p>
        </w:tc>
        <w:tc>
          <w:tcPr>
            <w:tcW w:w="1644" w:type="dxa"/>
          </w:tcPr>
          <w:p w:rsidR="00A81C19" w:rsidRPr="00375150" w:rsidRDefault="00A81C19" w:rsidP="00A81C19">
            <w:pPr>
              <w:spacing w:line="360" w:lineRule="auto"/>
              <w:jc w:val="both"/>
              <w:cnfStyle w:val="000000100000"/>
              <w:rPr>
                <w:rFonts w:ascii="Arial" w:hAnsi="Arial" w:cs="Arial"/>
                <w:sz w:val="20"/>
                <w:szCs w:val="20"/>
                <w:lang w:val="es-ES_tradnl"/>
              </w:rPr>
            </w:pPr>
            <w:r w:rsidRPr="00375150">
              <w:rPr>
                <w:rFonts w:ascii="Arial" w:hAnsi="Arial" w:cs="Arial"/>
                <w:sz w:val="20"/>
                <w:szCs w:val="20"/>
                <w:lang w:val="es-ES_tradnl"/>
              </w:rPr>
              <w:t>0.03.1. Porcentaje de visitas realizadas por parte del personal de la OAPVD y la UPROV a personas ingresadas a los programas de Atención y Protección respecto al total de personas identificadas en condición de vulnerabilidad que son atendidas en los programas de Atención y Protección.</w:t>
            </w:r>
          </w:p>
        </w:tc>
        <w:tc>
          <w:tcPr>
            <w:tcW w:w="1207" w:type="dxa"/>
          </w:tcPr>
          <w:p w:rsidR="00A81C19" w:rsidRPr="00375150" w:rsidRDefault="00A81C19" w:rsidP="00A81C19">
            <w:pPr>
              <w:spacing w:line="360" w:lineRule="auto"/>
              <w:jc w:val="center"/>
              <w:cnfStyle w:val="000000100000"/>
              <w:rPr>
                <w:rFonts w:ascii="Arial" w:hAnsi="Arial" w:cs="Arial"/>
                <w:sz w:val="20"/>
                <w:szCs w:val="20"/>
                <w:lang w:val="es-ES_tradnl"/>
              </w:rPr>
            </w:pPr>
            <w:r w:rsidRPr="00375150">
              <w:rPr>
                <w:rFonts w:ascii="Arial" w:hAnsi="Arial" w:cs="Arial"/>
                <w:sz w:val="20"/>
                <w:szCs w:val="20"/>
                <w:lang w:val="es-ES_tradnl"/>
              </w:rPr>
              <w:t>9%</w:t>
            </w:r>
          </w:p>
        </w:tc>
        <w:tc>
          <w:tcPr>
            <w:tcW w:w="1057" w:type="dxa"/>
          </w:tcPr>
          <w:p w:rsidR="00A81C19" w:rsidRPr="00375150" w:rsidRDefault="00A81C19" w:rsidP="00A81C19">
            <w:pPr>
              <w:spacing w:line="360" w:lineRule="auto"/>
              <w:jc w:val="center"/>
              <w:cnfStyle w:val="000000100000"/>
              <w:rPr>
                <w:rFonts w:ascii="Arial" w:hAnsi="Arial" w:cs="Arial"/>
                <w:sz w:val="20"/>
                <w:szCs w:val="20"/>
                <w:lang w:val="es-ES_tradnl"/>
              </w:rPr>
            </w:pPr>
            <w:r w:rsidRPr="00375150">
              <w:rPr>
                <w:rFonts w:ascii="Arial" w:hAnsi="Arial" w:cs="Arial"/>
                <w:sz w:val="20"/>
                <w:szCs w:val="20"/>
                <w:lang w:val="es-ES_tradnl"/>
              </w:rPr>
              <w:t>13%</w:t>
            </w:r>
          </w:p>
        </w:tc>
        <w:tc>
          <w:tcPr>
            <w:tcW w:w="1077" w:type="dxa"/>
          </w:tcPr>
          <w:p w:rsidR="00A81C19" w:rsidRPr="00375150" w:rsidRDefault="00A81C19" w:rsidP="00A81C19">
            <w:pPr>
              <w:spacing w:line="360" w:lineRule="auto"/>
              <w:jc w:val="center"/>
              <w:cnfStyle w:val="000000100000"/>
              <w:rPr>
                <w:rFonts w:ascii="Arial" w:hAnsi="Arial" w:cs="Arial"/>
                <w:sz w:val="20"/>
                <w:szCs w:val="20"/>
                <w:lang w:val="es-ES_tradnl"/>
              </w:rPr>
            </w:pPr>
            <w:r w:rsidRPr="00375150">
              <w:rPr>
                <w:rFonts w:ascii="Arial" w:hAnsi="Arial" w:cs="Arial"/>
                <w:sz w:val="20"/>
                <w:szCs w:val="20"/>
                <w:lang w:val="es-ES_tradnl"/>
              </w:rPr>
              <w:t>144</w:t>
            </w:r>
            <w:r w:rsidR="00B76147" w:rsidRPr="00375150">
              <w:rPr>
                <w:rFonts w:ascii="Arial" w:hAnsi="Arial" w:cs="Arial"/>
                <w:sz w:val="20"/>
                <w:szCs w:val="20"/>
                <w:lang w:val="es-ES_tradnl"/>
              </w:rPr>
              <w:t>,</w:t>
            </w:r>
            <w:r w:rsidR="00B76147" w:rsidRPr="0084580C">
              <w:rPr>
                <w:rFonts w:ascii="Arial" w:hAnsi="Arial" w:cs="Arial"/>
                <w:sz w:val="20"/>
                <w:szCs w:val="20"/>
                <w:lang w:val="es-ES_tradnl"/>
              </w:rPr>
              <w:t>4</w:t>
            </w:r>
            <w:r w:rsidRPr="0077710A">
              <w:rPr>
                <w:rFonts w:ascii="Arial" w:hAnsi="Arial" w:cs="Arial"/>
                <w:sz w:val="20"/>
                <w:szCs w:val="20"/>
                <w:lang w:val="es-ES_tradnl"/>
              </w:rPr>
              <w:t>%</w:t>
            </w:r>
          </w:p>
        </w:tc>
        <w:tc>
          <w:tcPr>
            <w:tcW w:w="1331" w:type="dxa"/>
            <w:vAlign w:val="center"/>
          </w:tcPr>
          <w:p w:rsidR="00A81C19" w:rsidRPr="00375150" w:rsidRDefault="00A81C19" w:rsidP="00A81C19">
            <w:pPr>
              <w:spacing w:line="360" w:lineRule="auto"/>
              <w:cnfStyle w:val="000000100000"/>
              <w:rPr>
                <w:rFonts w:ascii="Arial" w:hAnsi="Arial" w:cs="Arial"/>
                <w:sz w:val="20"/>
                <w:szCs w:val="20"/>
              </w:rPr>
            </w:pPr>
            <w:r w:rsidRPr="00375150">
              <w:rPr>
                <w:rFonts w:ascii="Arial" w:hAnsi="Arial" w:cs="Arial"/>
                <w:sz w:val="20"/>
                <w:szCs w:val="20"/>
              </w:rPr>
              <w:t xml:space="preserve">Estadística Oficina de Atención y Protección a la Víctima del Delito </w:t>
            </w:r>
          </w:p>
        </w:tc>
      </w:tr>
    </w:tbl>
    <w:p w:rsidR="00A81C19" w:rsidRPr="00375150" w:rsidRDefault="00A81C19" w:rsidP="00A81C19">
      <w:pPr>
        <w:spacing w:line="360" w:lineRule="auto"/>
        <w:ind w:left="-142"/>
        <w:jc w:val="both"/>
        <w:rPr>
          <w:rFonts w:ascii="Arial" w:hAnsi="Arial" w:cs="Arial"/>
          <w:sz w:val="20"/>
          <w:szCs w:val="20"/>
          <w:lang w:val="es-ES_tradnl"/>
        </w:rPr>
      </w:pPr>
      <w:r w:rsidRPr="0077710A">
        <w:rPr>
          <w:rFonts w:ascii="Arial" w:hAnsi="Arial" w:cs="Arial"/>
          <w:b/>
          <w:sz w:val="20"/>
          <w:szCs w:val="20"/>
          <w:lang w:val="es-ES_tradnl"/>
        </w:rPr>
        <w:t>Fuente</w:t>
      </w:r>
      <w:r w:rsidRPr="00375150">
        <w:rPr>
          <w:rFonts w:ascii="Arial" w:hAnsi="Arial" w:cs="Arial"/>
          <w:sz w:val="20"/>
          <w:szCs w:val="20"/>
          <w:lang w:val="es-ES_tradnl"/>
        </w:rPr>
        <w:t xml:space="preserve">: Estadística de la Oficina de Atención y Protección a Víctimas de Delito </w:t>
      </w:r>
    </w:p>
    <w:p w:rsidR="00A81C19" w:rsidRPr="00375150" w:rsidRDefault="00A81C19" w:rsidP="00A81C19">
      <w:pPr>
        <w:spacing w:line="360" w:lineRule="auto"/>
        <w:jc w:val="both"/>
        <w:rPr>
          <w:rFonts w:ascii="Arial" w:hAnsi="Arial" w:cs="Arial"/>
          <w:sz w:val="20"/>
          <w:szCs w:val="20"/>
          <w:lang w:val="es-ES_tradnl"/>
        </w:rPr>
      </w:pPr>
    </w:p>
    <w:p w:rsidR="00A81C19" w:rsidRPr="00375150" w:rsidRDefault="00A81C19" w:rsidP="00A81C19">
      <w:pPr>
        <w:spacing w:line="360" w:lineRule="auto"/>
        <w:jc w:val="both"/>
        <w:rPr>
          <w:rFonts w:ascii="Arial" w:hAnsi="Arial" w:cs="Arial"/>
          <w:sz w:val="20"/>
          <w:szCs w:val="20"/>
          <w:lang w:val="es-MX"/>
        </w:rPr>
      </w:pPr>
    </w:p>
    <w:p w:rsidR="00A81C19" w:rsidRPr="00375150" w:rsidRDefault="00A81C19" w:rsidP="00A81C19">
      <w:pPr>
        <w:spacing w:line="360" w:lineRule="auto"/>
        <w:jc w:val="both"/>
        <w:rPr>
          <w:rFonts w:ascii="Arial" w:hAnsi="Arial" w:cs="Arial"/>
          <w:sz w:val="20"/>
          <w:szCs w:val="20"/>
          <w:lang w:val="es-MX"/>
        </w:rPr>
      </w:pPr>
      <w:r w:rsidRPr="00375150">
        <w:rPr>
          <w:rFonts w:ascii="Arial" w:hAnsi="Arial" w:cs="Arial"/>
          <w:sz w:val="20"/>
          <w:szCs w:val="20"/>
          <w:lang w:val="es-MX"/>
        </w:rPr>
        <w:t>Con la información anterior:</w:t>
      </w:r>
    </w:p>
    <w:p w:rsidR="00A81C19" w:rsidRPr="00375150" w:rsidRDefault="00A81C19" w:rsidP="00A81C19">
      <w:pPr>
        <w:spacing w:line="360" w:lineRule="auto"/>
        <w:ind w:left="66"/>
        <w:contextualSpacing/>
        <w:jc w:val="both"/>
        <w:rPr>
          <w:rFonts w:ascii="Arial" w:hAnsi="Arial" w:cs="Arial"/>
          <w:sz w:val="20"/>
          <w:szCs w:val="20"/>
          <w:lang w:val="es-MX"/>
        </w:rPr>
      </w:pPr>
    </w:p>
    <w:p w:rsidR="00A81C19" w:rsidRPr="00375150" w:rsidRDefault="00A81C19" w:rsidP="00A81C19">
      <w:pPr>
        <w:spacing w:line="360" w:lineRule="auto"/>
        <w:ind w:left="66"/>
        <w:contextualSpacing/>
        <w:jc w:val="both"/>
        <w:rPr>
          <w:rFonts w:ascii="Arial" w:hAnsi="Arial" w:cs="Arial"/>
          <w:sz w:val="20"/>
          <w:szCs w:val="20"/>
          <w:lang w:val="es-MX"/>
        </w:rPr>
      </w:pPr>
      <w:r w:rsidRPr="00375150">
        <w:rPr>
          <w:rFonts w:ascii="Arial" w:hAnsi="Arial" w:cs="Arial"/>
          <w:sz w:val="20"/>
          <w:szCs w:val="20"/>
          <w:lang w:val="es-MX"/>
        </w:rPr>
        <w:t>De acuerdo con los parámetros establecidos en la siguiente tabla relacionada con el cumplimiento alcanzado para las unidades de medida e indicadores, desarrolle los puntos c) y d).</w:t>
      </w:r>
    </w:p>
    <w:p w:rsidR="00A81C19" w:rsidRPr="00375150" w:rsidRDefault="00A81C19" w:rsidP="00A81C19">
      <w:pPr>
        <w:spacing w:line="360" w:lineRule="auto"/>
        <w:ind w:left="66"/>
        <w:contextualSpacing/>
        <w:jc w:val="both"/>
        <w:rPr>
          <w:rFonts w:ascii="Arial" w:hAnsi="Arial" w:cs="Arial"/>
          <w:b/>
          <w:sz w:val="20"/>
          <w:szCs w:val="20"/>
          <w:lang w:val="es-MX"/>
        </w:rPr>
      </w:pPr>
    </w:p>
    <w:tbl>
      <w:tblPr>
        <w:tblStyle w:val="Listaclara-nfasis5"/>
        <w:tblW w:w="0" w:type="auto"/>
        <w:jc w:val="center"/>
        <w:tblBorders>
          <w:insideH w:val="single" w:sz="6" w:space="0" w:color="4BACC6" w:themeColor="accent5"/>
          <w:insideV w:val="single" w:sz="6" w:space="0" w:color="4BACC6" w:themeColor="accent5"/>
        </w:tblBorders>
        <w:tblLook w:val="04A0"/>
      </w:tblPr>
      <w:tblGrid>
        <w:gridCol w:w="2835"/>
        <w:gridCol w:w="4677"/>
      </w:tblGrid>
      <w:tr w:rsidR="00A81C19" w:rsidRPr="00375150" w:rsidTr="00A81C19">
        <w:trPr>
          <w:cnfStyle w:val="100000000000"/>
          <w:jc w:val="center"/>
        </w:trPr>
        <w:tc>
          <w:tcPr>
            <w:cnfStyle w:val="001000000000"/>
            <w:tcW w:w="2835" w:type="dxa"/>
            <w:tcBorders>
              <w:top w:val="single" w:sz="8" w:space="0" w:color="4BACC6" w:themeColor="accent5"/>
              <w:left w:val="single" w:sz="8" w:space="0" w:color="4BACC6" w:themeColor="accent5"/>
              <w:bottom w:val="single" w:sz="6" w:space="0" w:color="4BACC6" w:themeColor="accent5"/>
              <w:right w:val="single" w:sz="6" w:space="0" w:color="4BACC6" w:themeColor="accent5"/>
            </w:tcBorders>
            <w:vAlign w:val="center"/>
            <w:hideMark/>
          </w:tcPr>
          <w:p w:rsidR="00A81C19" w:rsidRPr="00375150" w:rsidRDefault="00A81C19" w:rsidP="00A81C19">
            <w:pPr>
              <w:spacing w:line="360" w:lineRule="auto"/>
              <w:rPr>
                <w:rFonts w:ascii="Arial" w:hAnsi="Arial" w:cs="Arial"/>
                <w:sz w:val="20"/>
                <w:szCs w:val="20"/>
                <w:lang w:val="es-MX"/>
              </w:rPr>
            </w:pPr>
            <w:r w:rsidRPr="00375150">
              <w:rPr>
                <w:rFonts w:ascii="Arial" w:hAnsi="Arial" w:cs="Arial"/>
                <w:sz w:val="20"/>
                <w:szCs w:val="20"/>
                <w:lang w:val="es-MX"/>
              </w:rPr>
              <w:t>Parámetros de cumplimiento</w:t>
            </w:r>
          </w:p>
        </w:tc>
        <w:tc>
          <w:tcPr>
            <w:tcW w:w="4677" w:type="dxa"/>
            <w:tcBorders>
              <w:top w:val="single" w:sz="8"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rsidR="00A81C19" w:rsidRPr="00375150" w:rsidRDefault="00A81C19" w:rsidP="00A81C19">
            <w:pPr>
              <w:spacing w:line="360" w:lineRule="auto"/>
              <w:jc w:val="center"/>
              <w:cnfStyle w:val="100000000000"/>
              <w:rPr>
                <w:rFonts w:ascii="Arial" w:hAnsi="Arial" w:cs="Arial"/>
                <w:sz w:val="20"/>
                <w:szCs w:val="20"/>
                <w:lang w:val="es-MX"/>
              </w:rPr>
            </w:pPr>
            <w:r w:rsidRPr="00375150">
              <w:rPr>
                <w:rFonts w:ascii="Arial" w:hAnsi="Arial" w:cs="Arial"/>
                <w:sz w:val="20"/>
                <w:szCs w:val="20"/>
                <w:lang w:val="es-MX"/>
              </w:rPr>
              <w:t>Rango</w:t>
            </w:r>
          </w:p>
        </w:tc>
      </w:tr>
      <w:tr w:rsidR="00A81C19" w:rsidRPr="00375150" w:rsidTr="00A81C19">
        <w:trPr>
          <w:cnfStyle w:val="000000100000"/>
          <w:jc w:val="center"/>
        </w:trPr>
        <w:tc>
          <w:tcPr>
            <w:cnfStyle w:val="001000000000"/>
            <w:tcW w:w="2835" w:type="dxa"/>
            <w:tcBorders>
              <w:top w:val="single" w:sz="6" w:space="0" w:color="4BACC6" w:themeColor="accent5"/>
              <w:bottom w:val="single" w:sz="6" w:space="0" w:color="4BACC6" w:themeColor="accent5"/>
              <w:right w:val="single" w:sz="6" w:space="0" w:color="4BACC6" w:themeColor="accent5"/>
            </w:tcBorders>
            <w:shd w:val="clear" w:color="auto" w:fill="92D050"/>
            <w:vAlign w:val="center"/>
            <w:hideMark/>
          </w:tcPr>
          <w:p w:rsidR="00A81C19" w:rsidRPr="00375150" w:rsidRDefault="00A81C19" w:rsidP="00A81C19">
            <w:pPr>
              <w:spacing w:line="360" w:lineRule="auto"/>
              <w:rPr>
                <w:rFonts w:ascii="Arial" w:hAnsi="Arial" w:cs="Arial"/>
                <w:sz w:val="20"/>
                <w:szCs w:val="20"/>
                <w:lang w:val="es-MX"/>
              </w:rPr>
            </w:pPr>
            <w:r w:rsidRPr="0077710A">
              <w:rPr>
                <w:rFonts w:ascii="Arial" w:hAnsi="Arial" w:cs="Arial"/>
                <w:sz w:val="20"/>
                <w:szCs w:val="20"/>
                <w:lang w:val="es-MX"/>
              </w:rPr>
              <w:t>Cumpl</w:t>
            </w:r>
            <w:r w:rsidRPr="00375150">
              <w:rPr>
                <w:rFonts w:ascii="Arial" w:hAnsi="Arial" w:cs="Arial"/>
                <w:sz w:val="20"/>
                <w:szCs w:val="20"/>
                <w:lang w:val="es-MX"/>
              </w:rPr>
              <w:t>imiento Alto (CA)</w:t>
            </w:r>
          </w:p>
        </w:tc>
        <w:tc>
          <w:tcPr>
            <w:tcW w:w="4677" w:type="dxa"/>
            <w:tcBorders>
              <w:top w:val="single" w:sz="6" w:space="0" w:color="4BACC6" w:themeColor="accent5"/>
              <w:left w:val="single" w:sz="6" w:space="0" w:color="4BACC6" w:themeColor="accent5"/>
              <w:bottom w:val="single" w:sz="6" w:space="0" w:color="4BACC6" w:themeColor="accent5"/>
            </w:tcBorders>
            <w:vAlign w:val="center"/>
            <w:hideMark/>
          </w:tcPr>
          <w:p w:rsidR="00A81C19" w:rsidRPr="00375150" w:rsidRDefault="00A81C19" w:rsidP="00A81C19">
            <w:pPr>
              <w:spacing w:line="360" w:lineRule="auto"/>
              <w:jc w:val="center"/>
              <w:cnfStyle w:val="000000100000"/>
              <w:rPr>
                <w:rFonts w:ascii="Arial" w:hAnsi="Arial" w:cs="Arial"/>
                <w:i/>
                <w:sz w:val="20"/>
                <w:szCs w:val="20"/>
                <w:lang w:val="es-MX"/>
              </w:rPr>
            </w:pPr>
            <w:r w:rsidRPr="00375150">
              <w:rPr>
                <w:rFonts w:ascii="Arial" w:hAnsi="Arial" w:cs="Arial"/>
                <w:i/>
                <w:sz w:val="20"/>
                <w:szCs w:val="20"/>
                <w:lang w:val="es-MX"/>
              </w:rPr>
              <w:t>Mayor o igual a 90%</w:t>
            </w:r>
          </w:p>
        </w:tc>
      </w:tr>
      <w:tr w:rsidR="00A81C19" w:rsidRPr="00375150" w:rsidTr="00A81C19">
        <w:trPr>
          <w:trHeight w:val="280"/>
          <w:jc w:val="center"/>
        </w:trPr>
        <w:tc>
          <w:tcPr>
            <w:cnfStyle w:val="001000000000"/>
            <w:tcW w:w="2835" w:type="dxa"/>
            <w:tcBorders>
              <w:top w:val="single" w:sz="6" w:space="0" w:color="4BACC6" w:themeColor="accent5"/>
              <w:left w:val="single" w:sz="8" w:space="0" w:color="4BACC6" w:themeColor="accent5"/>
              <w:bottom w:val="single" w:sz="6" w:space="0" w:color="4BACC6" w:themeColor="accent5"/>
              <w:right w:val="single" w:sz="6" w:space="0" w:color="4BACC6" w:themeColor="accent5"/>
            </w:tcBorders>
            <w:shd w:val="clear" w:color="auto" w:fill="FFFF00"/>
            <w:vAlign w:val="center"/>
            <w:hideMark/>
          </w:tcPr>
          <w:p w:rsidR="00A81C19" w:rsidRPr="00375150" w:rsidRDefault="00A81C19" w:rsidP="00A81C19">
            <w:pPr>
              <w:spacing w:line="360" w:lineRule="auto"/>
              <w:rPr>
                <w:rFonts w:ascii="Arial" w:hAnsi="Arial" w:cs="Arial"/>
                <w:sz w:val="20"/>
                <w:szCs w:val="20"/>
                <w:lang w:val="es-MX"/>
              </w:rPr>
            </w:pPr>
            <w:r w:rsidRPr="0077710A">
              <w:rPr>
                <w:rFonts w:ascii="Arial" w:hAnsi="Arial" w:cs="Arial"/>
                <w:sz w:val="20"/>
                <w:szCs w:val="20"/>
                <w:lang w:val="es-MX"/>
              </w:rPr>
              <w:t>Cumplimiento Medio (CM)</w:t>
            </w:r>
          </w:p>
        </w:tc>
        <w:tc>
          <w:tcPr>
            <w:tcW w:w="4677" w:type="dxa"/>
            <w:tcBorders>
              <w:top w:val="single" w:sz="6"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rsidR="00A81C19" w:rsidRPr="00375150" w:rsidRDefault="00A81C19" w:rsidP="00A81C19">
            <w:pPr>
              <w:spacing w:line="360" w:lineRule="auto"/>
              <w:jc w:val="center"/>
              <w:cnfStyle w:val="000000000000"/>
              <w:rPr>
                <w:rFonts w:ascii="Arial" w:hAnsi="Arial" w:cs="Arial"/>
                <w:i/>
                <w:sz w:val="20"/>
                <w:szCs w:val="20"/>
                <w:lang w:val="es-MX"/>
              </w:rPr>
            </w:pPr>
            <w:r w:rsidRPr="00375150">
              <w:rPr>
                <w:rFonts w:ascii="Arial" w:hAnsi="Arial" w:cs="Arial"/>
                <w:i/>
                <w:sz w:val="20"/>
                <w:szCs w:val="20"/>
                <w:lang w:val="es-MX"/>
              </w:rPr>
              <w:t xml:space="preserve">Menor </w:t>
            </w:r>
            <w:r w:rsidR="00B76147" w:rsidRPr="00375150">
              <w:rPr>
                <w:rFonts w:ascii="Arial" w:hAnsi="Arial" w:cs="Arial"/>
                <w:i/>
                <w:sz w:val="20"/>
                <w:szCs w:val="20"/>
                <w:lang w:val="es-MX"/>
              </w:rPr>
              <w:t>o igual</w:t>
            </w:r>
            <w:r w:rsidRPr="00375150">
              <w:rPr>
                <w:rFonts w:ascii="Arial" w:hAnsi="Arial" w:cs="Arial"/>
                <w:i/>
                <w:sz w:val="20"/>
                <w:szCs w:val="20"/>
                <w:lang w:val="es-MX"/>
              </w:rPr>
              <w:t xml:space="preserve"> a 89,99% o igual a 50%</w:t>
            </w:r>
          </w:p>
        </w:tc>
      </w:tr>
      <w:tr w:rsidR="00A81C19" w:rsidRPr="00375150" w:rsidTr="00A81C19">
        <w:trPr>
          <w:cnfStyle w:val="000000100000"/>
          <w:jc w:val="center"/>
        </w:trPr>
        <w:tc>
          <w:tcPr>
            <w:cnfStyle w:val="001000000000"/>
            <w:tcW w:w="2835" w:type="dxa"/>
            <w:tcBorders>
              <w:top w:val="single" w:sz="6" w:space="0" w:color="4BACC6" w:themeColor="accent5"/>
              <w:right w:val="single" w:sz="6" w:space="0" w:color="4BACC6" w:themeColor="accent5"/>
            </w:tcBorders>
            <w:shd w:val="clear" w:color="auto" w:fill="C00000"/>
            <w:vAlign w:val="center"/>
            <w:hideMark/>
          </w:tcPr>
          <w:p w:rsidR="00A81C19" w:rsidRPr="00375150" w:rsidRDefault="00A81C19" w:rsidP="00A81C19">
            <w:pPr>
              <w:spacing w:line="360" w:lineRule="auto"/>
              <w:rPr>
                <w:rFonts w:ascii="Arial" w:hAnsi="Arial" w:cs="Arial"/>
                <w:sz w:val="20"/>
                <w:szCs w:val="20"/>
                <w:lang w:val="es-MX"/>
              </w:rPr>
            </w:pPr>
            <w:r w:rsidRPr="0077710A">
              <w:rPr>
                <w:rFonts w:ascii="Arial" w:hAnsi="Arial" w:cs="Arial"/>
                <w:sz w:val="20"/>
                <w:szCs w:val="20"/>
                <w:lang w:val="es-MX"/>
              </w:rPr>
              <w:t>Cumplimiento Bajo (CB)</w:t>
            </w:r>
          </w:p>
        </w:tc>
        <w:tc>
          <w:tcPr>
            <w:tcW w:w="4677" w:type="dxa"/>
            <w:tcBorders>
              <w:top w:val="single" w:sz="6" w:space="0" w:color="4BACC6" w:themeColor="accent5"/>
              <w:left w:val="single" w:sz="6" w:space="0" w:color="4BACC6" w:themeColor="accent5"/>
            </w:tcBorders>
            <w:vAlign w:val="center"/>
            <w:hideMark/>
          </w:tcPr>
          <w:p w:rsidR="00A81C19" w:rsidRPr="00375150" w:rsidRDefault="00A81C19" w:rsidP="00A81C19">
            <w:pPr>
              <w:spacing w:line="360" w:lineRule="auto"/>
              <w:jc w:val="center"/>
              <w:cnfStyle w:val="000000100000"/>
              <w:rPr>
                <w:rFonts w:ascii="Arial" w:hAnsi="Arial" w:cs="Arial"/>
                <w:i/>
                <w:sz w:val="20"/>
                <w:szCs w:val="20"/>
                <w:lang w:val="es-MX"/>
              </w:rPr>
            </w:pPr>
            <w:r w:rsidRPr="00375150">
              <w:rPr>
                <w:rFonts w:ascii="Arial" w:hAnsi="Arial" w:cs="Arial"/>
                <w:i/>
                <w:sz w:val="20"/>
                <w:szCs w:val="20"/>
                <w:lang w:val="es-MX"/>
              </w:rPr>
              <w:t>Menor o igual a 49,99%</w:t>
            </w:r>
          </w:p>
        </w:tc>
      </w:tr>
    </w:tbl>
    <w:p w:rsidR="00A81C19" w:rsidRPr="0077710A" w:rsidRDefault="00A81C19" w:rsidP="00A81C19">
      <w:pPr>
        <w:spacing w:line="360" w:lineRule="auto"/>
        <w:ind w:left="66"/>
        <w:contextualSpacing/>
        <w:jc w:val="both"/>
        <w:rPr>
          <w:rFonts w:ascii="Arial" w:hAnsi="Arial" w:cs="Arial"/>
          <w:sz w:val="20"/>
          <w:szCs w:val="20"/>
          <w:lang w:val="es-MX"/>
        </w:rPr>
      </w:pPr>
    </w:p>
    <w:p w:rsidR="00A81C19" w:rsidRPr="0084580C" w:rsidRDefault="00A81C19" w:rsidP="0084580C">
      <w:pPr>
        <w:pStyle w:val="Prrafodelista"/>
        <w:numPr>
          <w:ilvl w:val="0"/>
          <w:numId w:val="20"/>
        </w:numPr>
        <w:spacing w:line="360" w:lineRule="auto"/>
        <w:ind w:left="425" w:hanging="357"/>
        <w:contextualSpacing/>
        <w:jc w:val="both"/>
        <w:rPr>
          <w:rFonts w:ascii="Arial" w:hAnsi="Arial" w:cs="Arial"/>
          <w:b/>
          <w:sz w:val="20"/>
          <w:szCs w:val="20"/>
          <w:lang w:val="es-MX"/>
        </w:rPr>
      </w:pPr>
      <w:r w:rsidRPr="0084580C">
        <w:rPr>
          <w:rFonts w:ascii="Arial" w:hAnsi="Arial" w:cs="Arial"/>
          <w:b/>
          <w:sz w:val="20"/>
          <w:szCs w:val="20"/>
          <w:lang w:val="es-MX"/>
        </w:rPr>
        <w:t xml:space="preserve">En relación con las unidades de medida, para los casos con porcentajes de cumplimientos bajo y medio, indique las razones que incidieron para ubicarse en determinado nivel y las acciones correctivas que desarrollará el programa y/o subprograma </w:t>
      </w:r>
      <w:r w:rsidRPr="0084580C">
        <w:rPr>
          <w:rFonts w:ascii="Arial" w:hAnsi="Arial" w:cs="Arial"/>
          <w:b/>
          <w:sz w:val="20"/>
          <w:szCs w:val="20"/>
          <w:u w:val="single"/>
          <w:lang w:val="es-MX"/>
        </w:rPr>
        <w:t>con la fecha de implementación de las mismas</w:t>
      </w:r>
      <w:r w:rsidRPr="0084580C">
        <w:rPr>
          <w:rFonts w:ascii="Arial" w:hAnsi="Arial" w:cs="Arial"/>
          <w:b/>
          <w:sz w:val="20"/>
          <w:szCs w:val="20"/>
          <w:lang w:val="es-MX"/>
        </w:rPr>
        <w:t xml:space="preserve">, así como el nombre de la unidad o departamento que las llevará a cabo y dará seguimiento para efectuar una mejor gestión. </w:t>
      </w:r>
    </w:p>
    <w:p w:rsidR="00A81C19" w:rsidRPr="0077710A" w:rsidRDefault="00A81C19" w:rsidP="00A81C19">
      <w:pPr>
        <w:pStyle w:val="Prrafodelista"/>
        <w:spacing w:line="360" w:lineRule="auto"/>
        <w:ind w:left="426"/>
        <w:contextualSpacing/>
        <w:jc w:val="both"/>
        <w:rPr>
          <w:rFonts w:ascii="Arial" w:hAnsi="Arial" w:cs="Arial"/>
          <w:b/>
          <w:sz w:val="20"/>
          <w:szCs w:val="20"/>
          <w:lang w:val="es-MX"/>
        </w:rPr>
      </w:pPr>
    </w:p>
    <w:p w:rsidR="00A81C19" w:rsidRPr="00375150" w:rsidRDefault="00A81C19" w:rsidP="00A81C19">
      <w:pPr>
        <w:pStyle w:val="Prrafodelista"/>
        <w:spacing w:line="360" w:lineRule="auto"/>
        <w:ind w:left="425"/>
        <w:contextualSpacing/>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Al analizar los resultados del programa 950 se determina que solamente uno de los indicadores se clasifica con cumplimiento medio, específicamente el indicador 001 relacionada con el porcentaje de casos cerrados por disminución del riesgo. </w:t>
      </w:r>
    </w:p>
    <w:p w:rsidR="00A81C19" w:rsidRPr="00375150" w:rsidRDefault="00A81C19" w:rsidP="00A81C19">
      <w:pPr>
        <w:spacing w:before="100" w:beforeAutospacing="1" w:line="360" w:lineRule="auto"/>
        <w:ind w:left="425"/>
        <w:jc w:val="both"/>
        <w:rPr>
          <w:rFonts w:ascii="Arial" w:eastAsia="Arial Unicode MS" w:hAnsi="Arial" w:cs="Arial"/>
          <w:sz w:val="20"/>
          <w:szCs w:val="20"/>
          <w:lang w:val="es-CR"/>
        </w:rPr>
      </w:pPr>
      <w:r w:rsidRPr="00375150">
        <w:rPr>
          <w:rFonts w:ascii="Arial" w:eastAsia="Arial Unicode MS" w:hAnsi="Arial" w:cs="Arial"/>
          <w:sz w:val="20"/>
          <w:szCs w:val="20"/>
          <w:lang w:val="es-CR"/>
        </w:rPr>
        <w:t>Es importante aclarar que en cumplimiento a los lineamientos de la Ley 8720 la OAPVD definió áreas de trabajo basada en dos programas: el Programa de Atención y el Programa de Protección.</w:t>
      </w:r>
    </w:p>
    <w:p w:rsidR="00A81C19" w:rsidRPr="00375150" w:rsidRDefault="00A81C19" w:rsidP="00A81C19">
      <w:pPr>
        <w:spacing w:before="100" w:beforeAutospacing="1" w:line="360" w:lineRule="auto"/>
        <w:ind w:left="425"/>
        <w:jc w:val="both"/>
        <w:rPr>
          <w:rFonts w:ascii="Arial" w:eastAsia="Arial Unicode MS" w:hAnsi="Arial" w:cs="Arial"/>
          <w:sz w:val="20"/>
          <w:szCs w:val="20"/>
          <w:lang w:val="es-CR"/>
        </w:rPr>
      </w:pPr>
      <w:r w:rsidRPr="00375150">
        <w:rPr>
          <w:rFonts w:ascii="Arial" w:eastAsia="Arial Unicode MS" w:hAnsi="Arial" w:cs="Arial"/>
          <w:sz w:val="20"/>
          <w:szCs w:val="20"/>
          <w:lang w:val="es-CR"/>
        </w:rPr>
        <w:t>Desde el programa de protección los profesionales de las distintas disciplinas</w:t>
      </w:r>
      <w:r w:rsidRPr="0077710A">
        <w:rPr>
          <w:rFonts w:ascii="Arial" w:eastAsia="Arial Unicode MS" w:hAnsi="Arial" w:cs="Arial"/>
          <w:sz w:val="20"/>
          <w:szCs w:val="20"/>
          <w:lang w:val="es-CR"/>
        </w:rPr>
        <w:footnoteReference w:id="5"/>
      </w:r>
      <w:r w:rsidRPr="0077710A">
        <w:rPr>
          <w:rFonts w:ascii="Arial" w:eastAsia="Arial Unicode MS" w:hAnsi="Arial" w:cs="Arial"/>
          <w:sz w:val="20"/>
          <w:szCs w:val="20"/>
          <w:lang w:val="es-CR"/>
        </w:rPr>
        <w:t xml:space="preserve"> de </w:t>
      </w:r>
      <w:r w:rsidRPr="00375150">
        <w:rPr>
          <w:rFonts w:ascii="Arial" w:eastAsia="Arial Unicode MS" w:hAnsi="Arial" w:cs="Arial"/>
          <w:sz w:val="20"/>
          <w:szCs w:val="20"/>
          <w:lang w:val="es-CR"/>
        </w:rPr>
        <w:t>forma conjunta estudian los casos luego de aplicar una entrevista con las personas usuarias que acuden al despacho, si se determina la existencia de un riesgo eminente que atente contra la vida y/</w:t>
      </w:r>
      <w:r w:rsidR="0084626E" w:rsidRPr="00375150">
        <w:rPr>
          <w:rFonts w:ascii="Arial" w:eastAsia="Arial Unicode MS" w:hAnsi="Arial" w:cs="Arial"/>
          <w:sz w:val="20"/>
          <w:szCs w:val="20"/>
          <w:lang w:val="es-CR"/>
        </w:rPr>
        <w:t>o integridad</w:t>
      </w:r>
      <w:r w:rsidRPr="00375150">
        <w:rPr>
          <w:rFonts w:ascii="Arial" w:eastAsia="Arial Unicode MS" w:hAnsi="Arial" w:cs="Arial"/>
          <w:sz w:val="20"/>
          <w:szCs w:val="20"/>
          <w:lang w:val="es-CR"/>
        </w:rPr>
        <w:t xml:space="preserve"> física de las personas, se define un plan de protección</w:t>
      </w:r>
      <w:r w:rsidRPr="0077710A">
        <w:rPr>
          <w:rFonts w:ascii="Arial" w:eastAsia="Arial Unicode MS" w:hAnsi="Arial" w:cs="Arial"/>
          <w:sz w:val="20"/>
          <w:szCs w:val="20"/>
          <w:lang w:val="es-CR"/>
        </w:rPr>
        <w:footnoteReference w:id="6"/>
      </w:r>
      <w:r w:rsidRPr="0077710A">
        <w:rPr>
          <w:rFonts w:ascii="Arial" w:eastAsia="Arial Unicode MS" w:hAnsi="Arial" w:cs="Arial"/>
          <w:sz w:val="20"/>
          <w:szCs w:val="20"/>
          <w:lang w:val="es-CR"/>
        </w:rPr>
        <w:t xml:space="preserve"> personalizado para</w:t>
      </w:r>
      <w:r w:rsidR="004065A8" w:rsidRPr="00375150">
        <w:rPr>
          <w:rFonts w:ascii="Arial" w:eastAsia="Arial Unicode MS" w:hAnsi="Arial" w:cs="Arial"/>
          <w:sz w:val="20"/>
          <w:szCs w:val="20"/>
          <w:lang w:val="es-CR"/>
        </w:rPr>
        <w:t xml:space="preserve"> </w:t>
      </w:r>
      <w:r w:rsidRPr="00375150">
        <w:rPr>
          <w:rFonts w:ascii="Arial" w:eastAsia="Arial Unicode MS" w:hAnsi="Arial" w:cs="Arial"/>
          <w:sz w:val="20"/>
          <w:szCs w:val="20"/>
          <w:lang w:val="es-CR"/>
        </w:rPr>
        <w:t xml:space="preserve">reducir el peligro. El disminuir el riesgo es factor relevante y además resulta una causal de exclusión definida en la ley 8720 en su artículo “12” inciso “d)”, fue </w:t>
      </w:r>
      <w:r w:rsidRPr="00375150">
        <w:rPr>
          <w:rFonts w:ascii="Arial" w:eastAsia="Arial Unicode MS" w:hAnsi="Arial" w:cs="Arial"/>
          <w:sz w:val="20"/>
          <w:szCs w:val="20"/>
          <w:lang w:val="es-CR"/>
        </w:rPr>
        <w:lastRenderedPageBreak/>
        <w:t xml:space="preserve">por tal motivo que se consideró importante cuantificar los casos cerrados por la causal desaparición del riesgo, respecto al total de casos cerrados. </w:t>
      </w:r>
    </w:p>
    <w:p w:rsidR="00A81C19" w:rsidRPr="00375150" w:rsidRDefault="00A81C19" w:rsidP="00A81C19">
      <w:pPr>
        <w:spacing w:before="100" w:beforeAutospacing="1" w:line="360" w:lineRule="auto"/>
        <w:ind w:left="425"/>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Para el 2018 en el programa de protección se registró un ingreso de 7.488 asuntos, de los cuales se cerraron por disminución de riesgo 1.184. De acuerdo al indicador </w:t>
      </w:r>
      <w:r w:rsidR="0084626E" w:rsidRPr="00375150">
        <w:rPr>
          <w:rFonts w:ascii="Arial" w:eastAsia="Arial Unicode MS" w:hAnsi="Arial" w:cs="Arial"/>
          <w:sz w:val="20"/>
          <w:szCs w:val="20"/>
          <w:lang w:val="es-CR"/>
        </w:rPr>
        <w:t>establecido se</w:t>
      </w:r>
      <w:r w:rsidRPr="00375150">
        <w:rPr>
          <w:rFonts w:ascii="Arial" w:eastAsia="Arial Unicode MS" w:hAnsi="Arial" w:cs="Arial"/>
          <w:sz w:val="20"/>
          <w:szCs w:val="20"/>
          <w:lang w:val="es-CR"/>
        </w:rPr>
        <w:t xml:space="preserve"> logró alcanzar un 88%.</w:t>
      </w:r>
    </w:p>
    <w:p w:rsidR="00A81C19" w:rsidRPr="00375150" w:rsidRDefault="00A81C19" w:rsidP="00A81C19">
      <w:pPr>
        <w:spacing w:before="100" w:beforeAutospacing="1" w:line="360" w:lineRule="auto"/>
        <w:ind w:left="426"/>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En cuanto al no alcance del 100% de la meta seguidamente se citan algunas de las razones: </w:t>
      </w:r>
    </w:p>
    <w:p w:rsidR="00A81C19" w:rsidRPr="00375150" w:rsidRDefault="00A81C19" w:rsidP="00A81C19">
      <w:pPr>
        <w:pStyle w:val="Prrafodelista"/>
        <w:numPr>
          <w:ilvl w:val="0"/>
          <w:numId w:val="8"/>
        </w:numPr>
        <w:spacing w:before="100" w:beforeAutospacing="1" w:line="360" w:lineRule="auto"/>
        <w:jc w:val="both"/>
        <w:rPr>
          <w:rFonts w:ascii="Arial" w:eastAsia="Arial Unicode MS" w:hAnsi="Arial" w:cs="Arial"/>
          <w:color w:val="FF0000"/>
          <w:sz w:val="20"/>
          <w:szCs w:val="20"/>
          <w:lang w:val="es-CR"/>
        </w:rPr>
      </w:pPr>
      <w:r w:rsidRPr="00375150">
        <w:rPr>
          <w:rFonts w:ascii="Arial" w:eastAsia="Arial Unicode MS" w:hAnsi="Arial" w:cs="Arial"/>
          <w:sz w:val="20"/>
          <w:szCs w:val="20"/>
          <w:lang w:val="es-CR"/>
        </w:rPr>
        <w:t>El Programa de Protección es  gratuito y voluntario por lo que  existe la posibilidad  que las personas usuarias luego de que se  realiza la apertura del expediente, se les atiende,  conocen  el tipo de servicio que se brinda  el despacho y los alcances de la ley 8720 “Ley de Protección a Víctimas, Testigos  y Demás Sujetos intervinientes en el Procesos Penal”  así como los derechos  y deberes que esta impone,   deciden  no  formar parte del  programa de protección,  lo que  conlleva a que los expedientes se cierren  por  falta de interés</w:t>
      </w:r>
      <w:r w:rsidRPr="0077710A">
        <w:rPr>
          <w:rFonts w:ascii="Arial" w:eastAsia="Arial Unicode MS" w:hAnsi="Arial" w:cs="Arial"/>
          <w:sz w:val="20"/>
          <w:szCs w:val="20"/>
          <w:lang w:val="es-CR"/>
        </w:rPr>
        <w:footnoteReference w:id="7"/>
      </w:r>
      <w:r w:rsidRPr="0077710A">
        <w:rPr>
          <w:rFonts w:ascii="Arial" w:eastAsia="Arial Unicode MS" w:hAnsi="Arial" w:cs="Arial"/>
          <w:sz w:val="20"/>
          <w:szCs w:val="20"/>
          <w:lang w:val="es-CR"/>
        </w:rPr>
        <w:t xml:space="preserve">  ó  por archivo administrativo</w:t>
      </w:r>
      <w:r w:rsidRPr="0077710A">
        <w:rPr>
          <w:rFonts w:ascii="Arial" w:eastAsia="Arial Unicode MS" w:hAnsi="Arial" w:cs="Arial"/>
          <w:sz w:val="20"/>
          <w:szCs w:val="20"/>
          <w:lang w:val="es-CR"/>
        </w:rPr>
        <w:footnoteReference w:id="8"/>
      </w:r>
      <w:r w:rsidRPr="0077710A">
        <w:rPr>
          <w:rFonts w:ascii="Arial" w:eastAsia="Arial Unicode MS" w:hAnsi="Arial" w:cs="Arial"/>
          <w:sz w:val="20"/>
          <w:szCs w:val="20"/>
          <w:lang w:val="es-CR"/>
        </w:rPr>
        <w:t xml:space="preserve"> es decir qu</w:t>
      </w:r>
      <w:r w:rsidRPr="00375150">
        <w:rPr>
          <w:rFonts w:ascii="Arial" w:eastAsia="Arial Unicode MS" w:hAnsi="Arial" w:cs="Arial"/>
          <w:sz w:val="20"/>
          <w:szCs w:val="20"/>
          <w:lang w:val="es-CR"/>
        </w:rPr>
        <w:t xml:space="preserve">e los casos concluyen antes de que se pueda llevar a cabo el plan de protección.   O bien inician ejecutando el plan de protección y luego deciden que ya no desean pertenecer al mismo, </w:t>
      </w:r>
      <w:r w:rsidR="0084626E" w:rsidRPr="00375150">
        <w:rPr>
          <w:rFonts w:ascii="Arial" w:eastAsia="Arial Unicode MS" w:hAnsi="Arial" w:cs="Arial"/>
          <w:sz w:val="20"/>
          <w:szCs w:val="20"/>
          <w:lang w:val="es-CR"/>
        </w:rPr>
        <w:t>sea la</w:t>
      </w:r>
      <w:r w:rsidRPr="00375150">
        <w:rPr>
          <w:rFonts w:ascii="Arial" w:eastAsia="Arial Unicode MS" w:hAnsi="Arial" w:cs="Arial"/>
          <w:sz w:val="20"/>
          <w:szCs w:val="20"/>
          <w:lang w:val="es-CR"/>
        </w:rPr>
        <w:t xml:space="preserve"> disminución de riesgo depende de que la persona continúe en el programa y cumpla con las recomendaciones técnicas que se le brindó por parte del equipo interdisciplinario.</w:t>
      </w:r>
    </w:p>
    <w:p w:rsidR="00A81C19" w:rsidRPr="00375150" w:rsidRDefault="00A81C19" w:rsidP="00A81C19">
      <w:pPr>
        <w:pStyle w:val="Prrafodelista"/>
        <w:numPr>
          <w:ilvl w:val="0"/>
          <w:numId w:val="8"/>
        </w:numPr>
        <w:spacing w:before="100" w:beforeAutospacing="1"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Huelga Laboral:  La protesta pacífica de los trabajadores de varias instituciones públicas, afectó el servicio que presta la OAPVD y por ende el alcance de los indicadores; como se indicó anteriormente desde el programa de protección se establecen estrategias y definen planes para disminuir el riesgo de las víctimas  y testigos, dentro de la planificación que se define en la mayoría de ocasiones se  requiere del apoyo de otros  despachos judiciales e instituciones estatales, las cuales limitaron su servicio por huelga durante el periodo de setiembre a diciembre, esto hablando tanto de los casos que ya estaban ingresados como de los que dejaron de llegar de las diferentes instancias  en el plazo  de la huelga.</w:t>
      </w:r>
    </w:p>
    <w:p w:rsidR="00A81C19" w:rsidRPr="00375150" w:rsidRDefault="00A81C19" w:rsidP="00A81C19">
      <w:pPr>
        <w:spacing w:before="100" w:beforeAutospacing="1"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Respecto </w:t>
      </w:r>
      <w:r w:rsidRPr="00375150">
        <w:rPr>
          <w:rFonts w:ascii="Arial" w:eastAsia="Arial Unicode MS" w:hAnsi="Arial" w:cs="Arial"/>
          <w:b/>
          <w:sz w:val="20"/>
          <w:szCs w:val="20"/>
          <w:lang w:val="es-CR"/>
        </w:rPr>
        <w:t>las acciones correctivas</w:t>
      </w:r>
      <w:r w:rsidRPr="00375150">
        <w:rPr>
          <w:rFonts w:ascii="Arial" w:eastAsia="Arial Unicode MS" w:hAnsi="Arial" w:cs="Arial"/>
          <w:sz w:val="20"/>
          <w:szCs w:val="20"/>
          <w:lang w:val="es-CR"/>
        </w:rPr>
        <w:t xml:space="preserve"> que se establecieron para el seguimiento del indicador relacionado con disminución de riesgo están: </w:t>
      </w:r>
    </w:p>
    <w:p w:rsidR="00A81C19" w:rsidRPr="00375150" w:rsidRDefault="00A81C19" w:rsidP="00A81C19">
      <w:pPr>
        <w:pStyle w:val="Prrafodelista"/>
        <w:numPr>
          <w:ilvl w:val="0"/>
          <w:numId w:val="1"/>
        </w:numPr>
        <w:spacing w:before="100" w:beforeAutospacing="1" w:line="360" w:lineRule="auto"/>
        <w:contextualSpacing/>
        <w:jc w:val="both"/>
        <w:rPr>
          <w:rFonts w:ascii="Arial" w:eastAsia="Arial Unicode MS" w:hAnsi="Arial" w:cs="Arial"/>
          <w:sz w:val="20"/>
          <w:szCs w:val="20"/>
          <w:lang w:val="es-CR"/>
        </w:rPr>
      </w:pPr>
      <w:r w:rsidRPr="00375150">
        <w:rPr>
          <w:rFonts w:ascii="Arial" w:eastAsia="Arial Unicode MS" w:hAnsi="Arial" w:cs="Arial"/>
          <w:sz w:val="20"/>
          <w:szCs w:val="20"/>
          <w:lang w:val="es-CR"/>
        </w:rPr>
        <w:lastRenderedPageBreak/>
        <w:t xml:space="preserve">Seguimiento continúo a las resoluciones de exclusión a fin de verificar que los profesionales del equipo interdisciplinario del programa de protección hayan considerado previo a plantear la solicitud de exclusión todas las causales que la normativa indica. Dicha tarea se realizará mensualmente durante el 2019, por parte del personal de Resoluciones de la OAPVD.  </w:t>
      </w:r>
    </w:p>
    <w:p w:rsidR="00A81C19" w:rsidRPr="00375150" w:rsidRDefault="00A81C19" w:rsidP="00A81C19">
      <w:pPr>
        <w:pStyle w:val="Prrafodelista"/>
        <w:spacing w:before="100" w:beforeAutospacing="1" w:line="360" w:lineRule="auto"/>
        <w:ind w:left="720"/>
        <w:contextualSpacing/>
        <w:jc w:val="both"/>
        <w:rPr>
          <w:rFonts w:ascii="Arial" w:eastAsia="Arial Unicode MS" w:hAnsi="Arial" w:cs="Arial"/>
          <w:sz w:val="20"/>
          <w:szCs w:val="20"/>
          <w:lang w:val="es-CR"/>
        </w:rPr>
      </w:pPr>
    </w:p>
    <w:p w:rsidR="00A81C19" w:rsidRPr="00375150" w:rsidRDefault="00A81C19" w:rsidP="00A81C19">
      <w:pPr>
        <w:pStyle w:val="Prrafodelista"/>
        <w:numPr>
          <w:ilvl w:val="0"/>
          <w:numId w:val="1"/>
        </w:numPr>
        <w:spacing w:before="100" w:beforeAutospacing="1" w:line="360" w:lineRule="auto"/>
        <w:contextualSpacing/>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Repaso en cada reunión disciplinar </w:t>
      </w:r>
      <w:r w:rsidR="0084626E" w:rsidRPr="00375150">
        <w:rPr>
          <w:rFonts w:ascii="Arial" w:eastAsia="Arial Unicode MS" w:hAnsi="Arial" w:cs="Arial"/>
          <w:sz w:val="20"/>
          <w:szCs w:val="20"/>
          <w:lang w:val="es-CR"/>
        </w:rPr>
        <w:t>acerca de</w:t>
      </w:r>
      <w:r w:rsidRPr="00375150">
        <w:rPr>
          <w:rFonts w:ascii="Arial" w:eastAsia="Arial Unicode MS" w:hAnsi="Arial" w:cs="Arial"/>
          <w:sz w:val="20"/>
          <w:szCs w:val="20"/>
          <w:lang w:val="es-CR"/>
        </w:rPr>
        <w:t xml:space="preserve"> las causales de exclusión establecidas en la ley que rige esta materia. </w:t>
      </w:r>
    </w:p>
    <w:p w:rsidR="00A81C19" w:rsidRPr="00375150" w:rsidRDefault="00A81C19" w:rsidP="00A81C19">
      <w:pPr>
        <w:pStyle w:val="Prrafodelista"/>
        <w:spacing w:before="100" w:beforeAutospacing="1" w:line="360" w:lineRule="auto"/>
        <w:ind w:left="720"/>
        <w:contextualSpacing/>
        <w:jc w:val="both"/>
        <w:rPr>
          <w:rFonts w:ascii="Arial" w:eastAsia="Arial Unicode MS" w:hAnsi="Arial" w:cs="Arial"/>
          <w:sz w:val="20"/>
          <w:szCs w:val="20"/>
          <w:lang w:val="es-CR"/>
        </w:rPr>
      </w:pPr>
    </w:p>
    <w:p w:rsidR="00A81C19" w:rsidRPr="00375150" w:rsidRDefault="00A81C19" w:rsidP="00A81C19">
      <w:pPr>
        <w:pStyle w:val="Prrafodelista"/>
        <w:numPr>
          <w:ilvl w:val="0"/>
          <w:numId w:val="1"/>
        </w:numPr>
        <w:spacing w:before="100" w:beforeAutospacing="1" w:line="360" w:lineRule="auto"/>
        <w:contextualSpacing/>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Divulgación de la Ley 8720 y Servicios de la OAPVD:  desarrollo de charlas informativas tanto a nivel interno del Poder Judicial ( OIJ, Fiscalías ) , así como para las distintas oficinas estatales como: Ministerio de Seguridad Pública, INAMU, CCSS, y otros a fin de reforzar el conocimiento que poseen los profesionales de esas instituciones con respecto a dicha normativa y sus alcances, lo que permitiría que desde dichas entidades previamente  puedan dar a conocer  a las personas usuarias el alcance del servicio que presta la OAPVD. Para el cumplimiento de la tarea se ha designado a cada sede regional de la OAPVD el desarrollo de al menos una charla, lo que permitirá contar a finales del 2019 con más de 20 acciones de este tipo. </w:t>
      </w:r>
    </w:p>
    <w:p w:rsidR="00A81C19" w:rsidRPr="00375150" w:rsidRDefault="00A81C19" w:rsidP="00A81C19">
      <w:pPr>
        <w:pStyle w:val="Prrafodelista"/>
        <w:spacing w:line="360" w:lineRule="auto"/>
        <w:ind w:left="426"/>
        <w:contextualSpacing/>
        <w:jc w:val="both"/>
        <w:rPr>
          <w:rFonts w:ascii="Arial" w:eastAsia="Arial Unicode MS" w:hAnsi="Arial" w:cs="Arial"/>
          <w:sz w:val="20"/>
          <w:szCs w:val="20"/>
          <w:lang w:val="es-CR"/>
        </w:rPr>
      </w:pPr>
    </w:p>
    <w:p w:rsidR="00A81C19" w:rsidRPr="00375150" w:rsidRDefault="00A81C19" w:rsidP="0084580C">
      <w:pPr>
        <w:numPr>
          <w:ilvl w:val="0"/>
          <w:numId w:val="20"/>
        </w:numPr>
        <w:spacing w:line="360" w:lineRule="auto"/>
        <w:ind w:left="426"/>
        <w:jc w:val="both"/>
        <w:rPr>
          <w:rFonts w:ascii="Arial" w:hAnsi="Arial" w:cs="Arial"/>
          <w:b/>
          <w:sz w:val="20"/>
          <w:szCs w:val="20"/>
        </w:rPr>
      </w:pPr>
      <w:r w:rsidRPr="00375150">
        <w:rPr>
          <w:rFonts w:ascii="Arial" w:hAnsi="Arial" w:cs="Arial"/>
          <w:b/>
          <w:bCs/>
          <w:sz w:val="20"/>
          <w:szCs w:val="20"/>
        </w:rPr>
        <w:t>Elabore un</w:t>
      </w:r>
      <w:r w:rsidRPr="00375150">
        <w:rPr>
          <w:rFonts w:ascii="Arial" w:hAnsi="Arial" w:cs="Arial"/>
          <w:b/>
          <w:sz w:val="20"/>
          <w:szCs w:val="20"/>
        </w:rPr>
        <w:t xml:space="preserve"> análisis amplio de los resultados de </w:t>
      </w:r>
      <w:r w:rsidRPr="00375150">
        <w:rPr>
          <w:rFonts w:ascii="Arial" w:hAnsi="Arial" w:cs="Arial"/>
          <w:b/>
          <w:sz w:val="20"/>
          <w:szCs w:val="20"/>
          <w:u w:val="single"/>
        </w:rPr>
        <w:t>cada indicador de producto</w:t>
      </w:r>
      <w:r w:rsidRPr="00375150">
        <w:rPr>
          <w:rFonts w:ascii="Arial" w:hAnsi="Arial" w:cs="Arial"/>
          <w:b/>
          <w:sz w:val="20"/>
          <w:szCs w:val="20"/>
        </w:rPr>
        <w:t xml:space="preserve"> del programa y/o subprograma, considerando los siguientes aspectos:</w:t>
      </w:r>
    </w:p>
    <w:p w:rsidR="00A81C19" w:rsidRPr="00375150" w:rsidRDefault="00A81C19" w:rsidP="00A81C19">
      <w:pPr>
        <w:spacing w:line="360" w:lineRule="auto"/>
        <w:jc w:val="both"/>
        <w:rPr>
          <w:rFonts w:ascii="Arial" w:hAnsi="Arial" w:cs="Arial"/>
          <w:b/>
          <w:sz w:val="20"/>
          <w:szCs w:val="20"/>
        </w:rPr>
      </w:pPr>
    </w:p>
    <w:p w:rsidR="00A81C19" w:rsidRPr="00375150" w:rsidRDefault="00A81C19" w:rsidP="00A81C19">
      <w:pPr>
        <w:numPr>
          <w:ilvl w:val="0"/>
          <w:numId w:val="1"/>
        </w:numPr>
        <w:tabs>
          <w:tab w:val="clear" w:pos="720"/>
          <w:tab w:val="num" w:pos="851"/>
        </w:tabs>
        <w:spacing w:line="360" w:lineRule="auto"/>
        <w:ind w:left="851" w:hanging="425"/>
        <w:jc w:val="both"/>
        <w:rPr>
          <w:rFonts w:ascii="Arial" w:hAnsi="Arial" w:cs="Arial"/>
          <w:b/>
          <w:sz w:val="20"/>
          <w:szCs w:val="20"/>
        </w:rPr>
      </w:pPr>
      <w:r w:rsidRPr="00375150">
        <w:rPr>
          <w:rFonts w:ascii="Arial" w:hAnsi="Arial" w:cs="Arial"/>
          <w:b/>
          <w:sz w:val="20"/>
          <w:szCs w:val="20"/>
        </w:rPr>
        <w:t xml:space="preserve">De los indicadores con un cumplimiento alto (mayor o igual a 90,0%), indique los beneficios brindados a la población objeto. En caso de existir metas con resultados mayores a lo programado, se deberá justificar las razones que lo generaron. </w:t>
      </w:r>
    </w:p>
    <w:p w:rsidR="00A81C19" w:rsidRPr="00375150" w:rsidRDefault="00A81C19" w:rsidP="00A81C19">
      <w:pPr>
        <w:spacing w:line="360" w:lineRule="auto"/>
        <w:jc w:val="both"/>
        <w:rPr>
          <w:rFonts w:ascii="Arial" w:hAnsi="Arial" w:cs="Arial"/>
          <w:sz w:val="20"/>
          <w:szCs w:val="20"/>
        </w:rPr>
      </w:pPr>
    </w:p>
    <w:p w:rsidR="00A81C19" w:rsidRPr="00375150" w:rsidRDefault="00A81C19" w:rsidP="00A81C19">
      <w:pPr>
        <w:spacing w:before="100" w:beforeAutospacing="1"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Existen dos indicadores que superan 90% de cumplimiento seguidamente se detallan los beneficios que los mismos generaron en la población objeto:</w:t>
      </w:r>
    </w:p>
    <w:p w:rsidR="00A81C19" w:rsidRPr="00375150" w:rsidRDefault="00A81C19" w:rsidP="00A81C19">
      <w:pPr>
        <w:spacing w:before="100" w:beforeAutospacing="1" w:line="360" w:lineRule="auto"/>
        <w:jc w:val="both"/>
        <w:rPr>
          <w:rFonts w:ascii="Arial" w:eastAsia="Arial Unicode MS" w:hAnsi="Arial" w:cs="Arial"/>
          <w:sz w:val="20"/>
          <w:szCs w:val="20"/>
          <w:lang w:val="es-CR"/>
        </w:rPr>
      </w:pPr>
    </w:p>
    <w:p w:rsidR="00A81C19" w:rsidRPr="00375150" w:rsidRDefault="00A81C19" w:rsidP="00A81C19">
      <w:pPr>
        <w:spacing w:before="100" w:beforeAutospacing="1" w:line="360" w:lineRule="auto"/>
        <w:jc w:val="both"/>
        <w:rPr>
          <w:rFonts w:ascii="Arial" w:eastAsia="Arial Unicode MS" w:hAnsi="Arial" w:cs="Arial"/>
          <w:b/>
          <w:sz w:val="20"/>
          <w:szCs w:val="20"/>
          <w:lang w:val="es-CR"/>
        </w:rPr>
      </w:pPr>
      <w:r w:rsidRPr="00375150">
        <w:rPr>
          <w:rFonts w:ascii="Arial" w:eastAsia="Arial Unicode MS" w:hAnsi="Arial" w:cs="Arial"/>
          <w:b/>
          <w:sz w:val="20"/>
          <w:szCs w:val="20"/>
          <w:lang w:val="es-CR"/>
        </w:rPr>
        <w:t>0.02.1. Porcentaje de casos concluidos por finalización del plan de intervención individualizado con respecto a cantidad total de casos concluidos por terminación del proceso de Atención</w:t>
      </w:r>
    </w:p>
    <w:p w:rsidR="00A81C19" w:rsidRPr="00375150" w:rsidRDefault="00A81C19" w:rsidP="00A81C19">
      <w:pPr>
        <w:spacing w:before="100" w:beforeAutospacing="1" w:line="360" w:lineRule="auto"/>
        <w:jc w:val="both"/>
        <w:rPr>
          <w:rFonts w:ascii="Arial" w:eastAsia="Arial Unicode MS" w:hAnsi="Arial" w:cs="Arial"/>
          <w:b/>
          <w:sz w:val="20"/>
          <w:szCs w:val="20"/>
          <w:lang w:val="es-CR"/>
        </w:rPr>
      </w:pPr>
    </w:p>
    <w:p w:rsidR="00A81C19" w:rsidRPr="00375150" w:rsidRDefault="00A81C19" w:rsidP="00A81C19">
      <w:pPr>
        <w:spacing w:before="100" w:beforeAutospacing="1"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lastRenderedPageBreak/>
        <w:t xml:space="preserve">La oficina de Atención y Protección a la Víctima del Delito tiene como principal tarea, el  proteger los derechos de las personas destinatarias de la ley  y mitigar  el impacto causado producto del  hecho ilícito;  el experimentar un hecho delictivo, dependiendo de las herramientas emocionales con que cuente la persona , con independencia del delito que se trate, puede  generar un trauma  en  la persona víctima o testigo por muchos años,  e incluso para toda su  vida,  sin embargo los especialistas señalan que un trauma de este tipo puede tratarse a tiempo y evitar que las secuelas sean mayores,  fue precisamente por este tema  que en el  2009 al reforzarse el recurso humano de la OAPVD  se le encomendó  la labor  establecer estrategias para  aminorar  el  impacto causado por el delito que sufren las personas usuarias que recurren  a la OAPVD, en aquel momento se   definió como principal herramienta de trabajo   la  intervención psicosocial, lo que podría traducirse como aquellas acciones de apoyo y recuperación emocional que contribuyen a que  la víctima o testigo se restablezca  y supere  aquellos eventos traumáticos que se generaron. Con este tipo de intervención la persona usuaria puede retomar sus proyectos </w:t>
      </w:r>
      <w:r w:rsidR="0084626E" w:rsidRPr="00375150">
        <w:rPr>
          <w:rFonts w:ascii="Arial" w:eastAsia="Arial Unicode MS" w:hAnsi="Arial" w:cs="Arial"/>
          <w:sz w:val="20"/>
          <w:szCs w:val="20"/>
          <w:lang w:val="es-CR"/>
        </w:rPr>
        <w:t>individuales y</w:t>
      </w:r>
      <w:r w:rsidRPr="00375150">
        <w:rPr>
          <w:rFonts w:ascii="Arial" w:eastAsia="Arial Unicode MS" w:hAnsi="Arial" w:cs="Arial"/>
          <w:sz w:val="20"/>
          <w:szCs w:val="20"/>
          <w:lang w:val="es-CR"/>
        </w:rPr>
        <w:t xml:space="preserve"> familiares, así como </w:t>
      </w:r>
      <w:r w:rsidR="0084626E" w:rsidRPr="00375150">
        <w:rPr>
          <w:rFonts w:ascii="Arial" w:eastAsia="Arial Unicode MS" w:hAnsi="Arial" w:cs="Arial"/>
          <w:sz w:val="20"/>
          <w:szCs w:val="20"/>
          <w:lang w:val="es-CR"/>
        </w:rPr>
        <w:t>lograr mejorar</w:t>
      </w:r>
      <w:r w:rsidRPr="00375150">
        <w:rPr>
          <w:rFonts w:ascii="Arial" w:eastAsia="Arial Unicode MS" w:hAnsi="Arial" w:cs="Arial"/>
          <w:sz w:val="20"/>
          <w:szCs w:val="20"/>
          <w:lang w:val="es-CR"/>
        </w:rPr>
        <w:t xml:space="preserve"> su calidad de vida. </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before="100" w:beforeAutospacing="1"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Enfocada bajo el supuesto antes </w:t>
      </w:r>
      <w:r w:rsidR="0084626E" w:rsidRPr="00375150">
        <w:rPr>
          <w:rFonts w:ascii="Arial" w:eastAsia="Arial Unicode MS" w:hAnsi="Arial" w:cs="Arial"/>
          <w:sz w:val="20"/>
          <w:szCs w:val="20"/>
          <w:lang w:val="es-CR"/>
        </w:rPr>
        <w:t>indicado, se</w:t>
      </w:r>
      <w:r w:rsidRPr="00375150">
        <w:rPr>
          <w:rFonts w:ascii="Arial" w:eastAsia="Arial Unicode MS" w:hAnsi="Arial" w:cs="Arial"/>
          <w:sz w:val="20"/>
          <w:szCs w:val="20"/>
          <w:lang w:val="es-CR"/>
        </w:rPr>
        <w:t xml:space="preserve"> instituyó dentro de sus indicadores que el mayor número de personas que acudan al programa de atención concluyan el plan de intervención que se les brinda, luego de la revisión de los datos estadísticos se determina que al programa de atención se dio apertura a 16.997 expedientes, de los cuales 6.904 concluyeron la intervención. </w:t>
      </w:r>
    </w:p>
    <w:p w:rsidR="00A81C19" w:rsidRPr="00375150" w:rsidRDefault="00A81C19" w:rsidP="00A81C19">
      <w:pPr>
        <w:spacing w:before="100" w:beforeAutospacing="1"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Dentro de los beneficios que se obtienen al lograr el objetivo encontramos: </w:t>
      </w:r>
    </w:p>
    <w:p w:rsidR="00A81C19" w:rsidRPr="00375150" w:rsidRDefault="00A81C19" w:rsidP="00A81C19">
      <w:pPr>
        <w:pStyle w:val="Prrafodelista"/>
        <w:numPr>
          <w:ilvl w:val="0"/>
          <w:numId w:val="9"/>
        </w:numPr>
        <w:spacing w:before="100" w:beforeAutospacing="1"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La Intervención psicosocial al ser un proceso integral permite a las personas usuarias, disminuir los traumas sufridos, reforzar su salud emocional e incorporarse nuevamente a la sociedad e incluso en muchos casos al ámbito laboral.  </w:t>
      </w:r>
    </w:p>
    <w:p w:rsidR="00A81C19" w:rsidRPr="00375150" w:rsidRDefault="00A81C19" w:rsidP="00A81C19">
      <w:pPr>
        <w:pStyle w:val="Prrafodelista"/>
        <w:numPr>
          <w:ilvl w:val="0"/>
          <w:numId w:val="9"/>
        </w:numPr>
        <w:spacing w:before="100" w:beforeAutospacing="1"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Las personas destinatarias de la ley, se empoderan e informan, disminuyendo su temor de asistir a las audiencias, juicios entre otros.  </w:t>
      </w:r>
    </w:p>
    <w:p w:rsidR="00A81C19" w:rsidRPr="00375150" w:rsidRDefault="00A81C19" w:rsidP="00A81C19">
      <w:pPr>
        <w:numPr>
          <w:ilvl w:val="0"/>
          <w:numId w:val="9"/>
        </w:num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Se incrementa la credibilidad en el sistema judicial, las personas usuarias se sienten apoyadas cuando una persona profesional de la OAPVD les acompaña a las diferentes diligencias judiciales (juicios y audiencias entre otros). </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b/>
          <w:sz w:val="20"/>
          <w:szCs w:val="20"/>
          <w:lang w:val="es-CR"/>
        </w:rPr>
      </w:pPr>
    </w:p>
    <w:p w:rsidR="00A81C19" w:rsidRPr="00375150" w:rsidRDefault="00A81C19" w:rsidP="00A81C19">
      <w:pPr>
        <w:spacing w:line="360" w:lineRule="auto"/>
        <w:jc w:val="both"/>
        <w:rPr>
          <w:rFonts w:ascii="Arial" w:hAnsi="Arial" w:cs="Arial"/>
          <w:b/>
          <w:sz w:val="20"/>
          <w:szCs w:val="20"/>
          <w:lang w:val="es-ES_tradnl"/>
        </w:rPr>
      </w:pPr>
      <w:r w:rsidRPr="00375150">
        <w:rPr>
          <w:rFonts w:ascii="Arial" w:hAnsi="Arial" w:cs="Arial"/>
          <w:b/>
          <w:sz w:val="20"/>
          <w:szCs w:val="20"/>
          <w:lang w:val="es-ES_tradnl"/>
        </w:rPr>
        <w:t xml:space="preserve">0.03.1. Porcentaje de visitas realizadas por parte del personal de la OAPVD y la UPROV a personas ingresadas a los programas de Atención y Protección respecto al total de </w:t>
      </w:r>
      <w:r w:rsidRPr="00375150">
        <w:rPr>
          <w:rFonts w:ascii="Arial" w:hAnsi="Arial" w:cs="Arial"/>
          <w:b/>
          <w:sz w:val="20"/>
          <w:szCs w:val="20"/>
          <w:lang w:val="es-ES_tradnl"/>
        </w:rPr>
        <w:lastRenderedPageBreak/>
        <w:t>personas identificadas en condición de vulnerabilidad que son atendidas en los programas de Atención y Protección</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A pesar de la limitante económica que se presenta actualmente para ejecutar la apertura de nuevas oficinas, el Poder Judicial se ha preocupado por crear estrategias y políticas institucionales que permitan brindar a las personas el acceso a los servicios judiciales.</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En ese sentido la OAPVD ha dirigido sus esfuerzos a dar cumplimiento a ese derecho fundamental, su objetivo, conseguir que al menos el 9% de las personas en condición de vulnerabilidad que acuden a la oficina y que tienen dificultad para presentarse a los Tribunales de Justicia, cuenten con la visita de un profesional de la OAPVD que les oriente en el proceso penal. </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El acceso a la justicia entre otras formas se facilita a través de las visitas domiciliarias</w:t>
      </w:r>
      <w:r w:rsidRPr="0077710A">
        <w:rPr>
          <w:rStyle w:val="Refdenotaalpie"/>
          <w:rFonts w:ascii="Arial" w:eastAsia="Arial Unicode MS" w:hAnsi="Arial" w:cs="Arial"/>
          <w:sz w:val="20"/>
          <w:szCs w:val="20"/>
        </w:rPr>
        <w:footnoteReference w:id="9"/>
      </w:r>
      <w:r w:rsidRPr="0077710A">
        <w:rPr>
          <w:rFonts w:ascii="Arial" w:eastAsia="Arial Unicode MS" w:hAnsi="Arial" w:cs="Arial"/>
          <w:sz w:val="20"/>
          <w:szCs w:val="20"/>
          <w:lang w:val="es-CR"/>
        </w:rPr>
        <w:t xml:space="preserve">  las cuales se realizan para desarrollar estudi</w:t>
      </w:r>
      <w:r w:rsidRPr="00375150">
        <w:rPr>
          <w:rFonts w:ascii="Arial" w:eastAsia="Arial Unicode MS" w:hAnsi="Arial" w:cs="Arial"/>
          <w:sz w:val="20"/>
          <w:szCs w:val="20"/>
          <w:lang w:val="es-CR"/>
        </w:rPr>
        <w:t xml:space="preserve">os de seguridad, entrevista inicial, intervención psicosocial, asesoría legal, seguimientos profesionales y brindar apoyo social, de forma individual y grupal a las personas usuarias que se les dificulta presentarse a los despachos judiciales. </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En 2018  entre la Oficina de Atención y Protección a Víctimas  y  la Unidad de  Protección  contabilizaron 3.213 visitas domiciliarias, lo que sobrepaso la meta establecida en un 3%, el  factor  que contribuyó  al cumplimiento del objetivo fue el compromiso y mística del personal de ambos despachos,                                                                                                                                                                                                                                                                                                                                                                                                                                                                                                                                                                                                                         quienes a pesar de las distancias, clima u horario se esforzaron en realizar las visitas  en las diversas regiones del país.</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b/>
          <w:sz w:val="20"/>
          <w:szCs w:val="20"/>
          <w:lang w:val="es-CR"/>
        </w:rPr>
      </w:pPr>
      <w:r w:rsidRPr="00375150">
        <w:rPr>
          <w:rFonts w:ascii="Arial" w:eastAsia="Arial Unicode MS" w:hAnsi="Arial" w:cs="Arial"/>
          <w:b/>
          <w:sz w:val="20"/>
          <w:szCs w:val="20"/>
          <w:lang w:val="es-CR"/>
        </w:rPr>
        <w:t xml:space="preserve">Ventajas de las visitas domiciliarias: </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numPr>
          <w:ilvl w:val="0"/>
          <w:numId w:val="10"/>
        </w:num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Acceso oportuno a los servicios de la administración de justicia   </w:t>
      </w:r>
    </w:p>
    <w:p w:rsidR="00A81C19" w:rsidRPr="00375150" w:rsidRDefault="00A81C19" w:rsidP="00A81C19">
      <w:pPr>
        <w:pStyle w:val="NormalWeb"/>
        <w:numPr>
          <w:ilvl w:val="0"/>
          <w:numId w:val="10"/>
        </w:numPr>
        <w:spacing w:before="0" w:beforeAutospacing="0" w:after="0" w:afterAutospacing="0" w:line="360" w:lineRule="auto"/>
        <w:rPr>
          <w:rFonts w:ascii="Arial" w:hAnsi="Arial" w:cs="Arial"/>
          <w:color w:val="000000"/>
          <w:sz w:val="20"/>
          <w:szCs w:val="20"/>
        </w:rPr>
      </w:pPr>
      <w:r w:rsidRPr="00375150">
        <w:rPr>
          <w:rFonts w:ascii="Arial" w:hAnsi="Arial" w:cs="Arial"/>
          <w:color w:val="000000"/>
          <w:sz w:val="20"/>
          <w:szCs w:val="20"/>
        </w:rPr>
        <w:t xml:space="preserve">Se lograron identificar las necesidades de la persona usuaria y su disponibilidad real de recursos. </w:t>
      </w:r>
    </w:p>
    <w:p w:rsidR="00A81C19" w:rsidRPr="00375150" w:rsidRDefault="00A81C19" w:rsidP="00A81C19">
      <w:pPr>
        <w:numPr>
          <w:ilvl w:val="0"/>
          <w:numId w:val="10"/>
        </w:num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Las víctimas y testigos perciben un mayor interés de la institución por la situación ocurrida</w:t>
      </w:r>
    </w:p>
    <w:p w:rsidR="00A81C19" w:rsidRPr="00375150" w:rsidRDefault="00A81C19" w:rsidP="00A81C19">
      <w:pPr>
        <w:pStyle w:val="NormalWeb"/>
        <w:spacing w:before="0" w:beforeAutospacing="0" w:after="0" w:afterAutospacing="0" w:line="360" w:lineRule="auto"/>
        <w:ind w:left="720"/>
        <w:rPr>
          <w:rFonts w:ascii="Arial" w:hAnsi="Arial" w:cs="Arial"/>
          <w:color w:val="000000"/>
          <w:sz w:val="20"/>
          <w:szCs w:val="20"/>
        </w:rPr>
      </w:pPr>
    </w:p>
    <w:p w:rsidR="00A81C19" w:rsidRPr="00375150" w:rsidRDefault="00A81C19" w:rsidP="00A81C19">
      <w:pPr>
        <w:spacing w:line="360" w:lineRule="auto"/>
        <w:jc w:val="both"/>
        <w:rPr>
          <w:rFonts w:ascii="Arial" w:eastAsia="Arial Unicode MS" w:hAnsi="Arial" w:cs="Arial"/>
          <w:sz w:val="20"/>
          <w:szCs w:val="20"/>
        </w:rPr>
      </w:pPr>
    </w:p>
    <w:p w:rsidR="00A81C19" w:rsidRPr="0084580C" w:rsidRDefault="00A81C19" w:rsidP="00A81C19">
      <w:pPr>
        <w:numPr>
          <w:ilvl w:val="0"/>
          <w:numId w:val="2"/>
        </w:numPr>
        <w:tabs>
          <w:tab w:val="num" w:pos="851"/>
        </w:tabs>
        <w:spacing w:line="360" w:lineRule="auto"/>
        <w:ind w:left="850" w:hanging="425"/>
        <w:jc w:val="both"/>
        <w:rPr>
          <w:rFonts w:ascii="Arial" w:hAnsi="Arial" w:cs="Arial"/>
          <w:b/>
          <w:sz w:val="20"/>
          <w:szCs w:val="20"/>
        </w:rPr>
      </w:pPr>
      <w:r w:rsidRPr="0084580C">
        <w:rPr>
          <w:rFonts w:ascii="Arial" w:hAnsi="Arial" w:cs="Arial"/>
          <w:b/>
          <w:sz w:val="20"/>
          <w:szCs w:val="20"/>
        </w:rPr>
        <w:lastRenderedPageBreak/>
        <w:t xml:space="preserve">De los indicadores con un </w:t>
      </w:r>
      <w:r w:rsidRPr="0077710A">
        <w:rPr>
          <w:rFonts w:ascii="Arial" w:hAnsi="Arial" w:cs="Arial"/>
          <w:b/>
          <w:sz w:val="20"/>
          <w:szCs w:val="20"/>
        </w:rPr>
        <w:t>cumplimiento medio y bajo</w:t>
      </w:r>
      <w:r w:rsidRPr="0084580C">
        <w:rPr>
          <w:rFonts w:ascii="Arial" w:hAnsi="Arial" w:cs="Arial"/>
          <w:b/>
          <w:sz w:val="20"/>
          <w:szCs w:val="20"/>
        </w:rPr>
        <w:t xml:space="preserve"> (menor o igual a 89,99%), refiérase a cómo esto afectó a la población objeto por los beneficios que dejó de recibir. Señalar las causas que propiciaron el incumplimiento y las medidas correctivas que la institución llevará a cabo </w:t>
      </w:r>
      <w:r w:rsidRPr="0084580C">
        <w:rPr>
          <w:rFonts w:ascii="Arial" w:hAnsi="Arial" w:cs="Arial"/>
          <w:b/>
          <w:sz w:val="20"/>
          <w:szCs w:val="20"/>
          <w:u w:val="single"/>
          <w:lang w:val="es-MX"/>
        </w:rPr>
        <w:t>con la fecha de implementación de las mismas</w:t>
      </w:r>
      <w:r w:rsidRPr="0084580C">
        <w:rPr>
          <w:rFonts w:ascii="Arial" w:hAnsi="Arial" w:cs="Arial"/>
          <w:b/>
          <w:sz w:val="20"/>
          <w:szCs w:val="20"/>
        </w:rPr>
        <w:t xml:space="preserve">, </w:t>
      </w:r>
      <w:r w:rsidRPr="0084580C">
        <w:rPr>
          <w:rFonts w:ascii="Arial" w:hAnsi="Arial" w:cs="Arial"/>
          <w:b/>
          <w:bCs/>
          <w:sz w:val="20"/>
          <w:szCs w:val="20"/>
        </w:rPr>
        <w:t>así como el nombre de la unidad o departamento que las ejecutará y dará seguimiento para efectuar una mejor gestión.</w:t>
      </w:r>
      <w:r w:rsidRPr="0084580C">
        <w:rPr>
          <w:rFonts w:ascii="Arial" w:hAnsi="Arial" w:cs="Arial"/>
          <w:b/>
          <w:sz w:val="20"/>
          <w:szCs w:val="20"/>
        </w:rPr>
        <w:t xml:space="preserve"> En los casos que sean reincidentes, referirse a las acciones que ha llevado a cabo la entidad para mejorar la situación. </w:t>
      </w:r>
    </w:p>
    <w:p w:rsidR="00A81C19" w:rsidRPr="0077710A" w:rsidRDefault="00A81C19" w:rsidP="00A81C19">
      <w:pPr>
        <w:spacing w:line="360" w:lineRule="auto"/>
        <w:ind w:left="851"/>
        <w:jc w:val="both"/>
        <w:rPr>
          <w:rFonts w:ascii="Arial" w:hAnsi="Arial" w:cs="Arial"/>
          <w:b/>
          <w:sz w:val="20"/>
          <w:szCs w:val="20"/>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Como se indicó anteriormente en el caso del programa 950 solamente un indicador califica en cumplimiento medio, el referente al porcentaje de casos concluidos por disminución del riesgo respecto a cantidad de casos totales concluidos por terminación del proceso en el programa de Protección.</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En este caso al tratarse de un servicio gratuito y voluntario existe la posibilidad de que las personas usuarias no estén de acuerdo en aceptar o acogerse al servicio que se presta en el programa de protección, es decir que el alcance del 100% del indicador no depende de la OAPVD, o bien inician ejecutando el plan de protección y luego deciden que ya no desean pertenecer al mismo, sea  la disminución de riesgo depende de que la persona continúe en el programa y cumpla con las recomendaciones técnicas que se le brindó por parte del equipo interdisciplinario . Entre las consecuencias del no alcance de lo propuesto podría estar la afectación emocional o física de la persona usuaria, producto del riesgo en que se encuentra por su condición de víctima o testigo y la poca afluencia a las distintas diligencias judiciales de esta población </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Al ser un indicador que depende de las personas usuarias, la Oficina de Atención y Protección a Víctima como parte de sus funciones establece anualmente dentro de su Plan Anual Operativo el desarrollo de Charlas Informativas respecto la Ley 8720 y los servicios que ofrece el despacho, dirigidos a la población en general, por medio de giras se lleva la información del servicio a escuelas, colegios,  territorios indígenas, instituciones gubernamentales etc., las cuales permiten a las personas conocer de los servicios y la importancia de acuden al despacho en caso de encontrarse en riesgo generado por un delito penal. </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Dentro de las medidas correctivas que se establecieron para el 2019 precisamente con el fin de concientizar a las personas de la importancia del programa de protección se tiene: </w:t>
      </w:r>
    </w:p>
    <w:p w:rsidR="00A81C19" w:rsidRPr="00375150" w:rsidRDefault="00A81C19" w:rsidP="00A81C19">
      <w:pPr>
        <w:numPr>
          <w:ilvl w:val="0"/>
          <w:numId w:val="11"/>
        </w:num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Desarrollar Talleres dirigidas a Mujeres Víctimas "Taller Mujeres transformando su historia" (programado para I semestre 2019).</w:t>
      </w:r>
    </w:p>
    <w:p w:rsidR="00A81C19" w:rsidRPr="00375150" w:rsidRDefault="00A81C19" w:rsidP="00A81C19">
      <w:pPr>
        <w:numPr>
          <w:ilvl w:val="0"/>
          <w:numId w:val="11"/>
        </w:num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lastRenderedPageBreak/>
        <w:t>Desarrollo de estrategias de coordinación interinstitucional para los servicios de atención y protección de víctimas y testigos. (programado para I Semestre 2019)</w:t>
      </w:r>
    </w:p>
    <w:p w:rsidR="00A81C19" w:rsidRPr="00375150" w:rsidRDefault="00A81C19" w:rsidP="00A81C19">
      <w:pPr>
        <w:numPr>
          <w:ilvl w:val="0"/>
          <w:numId w:val="11"/>
        </w:num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Estandarizar y optimizar al menos el 80% de los procedimientos de Oficina de Atención a la Víctima de Delitos a fin de enriquecer y agilizar las atenciones (programado para  I trimestre 2019).</w:t>
      </w:r>
    </w:p>
    <w:p w:rsidR="00A81C19" w:rsidRPr="00375150" w:rsidRDefault="00A81C19" w:rsidP="00A81C19">
      <w:pPr>
        <w:spacing w:line="360" w:lineRule="auto"/>
        <w:ind w:left="720"/>
        <w:jc w:val="both"/>
        <w:rPr>
          <w:rFonts w:ascii="Arial" w:eastAsia="Arial Unicode MS" w:hAnsi="Arial" w:cs="Arial"/>
          <w:sz w:val="20"/>
          <w:szCs w:val="20"/>
          <w:lang w:val="es-CR"/>
        </w:rPr>
      </w:pPr>
    </w:p>
    <w:p w:rsidR="00A81C19" w:rsidRPr="00375150" w:rsidRDefault="00A81C19" w:rsidP="00A81C19">
      <w:pPr>
        <w:spacing w:line="360" w:lineRule="auto"/>
        <w:ind w:left="720"/>
        <w:jc w:val="both"/>
        <w:rPr>
          <w:rFonts w:ascii="Arial" w:eastAsia="Arial Unicode MS" w:hAnsi="Arial" w:cs="Arial"/>
          <w:sz w:val="20"/>
          <w:szCs w:val="20"/>
          <w:lang w:val="es-CR"/>
        </w:rPr>
      </w:pPr>
      <w:r w:rsidRPr="00375150">
        <w:rPr>
          <w:rFonts w:ascii="Arial" w:eastAsia="Arial Unicode MS" w:hAnsi="Arial" w:cs="Arial"/>
          <w:sz w:val="20"/>
          <w:szCs w:val="20"/>
          <w:lang w:val="es-CR"/>
        </w:rPr>
        <w:t>Además de las citadas anteriormente:</w:t>
      </w:r>
    </w:p>
    <w:p w:rsidR="00A81C19" w:rsidRPr="00375150" w:rsidRDefault="00A81C19" w:rsidP="00A81C19">
      <w:pPr>
        <w:spacing w:line="360" w:lineRule="auto"/>
        <w:ind w:left="720"/>
        <w:jc w:val="both"/>
        <w:rPr>
          <w:rFonts w:ascii="Arial" w:eastAsia="Arial Unicode MS" w:hAnsi="Arial" w:cs="Arial"/>
          <w:sz w:val="20"/>
          <w:szCs w:val="20"/>
          <w:lang w:val="es-CR"/>
        </w:rPr>
      </w:pPr>
    </w:p>
    <w:p w:rsidR="00A81C19" w:rsidRPr="00375150" w:rsidRDefault="00A81C19" w:rsidP="00A81C19">
      <w:pPr>
        <w:pStyle w:val="Prrafodelista"/>
        <w:numPr>
          <w:ilvl w:val="0"/>
          <w:numId w:val="1"/>
        </w:numPr>
        <w:spacing w:before="100" w:beforeAutospacing="1" w:line="360" w:lineRule="auto"/>
        <w:contextualSpacing/>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Seguimiento continúo a las resoluciones de exclusión a fin de verificar que los profesionales del equipo interdisciplinario del programa de protección hayan considerado previo a plantear la solicitud de exclusión todas las causales que la normativa indica. Dicha tarea se realizará mensualmente durante el 2019, por parte del personal de resoluciones de la OAPVD.  </w:t>
      </w:r>
    </w:p>
    <w:p w:rsidR="00A81C19" w:rsidRPr="00375150" w:rsidRDefault="00A81C19" w:rsidP="00A81C19">
      <w:pPr>
        <w:pStyle w:val="Prrafodelista"/>
        <w:spacing w:before="100" w:beforeAutospacing="1" w:line="360" w:lineRule="auto"/>
        <w:ind w:left="720"/>
        <w:contextualSpacing/>
        <w:jc w:val="both"/>
        <w:rPr>
          <w:rFonts w:ascii="Arial" w:eastAsia="Arial Unicode MS" w:hAnsi="Arial" w:cs="Arial"/>
          <w:sz w:val="20"/>
          <w:szCs w:val="20"/>
          <w:lang w:val="es-CR"/>
        </w:rPr>
      </w:pPr>
    </w:p>
    <w:p w:rsidR="00A81C19" w:rsidRPr="00375150" w:rsidRDefault="00A81C19" w:rsidP="00A81C19">
      <w:pPr>
        <w:pStyle w:val="Prrafodelista"/>
        <w:numPr>
          <w:ilvl w:val="0"/>
          <w:numId w:val="1"/>
        </w:numPr>
        <w:spacing w:before="100" w:beforeAutospacing="1" w:line="360" w:lineRule="auto"/>
        <w:contextualSpacing/>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Divulgación de la Ley 8720 y Servicios de la OAPVD: desarrollo de charlas informativas para las distintas oficinas del Poder Judicial, a lo externo en: Ministerio de Seguridad Pública, INAMU, CCSS, y otros a fin de reforzar el conocimiento que poseen los profesionales de esas instituciones con respecto a dicha normativa y sus alcances, lo que permitiría que desde dichas entidades previamente puedan dar a conocer a las personas usuarias el alcance del servicio que presta la OAPVD. Para el cumplimiento de la tarea se ha designado a cada sede regional de la OAPVD el desarrollo de al menos una charla, lo que permitirá contar a finales del 2019 con más de 20 acciones de este tipo. </w:t>
      </w:r>
    </w:p>
    <w:p w:rsidR="00064B10" w:rsidRPr="0071763C" w:rsidRDefault="00A81C19" w:rsidP="00064B10">
      <w:pPr>
        <w:numPr>
          <w:ilvl w:val="0"/>
          <w:numId w:val="2"/>
        </w:numPr>
        <w:tabs>
          <w:tab w:val="num" w:pos="851"/>
        </w:tabs>
        <w:spacing w:line="360" w:lineRule="auto"/>
        <w:ind w:left="851" w:hanging="425"/>
        <w:jc w:val="both"/>
        <w:rPr>
          <w:rFonts w:ascii="Arial" w:hAnsi="Arial" w:cs="Arial"/>
          <w:bCs/>
          <w:sz w:val="20"/>
          <w:szCs w:val="20"/>
        </w:rPr>
      </w:pPr>
      <w:r w:rsidRPr="00375150">
        <w:rPr>
          <w:rFonts w:ascii="Arial" w:hAnsi="Arial" w:cs="Arial"/>
          <w:color w:val="FF0000"/>
          <w:sz w:val="20"/>
          <w:szCs w:val="20"/>
        </w:rPr>
        <w:br w:type="page"/>
      </w:r>
      <w:r w:rsidR="00064B10" w:rsidRPr="0071763C">
        <w:rPr>
          <w:rFonts w:ascii="Arial" w:hAnsi="Arial" w:cs="Arial"/>
          <w:sz w:val="20"/>
          <w:szCs w:val="20"/>
          <w:lang w:val="es-MX"/>
        </w:rPr>
        <w:lastRenderedPageBreak/>
        <w:t xml:space="preserve">Informe sobre los resultados de la aplicación de las acciones correctivas indicadas en </w:t>
      </w:r>
      <w:r w:rsidR="00064B10" w:rsidRPr="0071763C">
        <w:rPr>
          <w:rFonts w:ascii="Arial" w:hAnsi="Arial" w:cs="Arial"/>
          <w:bCs/>
          <w:sz w:val="20"/>
          <w:szCs w:val="20"/>
        </w:rPr>
        <w:t>el Informe de Seguimiento Semestral.</w:t>
      </w:r>
    </w:p>
    <w:p w:rsidR="00555B5B" w:rsidRDefault="00555B5B" w:rsidP="00555B5B">
      <w:pPr>
        <w:pStyle w:val="Default"/>
        <w:spacing w:line="360" w:lineRule="auto"/>
        <w:jc w:val="both"/>
        <w:rPr>
          <w:color w:val="auto"/>
          <w:sz w:val="20"/>
          <w:szCs w:val="20"/>
        </w:rPr>
      </w:pPr>
    </w:p>
    <w:p w:rsidR="00555B5B" w:rsidRPr="0071763C" w:rsidRDefault="00555B5B" w:rsidP="0084580C">
      <w:pPr>
        <w:pStyle w:val="Default"/>
        <w:spacing w:line="360" w:lineRule="auto"/>
        <w:jc w:val="both"/>
        <w:rPr>
          <w:sz w:val="20"/>
          <w:szCs w:val="20"/>
        </w:rPr>
      </w:pPr>
      <w:r w:rsidRPr="008F6E08">
        <w:rPr>
          <w:color w:val="auto"/>
          <w:sz w:val="20"/>
          <w:szCs w:val="20"/>
        </w:rPr>
        <w:t>Sobre este punto</w:t>
      </w:r>
      <w:r w:rsidRPr="008F6E08">
        <w:rPr>
          <w:sz w:val="20"/>
          <w:szCs w:val="20"/>
        </w:rPr>
        <w:t>, en atención al oficio DGPN-0384-2018 del 4 de setiembre del 2018 suscrito por Marjorie Morera Gonzalez, que plantea a la Administración del programa 950-Servicio de Atención y Protección de Víctimas y Testigos, se le recuerda considerar los datos del Decreto de Reprogramación. Por lo tanto, este punto debe ser analizado en el próximo espacio de reprogramación y asignar metas de ejecución alcanzables y ajustadas a la realidad.</w:t>
      </w:r>
    </w:p>
    <w:p w:rsidR="00A81C19" w:rsidRDefault="00A81C19" w:rsidP="00A81C19">
      <w:pPr>
        <w:spacing w:after="160" w:line="360" w:lineRule="auto"/>
        <w:rPr>
          <w:rFonts w:ascii="Arial" w:hAnsi="Arial" w:cs="Arial"/>
          <w:color w:val="FF0000"/>
          <w:sz w:val="20"/>
          <w:szCs w:val="20"/>
        </w:rPr>
      </w:pPr>
    </w:p>
    <w:p w:rsidR="00064B10" w:rsidRPr="0077710A" w:rsidRDefault="00064B10" w:rsidP="00A81C19">
      <w:pPr>
        <w:spacing w:after="160" w:line="360" w:lineRule="auto"/>
        <w:rPr>
          <w:rFonts w:ascii="Arial" w:hAnsi="Arial" w:cs="Arial"/>
          <w:color w:val="FF0000"/>
          <w:sz w:val="20"/>
          <w:szCs w:val="20"/>
        </w:rPr>
      </w:pPr>
    </w:p>
    <w:p w:rsidR="00A81C19" w:rsidRPr="00375150" w:rsidRDefault="00A81C19" w:rsidP="00A81C19">
      <w:pPr>
        <w:spacing w:line="360" w:lineRule="auto"/>
        <w:jc w:val="both"/>
        <w:rPr>
          <w:rFonts w:ascii="Arial" w:hAnsi="Arial" w:cs="Arial"/>
          <w:color w:val="FF0000"/>
          <w:sz w:val="20"/>
          <w:szCs w:val="20"/>
        </w:rPr>
      </w:pPr>
    </w:p>
    <w:p w:rsidR="00A81C19" w:rsidRPr="0084580C" w:rsidRDefault="00A81C19" w:rsidP="0084580C">
      <w:pPr>
        <w:numPr>
          <w:ilvl w:val="0"/>
          <w:numId w:val="20"/>
        </w:numPr>
        <w:spacing w:line="360" w:lineRule="auto"/>
        <w:ind w:left="426"/>
        <w:jc w:val="both"/>
        <w:rPr>
          <w:rFonts w:ascii="Arial" w:hAnsi="Arial" w:cs="Arial"/>
          <w:b/>
          <w:bCs/>
          <w:sz w:val="20"/>
          <w:szCs w:val="20"/>
        </w:rPr>
      </w:pPr>
      <w:r w:rsidRPr="0084580C">
        <w:rPr>
          <w:rFonts w:ascii="Arial" w:hAnsi="Arial" w:cs="Arial"/>
          <w:b/>
          <w:bCs/>
          <w:sz w:val="20"/>
          <w:szCs w:val="20"/>
        </w:rPr>
        <w:t xml:space="preserve">Refiérase a los recursos ejecutados del programa y/o subprograma en relación con los logros alcanzados. </w:t>
      </w:r>
    </w:p>
    <w:p w:rsidR="00A81C19" w:rsidRPr="0077710A" w:rsidRDefault="00A81C19" w:rsidP="00A81C19">
      <w:pPr>
        <w:spacing w:line="360" w:lineRule="auto"/>
        <w:ind w:left="426"/>
        <w:jc w:val="both"/>
        <w:rPr>
          <w:rFonts w:ascii="Arial" w:hAnsi="Arial" w:cs="Arial"/>
          <w:bCs/>
          <w:sz w:val="20"/>
          <w:szCs w:val="20"/>
        </w:rPr>
      </w:pP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Tabla 1</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 xml:space="preserve">Poder Judicial </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 xml:space="preserve">Ministerio Público </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Programa Servicio de Atención y Protección de Víctimas y Testigos</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Cumplimiento de indicadores de producto</w:t>
      </w:r>
    </w:p>
    <w:p w:rsidR="00A81C19" w:rsidRPr="00375150" w:rsidRDefault="00A81C19" w:rsidP="00A81C19">
      <w:pPr>
        <w:spacing w:line="360" w:lineRule="auto"/>
        <w:jc w:val="center"/>
        <w:rPr>
          <w:rFonts w:ascii="Arial" w:hAnsi="Arial" w:cs="Arial"/>
          <w:b/>
          <w:sz w:val="20"/>
          <w:szCs w:val="20"/>
          <w:lang w:val="es-ES_tradnl"/>
        </w:rPr>
      </w:pPr>
      <w:r w:rsidRPr="00375150">
        <w:rPr>
          <w:rFonts w:ascii="Arial" w:hAnsi="Arial" w:cs="Arial"/>
          <w:b/>
          <w:sz w:val="20"/>
          <w:szCs w:val="20"/>
          <w:lang w:val="es-ES_tradnl"/>
        </w:rPr>
        <w:t>Al 31 de diciembre</w:t>
      </w:r>
    </w:p>
    <w:p w:rsidR="00A81C19" w:rsidRPr="00375150" w:rsidRDefault="00A81C19" w:rsidP="00A81C19">
      <w:pPr>
        <w:spacing w:line="360" w:lineRule="auto"/>
        <w:jc w:val="both"/>
        <w:rPr>
          <w:rFonts w:ascii="Arial" w:hAnsi="Arial" w:cs="Arial"/>
          <w:b/>
          <w:bCs/>
          <w:sz w:val="20"/>
          <w:szCs w:val="20"/>
          <w:lang w:val="es-ES_tradnl"/>
        </w:rPr>
      </w:pPr>
    </w:p>
    <w:tbl>
      <w:tblPr>
        <w:tblpPr w:leftFromText="141" w:rightFromText="141" w:vertAnchor="text" w:horzAnchor="margin" w:tblpXSpec="center" w:tblpY="254"/>
        <w:tblW w:w="10221" w:type="dxa"/>
        <w:tblCellMar>
          <w:left w:w="70" w:type="dxa"/>
          <w:right w:w="70" w:type="dxa"/>
        </w:tblCellMar>
        <w:tblLook w:val="04A0"/>
      </w:tblPr>
      <w:tblGrid>
        <w:gridCol w:w="870"/>
        <w:gridCol w:w="1652"/>
        <w:gridCol w:w="1698"/>
        <w:gridCol w:w="1698"/>
        <w:gridCol w:w="1563"/>
        <w:gridCol w:w="1698"/>
        <w:gridCol w:w="1444"/>
      </w:tblGrid>
      <w:tr w:rsidR="00A81C19" w:rsidRPr="00375150" w:rsidTr="00A81C19">
        <w:trPr>
          <w:trHeight w:val="443"/>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C19" w:rsidRPr="0084580C" w:rsidRDefault="00A81C19" w:rsidP="00A81C19">
            <w:pPr>
              <w:spacing w:line="360" w:lineRule="auto"/>
              <w:jc w:val="center"/>
              <w:rPr>
                <w:rFonts w:ascii="Arial" w:hAnsi="Arial" w:cs="Arial"/>
                <w:b/>
                <w:bCs/>
                <w:color w:val="000000"/>
                <w:sz w:val="20"/>
                <w:szCs w:val="20"/>
              </w:rPr>
            </w:pPr>
            <w:r w:rsidRPr="0084580C">
              <w:rPr>
                <w:rFonts w:ascii="Arial" w:hAnsi="Arial" w:cs="Arial"/>
                <w:b/>
                <w:bCs/>
                <w:color w:val="000000"/>
                <w:sz w:val="20"/>
                <w:szCs w:val="20"/>
              </w:rPr>
              <w:t xml:space="preserve">Sub partida </w:t>
            </w:r>
          </w:p>
        </w:tc>
        <w:tc>
          <w:tcPr>
            <w:tcW w:w="2356" w:type="dxa"/>
            <w:tcBorders>
              <w:top w:val="single" w:sz="4" w:space="0" w:color="auto"/>
              <w:left w:val="nil"/>
              <w:bottom w:val="single" w:sz="4" w:space="0" w:color="auto"/>
              <w:right w:val="single" w:sz="4" w:space="0" w:color="auto"/>
            </w:tcBorders>
            <w:shd w:val="clear" w:color="auto" w:fill="auto"/>
            <w:vAlign w:val="center"/>
            <w:hideMark/>
          </w:tcPr>
          <w:p w:rsidR="00A81C19" w:rsidRPr="0084580C" w:rsidRDefault="00A81C19" w:rsidP="00A81C19">
            <w:pPr>
              <w:spacing w:line="360" w:lineRule="auto"/>
              <w:jc w:val="center"/>
              <w:rPr>
                <w:rFonts w:ascii="Arial" w:hAnsi="Arial" w:cs="Arial"/>
                <w:b/>
                <w:bCs/>
                <w:color w:val="000000"/>
                <w:sz w:val="20"/>
                <w:szCs w:val="20"/>
              </w:rPr>
            </w:pPr>
            <w:r w:rsidRPr="0084580C">
              <w:rPr>
                <w:rFonts w:ascii="Arial" w:hAnsi="Arial" w:cs="Arial"/>
                <w:b/>
                <w:bCs/>
                <w:color w:val="000000"/>
                <w:sz w:val="20"/>
                <w:szCs w:val="20"/>
              </w:rPr>
              <w:t>Concepto</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A81C19" w:rsidRPr="0084580C" w:rsidRDefault="00A81C19" w:rsidP="00A81C19">
            <w:pPr>
              <w:spacing w:line="360" w:lineRule="auto"/>
              <w:jc w:val="center"/>
              <w:rPr>
                <w:rFonts w:ascii="Arial" w:hAnsi="Arial" w:cs="Arial"/>
                <w:b/>
                <w:bCs/>
                <w:color w:val="000000"/>
                <w:sz w:val="20"/>
                <w:szCs w:val="20"/>
              </w:rPr>
            </w:pPr>
            <w:r w:rsidRPr="0084580C">
              <w:rPr>
                <w:rFonts w:ascii="Arial" w:hAnsi="Arial" w:cs="Arial"/>
                <w:b/>
                <w:bCs/>
                <w:color w:val="000000"/>
                <w:sz w:val="20"/>
                <w:szCs w:val="20"/>
              </w:rPr>
              <w:t>Presupuesto Inicial</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A81C19" w:rsidRPr="0084580C" w:rsidRDefault="00A81C19" w:rsidP="00A81C19">
            <w:pPr>
              <w:spacing w:line="360" w:lineRule="auto"/>
              <w:jc w:val="center"/>
              <w:rPr>
                <w:rFonts w:ascii="Arial" w:hAnsi="Arial" w:cs="Arial"/>
                <w:b/>
                <w:bCs/>
                <w:color w:val="000000"/>
                <w:sz w:val="20"/>
                <w:szCs w:val="20"/>
              </w:rPr>
            </w:pPr>
            <w:r w:rsidRPr="0084580C">
              <w:rPr>
                <w:rFonts w:ascii="Arial" w:hAnsi="Arial" w:cs="Arial"/>
                <w:b/>
                <w:bCs/>
                <w:color w:val="000000"/>
                <w:sz w:val="20"/>
                <w:szCs w:val="20"/>
              </w:rPr>
              <w:t>Presupuesto Actual</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A81C19" w:rsidRPr="0084580C" w:rsidRDefault="00A81C19" w:rsidP="00A81C19">
            <w:pPr>
              <w:spacing w:line="360" w:lineRule="auto"/>
              <w:jc w:val="center"/>
              <w:rPr>
                <w:rFonts w:ascii="Arial" w:hAnsi="Arial" w:cs="Arial"/>
                <w:b/>
                <w:bCs/>
                <w:color w:val="000000"/>
                <w:sz w:val="20"/>
                <w:szCs w:val="20"/>
              </w:rPr>
            </w:pPr>
            <w:r w:rsidRPr="0084580C">
              <w:rPr>
                <w:rFonts w:ascii="Arial" w:hAnsi="Arial" w:cs="Arial"/>
                <w:b/>
                <w:bCs/>
                <w:color w:val="000000"/>
                <w:sz w:val="20"/>
                <w:szCs w:val="20"/>
              </w:rPr>
              <w:t>Comprometido</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A81C19" w:rsidRPr="0084580C" w:rsidRDefault="00A81C19" w:rsidP="00A81C19">
            <w:pPr>
              <w:spacing w:line="360" w:lineRule="auto"/>
              <w:jc w:val="center"/>
              <w:rPr>
                <w:rFonts w:ascii="Arial" w:hAnsi="Arial" w:cs="Arial"/>
                <w:b/>
                <w:bCs/>
                <w:color w:val="000000"/>
                <w:sz w:val="20"/>
                <w:szCs w:val="20"/>
              </w:rPr>
            </w:pPr>
            <w:r w:rsidRPr="0084580C">
              <w:rPr>
                <w:rFonts w:ascii="Arial" w:hAnsi="Arial" w:cs="Arial"/>
                <w:b/>
                <w:bCs/>
                <w:color w:val="000000"/>
                <w:sz w:val="20"/>
                <w:szCs w:val="20"/>
              </w:rPr>
              <w:t>Devengado</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A81C19" w:rsidRPr="0084580C" w:rsidRDefault="00A81C19" w:rsidP="00A81C19">
            <w:pPr>
              <w:spacing w:line="360" w:lineRule="auto"/>
              <w:jc w:val="center"/>
              <w:rPr>
                <w:rFonts w:ascii="Arial" w:hAnsi="Arial" w:cs="Arial"/>
                <w:b/>
                <w:bCs/>
                <w:color w:val="000000"/>
                <w:sz w:val="20"/>
                <w:szCs w:val="20"/>
              </w:rPr>
            </w:pPr>
            <w:r w:rsidRPr="0084580C">
              <w:rPr>
                <w:rFonts w:ascii="Arial" w:hAnsi="Arial" w:cs="Arial"/>
                <w:b/>
                <w:bCs/>
                <w:color w:val="000000"/>
                <w:sz w:val="20"/>
                <w:szCs w:val="20"/>
              </w:rPr>
              <w:t>Porcentaje de Ejecución</w:t>
            </w:r>
          </w:p>
        </w:tc>
      </w:tr>
      <w:tr w:rsidR="00A81C19" w:rsidRPr="00375150" w:rsidTr="00A81C19">
        <w:trPr>
          <w:trHeight w:val="277"/>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0</w:t>
            </w:r>
          </w:p>
        </w:tc>
        <w:tc>
          <w:tcPr>
            <w:tcW w:w="235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Remuneraciones</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8,190,475,041.00</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7,725,259,956.00</w:t>
            </w:r>
          </w:p>
        </w:tc>
        <w:tc>
          <w:tcPr>
            <w:tcW w:w="1273"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0.00</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7,402,573,747.33</w:t>
            </w:r>
          </w:p>
        </w:tc>
        <w:tc>
          <w:tcPr>
            <w:tcW w:w="14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81C19" w:rsidRPr="0084580C" w:rsidRDefault="00A81C19" w:rsidP="00A81C19">
            <w:pPr>
              <w:spacing w:line="360" w:lineRule="auto"/>
              <w:jc w:val="center"/>
              <w:rPr>
                <w:rFonts w:ascii="Arial" w:hAnsi="Arial" w:cs="Arial"/>
                <w:b/>
                <w:bCs/>
                <w:color w:val="000000"/>
                <w:sz w:val="20"/>
                <w:szCs w:val="20"/>
              </w:rPr>
            </w:pPr>
            <w:r w:rsidRPr="0084580C">
              <w:rPr>
                <w:rFonts w:ascii="Arial" w:hAnsi="Arial" w:cs="Arial"/>
                <w:b/>
                <w:bCs/>
                <w:color w:val="000000"/>
                <w:sz w:val="20"/>
                <w:szCs w:val="20"/>
              </w:rPr>
              <w:t>93,02%</w:t>
            </w:r>
          </w:p>
        </w:tc>
      </w:tr>
      <w:tr w:rsidR="00A81C19" w:rsidRPr="00375150" w:rsidTr="00A81C19">
        <w:trPr>
          <w:trHeight w:val="277"/>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1</w:t>
            </w:r>
          </w:p>
        </w:tc>
        <w:tc>
          <w:tcPr>
            <w:tcW w:w="235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Servicios</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1,158,385,630.00</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940,808,385.25</w:t>
            </w:r>
          </w:p>
        </w:tc>
        <w:tc>
          <w:tcPr>
            <w:tcW w:w="1273"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66,771,672.84</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593,427,680.77</w:t>
            </w:r>
          </w:p>
        </w:tc>
        <w:tc>
          <w:tcPr>
            <w:tcW w:w="1444" w:type="dxa"/>
            <w:vMerge/>
            <w:tcBorders>
              <w:top w:val="nil"/>
              <w:left w:val="single" w:sz="4" w:space="0" w:color="auto"/>
              <w:bottom w:val="single" w:sz="4" w:space="0" w:color="auto"/>
              <w:right w:val="single" w:sz="4" w:space="0" w:color="auto"/>
            </w:tcBorders>
            <w:vAlign w:val="center"/>
            <w:hideMark/>
          </w:tcPr>
          <w:p w:rsidR="00A81C19" w:rsidRPr="0084580C" w:rsidRDefault="00A81C19" w:rsidP="00A81C19">
            <w:pPr>
              <w:spacing w:line="360" w:lineRule="auto"/>
              <w:rPr>
                <w:rFonts w:ascii="Arial" w:hAnsi="Arial" w:cs="Arial"/>
                <w:b/>
                <w:bCs/>
                <w:color w:val="000000"/>
                <w:sz w:val="20"/>
                <w:szCs w:val="20"/>
              </w:rPr>
            </w:pPr>
          </w:p>
        </w:tc>
      </w:tr>
      <w:tr w:rsidR="00A81C19" w:rsidRPr="00375150" w:rsidTr="00A81C19">
        <w:trPr>
          <w:trHeight w:val="277"/>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2</w:t>
            </w:r>
          </w:p>
        </w:tc>
        <w:tc>
          <w:tcPr>
            <w:tcW w:w="235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Materiales y Suministros</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234,187,445.00</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262,526,221.75</w:t>
            </w:r>
          </w:p>
        </w:tc>
        <w:tc>
          <w:tcPr>
            <w:tcW w:w="1273"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11,109,480.17</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231,632,198.47</w:t>
            </w:r>
          </w:p>
        </w:tc>
        <w:tc>
          <w:tcPr>
            <w:tcW w:w="1444" w:type="dxa"/>
            <w:vMerge/>
            <w:tcBorders>
              <w:top w:val="nil"/>
              <w:left w:val="single" w:sz="4" w:space="0" w:color="auto"/>
              <w:bottom w:val="single" w:sz="4" w:space="0" w:color="auto"/>
              <w:right w:val="single" w:sz="4" w:space="0" w:color="auto"/>
            </w:tcBorders>
            <w:vAlign w:val="center"/>
            <w:hideMark/>
          </w:tcPr>
          <w:p w:rsidR="00A81C19" w:rsidRPr="0084580C" w:rsidRDefault="00A81C19" w:rsidP="00A81C19">
            <w:pPr>
              <w:spacing w:line="360" w:lineRule="auto"/>
              <w:rPr>
                <w:rFonts w:ascii="Arial" w:hAnsi="Arial" w:cs="Arial"/>
                <w:b/>
                <w:bCs/>
                <w:color w:val="000000"/>
                <w:sz w:val="20"/>
                <w:szCs w:val="20"/>
              </w:rPr>
            </w:pPr>
          </w:p>
        </w:tc>
      </w:tr>
      <w:tr w:rsidR="00A81C19" w:rsidRPr="00375150" w:rsidTr="00A81C19">
        <w:trPr>
          <w:trHeight w:val="277"/>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5</w:t>
            </w:r>
          </w:p>
        </w:tc>
        <w:tc>
          <w:tcPr>
            <w:tcW w:w="235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Bienes Duraderos</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89,549,246.00</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113,477,714.00</w:t>
            </w:r>
          </w:p>
        </w:tc>
        <w:tc>
          <w:tcPr>
            <w:tcW w:w="1273"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3,823,730.23</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101,727,201.38</w:t>
            </w:r>
          </w:p>
        </w:tc>
        <w:tc>
          <w:tcPr>
            <w:tcW w:w="1444" w:type="dxa"/>
            <w:vMerge/>
            <w:tcBorders>
              <w:top w:val="nil"/>
              <w:left w:val="single" w:sz="4" w:space="0" w:color="auto"/>
              <w:bottom w:val="single" w:sz="4" w:space="0" w:color="auto"/>
              <w:right w:val="single" w:sz="4" w:space="0" w:color="auto"/>
            </w:tcBorders>
            <w:vAlign w:val="center"/>
            <w:hideMark/>
          </w:tcPr>
          <w:p w:rsidR="00A81C19" w:rsidRPr="0084580C" w:rsidRDefault="00A81C19" w:rsidP="00A81C19">
            <w:pPr>
              <w:spacing w:line="360" w:lineRule="auto"/>
              <w:rPr>
                <w:rFonts w:ascii="Arial" w:hAnsi="Arial" w:cs="Arial"/>
                <w:b/>
                <w:bCs/>
                <w:color w:val="000000"/>
                <w:sz w:val="20"/>
                <w:szCs w:val="20"/>
              </w:rPr>
            </w:pPr>
          </w:p>
        </w:tc>
      </w:tr>
      <w:tr w:rsidR="00A81C19" w:rsidRPr="00375150" w:rsidTr="00A81C19">
        <w:trPr>
          <w:trHeight w:val="277"/>
        </w:trPr>
        <w:tc>
          <w:tcPr>
            <w:tcW w:w="870" w:type="dxa"/>
            <w:tcBorders>
              <w:top w:val="nil"/>
              <w:left w:val="single" w:sz="4" w:space="0" w:color="auto"/>
              <w:bottom w:val="single" w:sz="4" w:space="0" w:color="auto"/>
              <w:right w:val="single" w:sz="4" w:space="0" w:color="auto"/>
            </w:tcBorders>
            <w:shd w:val="clear" w:color="auto" w:fill="auto"/>
            <w:noWrap/>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6</w:t>
            </w:r>
          </w:p>
        </w:tc>
        <w:tc>
          <w:tcPr>
            <w:tcW w:w="235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Transferencias Corrientes</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57,027,964.00</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57,027,964.00</w:t>
            </w:r>
          </w:p>
        </w:tc>
        <w:tc>
          <w:tcPr>
            <w:tcW w:w="1273"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0.00</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46,079,066.57</w:t>
            </w:r>
          </w:p>
        </w:tc>
        <w:tc>
          <w:tcPr>
            <w:tcW w:w="1444" w:type="dxa"/>
            <w:vMerge/>
            <w:tcBorders>
              <w:top w:val="nil"/>
              <w:left w:val="single" w:sz="4" w:space="0" w:color="auto"/>
              <w:bottom w:val="single" w:sz="4" w:space="0" w:color="auto"/>
              <w:right w:val="single" w:sz="4" w:space="0" w:color="auto"/>
            </w:tcBorders>
            <w:vAlign w:val="center"/>
            <w:hideMark/>
          </w:tcPr>
          <w:p w:rsidR="00A81C19" w:rsidRPr="0084580C" w:rsidRDefault="00A81C19" w:rsidP="00A81C19">
            <w:pPr>
              <w:spacing w:line="360" w:lineRule="auto"/>
              <w:rPr>
                <w:rFonts w:ascii="Arial" w:hAnsi="Arial" w:cs="Arial"/>
                <w:b/>
                <w:bCs/>
                <w:color w:val="000000"/>
                <w:sz w:val="20"/>
                <w:szCs w:val="20"/>
              </w:rPr>
            </w:pPr>
          </w:p>
        </w:tc>
      </w:tr>
      <w:tr w:rsidR="00A81C19" w:rsidRPr="00375150" w:rsidTr="00A81C19">
        <w:trPr>
          <w:trHeight w:val="277"/>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7</w:t>
            </w:r>
          </w:p>
        </w:tc>
        <w:tc>
          <w:tcPr>
            <w:tcW w:w="235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Transferencias de Capital</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0.00</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5,000,000.00</w:t>
            </w:r>
          </w:p>
        </w:tc>
        <w:tc>
          <w:tcPr>
            <w:tcW w:w="1273"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0.00</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5,000,000.00</w:t>
            </w:r>
          </w:p>
        </w:tc>
        <w:tc>
          <w:tcPr>
            <w:tcW w:w="1444" w:type="dxa"/>
            <w:vMerge/>
            <w:tcBorders>
              <w:top w:val="nil"/>
              <w:left w:val="single" w:sz="4" w:space="0" w:color="auto"/>
              <w:bottom w:val="single" w:sz="4" w:space="0" w:color="auto"/>
              <w:right w:val="single" w:sz="4" w:space="0" w:color="auto"/>
            </w:tcBorders>
            <w:vAlign w:val="center"/>
            <w:hideMark/>
          </w:tcPr>
          <w:p w:rsidR="00A81C19" w:rsidRPr="0084580C" w:rsidRDefault="00A81C19" w:rsidP="00A81C19">
            <w:pPr>
              <w:spacing w:line="360" w:lineRule="auto"/>
              <w:rPr>
                <w:rFonts w:ascii="Arial" w:hAnsi="Arial" w:cs="Arial"/>
                <w:b/>
                <w:bCs/>
                <w:color w:val="000000"/>
                <w:sz w:val="20"/>
                <w:szCs w:val="20"/>
              </w:rPr>
            </w:pPr>
          </w:p>
        </w:tc>
      </w:tr>
      <w:tr w:rsidR="00A81C19" w:rsidRPr="00375150" w:rsidTr="00A81C19">
        <w:trPr>
          <w:trHeight w:val="277"/>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9</w:t>
            </w:r>
          </w:p>
        </w:tc>
        <w:tc>
          <w:tcPr>
            <w:tcW w:w="235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Cuentas Especiales</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68,493,674.00</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88,493,674.00</w:t>
            </w:r>
          </w:p>
        </w:tc>
        <w:tc>
          <w:tcPr>
            <w:tcW w:w="1273"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0.00</w:t>
            </w:r>
          </w:p>
        </w:tc>
        <w:tc>
          <w:tcPr>
            <w:tcW w:w="142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color w:val="000000"/>
                <w:sz w:val="20"/>
                <w:szCs w:val="20"/>
              </w:rPr>
            </w:pPr>
            <w:r w:rsidRPr="0084580C">
              <w:rPr>
                <w:rFonts w:ascii="Arial" w:hAnsi="Arial" w:cs="Arial"/>
                <w:color w:val="000000"/>
                <w:sz w:val="20"/>
                <w:szCs w:val="20"/>
              </w:rPr>
              <w:t>88,493,674.00</w:t>
            </w:r>
          </w:p>
        </w:tc>
        <w:tc>
          <w:tcPr>
            <w:tcW w:w="1444" w:type="dxa"/>
            <w:vMerge/>
            <w:tcBorders>
              <w:top w:val="nil"/>
              <w:left w:val="single" w:sz="4" w:space="0" w:color="auto"/>
              <w:bottom w:val="single" w:sz="4" w:space="0" w:color="auto"/>
              <w:right w:val="single" w:sz="4" w:space="0" w:color="auto"/>
            </w:tcBorders>
            <w:vAlign w:val="center"/>
            <w:hideMark/>
          </w:tcPr>
          <w:p w:rsidR="00A81C19" w:rsidRPr="0084580C" w:rsidRDefault="00A81C19" w:rsidP="00A81C19">
            <w:pPr>
              <w:spacing w:line="360" w:lineRule="auto"/>
              <w:rPr>
                <w:rFonts w:ascii="Arial" w:hAnsi="Arial" w:cs="Arial"/>
                <w:b/>
                <w:bCs/>
                <w:color w:val="000000"/>
                <w:sz w:val="20"/>
                <w:szCs w:val="20"/>
              </w:rPr>
            </w:pPr>
          </w:p>
        </w:tc>
      </w:tr>
      <w:tr w:rsidR="00A81C19" w:rsidRPr="00375150" w:rsidTr="00A81C19">
        <w:trPr>
          <w:trHeight w:val="277"/>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A81C19" w:rsidRPr="0084580C" w:rsidRDefault="00A81C19" w:rsidP="00A81C19">
            <w:pPr>
              <w:spacing w:line="360" w:lineRule="auto"/>
              <w:rPr>
                <w:rFonts w:ascii="Arial" w:hAnsi="Arial" w:cs="Arial"/>
                <w:color w:val="000000"/>
                <w:sz w:val="20"/>
                <w:szCs w:val="20"/>
              </w:rPr>
            </w:pPr>
            <w:r w:rsidRPr="0084580C">
              <w:rPr>
                <w:rFonts w:ascii="Arial" w:hAnsi="Arial" w:cs="Arial"/>
                <w:color w:val="000000"/>
                <w:sz w:val="20"/>
                <w:szCs w:val="20"/>
              </w:rPr>
              <w:lastRenderedPageBreak/>
              <w:t> </w:t>
            </w:r>
          </w:p>
        </w:tc>
        <w:tc>
          <w:tcPr>
            <w:tcW w:w="2356" w:type="dxa"/>
            <w:tcBorders>
              <w:top w:val="nil"/>
              <w:left w:val="nil"/>
              <w:bottom w:val="single" w:sz="4" w:space="0" w:color="auto"/>
              <w:right w:val="single" w:sz="4" w:space="0" w:color="auto"/>
            </w:tcBorders>
            <w:shd w:val="clear" w:color="auto" w:fill="auto"/>
            <w:hideMark/>
          </w:tcPr>
          <w:p w:rsidR="00A81C19" w:rsidRPr="0084580C" w:rsidRDefault="00A81C19" w:rsidP="00A81C19">
            <w:pPr>
              <w:spacing w:line="360" w:lineRule="auto"/>
              <w:jc w:val="center"/>
              <w:rPr>
                <w:rFonts w:ascii="Arial" w:hAnsi="Arial" w:cs="Arial"/>
                <w:b/>
                <w:bCs/>
                <w:color w:val="000000"/>
                <w:sz w:val="20"/>
                <w:szCs w:val="20"/>
              </w:rPr>
            </w:pPr>
            <w:r w:rsidRPr="0084580C">
              <w:rPr>
                <w:rFonts w:ascii="Arial" w:hAnsi="Arial" w:cs="Arial"/>
                <w:b/>
                <w:bCs/>
                <w:color w:val="000000"/>
                <w:sz w:val="20"/>
                <w:szCs w:val="20"/>
              </w:rPr>
              <w:t xml:space="preserve">Totales </w:t>
            </w:r>
          </w:p>
        </w:tc>
        <w:tc>
          <w:tcPr>
            <w:tcW w:w="1426" w:type="dxa"/>
            <w:tcBorders>
              <w:top w:val="nil"/>
              <w:left w:val="nil"/>
              <w:bottom w:val="single" w:sz="4" w:space="0" w:color="auto"/>
              <w:right w:val="single" w:sz="4" w:space="0" w:color="auto"/>
            </w:tcBorders>
            <w:shd w:val="clear" w:color="auto" w:fill="auto"/>
            <w:noWrap/>
            <w:vAlign w:val="center"/>
            <w:hideMark/>
          </w:tcPr>
          <w:p w:rsidR="00A81C19" w:rsidRPr="0084580C" w:rsidRDefault="00A81C19" w:rsidP="00A81C19">
            <w:pPr>
              <w:spacing w:line="360" w:lineRule="auto"/>
              <w:jc w:val="center"/>
              <w:rPr>
                <w:rFonts w:ascii="Arial" w:hAnsi="Arial" w:cs="Arial"/>
                <w:b/>
                <w:bCs/>
                <w:color w:val="000000"/>
                <w:sz w:val="20"/>
                <w:szCs w:val="20"/>
              </w:rPr>
            </w:pPr>
            <w:r w:rsidRPr="0084580C">
              <w:rPr>
                <w:rFonts w:ascii="Arial" w:hAnsi="Arial" w:cs="Arial"/>
                <w:b/>
                <w:bCs/>
                <w:color w:val="000000"/>
                <w:sz w:val="20"/>
                <w:szCs w:val="20"/>
              </w:rPr>
              <w:t>9.798.119.000,00</w:t>
            </w:r>
          </w:p>
        </w:tc>
        <w:tc>
          <w:tcPr>
            <w:tcW w:w="1426" w:type="dxa"/>
            <w:tcBorders>
              <w:top w:val="nil"/>
              <w:left w:val="nil"/>
              <w:bottom w:val="single" w:sz="4" w:space="0" w:color="auto"/>
              <w:right w:val="single" w:sz="4" w:space="0" w:color="auto"/>
            </w:tcBorders>
            <w:shd w:val="clear" w:color="auto" w:fill="auto"/>
            <w:noWrap/>
            <w:vAlign w:val="center"/>
            <w:hideMark/>
          </w:tcPr>
          <w:p w:rsidR="00A81C19" w:rsidRPr="0084580C" w:rsidRDefault="00A81C19" w:rsidP="00A81C19">
            <w:pPr>
              <w:spacing w:line="360" w:lineRule="auto"/>
              <w:jc w:val="center"/>
              <w:rPr>
                <w:rFonts w:ascii="Arial" w:hAnsi="Arial" w:cs="Arial"/>
                <w:b/>
                <w:bCs/>
                <w:color w:val="000000"/>
                <w:sz w:val="20"/>
                <w:szCs w:val="20"/>
              </w:rPr>
            </w:pPr>
            <w:r w:rsidRPr="0084580C">
              <w:rPr>
                <w:rFonts w:ascii="Arial" w:hAnsi="Arial" w:cs="Arial"/>
                <w:b/>
                <w:bCs/>
                <w:color w:val="000000"/>
                <w:sz w:val="20"/>
                <w:szCs w:val="20"/>
              </w:rPr>
              <w:t>9.192.593.915,00</w:t>
            </w:r>
          </w:p>
        </w:tc>
        <w:tc>
          <w:tcPr>
            <w:tcW w:w="1273" w:type="dxa"/>
            <w:tcBorders>
              <w:top w:val="nil"/>
              <w:left w:val="nil"/>
              <w:bottom w:val="single" w:sz="4" w:space="0" w:color="auto"/>
              <w:right w:val="single" w:sz="4" w:space="0" w:color="auto"/>
            </w:tcBorders>
            <w:shd w:val="clear" w:color="auto" w:fill="auto"/>
            <w:noWrap/>
            <w:vAlign w:val="center"/>
            <w:hideMark/>
          </w:tcPr>
          <w:p w:rsidR="00A81C19" w:rsidRPr="0084580C" w:rsidRDefault="00A81C19" w:rsidP="00A81C19">
            <w:pPr>
              <w:spacing w:line="360" w:lineRule="auto"/>
              <w:jc w:val="center"/>
              <w:rPr>
                <w:rFonts w:ascii="Arial" w:hAnsi="Arial" w:cs="Arial"/>
                <w:b/>
                <w:bCs/>
                <w:color w:val="000000"/>
                <w:sz w:val="20"/>
                <w:szCs w:val="20"/>
              </w:rPr>
            </w:pPr>
            <w:r w:rsidRPr="0084580C">
              <w:rPr>
                <w:rFonts w:ascii="Arial" w:hAnsi="Arial" w:cs="Arial"/>
                <w:b/>
                <w:bCs/>
                <w:color w:val="000000"/>
                <w:sz w:val="20"/>
                <w:szCs w:val="20"/>
              </w:rPr>
              <w:t>81.704.883,24</w:t>
            </w:r>
          </w:p>
        </w:tc>
        <w:tc>
          <w:tcPr>
            <w:tcW w:w="1426" w:type="dxa"/>
            <w:tcBorders>
              <w:top w:val="nil"/>
              <w:left w:val="nil"/>
              <w:bottom w:val="single" w:sz="4" w:space="0" w:color="auto"/>
              <w:right w:val="single" w:sz="4" w:space="0" w:color="auto"/>
            </w:tcBorders>
            <w:shd w:val="clear" w:color="auto" w:fill="auto"/>
            <w:noWrap/>
            <w:vAlign w:val="center"/>
            <w:hideMark/>
          </w:tcPr>
          <w:p w:rsidR="00A81C19" w:rsidRPr="0084580C" w:rsidRDefault="00A81C19" w:rsidP="00A81C19">
            <w:pPr>
              <w:spacing w:line="360" w:lineRule="auto"/>
              <w:jc w:val="center"/>
              <w:rPr>
                <w:rFonts w:ascii="Arial" w:hAnsi="Arial" w:cs="Arial"/>
                <w:b/>
                <w:bCs/>
                <w:color w:val="000000"/>
                <w:sz w:val="20"/>
                <w:szCs w:val="20"/>
              </w:rPr>
            </w:pPr>
            <w:r w:rsidRPr="0084580C">
              <w:rPr>
                <w:rFonts w:ascii="Arial" w:hAnsi="Arial" w:cs="Arial"/>
                <w:b/>
                <w:bCs/>
                <w:color w:val="000000"/>
                <w:sz w:val="20"/>
                <w:szCs w:val="20"/>
              </w:rPr>
              <w:t>8.468.933.568,52</w:t>
            </w:r>
          </w:p>
        </w:tc>
        <w:tc>
          <w:tcPr>
            <w:tcW w:w="1444" w:type="dxa"/>
            <w:vMerge/>
            <w:tcBorders>
              <w:top w:val="nil"/>
              <w:left w:val="single" w:sz="4" w:space="0" w:color="auto"/>
              <w:bottom w:val="single" w:sz="4" w:space="0" w:color="auto"/>
              <w:right w:val="single" w:sz="4" w:space="0" w:color="auto"/>
            </w:tcBorders>
            <w:vAlign w:val="center"/>
            <w:hideMark/>
          </w:tcPr>
          <w:p w:rsidR="00A81C19" w:rsidRPr="0084580C" w:rsidRDefault="00A81C19" w:rsidP="00A81C19">
            <w:pPr>
              <w:spacing w:line="360" w:lineRule="auto"/>
              <w:rPr>
                <w:rFonts w:ascii="Arial" w:hAnsi="Arial" w:cs="Arial"/>
                <w:b/>
                <w:bCs/>
                <w:color w:val="000000"/>
                <w:sz w:val="20"/>
                <w:szCs w:val="20"/>
              </w:rPr>
            </w:pPr>
          </w:p>
        </w:tc>
      </w:tr>
    </w:tbl>
    <w:p w:rsidR="00A81C19" w:rsidRPr="0077710A" w:rsidRDefault="00A81C19" w:rsidP="00A81C19">
      <w:pPr>
        <w:spacing w:line="360" w:lineRule="auto"/>
        <w:jc w:val="both"/>
        <w:rPr>
          <w:rFonts w:ascii="Arial" w:hAnsi="Arial" w:cs="Arial"/>
          <w:bCs/>
          <w:sz w:val="20"/>
          <w:szCs w:val="20"/>
          <w:lang w:val="es-ES_tradnl"/>
        </w:rPr>
      </w:pPr>
    </w:p>
    <w:p w:rsidR="00A81C19" w:rsidRPr="00375150" w:rsidRDefault="00A81C19" w:rsidP="00A81C19">
      <w:pPr>
        <w:spacing w:line="360" w:lineRule="auto"/>
        <w:jc w:val="both"/>
        <w:rPr>
          <w:rFonts w:ascii="Arial" w:hAnsi="Arial" w:cs="Arial"/>
          <w:bCs/>
          <w:sz w:val="20"/>
          <w:szCs w:val="20"/>
          <w:lang w:val="es-ES_tradnl"/>
        </w:rPr>
      </w:pPr>
    </w:p>
    <w:p w:rsidR="00A81C19" w:rsidRPr="00375150" w:rsidRDefault="00A81C19" w:rsidP="00A81C19">
      <w:pPr>
        <w:spacing w:line="360" w:lineRule="auto"/>
        <w:ind w:left="720"/>
        <w:jc w:val="both"/>
        <w:rPr>
          <w:rFonts w:ascii="Arial" w:hAnsi="Arial" w:cs="Arial"/>
          <w:bCs/>
          <w:sz w:val="20"/>
          <w:szCs w:val="20"/>
        </w:rPr>
      </w:pPr>
    </w:p>
    <w:p w:rsidR="00A81C19" w:rsidRPr="00375150" w:rsidRDefault="00A81C19" w:rsidP="00A81C19">
      <w:pPr>
        <w:spacing w:line="360" w:lineRule="auto"/>
        <w:jc w:val="both"/>
        <w:rPr>
          <w:rFonts w:ascii="Arial" w:hAnsi="Arial" w:cs="Arial"/>
          <w:bCs/>
          <w:sz w:val="20"/>
          <w:szCs w:val="20"/>
        </w:rPr>
      </w:pPr>
      <w:r w:rsidRPr="00375150">
        <w:rPr>
          <w:rFonts w:ascii="Arial" w:hAnsi="Arial" w:cs="Arial"/>
          <w:bCs/>
          <w:sz w:val="20"/>
          <w:szCs w:val="20"/>
        </w:rPr>
        <w:t>Como se visualiza en la tabla anterior en 2018 la ejecución presupuestaria del programa 950 alcanzó un 93% de ejecución lo que resulta un cumplimiento alto.</w:t>
      </w:r>
    </w:p>
    <w:p w:rsidR="00A81C19" w:rsidRPr="00375150" w:rsidRDefault="00A81C19" w:rsidP="00A81C19">
      <w:pPr>
        <w:spacing w:line="360" w:lineRule="auto"/>
        <w:ind w:left="720"/>
        <w:jc w:val="both"/>
        <w:rPr>
          <w:rFonts w:ascii="Arial" w:hAnsi="Arial" w:cs="Arial"/>
          <w:bCs/>
          <w:sz w:val="20"/>
          <w:szCs w:val="20"/>
        </w:rPr>
      </w:pPr>
    </w:p>
    <w:p w:rsidR="00A81C19" w:rsidRPr="00375150" w:rsidRDefault="00A81C19" w:rsidP="00A81C19">
      <w:pPr>
        <w:snapToGrid w:val="0"/>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El mayor pago destaca en remuneraciones, siendo que el  recurso humano se describe como el principal activo de cualquier institución u organización,  es gracias al aporte y toma de decisiones del personal  que  se logran alcanzar los objetivos propuestos, en el caso del programa 950, fueron  los profesionales  y el personal de apoyo de la OAPVD y UPROV quienes contribuyeron alcanzar el  porcentaje de cumplimiento para  los diferentes indicadores que se establecieron, de ahí la relación remuneración vs cumplimiento del  alcance de los indicadores. </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A fin de prestar un servicio de calidad, en un espacio acorde a las necesidades de las personas destinatarias de la Ley 8720, desde el 950  se arriendan locales, en distintos sectores del país como San José, Cartago, San Carlos, Puntarenas, Ciudad Neily,  para el 2018 se sumó al tema de locales  la OAPVD de  Goicoechea y Liberia, lo que permitió a la ciudadanía de esas zonas contar con espacios privados para impartir terapia, contar con salas de lactancia, estacionamiento para personas con discapacidad entre otros. </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 xml:space="preserve">Por otra parte, destaca el pago de ayuda económicas a las víctimas, testigos y otros intervinientes, desde el programa presupuestario 950 se apoya aquellas víctimas y testigos que carecen de los recursos humanos para acogerse a una medida de reubicación domiciliar, asistencia a audiencias, juicios, terapias Psicológicas entre otros. </w:t>
      </w:r>
    </w:p>
    <w:p w:rsidR="00A81C19" w:rsidRPr="00375150" w:rsidRDefault="00A81C19" w:rsidP="00A81C19">
      <w:pPr>
        <w:pStyle w:val="Predeterminado"/>
        <w:spacing w:after="0" w:line="360" w:lineRule="auto"/>
        <w:jc w:val="both"/>
        <w:rPr>
          <w:rFonts w:ascii="Arial" w:eastAsia="Arial Unicode MS" w:hAnsi="Arial" w:cs="Arial"/>
          <w:sz w:val="20"/>
          <w:szCs w:val="20"/>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t>Respecto a las compras ejecutadas por el programa 950 destaca la contratación de cursos de capacitación en terapia breve, el cual se impartió a los profesionales en Psicología, el curso de confección de Informes Sociales herramienta que contribuye en la labor de la disciplina de Trabajo Social. Asimismo</w:t>
      </w:r>
      <w:r w:rsidR="00EE5731" w:rsidRPr="00375150">
        <w:rPr>
          <w:rFonts w:ascii="Arial" w:eastAsia="Arial Unicode MS" w:hAnsi="Arial" w:cs="Arial"/>
          <w:sz w:val="20"/>
          <w:szCs w:val="20"/>
          <w:lang w:val="es-CR"/>
        </w:rPr>
        <w:t>,</w:t>
      </w:r>
      <w:r w:rsidRPr="00375150">
        <w:rPr>
          <w:rFonts w:ascii="Arial" w:eastAsia="Arial Unicode MS" w:hAnsi="Arial" w:cs="Arial"/>
          <w:sz w:val="20"/>
          <w:szCs w:val="20"/>
          <w:lang w:val="es-CR"/>
        </w:rPr>
        <w:t xml:space="preserve"> se tramitó la adquisición de mostrador para el área de atención al público del local de la OAPVD en Liberia, así como el equipo de aire para la OAPVD de Guápiles, además se </w:t>
      </w:r>
      <w:r w:rsidR="00B64482" w:rsidRPr="00375150">
        <w:rPr>
          <w:rFonts w:ascii="Arial" w:eastAsia="Arial Unicode MS" w:hAnsi="Arial" w:cs="Arial"/>
          <w:sz w:val="20"/>
          <w:szCs w:val="20"/>
          <w:lang w:val="es-CR"/>
        </w:rPr>
        <w:t>adquirieron lámparas</w:t>
      </w:r>
      <w:r w:rsidRPr="00375150">
        <w:rPr>
          <w:rFonts w:ascii="Arial" w:eastAsia="Arial Unicode MS" w:hAnsi="Arial" w:cs="Arial"/>
          <w:sz w:val="20"/>
          <w:szCs w:val="20"/>
          <w:lang w:val="es-CR"/>
        </w:rPr>
        <w:t xml:space="preserve"> de emergencia, colchones para víctimas y testigos, búster y sillas para transportar bebés en los vehículos oficiales, entre otros. </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b/>
          <w:sz w:val="20"/>
          <w:szCs w:val="20"/>
          <w:lang w:val="es-CR"/>
        </w:rPr>
        <w:t>Informe Elaborado por</w:t>
      </w:r>
      <w:r w:rsidRPr="00375150">
        <w:rPr>
          <w:rFonts w:ascii="Arial" w:eastAsia="Arial Unicode MS" w:hAnsi="Arial" w:cs="Arial"/>
          <w:sz w:val="20"/>
          <w:szCs w:val="20"/>
          <w:lang w:val="es-CR"/>
        </w:rPr>
        <w:t>: M.B.A Helen Ballestero Muñoz</w:t>
      </w:r>
    </w:p>
    <w:p w:rsidR="00A81C19" w:rsidRPr="00375150" w:rsidRDefault="00A81C19" w:rsidP="00A81C19">
      <w:pPr>
        <w:spacing w:line="360" w:lineRule="auto"/>
        <w:jc w:val="both"/>
        <w:rPr>
          <w:rFonts w:ascii="Arial" w:eastAsia="Arial Unicode MS" w:hAnsi="Arial" w:cs="Arial"/>
          <w:sz w:val="20"/>
          <w:szCs w:val="20"/>
          <w:lang w:val="es-CR"/>
        </w:rPr>
      </w:pPr>
      <w:r w:rsidRPr="00375150">
        <w:rPr>
          <w:rFonts w:ascii="Arial" w:eastAsia="Arial Unicode MS" w:hAnsi="Arial" w:cs="Arial"/>
          <w:sz w:val="20"/>
          <w:szCs w:val="20"/>
          <w:lang w:val="es-CR"/>
        </w:rPr>
        <w:lastRenderedPageBreak/>
        <w:t>Área Administrativa, Oficina de Atención y Protección a Víctimas de Delitos</w:t>
      </w:r>
    </w:p>
    <w:p w:rsidR="00A81C19" w:rsidRPr="00375150" w:rsidRDefault="00A81C19" w:rsidP="00A81C19">
      <w:pPr>
        <w:spacing w:line="360" w:lineRule="auto"/>
        <w:jc w:val="both"/>
        <w:rPr>
          <w:rFonts w:ascii="Arial" w:eastAsia="Arial Unicode MS" w:hAnsi="Arial" w:cs="Arial"/>
          <w:sz w:val="20"/>
          <w:szCs w:val="20"/>
          <w:lang w:val="es-CR"/>
        </w:rPr>
      </w:pPr>
    </w:p>
    <w:p w:rsidR="00A81C19" w:rsidRPr="00375150" w:rsidRDefault="00A81C19" w:rsidP="00A81C19">
      <w:pPr>
        <w:spacing w:line="360" w:lineRule="auto"/>
        <w:jc w:val="both"/>
        <w:rPr>
          <w:rFonts w:ascii="Arial" w:hAnsi="Arial" w:cs="Arial"/>
          <w:bCs/>
          <w:sz w:val="20"/>
          <w:szCs w:val="20"/>
        </w:rPr>
      </w:pPr>
    </w:p>
    <w:p w:rsidR="00A81C19" w:rsidRPr="00375150" w:rsidRDefault="00A81C19" w:rsidP="00A81C19">
      <w:pPr>
        <w:spacing w:line="360" w:lineRule="auto"/>
        <w:jc w:val="both"/>
        <w:rPr>
          <w:rFonts w:ascii="Arial" w:hAnsi="Arial" w:cs="Arial"/>
          <w:b/>
          <w:bCs/>
          <w:sz w:val="20"/>
          <w:szCs w:val="20"/>
        </w:rPr>
      </w:pPr>
      <w:r w:rsidRPr="00375150">
        <w:rPr>
          <w:rFonts w:ascii="Arial" w:hAnsi="Arial" w:cs="Arial"/>
          <w:b/>
          <w:bCs/>
          <w:sz w:val="20"/>
          <w:szCs w:val="20"/>
        </w:rPr>
        <w:t xml:space="preserve">Aprobado por: </w:t>
      </w:r>
    </w:p>
    <w:p w:rsidR="00A81C19" w:rsidRPr="00375150" w:rsidRDefault="00A81C19" w:rsidP="00A81C19">
      <w:pPr>
        <w:pStyle w:val="Sangra2detindependiente"/>
        <w:spacing w:line="360" w:lineRule="auto"/>
        <w:ind w:left="0"/>
        <w:jc w:val="both"/>
        <w:rPr>
          <w:rFonts w:ascii="Arial" w:hAnsi="Arial" w:cs="Arial"/>
          <w:b/>
          <w:bCs/>
          <w:sz w:val="20"/>
          <w:szCs w:val="20"/>
        </w:rPr>
      </w:pPr>
    </w:p>
    <w:p w:rsidR="00A81C19" w:rsidRPr="00375150" w:rsidRDefault="00A81C19" w:rsidP="0084626E">
      <w:pPr>
        <w:pStyle w:val="Sangra2detindependiente"/>
        <w:spacing w:line="360" w:lineRule="auto"/>
        <w:ind w:left="0"/>
        <w:jc w:val="both"/>
        <w:rPr>
          <w:rFonts w:ascii="Arial" w:hAnsi="Arial" w:cs="Arial"/>
          <w:b/>
          <w:bCs/>
          <w:sz w:val="20"/>
          <w:szCs w:val="20"/>
        </w:rPr>
      </w:pPr>
      <w:r w:rsidRPr="00375150">
        <w:rPr>
          <w:rFonts w:ascii="Arial" w:hAnsi="Arial" w:cs="Arial"/>
          <w:b/>
          <w:bCs/>
          <w:color w:val="000000" w:themeColor="text1"/>
          <w:sz w:val="20"/>
          <w:szCs w:val="20"/>
        </w:rPr>
        <w:t>Datos del (la) Director (a) del Programa o Subprograma:</w:t>
      </w:r>
      <w:r w:rsidR="0084626E" w:rsidRPr="00375150">
        <w:rPr>
          <w:rFonts w:ascii="Arial" w:hAnsi="Arial" w:cs="Arial"/>
          <w:b/>
          <w:bCs/>
          <w:color w:val="000000" w:themeColor="text1"/>
          <w:sz w:val="20"/>
          <w:szCs w:val="20"/>
        </w:rPr>
        <w:t xml:space="preserve"> </w:t>
      </w:r>
    </w:p>
    <w:p w:rsidR="00A81C19" w:rsidRPr="00375150" w:rsidRDefault="00A81C19" w:rsidP="00A81C19">
      <w:pPr>
        <w:pStyle w:val="Sangra2detindependiente"/>
        <w:spacing w:line="360" w:lineRule="auto"/>
        <w:ind w:left="0"/>
        <w:jc w:val="both"/>
        <w:rPr>
          <w:rFonts w:ascii="Arial" w:hAnsi="Arial" w:cs="Arial"/>
          <w:b/>
          <w:bCs/>
          <w:sz w:val="20"/>
          <w:szCs w:val="20"/>
        </w:rPr>
      </w:pPr>
      <w:r w:rsidRPr="00375150">
        <w:rPr>
          <w:rFonts w:ascii="Arial" w:hAnsi="Arial" w:cs="Arial"/>
          <w:b/>
          <w:bCs/>
          <w:sz w:val="20"/>
          <w:szCs w:val="20"/>
        </w:rPr>
        <w:t xml:space="preserve">Nombre: M.sc. Sara Arce Moya – Jefatura de la Oficina de Atención y Protección a Víctimas de Delito </w:t>
      </w:r>
    </w:p>
    <w:p w:rsidR="00A81C19" w:rsidRPr="00375150" w:rsidRDefault="00A81C19" w:rsidP="00A81C19">
      <w:pPr>
        <w:pStyle w:val="Sangra2detindependiente"/>
        <w:spacing w:line="360" w:lineRule="auto"/>
        <w:ind w:left="0"/>
        <w:rPr>
          <w:rFonts w:ascii="Arial" w:hAnsi="Arial" w:cs="Arial"/>
          <w:b/>
          <w:bCs/>
          <w:sz w:val="20"/>
          <w:szCs w:val="20"/>
        </w:rPr>
      </w:pPr>
    </w:p>
    <w:p w:rsidR="00A81C19" w:rsidRPr="00375150" w:rsidRDefault="00A81C19" w:rsidP="00A81C19">
      <w:pPr>
        <w:pStyle w:val="Sangra2detindependiente"/>
        <w:spacing w:line="360" w:lineRule="auto"/>
        <w:ind w:left="0"/>
        <w:rPr>
          <w:rFonts w:ascii="Arial" w:hAnsi="Arial" w:cs="Arial"/>
          <w:b/>
          <w:bCs/>
          <w:sz w:val="20"/>
          <w:szCs w:val="20"/>
        </w:rPr>
      </w:pPr>
      <w:r w:rsidRPr="00375150">
        <w:rPr>
          <w:rFonts w:ascii="Arial" w:hAnsi="Arial" w:cs="Arial"/>
          <w:b/>
          <w:bCs/>
          <w:sz w:val="20"/>
          <w:szCs w:val="20"/>
        </w:rPr>
        <w:t>Dirección de correo electrónico: victimadelito@Poder-Judicial.go.cr</w:t>
      </w:r>
    </w:p>
    <w:p w:rsidR="00A81C19" w:rsidRPr="00375150" w:rsidRDefault="00A81C19" w:rsidP="00A81C19">
      <w:pPr>
        <w:pStyle w:val="Sangra2detindependiente"/>
        <w:spacing w:line="360" w:lineRule="auto"/>
        <w:ind w:left="0"/>
        <w:jc w:val="both"/>
        <w:rPr>
          <w:rFonts w:ascii="Arial" w:hAnsi="Arial" w:cs="Arial"/>
          <w:b/>
          <w:bCs/>
          <w:sz w:val="20"/>
          <w:szCs w:val="20"/>
        </w:rPr>
      </w:pPr>
      <w:r w:rsidRPr="00375150">
        <w:rPr>
          <w:rFonts w:ascii="Arial" w:hAnsi="Arial" w:cs="Arial"/>
          <w:b/>
          <w:bCs/>
          <w:sz w:val="20"/>
          <w:szCs w:val="20"/>
        </w:rPr>
        <w:t>Número telefónico: 2253-2935</w:t>
      </w:r>
    </w:p>
    <w:p w:rsidR="00403BB7" w:rsidRDefault="00A81C19" w:rsidP="00A81C19">
      <w:pPr>
        <w:pStyle w:val="Sangra2detindependiente"/>
        <w:spacing w:line="360" w:lineRule="auto"/>
        <w:ind w:left="0"/>
        <w:jc w:val="both"/>
        <w:rPr>
          <w:rFonts w:ascii="Arial" w:hAnsi="Arial" w:cs="Arial"/>
          <w:b/>
          <w:bCs/>
          <w:sz w:val="20"/>
          <w:szCs w:val="20"/>
        </w:rPr>
      </w:pPr>
      <w:r w:rsidRPr="00375150">
        <w:rPr>
          <w:rFonts w:ascii="Arial" w:hAnsi="Arial" w:cs="Arial"/>
          <w:b/>
          <w:bCs/>
          <w:sz w:val="20"/>
          <w:szCs w:val="20"/>
        </w:rPr>
        <w:t>Firma:</w:t>
      </w:r>
    </w:p>
    <w:p w:rsidR="008F6E08" w:rsidRDefault="008F6E08">
      <w:pPr>
        <w:rPr>
          <w:rFonts w:ascii="Arial" w:hAnsi="Arial" w:cs="Arial"/>
          <w:b/>
          <w:color w:val="000000" w:themeColor="text1"/>
          <w:sz w:val="20"/>
          <w:szCs w:val="20"/>
          <w:lang w:val="es-MX"/>
        </w:rPr>
      </w:pPr>
      <w:r>
        <w:rPr>
          <w:rFonts w:ascii="Arial" w:hAnsi="Arial" w:cs="Arial"/>
          <w:b/>
          <w:color w:val="000000" w:themeColor="text1"/>
          <w:sz w:val="20"/>
          <w:szCs w:val="20"/>
          <w:lang w:val="es-MX"/>
        </w:rPr>
        <w:br w:type="page"/>
      </w:r>
    </w:p>
    <w:p w:rsidR="00B64482" w:rsidRPr="0077710A" w:rsidRDefault="00B64482" w:rsidP="00B64482">
      <w:pPr>
        <w:spacing w:line="360" w:lineRule="auto"/>
        <w:jc w:val="both"/>
        <w:rPr>
          <w:rFonts w:ascii="Arial" w:hAnsi="Arial" w:cs="Arial"/>
          <w:sz w:val="20"/>
          <w:szCs w:val="20"/>
          <w:lang w:val="es-MX"/>
        </w:rPr>
      </w:pPr>
      <w:r w:rsidRPr="00375150">
        <w:rPr>
          <w:rFonts w:ascii="Arial" w:hAnsi="Arial" w:cs="Arial"/>
          <w:b/>
          <w:color w:val="000000"/>
          <w:sz w:val="20"/>
          <w:szCs w:val="20"/>
          <w:lang w:val="es-MX"/>
        </w:rPr>
        <w:lastRenderedPageBreak/>
        <w:t xml:space="preserve">Código y nombre del Programa o </w:t>
      </w:r>
      <w:r w:rsidRPr="00CE0210">
        <w:rPr>
          <w:rFonts w:ascii="Arial" w:hAnsi="Arial" w:cs="Arial"/>
          <w:b/>
          <w:color w:val="000000"/>
          <w:sz w:val="20"/>
          <w:szCs w:val="20"/>
          <w:lang w:val="es-MX"/>
        </w:rPr>
        <w:t>Subprograma</w:t>
      </w:r>
      <w:r w:rsidRPr="00CE0210">
        <w:rPr>
          <w:rFonts w:ascii="Arial" w:hAnsi="Arial" w:cs="Arial"/>
          <w:b/>
          <w:sz w:val="20"/>
          <w:szCs w:val="20"/>
          <w:lang w:val="es-MX"/>
        </w:rPr>
        <w:t>:</w:t>
      </w:r>
      <w:r w:rsidRPr="00CE0210">
        <w:rPr>
          <w:rFonts w:ascii="Arial" w:hAnsi="Arial" w:cs="Arial"/>
          <w:sz w:val="20"/>
          <w:szCs w:val="20"/>
          <w:lang w:val="es-MX"/>
        </w:rPr>
        <w:t xml:space="preserve"> </w:t>
      </w:r>
      <w:r w:rsidRPr="0084580C">
        <w:rPr>
          <w:rFonts w:ascii="Arial" w:hAnsi="Arial" w:cs="Arial"/>
          <w:b/>
          <w:sz w:val="20"/>
          <w:szCs w:val="20"/>
          <w:lang w:val="es-CR"/>
        </w:rPr>
        <w:t>Programa 927 Servicio Jurisdiccional</w:t>
      </w:r>
      <w:r w:rsidRPr="0084580C">
        <w:rPr>
          <w:rFonts w:ascii="Arial" w:hAnsi="Arial" w:cs="Arial"/>
          <w:b/>
          <w:sz w:val="20"/>
          <w:szCs w:val="20"/>
          <w:lang w:val="es-MX"/>
        </w:rPr>
        <w:t>.</w:t>
      </w:r>
    </w:p>
    <w:p w:rsidR="00B64482" w:rsidRPr="00375150" w:rsidRDefault="00B64482" w:rsidP="00B64482">
      <w:pPr>
        <w:spacing w:line="360" w:lineRule="auto"/>
        <w:jc w:val="both"/>
        <w:rPr>
          <w:rFonts w:ascii="Arial" w:hAnsi="Arial" w:cs="Arial"/>
          <w:sz w:val="20"/>
          <w:szCs w:val="20"/>
          <w:highlight w:val="yellow"/>
          <w:lang w:val="es-MX"/>
        </w:rPr>
      </w:pPr>
    </w:p>
    <w:p w:rsidR="00B64482" w:rsidRPr="00054BA6" w:rsidRDefault="00B64482" w:rsidP="00B64482">
      <w:pPr>
        <w:pStyle w:val="Ttulo2"/>
        <w:jc w:val="left"/>
        <w:rPr>
          <w:rFonts w:ascii="Arial" w:hAnsi="Arial" w:cs="Arial"/>
          <w:iCs/>
          <w:smallCaps/>
          <w:color w:val="000000"/>
          <w:spacing w:val="15"/>
          <w:sz w:val="22"/>
        </w:rPr>
      </w:pPr>
      <w:r w:rsidRPr="00E17887">
        <w:rPr>
          <w:rFonts w:ascii="Arial" w:hAnsi="Arial" w:cs="Arial"/>
          <w:iCs/>
          <w:smallCaps/>
          <w:color w:val="000000"/>
          <w:spacing w:val="15"/>
          <w:sz w:val="22"/>
        </w:rPr>
        <w:t>Análisis de los logros obtenidos</w:t>
      </w:r>
    </w:p>
    <w:p w:rsidR="00B64482" w:rsidRPr="00375150" w:rsidRDefault="00B64482" w:rsidP="00B64482">
      <w:pPr>
        <w:jc w:val="both"/>
        <w:rPr>
          <w:rFonts w:ascii="Arial" w:hAnsi="Arial" w:cs="Arial"/>
          <w:b/>
          <w:sz w:val="20"/>
          <w:szCs w:val="20"/>
        </w:rPr>
      </w:pPr>
    </w:p>
    <w:p w:rsidR="00B64482" w:rsidRPr="0084580C" w:rsidRDefault="00B64482" w:rsidP="00B64482">
      <w:pPr>
        <w:spacing w:line="360" w:lineRule="auto"/>
        <w:jc w:val="both"/>
        <w:rPr>
          <w:rFonts w:ascii="Arial" w:hAnsi="Arial" w:cs="Arial"/>
          <w:b/>
          <w:sz w:val="20"/>
          <w:szCs w:val="20"/>
          <w:lang w:val="es-MX"/>
        </w:rPr>
      </w:pPr>
      <w:r w:rsidRPr="0084580C">
        <w:rPr>
          <w:rFonts w:ascii="Arial" w:hAnsi="Arial" w:cs="Arial"/>
          <w:b/>
          <w:i/>
          <w:sz w:val="20"/>
          <w:szCs w:val="20"/>
          <w:lang w:val="es-MX"/>
        </w:rPr>
        <w:t>Para el caso de los programas y/o subprogramas con producción no cuantificable, deberán aplicar únicamente lo que se solicita en los puntos a) y b).</w:t>
      </w:r>
    </w:p>
    <w:p w:rsidR="00B64482" w:rsidRPr="0084580C" w:rsidRDefault="00B64482" w:rsidP="00B64482">
      <w:pPr>
        <w:spacing w:line="360" w:lineRule="auto"/>
        <w:jc w:val="both"/>
        <w:rPr>
          <w:rFonts w:ascii="Arial" w:hAnsi="Arial" w:cs="Arial"/>
          <w:b/>
          <w:sz w:val="20"/>
          <w:szCs w:val="20"/>
          <w:lang w:val="es-MX"/>
        </w:rPr>
      </w:pPr>
    </w:p>
    <w:p w:rsidR="00B64482" w:rsidRPr="0084580C" w:rsidRDefault="00B64482" w:rsidP="00B64482">
      <w:pPr>
        <w:numPr>
          <w:ilvl w:val="0"/>
          <w:numId w:val="15"/>
        </w:numPr>
        <w:spacing w:line="360" w:lineRule="auto"/>
        <w:ind w:left="426"/>
        <w:jc w:val="both"/>
        <w:rPr>
          <w:rFonts w:ascii="Arial" w:hAnsi="Arial" w:cs="Arial"/>
          <w:b/>
          <w:bCs/>
          <w:sz w:val="20"/>
          <w:szCs w:val="20"/>
        </w:rPr>
      </w:pPr>
      <w:r w:rsidRPr="0084580C">
        <w:rPr>
          <w:rFonts w:ascii="Arial" w:hAnsi="Arial" w:cs="Arial"/>
          <w:b/>
          <w:bCs/>
          <w:sz w:val="20"/>
          <w:szCs w:val="20"/>
        </w:rPr>
        <w:t xml:space="preserve">Comente ¿cómo la gestión desarrollada contribuyó con la misión institucional?  </w:t>
      </w:r>
    </w:p>
    <w:p w:rsidR="00B64482" w:rsidRPr="0077710A" w:rsidRDefault="00B64482" w:rsidP="00B64482">
      <w:pPr>
        <w:spacing w:line="360" w:lineRule="auto"/>
        <w:ind w:left="66"/>
        <w:jc w:val="both"/>
        <w:rPr>
          <w:rFonts w:ascii="Arial" w:hAnsi="Arial" w:cs="Arial"/>
          <w:bCs/>
          <w:sz w:val="20"/>
          <w:szCs w:val="20"/>
        </w:rPr>
      </w:pPr>
    </w:p>
    <w:p w:rsidR="00B64482" w:rsidRPr="00375150" w:rsidRDefault="00B64482" w:rsidP="00B64482">
      <w:pPr>
        <w:spacing w:line="360" w:lineRule="auto"/>
        <w:ind w:left="66"/>
        <w:jc w:val="both"/>
        <w:rPr>
          <w:rFonts w:ascii="Arial" w:hAnsi="Arial" w:cs="Arial"/>
          <w:bCs/>
          <w:sz w:val="20"/>
          <w:szCs w:val="20"/>
        </w:rPr>
      </w:pPr>
      <w:r w:rsidRPr="00375150">
        <w:rPr>
          <w:rFonts w:ascii="Arial" w:hAnsi="Arial" w:cs="Arial"/>
          <w:bCs/>
          <w:sz w:val="20"/>
          <w:szCs w:val="20"/>
        </w:rPr>
        <w:t>La misión del Poder Judicial es administrar justicia en forma pronta, cumplida, sin denegación y en estricta conformidad con el ordenamiento jurídico, que garanticen calidad en la prestación de servicios para las personas usuarias que lo requieran.</w:t>
      </w:r>
    </w:p>
    <w:p w:rsidR="00B64482" w:rsidRPr="00375150" w:rsidRDefault="00B64482" w:rsidP="00B64482">
      <w:pPr>
        <w:spacing w:line="360" w:lineRule="auto"/>
        <w:ind w:left="66"/>
        <w:jc w:val="both"/>
        <w:rPr>
          <w:rFonts w:ascii="Arial" w:hAnsi="Arial" w:cs="Arial"/>
          <w:bCs/>
          <w:sz w:val="20"/>
          <w:szCs w:val="20"/>
        </w:rPr>
      </w:pPr>
    </w:p>
    <w:p w:rsidR="00B64482" w:rsidRPr="00375150" w:rsidRDefault="00B64482" w:rsidP="00B64482">
      <w:pPr>
        <w:spacing w:line="360" w:lineRule="auto"/>
        <w:ind w:left="66"/>
        <w:jc w:val="both"/>
        <w:rPr>
          <w:rFonts w:ascii="Arial" w:hAnsi="Arial" w:cs="Arial"/>
          <w:bCs/>
          <w:sz w:val="20"/>
          <w:szCs w:val="20"/>
        </w:rPr>
      </w:pPr>
      <w:r w:rsidRPr="00375150">
        <w:rPr>
          <w:rFonts w:ascii="Arial" w:hAnsi="Arial" w:cs="Arial"/>
          <w:bCs/>
          <w:sz w:val="20"/>
          <w:szCs w:val="20"/>
        </w:rPr>
        <w:t>El contenido presupuestario dado al Programa 927 “Ámbito Jurisdiccional durante el año 2018, permitió la prestación de un servicio propio con respecto al artículo 41 de la Constitución Política, dándole una respuesta a la ciudadanía en cuanto ella requiere de la administración de justicia para la solución de sus conflictos. Bajo esta línea, con las reformas en materia Civil y Laboral, así como en materia Penal con el Rediseño de Procesos del Modelo Penal con la aplicación de nuevas tecnologías de información, se acortaron los plazos de respuestas haciendo más efectiva la tutela de los derechos de las personas y con ello, cumpliendo con la misión institucional.</w:t>
      </w:r>
    </w:p>
    <w:p w:rsidR="00B64482" w:rsidRPr="00375150" w:rsidRDefault="00B64482" w:rsidP="00B64482">
      <w:pPr>
        <w:spacing w:line="360" w:lineRule="auto"/>
        <w:jc w:val="both"/>
        <w:rPr>
          <w:rFonts w:ascii="Arial" w:hAnsi="Arial" w:cs="Arial"/>
          <w:sz w:val="20"/>
          <w:szCs w:val="20"/>
          <w:lang w:val="es-MX"/>
        </w:rPr>
      </w:pPr>
    </w:p>
    <w:p w:rsidR="00B64482" w:rsidRPr="0084580C" w:rsidRDefault="00B64482" w:rsidP="00B64482">
      <w:pPr>
        <w:numPr>
          <w:ilvl w:val="0"/>
          <w:numId w:val="15"/>
        </w:numPr>
        <w:spacing w:line="360" w:lineRule="auto"/>
        <w:ind w:left="426"/>
        <w:jc w:val="both"/>
        <w:rPr>
          <w:rFonts w:ascii="Arial" w:hAnsi="Arial" w:cs="Arial"/>
          <w:b/>
          <w:bCs/>
          <w:sz w:val="20"/>
          <w:szCs w:val="20"/>
        </w:rPr>
      </w:pPr>
      <w:r w:rsidRPr="0084580C">
        <w:rPr>
          <w:rFonts w:ascii="Arial" w:hAnsi="Arial" w:cs="Arial"/>
          <w:b/>
          <w:bCs/>
          <w:sz w:val="20"/>
          <w:szCs w:val="20"/>
        </w:rPr>
        <w:t xml:space="preserve">En caso de que corresponda, refiérase a la vinculación de los logros del programa y/o subprograma con lo establecido en el Plan Nacional de Desarrollo 2015-2018.  </w:t>
      </w:r>
    </w:p>
    <w:p w:rsidR="00B64482" w:rsidRPr="00375150" w:rsidRDefault="00B64482" w:rsidP="00B64482">
      <w:pPr>
        <w:spacing w:line="360" w:lineRule="auto"/>
        <w:ind w:left="66" w:firstLine="360"/>
        <w:jc w:val="both"/>
        <w:rPr>
          <w:rFonts w:ascii="Arial" w:hAnsi="Arial" w:cs="Arial"/>
          <w:bCs/>
          <w:sz w:val="20"/>
          <w:szCs w:val="20"/>
        </w:rPr>
      </w:pPr>
      <w:r w:rsidRPr="0077710A">
        <w:rPr>
          <w:rFonts w:ascii="Arial" w:hAnsi="Arial" w:cs="Arial"/>
          <w:bCs/>
          <w:sz w:val="20"/>
          <w:szCs w:val="20"/>
        </w:rPr>
        <w:t>El Poder Judicial no trabaja en función del Plan Nacional de Desarrollo 2015-2018</w:t>
      </w:r>
      <w:r w:rsidR="002B565A">
        <w:rPr>
          <w:rFonts w:ascii="Arial" w:hAnsi="Arial" w:cs="Arial"/>
          <w:bCs/>
          <w:sz w:val="20"/>
          <w:szCs w:val="20"/>
        </w:rPr>
        <w:t>, trabaja en función del Plan Estratégico del Poder Judicial.</w:t>
      </w:r>
    </w:p>
    <w:p w:rsidR="00B64482" w:rsidRPr="00375150" w:rsidRDefault="00B64482" w:rsidP="00B64482">
      <w:pPr>
        <w:spacing w:line="360" w:lineRule="auto"/>
        <w:jc w:val="both"/>
        <w:rPr>
          <w:rFonts w:ascii="Arial" w:hAnsi="Arial" w:cs="Arial"/>
          <w:bCs/>
          <w:sz w:val="20"/>
          <w:szCs w:val="20"/>
        </w:rPr>
      </w:pPr>
    </w:p>
    <w:p w:rsidR="00B64482" w:rsidRPr="00375150" w:rsidRDefault="00B64482" w:rsidP="00B64482">
      <w:pPr>
        <w:spacing w:line="360" w:lineRule="auto"/>
        <w:jc w:val="both"/>
        <w:rPr>
          <w:rFonts w:ascii="Arial" w:hAnsi="Arial" w:cs="Arial"/>
          <w:sz w:val="20"/>
          <w:szCs w:val="20"/>
          <w:lang w:val="es-CR"/>
        </w:rPr>
      </w:pPr>
    </w:p>
    <w:p w:rsidR="00B64482" w:rsidRPr="00375150" w:rsidRDefault="00B64482" w:rsidP="00B64482">
      <w:pPr>
        <w:jc w:val="center"/>
        <w:rPr>
          <w:rFonts w:ascii="Arial" w:hAnsi="Arial" w:cs="Arial"/>
          <w:b/>
          <w:sz w:val="20"/>
          <w:szCs w:val="20"/>
          <w:lang w:val="es-ES_tradnl"/>
        </w:rPr>
      </w:pPr>
      <w:r w:rsidRPr="00375150">
        <w:rPr>
          <w:rFonts w:ascii="Arial" w:hAnsi="Arial" w:cs="Arial"/>
          <w:b/>
          <w:sz w:val="20"/>
          <w:szCs w:val="20"/>
          <w:lang w:val="es-ES_tradnl"/>
        </w:rPr>
        <w:t>Cuadro 1</w:t>
      </w:r>
    </w:p>
    <w:p w:rsidR="00B64482" w:rsidRPr="00375150" w:rsidRDefault="00B64482" w:rsidP="00B64482">
      <w:pPr>
        <w:jc w:val="center"/>
        <w:rPr>
          <w:rFonts w:ascii="Arial" w:hAnsi="Arial" w:cs="Arial"/>
          <w:b/>
          <w:sz w:val="20"/>
          <w:szCs w:val="20"/>
          <w:lang w:val="es-ES_tradnl"/>
        </w:rPr>
      </w:pPr>
      <w:r w:rsidRPr="00375150">
        <w:rPr>
          <w:rFonts w:ascii="Arial" w:hAnsi="Arial" w:cs="Arial"/>
          <w:b/>
          <w:sz w:val="20"/>
          <w:szCs w:val="20"/>
          <w:lang w:val="es-ES_tradnl"/>
        </w:rPr>
        <w:t>Poder Judicial, Programa 927, Servicio Jurisdiccional. Cumplimiento de unidades de medida</w:t>
      </w:r>
    </w:p>
    <w:p w:rsidR="00B64482" w:rsidRPr="00375150" w:rsidRDefault="00B64482" w:rsidP="00B64482">
      <w:pPr>
        <w:jc w:val="center"/>
        <w:rPr>
          <w:rFonts w:ascii="Arial" w:hAnsi="Arial" w:cs="Arial"/>
          <w:b/>
          <w:sz w:val="20"/>
          <w:szCs w:val="20"/>
          <w:lang w:val="es-ES_tradnl"/>
        </w:rPr>
      </w:pPr>
      <w:r w:rsidRPr="00375150">
        <w:rPr>
          <w:rFonts w:ascii="Arial" w:hAnsi="Arial" w:cs="Arial"/>
          <w:b/>
          <w:sz w:val="20"/>
          <w:szCs w:val="20"/>
          <w:lang w:val="es-ES_tradnl"/>
        </w:rPr>
        <w:t xml:space="preserve"> Al 31 de diciembre 2018</w:t>
      </w:r>
    </w:p>
    <w:tbl>
      <w:tblPr>
        <w:tblW w:w="9536"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tblPr>
      <w:tblGrid>
        <w:gridCol w:w="1456"/>
        <w:gridCol w:w="2268"/>
        <w:gridCol w:w="1470"/>
        <w:gridCol w:w="1701"/>
        <w:gridCol w:w="1559"/>
        <w:gridCol w:w="1082"/>
      </w:tblGrid>
      <w:tr w:rsidR="00B64482" w:rsidRPr="00375150" w:rsidTr="00240E87">
        <w:trPr>
          <w:tblHeader/>
          <w:jc w:val="center"/>
        </w:trPr>
        <w:tc>
          <w:tcPr>
            <w:tcW w:w="1456" w:type="dxa"/>
            <w:tcBorders>
              <w:top w:val="single" w:sz="8" w:space="0" w:color="5B9BD5"/>
              <w:left w:val="single" w:sz="8" w:space="0" w:color="5B9BD5"/>
              <w:bottom w:val="single" w:sz="8" w:space="0" w:color="5B9BD5"/>
              <w:right w:val="single" w:sz="8" w:space="0" w:color="5B9BD5"/>
            </w:tcBorders>
            <w:shd w:val="clear" w:color="auto" w:fill="4BACC6"/>
            <w:hideMark/>
          </w:tcPr>
          <w:p w:rsidR="00B64482" w:rsidRPr="0084580C" w:rsidRDefault="00B64482" w:rsidP="00240E87">
            <w:pPr>
              <w:jc w:val="center"/>
              <w:rPr>
                <w:rFonts w:ascii="Arial" w:hAnsi="Arial" w:cs="Arial"/>
                <w:bCs/>
                <w:color w:val="FFFFFF"/>
                <w:sz w:val="16"/>
              </w:rPr>
            </w:pPr>
            <w:r w:rsidRPr="0084580C">
              <w:rPr>
                <w:rFonts w:ascii="Arial" w:hAnsi="Arial" w:cs="Arial"/>
                <w:b/>
                <w:bCs/>
                <w:color w:val="FFFFFF"/>
                <w:sz w:val="16"/>
              </w:rPr>
              <w:t>Nombre del Programa o Subprograma</w:t>
            </w:r>
          </w:p>
        </w:tc>
        <w:tc>
          <w:tcPr>
            <w:tcW w:w="2268" w:type="dxa"/>
            <w:tcBorders>
              <w:top w:val="single" w:sz="8" w:space="0" w:color="5B9BD5"/>
              <w:left w:val="single" w:sz="8" w:space="0" w:color="5B9BD5"/>
              <w:bottom w:val="single" w:sz="8" w:space="0" w:color="5B9BD5"/>
              <w:right w:val="single" w:sz="8" w:space="0" w:color="5B9BD5"/>
            </w:tcBorders>
            <w:shd w:val="clear" w:color="auto" w:fill="4BACC6"/>
            <w:hideMark/>
          </w:tcPr>
          <w:p w:rsidR="00B64482" w:rsidRPr="0084580C" w:rsidRDefault="00B64482" w:rsidP="00240E87">
            <w:pPr>
              <w:jc w:val="center"/>
              <w:rPr>
                <w:rFonts w:ascii="Arial" w:hAnsi="Arial" w:cs="Arial"/>
                <w:b/>
                <w:bCs/>
                <w:color w:val="FFFFFF"/>
                <w:sz w:val="16"/>
              </w:rPr>
            </w:pPr>
            <w:r w:rsidRPr="0084580C">
              <w:rPr>
                <w:rFonts w:ascii="Arial" w:hAnsi="Arial" w:cs="Arial"/>
                <w:b/>
                <w:bCs/>
                <w:color w:val="FFFFFF"/>
                <w:sz w:val="16"/>
              </w:rPr>
              <w:t>Nombre del Producto</w:t>
            </w:r>
          </w:p>
        </w:tc>
        <w:tc>
          <w:tcPr>
            <w:tcW w:w="1470" w:type="dxa"/>
            <w:tcBorders>
              <w:top w:val="single" w:sz="8" w:space="0" w:color="5B9BD5"/>
              <w:left w:val="single" w:sz="8" w:space="0" w:color="5B9BD5"/>
              <w:bottom w:val="single" w:sz="8" w:space="0" w:color="5B9BD5"/>
              <w:right w:val="single" w:sz="8" w:space="0" w:color="5B9BD5"/>
            </w:tcBorders>
            <w:shd w:val="clear" w:color="auto" w:fill="4BACC6"/>
            <w:hideMark/>
          </w:tcPr>
          <w:p w:rsidR="00B64482" w:rsidRPr="0084580C" w:rsidRDefault="00B64482" w:rsidP="00240E87">
            <w:pPr>
              <w:jc w:val="center"/>
              <w:rPr>
                <w:rFonts w:ascii="Arial" w:hAnsi="Arial" w:cs="Arial"/>
                <w:b/>
                <w:bCs/>
                <w:color w:val="FFFFFF"/>
                <w:sz w:val="16"/>
              </w:rPr>
            </w:pPr>
            <w:r w:rsidRPr="0084580C">
              <w:rPr>
                <w:rFonts w:ascii="Arial" w:hAnsi="Arial" w:cs="Arial"/>
                <w:b/>
                <w:bCs/>
                <w:color w:val="FFFFFF"/>
                <w:sz w:val="16"/>
              </w:rPr>
              <w:t>Nombre de la Unidad de Medida</w:t>
            </w:r>
          </w:p>
        </w:tc>
        <w:tc>
          <w:tcPr>
            <w:tcW w:w="1701" w:type="dxa"/>
            <w:tcBorders>
              <w:top w:val="single" w:sz="8" w:space="0" w:color="5B9BD5"/>
              <w:left w:val="single" w:sz="8" w:space="0" w:color="5B9BD5"/>
              <w:bottom w:val="single" w:sz="8" w:space="0" w:color="5B9BD5"/>
              <w:right w:val="single" w:sz="8" w:space="0" w:color="5B9BD5"/>
            </w:tcBorders>
            <w:shd w:val="clear" w:color="auto" w:fill="4BACC6"/>
            <w:hideMark/>
          </w:tcPr>
          <w:p w:rsidR="00B64482" w:rsidRPr="0084580C" w:rsidRDefault="00B64482" w:rsidP="00240E87">
            <w:pPr>
              <w:jc w:val="center"/>
              <w:rPr>
                <w:rFonts w:ascii="Arial" w:hAnsi="Arial" w:cs="Arial"/>
                <w:b/>
                <w:bCs/>
                <w:color w:val="FFFFFF"/>
                <w:sz w:val="16"/>
              </w:rPr>
            </w:pPr>
            <w:r w:rsidRPr="0084580C">
              <w:rPr>
                <w:rFonts w:ascii="Arial" w:hAnsi="Arial" w:cs="Arial"/>
                <w:b/>
                <w:bCs/>
                <w:color w:val="FFFFFF"/>
                <w:sz w:val="16"/>
              </w:rPr>
              <w:t>Programado</w:t>
            </w:r>
          </w:p>
        </w:tc>
        <w:tc>
          <w:tcPr>
            <w:tcW w:w="1559" w:type="dxa"/>
            <w:tcBorders>
              <w:top w:val="single" w:sz="8" w:space="0" w:color="5B9BD5"/>
              <w:left w:val="single" w:sz="8" w:space="0" w:color="5B9BD5"/>
              <w:bottom w:val="single" w:sz="8" w:space="0" w:color="5B9BD5"/>
              <w:right w:val="single" w:sz="8" w:space="0" w:color="5B9BD5"/>
            </w:tcBorders>
            <w:shd w:val="clear" w:color="auto" w:fill="4BACC6"/>
            <w:hideMark/>
          </w:tcPr>
          <w:p w:rsidR="00B64482" w:rsidRPr="0084580C" w:rsidRDefault="00B64482" w:rsidP="00240E87">
            <w:pPr>
              <w:jc w:val="center"/>
              <w:rPr>
                <w:rFonts w:ascii="Arial" w:hAnsi="Arial" w:cs="Arial"/>
                <w:b/>
                <w:bCs/>
                <w:color w:val="FFFFFF"/>
                <w:sz w:val="16"/>
              </w:rPr>
            </w:pPr>
            <w:r w:rsidRPr="0084580C">
              <w:rPr>
                <w:rFonts w:ascii="Arial" w:hAnsi="Arial" w:cs="Arial"/>
                <w:b/>
                <w:bCs/>
                <w:color w:val="FFFFFF"/>
                <w:sz w:val="16"/>
              </w:rPr>
              <w:t>Alcanzado</w:t>
            </w:r>
          </w:p>
        </w:tc>
        <w:tc>
          <w:tcPr>
            <w:tcW w:w="1082" w:type="dxa"/>
            <w:tcBorders>
              <w:top w:val="single" w:sz="8" w:space="0" w:color="5B9BD5"/>
              <w:left w:val="single" w:sz="8" w:space="0" w:color="5B9BD5"/>
              <w:bottom w:val="single" w:sz="8" w:space="0" w:color="5B9BD5"/>
              <w:right w:val="single" w:sz="8" w:space="0" w:color="5B9BD5"/>
            </w:tcBorders>
            <w:shd w:val="clear" w:color="auto" w:fill="4BACC6"/>
            <w:hideMark/>
          </w:tcPr>
          <w:p w:rsidR="00B64482" w:rsidRPr="0084580C" w:rsidRDefault="00B64482" w:rsidP="00240E87">
            <w:pPr>
              <w:jc w:val="center"/>
              <w:rPr>
                <w:rFonts w:ascii="Arial" w:hAnsi="Arial" w:cs="Arial"/>
                <w:b/>
                <w:bCs/>
                <w:color w:val="FFFFFF"/>
                <w:sz w:val="16"/>
              </w:rPr>
            </w:pPr>
            <w:r w:rsidRPr="0084580C">
              <w:rPr>
                <w:rFonts w:ascii="Arial" w:hAnsi="Arial" w:cs="Arial"/>
                <w:b/>
                <w:bCs/>
                <w:color w:val="FFFFFF"/>
                <w:sz w:val="16"/>
              </w:rPr>
              <w:t>Porcentaje Alcanzado</w:t>
            </w:r>
          </w:p>
        </w:tc>
      </w:tr>
      <w:tr w:rsidR="00B64482" w:rsidRPr="00375150" w:rsidTr="00240E87">
        <w:trPr>
          <w:jc w:val="center"/>
        </w:trPr>
        <w:tc>
          <w:tcPr>
            <w:tcW w:w="1456" w:type="dxa"/>
            <w:tcBorders>
              <w:top w:val="single" w:sz="8" w:space="0" w:color="4BACC6"/>
              <w:left w:val="single" w:sz="8" w:space="0" w:color="4BACC6"/>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20"/>
                <w:szCs w:val="20"/>
                <w:lang w:val="es-ES_tradnl"/>
              </w:rPr>
            </w:pPr>
            <w:r w:rsidRPr="0077710A">
              <w:rPr>
                <w:rFonts w:ascii="Arial" w:hAnsi="Arial" w:cs="Arial"/>
                <w:bCs/>
                <w:sz w:val="20"/>
                <w:szCs w:val="20"/>
                <w:lang w:val="es-ES_tradnl"/>
              </w:rPr>
              <w:t>927</w:t>
            </w:r>
          </w:p>
        </w:tc>
        <w:tc>
          <w:tcPr>
            <w:tcW w:w="2268" w:type="dxa"/>
            <w:tcBorders>
              <w:top w:val="single" w:sz="8" w:space="0" w:color="4BACC6"/>
              <w:left w:val="single" w:sz="8" w:space="0" w:color="5B9BD5"/>
              <w:bottom w:val="single" w:sz="8" w:space="0" w:color="4BACC6"/>
              <w:right w:val="single" w:sz="8" w:space="0" w:color="5B9BD5"/>
            </w:tcBorders>
            <w:shd w:val="clear" w:color="auto" w:fill="auto"/>
          </w:tcPr>
          <w:p w:rsidR="00B64482" w:rsidRPr="00375150" w:rsidRDefault="00B64482" w:rsidP="00240E87">
            <w:pPr>
              <w:autoSpaceDE w:val="0"/>
              <w:autoSpaceDN w:val="0"/>
              <w:adjustRightInd w:val="0"/>
              <w:jc w:val="both"/>
              <w:rPr>
                <w:rFonts w:ascii="Arial" w:hAnsi="Arial" w:cs="Arial"/>
                <w:sz w:val="18"/>
                <w:szCs w:val="18"/>
                <w:lang w:val="es-CR" w:eastAsia="es-CR"/>
              </w:rPr>
            </w:pPr>
            <w:r w:rsidRPr="00375150">
              <w:rPr>
                <w:rFonts w:ascii="Arial" w:hAnsi="Arial" w:cs="Arial"/>
                <w:sz w:val="18"/>
                <w:szCs w:val="18"/>
                <w:lang w:val="es-CR" w:eastAsia="es-CR"/>
              </w:rPr>
              <w:t>Casos judiciales terminados (expedientes que</w:t>
            </w:r>
          </w:p>
          <w:p w:rsidR="00B64482" w:rsidRPr="00375150" w:rsidRDefault="00B64482" w:rsidP="00240E87">
            <w:pPr>
              <w:autoSpaceDE w:val="0"/>
              <w:autoSpaceDN w:val="0"/>
              <w:adjustRightInd w:val="0"/>
              <w:jc w:val="both"/>
              <w:rPr>
                <w:rFonts w:ascii="Arial" w:hAnsi="Arial" w:cs="Arial"/>
                <w:sz w:val="18"/>
                <w:szCs w:val="18"/>
                <w:lang w:val="es-CR" w:eastAsia="es-CR"/>
              </w:rPr>
            </w:pPr>
            <w:r w:rsidRPr="00375150">
              <w:rPr>
                <w:rFonts w:ascii="Arial" w:hAnsi="Arial" w:cs="Arial"/>
                <w:sz w:val="18"/>
                <w:szCs w:val="18"/>
                <w:lang w:val="es-CR" w:eastAsia="es-CR"/>
              </w:rPr>
              <w:t>tramita cada juzgado o tribunal y finaliza conforme</w:t>
            </w:r>
          </w:p>
          <w:p w:rsidR="00B64482" w:rsidRPr="00375150" w:rsidRDefault="00B64482" w:rsidP="00240E87">
            <w:pPr>
              <w:autoSpaceDE w:val="0"/>
              <w:autoSpaceDN w:val="0"/>
              <w:adjustRightInd w:val="0"/>
              <w:jc w:val="both"/>
              <w:rPr>
                <w:rFonts w:ascii="Arial" w:hAnsi="Arial" w:cs="Arial"/>
                <w:sz w:val="18"/>
                <w:szCs w:val="18"/>
                <w:lang w:val="es-CR" w:eastAsia="es-CR"/>
              </w:rPr>
            </w:pPr>
            <w:r w:rsidRPr="00375150">
              <w:rPr>
                <w:rFonts w:ascii="Arial" w:hAnsi="Arial" w:cs="Arial"/>
                <w:sz w:val="18"/>
                <w:szCs w:val="18"/>
                <w:lang w:val="es-CR" w:eastAsia="es-CR"/>
              </w:rPr>
              <w:t>a su competencia jurisdiccional con alguna</w:t>
            </w:r>
          </w:p>
          <w:p w:rsidR="00B64482" w:rsidRPr="00375150" w:rsidRDefault="00B64482" w:rsidP="00240E87">
            <w:pPr>
              <w:jc w:val="both"/>
              <w:rPr>
                <w:rFonts w:ascii="Arial" w:hAnsi="Arial" w:cs="Arial"/>
                <w:b/>
                <w:bCs/>
                <w:sz w:val="18"/>
                <w:szCs w:val="18"/>
                <w:lang w:val="es-ES_tradnl"/>
              </w:rPr>
            </w:pPr>
            <w:r w:rsidRPr="00375150">
              <w:rPr>
                <w:rFonts w:ascii="Arial" w:hAnsi="Arial" w:cs="Arial"/>
                <w:sz w:val="18"/>
                <w:szCs w:val="18"/>
                <w:lang w:val="es-CR" w:eastAsia="es-CR"/>
              </w:rPr>
              <w:t xml:space="preserve">resolución de acuerdo </w:t>
            </w:r>
            <w:r w:rsidRPr="00375150">
              <w:rPr>
                <w:rFonts w:ascii="Arial" w:hAnsi="Arial" w:cs="Arial"/>
                <w:sz w:val="18"/>
                <w:szCs w:val="18"/>
                <w:lang w:val="es-CR" w:eastAsia="es-CR"/>
              </w:rPr>
              <w:lastRenderedPageBreak/>
              <w:t>con la Ley que lo regula).</w:t>
            </w:r>
          </w:p>
        </w:tc>
        <w:tc>
          <w:tcPr>
            <w:tcW w:w="1470"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sz w:val="20"/>
                <w:szCs w:val="20"/>
                <w:lang w:val="es-ES_tradnl"/>
              </w:rPr>
            </w:pPr>
            <w:r w:rsidRPr="00375150">
              <w:rPr>
                <w:rFonts w:ascii="Arial" w:hAnsi="Arial" w:cs="Arial"/>
                <w:sz w:val="20"/>
                <w:szCs w:val="20"/>
                <w:lang w:val="es-ES_tradnl"/>
              </w:rPr>
              <w:lastRenderedPageBreak/>
              <w:t>Expedientes judiciales.</w:t>
            </w:r>
          </w:p>
        </w:tc>
        <w:tc>
          <w:tcPr>
            <w:tcW w:w="1701"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sz w:val="20"/>
                <w:szCs w:val="20"/>
                <w:lang w:val="es-ES_tradnl"/>
              </w:rPr>
            </w:pPr>
            <w:r w:rsidRPr="00375150">
              <w:rPr>
                <w:rFonts w:ascii="Arial" w:hAnsi="Arial" w:cs="Arial"/>
                <w:sz w:val="20"/>
                <w:szCs w:val="20"/>
                <w:lang w:val="es-ES_tradnl"/>
              </w:rPr>
              <w:t>605.668</w:t>
            </w:r>
          </w:p>
        </w:tc>
        <w:tc>
          <w:tcPr>
            <w:tcW w:w="1559"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sz w:val="20"/>
                <w:szCs w:val="20"/>
                <w:lang w:val="es-ES_tradnl"/>
              </w:rPr>
            </w:pPr>
            <w:r w:rsidRPr="00375150">
              <w:rPr>
                <w:rFonts w:ascii="Arial" w:hAnsi="Arial" w:cs="Arial"/>
                <w:sz w:val="20"/>
                <w:szCs w:val="20"/>
                <w:lang w:val="es-ES_tradnl"/>
              </w:rPr>
              <w:t>566.685</w:t>
            </w:r>
          </w:p>
        </w:tc>
        <w:tc>
          <w:tcPr>
            <w:tcW w:w="1082" w:type="dxa"/>
            <w:tcBorders>
              <w:top w:val="single" w:sz="8" w:space="0" w:color="4BACC6"/>
              <w:left w:val="single" w:sz="8" w:space="0" w:color="5B9BD5"/>
              <w:bottom w:val="single" w:sz="8" w:space="0" w:color="4BACC6"/>
              <w:right w:val="single" w:sz="8" w:space="0" w:color="4BACC6"/>
            </w:tcBorders>
            <w:shd w:val="clear" w:color="auto" w:fill="auto"/>
            <w:vAlign w:val="center"/>
          </w:tcPr>
          <w:p w:rsidR="00B64482" w:rsidRPr="00375150" w:rsidRDefault="00B64482" w:rsidP="00240E87">
            <w:pPr>
              <w:jc w:val="center"/>
              <w:rPr>
                <w:rFonts w:ascii="Arial" w:hAnsi="Arial" w:cs="Arial"/>
                <w:sz w:val="20"/>
                <w:szCs w:val="20"/>
                <w:lang w:val="es-ES_tradnl"/>
              </w:rPr>
            </w:pPr>
            <w:r w:rsidRPr="00375150">
              <w:rPr>
                <w:rFonts w:ascii="Arial" w:hAnsi="Arial" w:cs="Arial"/>
                <w:sz w:val="20"/>
                <w:szCs w:val="20"/>
                <w:lang w:val="es-ES_tradnl"/>
              </w:rPr>
              <w:t>93,6%</w:t>
            </w:r>
          </w:p>
        </w:tc>
      </w:tr>
    </w:tbl>
    <w:p w:rsidR="00B64482" w:rsidRPr="00375150" w:rsidRDefault="00B64482" w:rsidP="00B64482">
      <w:pPr>
        <w:ind w:hanging="425"/>
        <w:jc w:val="both"/>
        <w:rPr>
          <w:rFonts w:ascii="Arial" w:hAnsi="Arial" w:cs="Arial"/>
          <w:sz w:val="20"/>
          <w:szCs w:val="20"/>
          <w:lang w:val="es-ES_tradnl"/>
        </w:rPr>
      </w:pPr>
      <w:r w:rsidRPr="0077710A">
        <w:rPr>
          <w:rFonts w:ascii="Arial" w:hAnsi="Arial" w:cs="Arial"/>
          <w:b/>
          <w:sz w:val="20"/>
          <w:szCs w:val="20"/>
          <w:lang w:val="es-ES_tradnl"/>
        </w:rPr>
        <w:lastRenderedPageBreak/>
        <w:t>Fuente</w:t>
      </w:r>
      <w:r w:rsidRPr="00375150">
        <w:rPr>
          <w:rFonts w:ascii="Arial" w:hAnsi="Arial" w:cs="Arial"/>
          <w:sz w:val="20"/>
          <w:szCs w:val="20"/>
          <w:lang w:val="es-ES_tradnl"/>
        </w:rPr>
        <w:t xml:space="preserve">: </w:t>
      </w:r>
      <w:bookmarkStart w:id="13" w:name="_Hlk535396808"/>
      <w:r w:rsidRPr="00375150">
        <w:rPr>
          <w:rFonts w:ascii="Arial" w:hAnsi="Arial" w:cs="Arial"/>
          <w:sz w:val="20"/>
          <w:szCs w:val="20"/>
          <w:lang w:val="es-ES_tradnl"/>
        </w:rPr>
        <w:t>Datos suministrados por la Dirección de Planificación y el Departamento de Financiero Contable</w:t>
      </w:r>
      <w:bookmarkEnd w:id="13"/>
    </w:p>
    <w:p w:rsidR="00B64482" w:rsidRPr="00375150" w:rsidRDefault="00B64482" w:rsidP="00B64482">
      <w:pPr>
        <w:shd w:val="clear" w:color="auto" w:fill="FFFFFF" w:themeFill="background1"/>
        <w:spacing w:line="360" w:lineRule="auto"/>
        <w:jc w:val="both"/>
        <w:rPr>
          <w:rFonts w:ascii="Arial" w:hAnsi="Arial" w:cs="Arial"/>
          <w:sz w:val="20"/>
          <w:szCs w:val="20"/>
          <w:lang w:val="es-MX"/>
        </w:rPr>
      </w:pPr>
    </w:p>
    <w:p w:rsidR="00B64482" w:rsidRPr="00375150" w:rsidRDefault="00B64482" w:rsidP="00B64482">
      <w:pPr>
        <w:jc w:val="center"/>
        <w:rPr>
          <w:rFonts w:ascii="Arial" w:hAnsi="Arial" w:cs="Arial"/>
          <w:b/>
          <w:sz w:val="20"/>
          <w:szCs w:val="20"/>
          <w:lang w:val="es-ES_tradnl"/>
        </w:rPr>
      </w:pPr>
      <w:r w:rsidRPr="00375150">
        <w:rPr>
          <w:rFonts w:ascii="Arial" w:hAnsi="Arial" w:cs="Arial"/>
          <w:b/>
          <w:sz w:val="20"/>
          <w:szCs w:val="20"/>
          <w:lang w:val="es-ES_tradnl"/>
        </w:rPr>
        <w:t>Cuadro 2</w:t>
      </w:r>
    </w:p>
    <w:p w:rsidR="00B64482" w:rsidRPr="00375150" w:rsidRDefault="00B64482" w:rsidP="00B64482">
      <w:pPr>
        <w:jc w:val="center"/>
        <w:rPr>
          <w:rFonts w:ascii="Arial" w:hAnsi="Arial" w:cs="Arial"/>
          <w:b/>
          <w:sz w:val="20"/>
          <w:szCs w:val="20"/>
          <w:lang w:val="es-ES_tradnl"/>
        </w:rPr>
      </w:pPr>
      <w:r w:rsidRPr="00375150">
        <w:rPr>
          <w:rFonts w:ascii="Arial" w:hAnsi="Arial" w:cs="Arial"/>
          <w:b/>
          <w:sz w:val="20"/>
          <w:szCs w:val="20"/>
          <w:lang w:val="es-ES_tradnl"/>
        </w:rPr>
        <w:t xml:space="preserve">Poder Judicial, Programa 927,  Servicio Jurisdiccional. </w:t>
      </w:r>
    </w:p>
    <w:p w:rsidR="00B64482" w:rsidRPr="00375150" w:rsidRDefault="00B64482" w:rsidP="00B64482">
      <w:pPr>
        <w:jc w:val="center"/>
        <w:rPr>
          <w:rFonts w:ascii="Arial" w:hAnsi="Arial" w:cs="Arial"/>
          <w:b/>
          <w:sz w:val="20"/>
          <w:szCs w:val="20"/>
          <w:lang w:val="es-ES_tradnl"/>
        </w:rPr>
      </w:pPr>
      <w:r w:rsidRPr="00375150">
        <w:rPr>
          <w:rFonts w:ascii="Arial" w:hAnsi="Arial" w:cs="Arial"/>
          <w:b/>
          <w:sz w:val="20"/>
          <w:szCs w:val="20"/>
          <w:lang w:val="es-ES_tradnl"/>
        </w:rPr>
        <w:t>Cumplimiento de indicadores de producto</w:t>
      </w:r>
    </w:p>
    <w:p w:rsidR="00B64482" w:rsidRPr="00375150" w:rsidRDefault="00B64482" w:rsidP="00B64482">
      <w:pPr>
        <w:jc w:val="center"/>
        <w:rPr>
          <w:rFonts w:ascii="Arial" w:hAnsi="Arial" w:cs="Arial"/>
          <w:b/>
          <w:sz w:val="20"/>
          <w:szCs w:val="20"/>
          <w:lang w:val="es-ES_tradnl"/>
        </w:rPr>
      </w:pPr>
      <w:r w:rsidRPr="00375150">
        <w:rPr>
          <w:rFonts w:ascii="Arial" w:hAnsi="Arial" w:cs="Arial"/>
          <w:b/>
          <w:sz w:val="20"/>
          <w:szCs w:val="20"/>
          <w:lang w:val="es-ES_tradnl"/>
        </w:rPr>
        <w:t>Al 31 de diciembre de 2018</w:t>
      </w:r>
    </w:p>
    <w:tbl>
      <w:tblPr>
        <w:tblW w:w="11047"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4A0"/>
      </w:tblPr>
      <w:tblGrid>
        <w:gridCol w:w="1227"/>
        <w:gridCol w:w="1427"/>
        <w:gridCol w:w="1257"/>
        <w:gridCol w:w="2033"/>
        <w:gridCol w:w="2126"/>
        <w:gridCol w:w="992"/>
        <w:gridCol w:w="1985"/>
      </w:tblGrid>
      <w:tr w:rsidR="00B64482" w:rsidRPr="00375150" w:rsidTr="00240E87">
        <w:trPr>
          <w:tblHeader/>
          <w:jc w:val="center"/>
        </w:trPr>
        <w:tc>
          <w:tcPr>
            <w:tcW w:w="1227" w:type="dxa"/>
            <w:tcBorders>
              <w:top w:val="single" w:sz="8" w:space="0" w:color="5B9BD5"/>
              <w:left w:val="single" w:sz="8" w:space="0" w:color="5B9BD5"/>
              <w:bottom w:val="single" w:sz="8" w:space="0" w:color="5B9BD5"/>
              <w:right w:val="single" w:sz="8" w:space="0" w:color="5B9BD5"/>
            </w:tcBorders>
            <w:shd w:val="clear" w:color="auto" w:fill="4BACC6"/>
            <w:hideMark/>
          </w:tcPr>
          <w:p w:rsidR="00B64482" w:rsidRPr="0084580C" w:rsidRDefault="00B64482" w:rsidP="00240E87">
            <w:pPr>
              <w:jc w:val="center"/>
              <w:rPr>
                <w:rFonts w:ascii="Arial" w:hAnsi="Arial" w:cs="Arial"/>
                <w:bCs/>
                <w:color w:val="FFFFFF"/>
                <w:sz w:val="16"/>
              </w:rPr>
            </w:pPr>
            <w:r w:rsidRPr="0084580C">
              <w:rPr>
                <w:rFonts w:ascii="Arial" w:hAnsi="Arial" w:cs="Arial"/>
                <w:b/>
                <w:bCs/>
                <w:color w:val="FFFFFF"/>
                <w:sz w:val="16"/>
              </w:rPr>
              <w:t>Programa o Subprograma</w:t>
            </w:r>
          </w:p>
        </w:tc>
        <w:tc>
          <w:tcPr>
            <w:tcW w:w="1427" w:type="dxa"/>
            <w:tcBorders>
              <w:top w:val="single" w:sz="8" w:space="0" w:color="5B9BD5"/>
              <w:left w:val="single" w:sz="8" w:space="0" w:color="5B9BD5"/>
              <w:bottom w:val="single" w:sz="8" w:space="0" w:color="5B9BD5"/>
              <w:right w:val="single" w:sz="8" w:space="0" w:color="5B9BD5"/>
            </w:tcBorders>
            <w:shd w:val="clear" w:color="auto" w:fill="4BACC6"/>
            <w:hideMark/>
          </w:tcPr>
          <w:p w:rsidR="00B64482" w:rsidRPr="0084580C" w:rsidRDefault="00B64482" w:rsidP="00240E87">
            <w:pPr>
              <w:jc w:val="center"/>
              <w:rPr>
                <w:rFonts w:ascii="Arial" w:hAnsi="Arial" w:cs="Arial"/>
                <w:b/>
                <w:bCs/>
                <w:color w:val="FFFFFF"/>
                <w:sz w:val="16"/>
              </w:rPr>
            </w:pPr>
            <w:r w:rsidRPr="0084580C">
              <w:rPr>
                <w:rFonts w:ascii="Arial" w:hAnsi="Arial" w:cs="Arial"/>
                <w:b/>
                <w:bCs/>
                <w:color w:val="FFFFFF"/>
                <w:sz w:val="16"/>
              </w:rPr>
              <w:t>Nombre del Producto</w:t>
            </w:r>
          </w:p>
        </w:tc>
        <w:tc>
          <w:tcPr>
            <w:tcW w:w="1257" w:type="dxa"/>
            <w:tcBorders>
              <w:top w:val="single" w:sz="8" w:space="0" w:color="5B9BD5"/>
              <w:left w:val="single" w:sz="8" w:space="0" w:color="5B9BD5"/>
              <w:bottom w:val="single" w:sz="8" w:space="0" w:color="5B9BD5"/>
              <w:right w:val="single" w:sz="8" w:space="0" w:color="5B9BD5"/>
            </w:tcBorders>
            <w:shd w:val="clear" w:color="auto" w:fill="4BACC6"/>
            <w:hideMark/>
          </w:tcPr>
          <w:p w:rsidR="00B64482" w:rsidRPr="0084580C" w:rsidRDefault="00B64482" w:rsidP="00240E87">
            <w:pPr>
              <w:jc w:val="center"/>
              <w:rPr>
                <w:rFonts w:ascii="Arial" w:hAnsi="Arial" w:cs="Arial"/>
                <w:b/>
                <w:bCs/>
                <w:color w:val="FFFFFF"/>
                <w:sz w:val="16"/>
              </w:rPr>
            </w:pPr>
            <w:r w:rsidRPr="0084580C">
              <w:rPr>
                <w:rFonts w:ascii="Arial" w:hAnsi="Arial" w:cs="Arial"/>
                <w:b/>
                <w:bCs/>
                <w:color w:val="FFFFFF"/>
                <w:sz w:val="16"/>
              </w:rPr>
              <w:t>Nombre del Indicador</w:t>
            </w:r>
          </w:p>
        </w:tc>
        <w:tc>
          <w:tcPr>
            <w:tcW w:w="2033" w:type="dxa"/>
            <w:tcBorders>
              <w:top w:val="single" w:sz="8" w:space="0" w:color="5B9BD5"/>
              <w:left w:val="single" w:sz="8" w:space="0" w:color="5B9BD5"/>
              <w:bottom w:val="single" w:sz="8" w:space="0" w:color="5B9BD5"/>
              <w:right w:val="single" w:sz="8" w:space="0" w:color="5B9BD5"/>
            </w:tcBorders>
            <w:shd w:val="clear" w:color="auto" w:fill="4BACC6"/>
            <w:hideMark/>
          </w:tcPr>
          <w:p w:rsidR="00B64482" w:rsidRPr="0084580C" w:rsidRDefault="00B64482" w:rsidP="00240E87">
            <w:pPr>
              <w:jc w:val="center"/>
              <w:rPr>
                <w:rFonts w:ascii="Arial" w:hAnsi="Arial" w:cs="Arial"/>
                <w:b/>
                <w:bCs/>
                <w:color w:val="FFFFFF"/>
                <w:sz w:val="16"/>
              </w:rPr>
            </w:pPr>
            <w:r w:rsidRPr="0084580C">
              <w:rPr>
                <w:rFonts w:ascii="Arial" w:hAnsi="Arial" w:cs="Arial"/>
                <w:b/>
                <w:bCs/>
                <w:color w:val="FFFFFF"/>
                <w:sz w:val="16"/>
              </w:rPr>
              <w:t>Programado</w:t>
            </w:r>
          </w:p>
        </w:tc>
        <w:tc>
          <w:tcPr>
            <w:tcW w:w="2126" w:type="dxa"/>
            <w:tcBorders>
              <w:top w:val="single" w:sz="8" w:space="0" w:color="5B9BD5"/>
              <w:left w:val="single" w:sz="8" w:space="0" w:color="5B9BD5"/>
              <w:bottom w:val="single" w:sz="8" w:space="0" w:color="5B9BD5"/>
              <w:right w:val="single" w:sz="8" w:space="0" w:color="5B9BD5"/>
            </w:tcBorders>
            <w:shd w:val="clear" w:color="auto" w:fill="4BACC6"/>
            <w:hideMark/>
          </w:tcPr>
          <w:p w:rsidR="00B64482" w:rsidRPr="0084580C" w:rsidRDefault="00B64482" w:rsidP="00240E87">
            <w:pPr>
              <w:jc w:val="center"/>
              <w:rPr>
                <w:rFonts w:ascii="Arial" w:hAnsi="Arial" w:cs="Arial"/>
                <w:b/>
                <w:bCs/>
                <w:color w:val="FFFFFF"/>
                <w:sz w:val="16"/>
              </w:rPr>
            </w:pPr>
            <w:r w:rsidRPr="0084580C">
              <w:rPr>
                <w:rFonts w:ascii="Arial" w:hAnsi="Arial" w:cs="Arial"/>
                <w:b/>
                <w:bCs/>
                <w:color w:val="FFFFFF"/>
                <w:sz w:val="16"/>
              </w:rPr>
              <w:t>Alcanzado</w:t>
            </w:r>
          </w:p>
        </w:tc>
        <w:tc>
          <w:tcPr>
            <w:tcW w:w="992" w:type="dxa"/>
            <w:tcBorders>
              <w:top w:val="single" w:sz="8" w:space="0" w:color="5B9BD5"/>
              <w:left w:val="single" w:sz="8" w:space="0" w:color="5B9BD5"/>
              <w:bottom w:val="single" w:sz="8" w:space="0" w:color="5B9BD5"/>
              <w:right w:val="single" w:sz="8" w:space="0" w:color="5B9BD5"/>
            </w:tcBorders>
            <w:shd w:val="clear" w:color="auto" w:fill="4BACC6"/>
            <w:hideMark/>
          </w:tcPr>
          <w:p w:rsidR="00B64482" w:rsidRPr="0084580C" w:rsidRDefault="00B64482" w:rsidP="00240E87">
            <w:pPr>
              <w:jc w:val="center"/>
              <w:rPr>
                <w:rFonts w:ascii="Arial" w:hAnsi="Arial" w:cs="Arial"/>
                <w:b/>
                <w:bCs/>
                <w:color w:val="FFFFFF"/>
                <w:sz w:val="16"/>
              </w:rPr>
            </w:pPr>
            <w:r w:rsidRPr="0084580C">
              <w:rPr>
                <w:rFonts w:ascii="Arial" w:hAnsi="Arial" w:cs="Arial"/>
                <w:b/>
                <w:bCs/>
                <w:color w:val="FFFFFF"/>
                <w:sz w:val="16"/>
              </w:rPr>
              <w:t>Porcentaje Alcanzado</w:t>
            </w:r>
          </w:p>
        </w:tc>
        <w:tc>
          <w:tcPr>
            <w:tcW w:w="1985" w:type="dxa"/>
            <w:tcBorders>
              <w:top w:val="single" w:sz="8" w:space="0" w:color="5B9BD5"/>
              <w:left w:val="single" w:sz="8" w:space="0" w:color="5B9BD5"/>
              <w:bottom w:val="single" w:sz="8" w:space="0" w:color="5B9BD5"/>
              <w:right w:val="single" w:sz="8" w:space="0" w:color="5B9BD5"/>
            </w:tcBorders>
            <w:shd w:val="clear" w:color="auto" w:fill="4BACC6"/>
            <w:hideMark/>
          </w:tcPr>
          <w:p w:rsidR="00B64482" w:rsidRPr="0084580C" w:rsidRDefault="00B64482" w:rsidP="00240E87">
            <w:pPr>
              <w:jc w:val="center"/>
              <w:rPr>
                <w:rFonts w:ascii="Arial" w:hAnsi="Arial" w:cs="Arial"/>
                <w:b/>
                <w:bCs/>
                <w:color w:val="FFFFFF"/>
                <w:sz w:val="16"/>
              </w:rPr>
            </w:pPr>
            <w:r w:rsidRPr="0084580C">
              <w:rPr>
                <w:rFonts w:ascii="Arial" w:hAnsi="Arial" w:cs="Arial"/>
                <w:b/>
                <w:bCs/>
                <w:color w:val="FFFFFF"/>
                <w:sz w:val="16"/>
              </w:rPr>
              <w:t>Fuente de datos de los indicadores</w:t>
            </w:r>
          </w:p>
        </w:tc>
      </w:tr>
      <w:tr w:rsidR="00B64482" w:rsidRPr="00375150" w:rsidTr="00240E87">
        <w:trPr>
          <w:jc w:val="center"/>
        </w:trPr>
        <w:tc>
          <w:tcPr>
            <w:tcW w:w="1227" w:type="dxa"/>
            <w:tcBorders>
              <w:top w:val="single" w:sz="8" w:space="0" w:color="4BACC6"/>
              <w:left w:val="single" w:sz="8" w:space="0" w:color="4BACC6"/>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20"/>
                <w:szCs w:val="20"/>
                <w:lang w:val="es-ES_tradnl"/>
              </w:rPr>
            </w:pPr>
            <w:r w:rsidRPr="0077710A">
              <w:rPr>
                <w:rFonts w:ascii="Arial" w:hAnsi="Arial" w:cs="Arial"/>
                <w:bCs/>
                <w:sz w:val="20"/>
                <w:szCs w:val="20"/>
                <w:lang w:val="es-ES_tradnl"/>
              </w:rPr>
              <w:t>927</w:t>
            </w:r>
          </w:p>
        </w:tc>
        <w:tc>
          <w:tcPr>
            <w:tcW w:w="1427" w:type="dxa"/>
            <w:tcBorders>
              <w:top w:val="single" w:sz="8" w:space="0" w:color="4BACC6"/>
              <w:left w:val="single" w:sz="8" w:space="0" w:color="5B9BD5"/>
              <w:bottom w:val="single" w:sz="8" w:space="0" w:color="4BACC6"/>
              <w:right w:val="single" w:sz="8" w:space="0" w:color="5B9BD5"/>
            </w:tcBorders>
            <w:shd w:val="clear" w:color="auto" w:fill="auto"/>
          </w:tcPr>
          <w:p w:rsidR="00B64482" w:rsidRPr="00375150" w:rsidRDefault="00B64482" w:rsidP="00240E87">
            <w:pPr>
              <w:jc w:val="center"/>
              <w:rPr>
                <w:rFonts w:ascii="Arial" w:hAnsi="Arial" w:cs="Arial"/>
                <w:sz w:val="16"/>
                <w:szCs w:val="20"/>
                <w:lang w:val="es-ES_tradnl"/>
              </w:rPr>
            </w:pPr>
            <w:r w:rsidRPr="00375150">
              <w:rPr>
                <w:rFonts w:ascii="Arial" w:hAnsi="Arial" w:cs="Arial"/>
                <w:sz w:val="16"/>
                <w:szCs w:val="20"/>
                <w:lang w:val="es-ES_tradnl"/>
              </w:rPr>
              <w:t>Programa de Justicia Restaurativa</w:t>
            </w:r>
          </w:p>
        </w:tc>
        <w:tc>
          <w:tcPr>
            <w:tcW w:w="1257" w:type="dxa"/>
            <w:tcBorders>
              <w:top w:val="single" w:sz="8" w:space="0" w:color="4BACC6"/>
              <w:left w:val="single" w:sz="8" w:space="0" w:color="5B9BD5"/>
              <w:bottom w:val="single" w:sz="8" w:space="0" w:color="4BACC6"/>
              <w:right w:val="single" w:sz="8" w:space="0" w:color="5B9BD5"/>
            </w:tcBorders>
            <w:shd w:val="clear" w:color="auto" w:fill="auto"/>
          </w:tcPr>
          <w:p w:rsidR="00B64482" w:rsidRPr="00375150" w:rsidRDefault="00B64482" w:rsidP="00240E87">
            <w:pPr>
              <w:jc w:val="both"/>
              <w:rPr>
                <w:rFonts w:ascii="Arial" w:hAnsi="Arial" w:cs="Arial"/>
                <w:sz w:val="16"/>
                <w:szCs w:val="20"/>
                <w:lang w:val="es-ES_tradnl"/>
              </w:rPr>
            </w:pPr>
            <w:r w:rsidRPr="00375150">
              <w:rPr>
                <w:rFonts w:ascii="Arial" w:hAnsi="Arial" w:cs="Arial"/>
                <w:sz w:val="16"/>
                <w:szCs w:val="20"/>
                <w:lang w:val="es-ES_tradnl"/>
              </w:rPr>
              <w:t>Expedientes resueltos respecto al total de asuntos ingresados</w:t>
            </w:r>
          </w:p>
        </w:tc>
        <w:tc>
          <w:tcPr>
            <w:tcW w:w="2033"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sz w:val="20"/>
                <w:szCs w:val="20"/>
                <w:lang w:val="es-ES_tradnl"/>
              </w:rPr>
            </w:pPr>
            <w:r w:rsidRPr="00375150">
              <w:rPr>
                <w:rFonts w:ascii="Arial" w:hAnsi="Arial" w:cs="Arial"/>
                <w:sz w:val="20"/>
                <w:szCs w:val="20"/>
                <w:lang w:val="es-ES_tradnl"/>
              </w:rPr>
              <w:t>50</w:t>
            </w:r>
          </w:p>
        </w:tc>
        <w:tc>
          <w:tcPr>
            <w:tcW w:w="2126"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77710A" w:rsidRDefault="00B64482" w:rsidP="00240E87">
            <w:pPr>
              <w:jc w:val="center"/>
              <w:rPr>
                <w:rFonts w:ascii="Arial" w:hAnsi="Arial" w:cs="Arial"/>
                <w:sz w:val="20"/>
                <w:szCs w:val="20"/>
                <w:lang w:val="es-ES_tradnl"/>
              </w:rPr>
            </w:pPr>
            <w:r w:rsidRPr="00375150">
              <w:rPr>
                <w:rFonts w:ascii="Arial" w:hAnsi="Arial" w:cs="Arial"/>
                <w:sz w:val="20"/>
                <w:szCs w:val="20"/>
                <w:lang w:val="es-ES_tradnl"/>
              </w:rPr>
              <w:t>47</w:t>
            </w:r>
            <w:r w:rsidRPr="00CE0210">
              <w:rPr>
                <w:rFonts w:ascii="Arial" w:hAnsi="Arial" w:cs="Arial"/>
                <w:sz w:val="20"/>
                <w:szCs w:val="20"/>
                <w:lang w:val="es-ES_tradnl"/>
              </w:rPr>
              <w:t>,</w:t>
            </w:r>
            <w:r w:rsidR="00B37EC2" w:rsidRPr="0084580C">
              <w:rPr>
                <w:rFonts w:ascii="Arial" w:hAnsi="Arial" w:cs="Arial"/>
                <w:sz w:val="20"/>
                <w:szCs w:val="20"/>
                <w:lang w:val="es-ES_tradnl"/>
              </w:rPr>
              <w:t>9</w:t>
            </w:r>
          </w:p>
        </w:tc>
        <w:tc>
          <w:tcPr>
            <w:tcW w:w="992"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sz w:val="20"/>
                <w:szCs w:val="20"/>
                <w:lang w:val="es-ES_tradnl"/>
              </w:rPr>
            </w:pPr>
            <w:r w:rsidRPr="00375150">
              <w:rPr>
                <w:rFonts w:ascii="Arial" w:hAnsi="Arial" w:cs="Arial"/>
                <w:sz w:val="20"/>
                <w:szCs w:val="20"/>
                <w:lang w:val="es-ES_tradnl"/>
              </w:rPr>
              <w:t>95,7%</w:t>
            </w:r>
          </w:p>
        </w:tc>
        <w:tc>
          <w:tcPr>
            <w:tcW w:w="1985" w:type="dxa"/>
            <w:tcBorders>
              <w:top w:val="single" w:sz="8" w:space="0" w:color="4BACC6"/>
              <w:left w:val="single" w:sz="8" w:space="0" w:color="5B9BD5"/>
              <w:bottom w:val="single" w:sz="8" w:space="0" w:color="4BACC6"/>
              <w:right w:val="single" w:sz="8" w:space="0" w:color="4BACC6"/>
            </w:tcBorders>
            <w:shd w:val="clear" w:color="auto" w:fill="auto"/>
          </w:tcPr>
          <w:p w:rsidR="00B64482" w:rsidRPr="00375150" w:rsidRDefault="00B64482" w:rsidP="00240E87">
            <w:pPr>
              <w:jc w:val="both"/>
              <w:rPr>
                <w:rFonts w:ascii="Arial" w:hAnsi="Arial" w:cs="Arial"/>
                <w:sz w:val="16"/>
                <w:szCs w:val="20"/>
                <w:lang w:val="es-ES_tradnl"/>
              </w:rPr>
            </w:pPr>
            <w:r w:rsidRPr="00375150">
              <w:rPr>
                <w:rFonts w:ascii="Arial" w:hAnsi="Arial" w:cs="Arial"/>
                <w:sz w:val="16"/>
                <w:szCs w:val="20"/>
                <w:lang w:val="es-ES_tradnl"/>
              </w:rPr>
              <w:t>Movimiento de trabajo de los despachos judiciales durante 2018. Justicia Restaurativa.</w:t>
            </w:r>
          </w:p>
        </w:tc>
      </w:tr>
      <w:tr w:rsidR="00B64482" w:rsidRPr="00375150" w:rsidTr="00240E87">
        <w:trPr>
          <w:jc w:val="center"/>
        </w:trPr>
        <w:tc>
          <w:tcPr>
            <w:tcW w:w="1227" w:type="dxa"/>
            <w:tcBorders>
              <w:top w:val="single" w:sz="8" w:space="0" w:color="4BACC6"/>
              <w:left w:val="single" w:sz="8" w:space="0" w:color="4BACC6"/>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20"/>
                <w:szCs w:val="20"/>
                <w:lang w:val="es-ES_tradnl"/>
              </w:rPr>
            </w:pPr>
            <w:r w:rsidRPr="0077710A">
              <w:rPr>
                <w:rFonts w:ascii="Arial" w:hAnsi="Arial" w:cs="Arial"/>
                <w:bCs/>
                <w:sz w:val="20"/>
                <w:szCs w:val="20"/>
                <w:lang w:val="es-ES_tradnl"/>
              </w:rPr>
              <w:t>927</w:t>
            </w:r>
          </w:p>
        </w:tc>
        <w:tc>
          <w:tcPr>
            <w:tcW w:w="1427"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16"/>
                <w:szCs w:val="20"/>
                <w:lang w:val="es-ES_tradnl"/>
              </w:rPr>
            </w:pPr>
            <w:r w:rsidRPr="00375150">
              <w:rPr>
                <w:rFonts w:ascii="Arial" w:hAnsi="Arial" w:cs="Arial"/>
                <w:bCs/>
                <w:sz w:val="16"/>
                <w:szCs w:val="20"/>
                <w:lang w:val="es-ES_tradnl"/>
              </w:rPr>
              <w:t>Expedientes resueltos.</w:t>
            </w:r>
          </w:p>
        </w:tc>
        <w:tc>
          <w:tcPr>
            <w:tcW w:w="1257"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16"/>
                <w:szCs w:val="20"/>
                <w:lang w:val="es-ES_tradnl"/>
              </w:rPr>
            </w:pPr>
            <w:r w:rsidRPr="00375150">
              <w:rPr>
                <w:rFonts w:ascii="Arial" w:hAnsi="Arial" w:cs="Arial"/>
                <w:bCs/>
                <w:sz w:val="16"/>
                <w:szCs w:val="20"/>
                <w:lang w:val="es-ES_tradnl"/>
              </w:rPr>
              <w:t>Tasa de resolución (%)</w:t>
            </w:r>
          </w:p>
        </w:tc>
        <w:tc>
          <w:tcPr>
            <w:tcW w:w="2033"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20"/>
                <w:szCs w:val="20"/>
                <w:lang w:val="es-ES_tradnl"/>
              </w:rPr>
            </w:pPr>
            <w:r w:rsidRPr="00375150">
              <w:rPr>
                <w:rFonts w:ascii="Arial" w:hAnsi="Arial" w:cs="Arial"/>
                <w:bCs/>
                <w:sz w:val="20"/>
                <w:szCs w:val="20"/>
                <w:lang w:val="es-ES_tradnl"/>
              </w:rPr>
              <w:t>36,17</w:t>
            </w:r>
          </w:p>
        </w:tc>
        <w:tc>
          <w:tcPr>
            <w:tcW w:w="2126"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77710A" w:rsidRDefault="00B64482" w:rsidP="00240E87">
            <w:pPr>
              <w:jc w:val="center"/>
              <w:rPr>
                <w:rFonts w:ascii="Arial" w:hAnsi="Arial" w:cs="Arial"/>
                <w:bCs/>
                <w:sz w:val="20"/>
                <w:szCs w:val="20"/>
                <w:lang w:val="es-ES_tradnl"/>
              </w:rPr>
            </w:pPr>
            <w:r w:rsidRPr="00375150">
              <w:rPr>
                <w:rFonts w:ascii="Arial" w:hAnsi="Arial" w:cs="Arial"/>
                <w:bCs/>
                <w:sz w:val="20"/>
                <w:szCs w:val="20"/>
                <w:lang w:val="es-ES_tradnl"/>
              </w:rPr>
              <w:t>2</w:t>
            </w:r>
            <w:r w:rsidRPr="00CE0210">
              <w:rPr>
                <w:rFonts w:ascii="Arial" w:hAnsi="Arial" w:cs="Arial"/>
                <w:bCs/>
                <w:sz w:val="20"/>
                <w:szCs w:val="20"/>
                <w:lang w:val="es-ES_tradnl"/>
              </w:rPr>
              <w:t>9,</w:t>
            </w:r>
            <w:r w:rsidR="00B37EC2" w:rsidRPr="0084580C">
              <w:rPr>
                <w:rFonts w:ascii="Arial" w:hAnsi="Arial" w:cs="Arial"/>
                <w:bCs/>
                <w:sz w:val="20"/>
                <w:szCs w:val="20"/>
                <w:lang w:val="es-ES_tradnl"/>
              </w:rPr>
              <w:t>8</w:t>
            </w:r>
          </w:p>
        </w:tc>
        <w:tc>
          <w:tcPr>
            <w:tcW w:w="992"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20"/>
                <w:szCs w:val="20"/>
                <w:lang w:val="es-ES_tradnl"/>
              </w:rPr>
            </w:pPr>
            <w:r w:rsidRPr="00375150">
              <w:rPr>
                <w:rFonts w:ascii="Arial" w:hAnsi="Arial" w:cs="Arial"/>
                <w:bCs/>
                <w:sz w:val="20"/>
                <w:szCs w:val="20"/>
                <w:lang w:val="es-ES_tradnl"/>
              </w:rPr>
              <w:t>82,3%</w:t>
            </w:r>
          </w:p>
        </w:tc>
        <w:tc>
          <w:tcPr>
            <w:tcW w:w="1985" w:type="dxa"/>
            <w:tcBorders>
              <w:top w:val="single" w:sz="8" w:space="0" w:color="4BACC6"/>
              <w:left w:val="single" w:sz="8" w:space="0" w:color="5B9BD5"/>
              <w:bottom w:val="single" w:sz="8" w:space="0" w:color="4BACC6"/>
              <w:right w:val="single" w:sz="8" w:space="0" w:color="4BACC6"/>
            </w:tcBorders>
            <w:shd w:val="clear" w:color="auto" w:fill="auto"/>
          </w:tcPr>
          <w:p w:rsidR="00B64482" w:rsidRPr="00375150" w:rsidRDefault="00B64482" w:rsidP="00240E87">
            <w:pPr>
              <w:jc w:val="both"/>
              <w:rPr>
                <w:rFonts w:ascii="Arial" w:hAnsi="Arial" w:cs="Arial"/>
                <w:bCs/>
                <w:sz w:val="16"/>
                <w:szCs w:val="20"/>
                <w:lang w:val="es-ES_tradnl"/>
              </w:rPr>
            </w:pPr>
            <w:r w:rsidRPr="00375150">
              <w:rPr>
                <w:rFonts w:ascii="Arial" w:hAnsi="Arial" w:cs="Arial"/>
                <w:bCs/>
                <w:sz w:val="16"/>
                <w:szCs w:val="20"/>
                <w:lang w:val="es-ES_tradnl"/>
              </w:rPr>
              <w:t>Cantidad de asuntos resueltos durante el año. Total de casos ingresados entre la carga de trabajo (Circulante inicial + expedientes entrados+ expedientes reentrados)</w:t>
            </w:r>
          </w:p>
        </w:tc>
      </w:tr>
      <w:tr w:rsidR="00B64482" w:rsidRPr="00375150" w:rsidTr="00240E87">
        <w:trPr>
          <w:jc w:val="center"/>
        </w:trPr>
        <w:tc>
          <w:tcPr>
            <w:tcW w:w="1227" w:type="dxa"/>
            <w:tcBorders>
              <w:top w:val="single" w:sz="8" w:space="0" w:color="4BACC6"/>
              <w:left w:val="single" w:sz="8" w:space="0" w:color="4BACC6"/>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20"/>
                <w:szCs w:val="20"/>
                <w:lang w:val="es-ES_tradnl"/>
              </w:rPr>
            </w:pPr>
            <w:r w:rsidRPr="0077710A">
              <w:rPr>
                <w:rFonts w:ascii="Arial" w:hAnsi="Arial" w:cs="Arial"/>
                <w:bCs/>
                <w:sz w:val="20"/>
                <w:szCs w:val="20"/>
                <w:lang w:val="es-ES_tradnl"/>
              </w:rPr>
              <w:t>927</w:t>
            </w:r>
          </w:p>
        </w:tc>
        <w:tc>
          <w:tcPr>
            <w:tcW w:w="1427"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16"/>
                <w:szCs w:val="20"/>
                <w:lang w:val="es-ES_tradnl"/>
              </w:rPr>
            </w:pPr>
            <w:r w:rsidRPr="00375150">
              <w:rPr>
                <w:rFonts w:ascii="Arial" w:hAnsi="Arial" w:cs="Arial"/>
                <w:bCs/>
                <w:sz w:val="16"/>
                <w:szCs w:val="20"/>
                <w:lang w:val="es-ES_tradnl"/>
              </w:rPr>
              <w:t>Expedientes en espera de ser tramitados o que ya iniciaron su trámite.</w:t>
            </w:r>
          </w:p>
        </w:tc>
        <w:tc>
          <w:tcPr>
            <w:tcW w:w="1257"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16"/>
                <w:szCs w:val="20"/>
                <w:lang w:val="es-ES_tradnl"/>
              </w:rPr>
            </w:pPr>
            <w:r w:rsidRPr="00375150">
              <w:rPr>
                <w:rFonts w:ascii="Arial" w:hAnsi="Arial" w:cs="Arial"/>
                <w:bCs/>
                <w:sz w:val="16"/>
                <w:szCs w:val="20"/>
                <w:lang w:val="es-ES_tradnl"/>
              </w:rPr>
              <w:t>Tasa de pendencia (%)</w:t>
            </w:r>
          </w:p>
        </w:tc>
        <w:tc>
          <w:tcPr>
            <w:tcW w:w="2033"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20"/>
                <w:szCs w:val="20"/>
                <w:lang w:val="es-ES_tradnl"/>
              </w:rPr>
            </w:pPr>
            <w:r w:rsidRPr="00375150">
              <w:rPr>
                <w:rFonts w:ascii="Arial" w:hAnsi="Arial" w:cs="Arial"/>
                <w:bCs/>
                <w:sz w:val="20"/>
                <w:szCs w:val="20"/>
                <w:lang w:val="es-ES_tradnl"/>
              </w:rPr>
              <w:t>52,14</w:t>
            </w:r>
          </w:p>
        </w:tc>
        <w:tc>
          <w:tcPr>
            <w:tcW w:w="2126"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20"/>
                <w:szCs w:val="20"/>
                <w:lang w:val="es-ES_tradnl"/>
              </w:rPr>
            </w:pPr>
            <w:r w:rsidRPr="00375150">
              <w:rPr>
                <w:rFonts w:ascii="Arial" w:hAnsi="Arial" w:cs="Arial"/>
                <w:bCs/>
                <w:sz w:val="20"/>
                <w:szCs w:val="20"/>
                <w:lang w:val="es-ES_tradnl"/>
              </w:rPr>
              <w:t>59,9</w:t>
            </w:r>
          </w:p>
        </w:tc>
        <w:tc>
          <w:tcPr>
            <w:tcW w:w="992"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20"/>
                <w:szCs w:val="20"/>
                <w:lang w:val="es-ES_tradnl"/>
              </w:rPr>
            </w:pPr>
            <w:r w:rsidRPr="00375150">
              <w:rPr>
                <w:rFonts w:ascii="Arial" w:hAnsi="Arial" w:cs="Arial"/>
                <w:bCs/>
                <w:sz w:val="20"/>
                <w:szCs w:val="20"/>
                <w:lang w:val="es-ES_tradnl"/>
              </w:rPr>
              <w:t>86,9%</w:t>
            </w:r>
          </w:p>
        </w:tc>
        <w:tc>
          <w:tcPr>
            <w:tcW w:w="1985" w:type="dxa"/>
            <w:tcBorders>
              <w:top w:val="single" w:sz="8" w:space="0" w:color="4BACC6"/>
              <w:left w:val="single" w:sz="8" w:space="0" w:color="5B9BD5"/>
              <w:bottom w:val="single" w:sz="8" w:space="0" w:color="4BACC6"/>
              <w:right w:val="single" w:sz="8" w:space="0" w:color="4BACC6"/>
            </w:tcBorders>
            <w:shd w:val="clear" w:color="auto" w:fill="auto"/>
          </w:tcPr>
          <w:p w:rsidR="00B64482" w:rsidRPr="00375150" w:rsidRDefault="00B64482" w:rsidP="00240E87">
            <w:pPr>
              <w:jc w:val="both"/>
              <w:rPr>
                <w:rFonts w:ascii="Arial" w:hAnsi="Arial" w:cs="Arial"/>
                <w:bCs/>
                <w:sz w:val="16"/>
                <w:szCs w:val="20"/>
                <w:lang w:val="es-ES_tradnl"/>
              </w:rPr>
            </w:pPr>
            <w:r w:rsidRPr="00375150">
              <w:rPr>
                <w:rFonts w:ascii="Arial" w:hAnsi="Arial" w:cs="Arial"/>
                <w:bCs/>
                <w:sz w:val="16"/>
                <w:szCs w:val="20"/>
                <w:lang w:val="es-ES_tradnl"/>
              </w:rPr>
              <w:t>Permite establecer la cantidad de expedientes que están a la espera de ser tramitados o bien que ya iniciaron su tramitación, pero aún no se dan por terminados; su fórmula de cálculo se establece al dividir el circulante final de un año entre la carga de trabajo. Se entiende por carga de trabajo, la sumatoria del circulante al iniciar el año + expedientes entrados + expedientes reentrados.</w:t>
            </w:r>
          </w:p>
        </w:tc>
      </w:tr>
      <w:tr w:rsidR="00B64482" w:rsidRPr="00375150" w:rsidTr="00240E87">
        <w:trPr>
          <w:jc w:val="center"/>
        </w:trPr>
        <w:tc>
          <w:tcPr>
            <w:tcW w:w="1227" w:type="dxa"/>
            <w:tcBorders>
              <w:top w:val="single" w:sz="8" w:space="0" w:color="4BACC6"/>
              <w:left w:val="single" w:sz="8" w:space="0" w:color="4BACC6"/>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20"/>
                <w:szCs w:val="20"/>
                <w:lang w:val="es-ES_tradnl"/>
              </w:rPr>
            </w:pPr>
            <w:r w:rsidRPr="0077710A">
              <w:rPr>
                <w:rFonts w:ascii="Arial" w:hAnsi="Arial" w:cs="Arial"/>
                <w:bCs/>
                <w:sz w:val="20"/>
                <w:szCs w:val="20"/>
                <w:lang w:val="es-ES_tradnl"/>
              </w:rPr>
              <w:t>927</w:t>
            </w:r>
          </w:p>
        </w:tc>
        <w:tc>
          <w:tcPr>
            <w:tcW w:w="1427" w:type="dxa"/>
            <w:tcBorders>
              <w:top w:val="single" w:sz="8" w:space="0" w:color="4BACC6"/>
              <w:left w:val="single" w:sz="8" w:space="0" w:color="5B9BD5"/>
              <w:bottom w:val="single" w:sz="8" w:space="0" w:color="4BACC6"/>
              <w:right w:val="single" w:sz="8" w:space="0" w:color="5B9BD5"/>
            </w:tcBorders>
            <w:shd w:val="clear" w:color="auto" w:fill="auto"/>
          </w:tcPr>
          <w:p w:rsidR="00B64482" w:rsidRPr="00375150" w:rsidRDefault="00B64482" w:rsidP="00240E87">
            <w:pPr>
              <w:jc w:val="both"/>
              <w:rPr>
                <w:rFonts w:ascii="Arial" w:hAnsi="Arial" w:cs="Arial"/>
                <w:sz w:val="16"/>
                <w:szCs w:val="20"/>
                <w:lang w:val="es-ES_tradnl"/>
              </w:rPr>
            </w:pPr>
            <w:r w:rsidRPr="00375150">
              <w:rPr>
                <w:rFonts w:ascii="Arial" w:hAnsi="Arial" w:cs="Arial"/>
                <w:sz w:val="16"/>
                <w:szCs w:val="20"/>
                <w:lang w:val="es-ES_tradnl"/>
              </w:rPr>
              <w:t>Casos judiciales terminados.</w:t>
            </w:r>
          </w:p>
        </w:tc>
        <w:tc>
          <w:tcPr>
            <w:tcW w:w="1257" w:type="dxa"/>
            <w:tcBorders>
              <w:top w:val="single" w:sz="8" w:space="0" w:color="4BACC6"/>
              <w:left w:val="single" w:sz="8" w:space="0" w:color="5B9BD5"/>
              <w:bottom w:val="single" w:sz="8" w:space="0" w:color="4BACC6"/>
              <w:right w:val="single" w:sz="8" w:space="0" w:color="5B9BD5"/>
            </w:tcBorders>
            <w:shd w:val="clear" w:color="auto" w:fill="auto"/>
          </w:tcPr>
          <w:p w:rsidR="00B64482" w:rsidRPr="00375150" w:rsidRDefault="00B64482" w:rsidP="00240E87">
            <w:pPr>
              <w:jc w:val="both"/>
              <w:rPr>
                <w:rFonts w:ascii="Arial" w:hAnsi="Arial" w:cs="Arial"/>
                <w:sz w:val="16"/>
                <w:szCs w:val="20"/>
                <w:lang w:val="es-ES_tradnl"/>
              </w:rPr>
            </w:pPr>
            <w:r w:rsidRPr="00375150">
              <w:rPr>
                <w:rFonts w:ascii="Arial" w:hAnsi="Arial" w:cs="Arial"/>
                <w:sz w:val="16"/>
                <w:szCs w:val="20"/>
                <w:lang w:val="es-ES_tradnl"/>
              </w:rPr>
              <w:t>Tasa de Crecimiento de las conciliaciones.</w:t>
            </w:r>
          </w:p>
        </w:tc>
        <w:tc>
          <w:tcPr>
            <w:tcW w:w="2033"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sz w:val="20"/>
                <w:szCs w:val="20"/>
                <w:lang w:val="es-ES_tradnl"/>
              </w:rPr>
            </w:pPr>
            <w:r w:rsidRPr="00375150">
              <w:rPr>
                <w:rFonts w:ascii="Arial" w:hAnsi="Arial" w:cs="Arial"/>
                <w:sz w:val="20"/>
                <w:szCs w:val="20"/>
                <w:lang w:val="es-ES_tradnl"/>
              </w:rPr>
              <w:t>10</w:t>
            </w:r>
          </w:p>
        </w:tc>
        <w:tc>
          <w:tcPr>
            <w:tcW w:w="2126"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sz w:val="20"/>
                <w:szCs w:val="20"/>
                <w:lang w:val="es-ES_tradnl"/>
              </w:rPr>
            </w:pPr>
            <w:r w:rsidRPr="00375150">
              <w:rPr>
                <w:rFonts w:ascii="Arial" w:hAnsi="Arial" w:cs="Arial"/>
                <w:sz w:val="20"/>
                <w:szCs w:val="20"/>
                <w:lang w:val="es-ES_tradnl"/>
              </w:rPr>
              <w:t>4,2</w:t>
            </w:r>
          </w:p>
        </w:tc>
        <w:tc>
          <w:tcPr>
            <w:tcW w:w="992"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sz w:val="20"/>
                <w:szCs w:val="20"/>
                <w:lang w:val="es-ES_tradnl"/>
              </w:rPr>
            </w:pPr>
            <w:r w:rsidRPr="00375150">
              <w:rPr>
                <w:rFonts w:ascii="Arial" w:hAnsi="Arial" w:cs="Arial"/>
                <w:sz w:val="20"/>
                <w:szCs w:val="20"/>
                <w:lang w:val="es-ES_tradnl"/>
              </w:rPr>
              <w:t>-19,4%</w:t>
            </w:r>
          </w:p>
        </w:tc>
        <w:tc>
          <w:tcPr>
            <w:tcW w:w="1985" w:type="dxa"/>
            <w:tcBorders>
              <w:top w:val="single" w:sz="8" w:space="0" w:color="4BACC6"/>
              <w:left w:val="single" w:sz="8" w:space="0" w:color="5B9BD5"/>
              <w:bottom w:val="single" w:sz="8" w:space="0" w:color="4BACC6"/>
              <w:right w:val="single" w:sz="8" w:space="0" w:color="4BACC6"/>
            </w:tcBorders>
            <w:shd w:val="clear" w:color="auto" w:fill="auto"/>
          </w:tcPr>
          <w:p w:rsidR="00B64482" w:rsidRPr="00375150" w:rsidRDefault="00B64482" w:rsidP="00240E87">
            <w:pPr>
              <w:jc w:val="both"/>
              <w:rPr>
                <w:rFonts w:ascii="Arial" w:hAnsi="Arial" w:cs="Arial"/>
                <w:sz w:val="16"/>
                <w:szCs w:val="20"/>
                <w:lang w:val="es-ES_tradnl"/>
              </w:rPr>
            </w:pPr>
            <w:r w:rsidRPr="00375150">
              <w:rPr>
                <w:rFonts w:ascii="Arial" w:hAnsi="Arial" w:cs="Arial"/>
                <w:sz w:val="16"/>
                <w:szCs w:val="20"/>
                <w:lang w:val="es-ES_tradnl"/>
              </w:rPr>
              <w:t>Cálculos del informe ejecución presupuestaria. Proyecciones del Poder Judicial para el Ministerio de Hacienda.</w:t>
            </w:r>
          </w:p>
        </w:tc>
      </w:tr>
      <w:tr w:rsidR="00B64482" w:rsidRPr="00375150" w:rsidTr="00240E87">
        <w:trPr>
          <w:jc w:val="center"/>
        </w:trPr>
        <w:tc>
          <w:tcPr>
            <w:tcW w:w="1227" w:type="dxa"/>
            <w:tcBorders>
              <w:top w:val="single" w:sz="8" w:space="0" w:color="4BACC6"/>
              <w:left w:val="single" w:sz="8" w:space="0" w:color="4BACC6"/>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bCs/>
                <w:sz w:val="20"/>
                <w:szCs w:val="20"/>
                <w:lang w:val="es-ES_tradnl"/>
              </w:rPr>
            </w:pPr>
            <w:r w:rsidRPr="0077710A">
              <w:rPr>
                <w:rFonts w:ascii="Arial" w:hAnsi="Arial" w:cs="Arial"/>
                <w:bCs/>
                <w:sz w:val="20"/>
                <w:szCs w:val="20"/>
                <w:lang w:val="es-ES_tradnl"/>
              </w:rPr>
              <w:t>927</w:t>
            </w:r>
          </w:p>
        </w:tc>
        <w:tc>
          <w:tcPr>
            <w:tcW w:w="1427" w:type="dxa"/>
            <w:tcBorders>
              <w:top w:val="single" w:sz="8" w:space="0" w:color="4BACC6"/>
              <w:left w:val="single" w:sz="8" w:space="0" w:color="5B9BD5"/>
              <w:bottom w:val="single" w:sz="8" w:space="0" w:color="4BACC6"/>
              <w:right w:val="single" w:sz="8" w:space="0" w:color="5B9BD5"/>
            </w:tcBorders>
            <w:shd w:val="clear" w:color="auto" w:fill="auto"/>
          </w:tcPr>
          <w:p w:rsidR="00B64482" w:rsidRPr="00375150" w:rsidRDefault="00B64482" w:rsidP="00240E87">
            <w:pPr>
              <w:jc w:val="both"/>
              <w:rPr>
                <w:rFonts w:ascii="Arial" w:hAnsi="Arial" w:cs="Arial"/>
                <w:sz w:val="16"/>
                <w:szCs w:val="20"/>
                <w:lang w:val="es-ES_tradnl"/>
              </w:rPr>
            </w:pPr>
            <w:r w:rsidRPr="00375150">
              <w:rPr>
                <w:rFonts w:ascii="Arial" w:hAnsi="Arial" w:cs="Arial"/>
                <w:sz w:val="16"/>
                <w:szCs w:val="20"/>
                <w:lang w:val="es-ES_tradnl"/>
              </w:rPr>
              <w:t>Casos judiciales terminados en materia de flagrancia.</w:t>
            </w:r>
          </w:p>
        </w:tc>
        <w:tc>
          <w:tcPr>
            <w:tcW w:w="1257" w:type="dxa"/>
            <w:tcBorders>
              <w:top w:val="single" w:sz="8" w:space="0" w:color="4BACC6"/>
              <w:left w:val="single" w:sz="8" w:space="0" w:color="5B9BD5"/>
              <w:bottom w:val="single" w:sz="8" w:space="0" w:color="4BACC6"/>
              <w:right w:val="single" w:sz="8" w:space="0" w:color="5B9BD5"/>
            </w:tcBorders>
            <w:shd w:val="clear" w:color="auto" w:fill="auto"/>
          </w:tcPr>
          <w:p w:rsidR="00B64482" w:rsidRPr="00375150" w:rsidRDefault="00B64482" w:rsidP="00240E87">
            <w:pPr>
              <w:jc w:val="both"/>
              <w:rPr>
                <w:rFonts w:ascii="Arial" w:hAnsi="Arial" w:cs="Arial"/>
                <w:sz w:val="16"/>
                <w:szCs w:val="20"/>
                <w:lang w:val="es-ES_tradnl"/>
              </w:rPr>
            </w:pPr>
            <w:r w:rsidRPr="00375150">
              <w:rPr>
                <w:rFonts w:ascii="Arial" w:hAnsi="Arial" w:cs="Arial"/>
                <w:sz w:val="16"/>
                <w:szCs w:val="20"/>
                <w:lang w:val="es-ES_tradnl"/>
              </w:rPr>
              <w:t>Porcentaje de asuntos judiciales de la materia penal resueltos por procedimiento de flagrancias.</w:t>
            </w:r>
          </w:p>
        </w:tc>
        <w:tc>
          <w:tcPr>
            <w:tcW w:w="2033"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sz w:val="20"/>
                <w:szCs w:val="20"/>
                <w:lang w:val="es-ES_tradnl"/>
              </w:rPr>
            </w:pPr>
            <w:r w:rsidRPr="00375150">
              <w:rPr>
                <w:rFonts w:ascii="Arial" w:hAnsi="Arial" w:cs="Arial"/>
                <w:sz w:val="20"/>
                <w:szCs w:val="20"/>
                <w:lang w:val="es-ES_tradnl"/>
              </w:rPr>
              <w:t>33.3</w:t>
            </w:r>
          </w:p>
        </w:tc>
        <w:tc>
          <w:tcPr>
            <w:tcW w:w="2126"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sz w:val="20"/>
                <w:szCs w:val="20"/>
                <w:lang w:val="es-ES_tradnl"/>
              </w:rPr>
            </w:pPr>
            <w:r w:rsidRPr="00375150">
              <w:rPr>
                <w:rFonts w:ascii="Arial" w:hAnsi="Arial" w:cs="Arial"/>
                <w:sz w:val="20"/>
                <w:szCs w:val="20"/>
                <w:lang w:val="es-ES_tradnl"/>
              </w:rPr>
              <w:t>37</w:t>
            </w:r>
          </w:p>
        </w:tc>
        <w:tc>
          <w:tcPr>
            <w:tcW w:w="992" w:type="dxa"/>
            <w:tcBorders>
              <w:top w:val="single" w:sz="8" w:space="0" w:color="4BACC6"/>
              <w:left w:val="single" w:sz="8" w:space="0" w:color="5B9BD5"/>
              <w:bottom w:val="single" w:sz="8" w:space="0" w:color="4BACC6"/>
              <w:right w:val="single" w:sz="8" w:space="0" w:color="5B9BD5"/>
            </w:tcBorders>
            <w:shd w:val="clear" w:color="auto" w:fill="auto"/>
            <w:vAlign w:val="center"/>
          </w:tcPr>
          <w:p w:rsidR="00B64482" w:rsidRPr="00375150" w:rsidRDefault="00B64482" w:rsidP="00240E87">
            <w:pPr>
              <w:jc w:val="center"/>
              <w:rPr>
                <w:rFonts w:ascii="Arial" w:hAnsi="Arial" w:cs="Arial"/>
                <w:sz w:val="20"/>
                <w:szCs w:val="20"/>
                <w:lang w:val="es-ES_tradnl"/>
              </w:rPr>
            </w:pPr>
            <w:r w:rsidRPr="00375150">
              <w:rPr>
                <w:rFonts w:ascii="Arial" w:hAnsi="Arial" w:cs="Arial"/>
                <w:sz w:val="20"/>
                <w:szCs w:val="20"/>
                <w:lang w:val="es-ES_tradnl"/>
              </w:rPr>
              <w:t>111,1%</w:t>
            </w:r>
          </w:p>
        </w:tc>
        <w:tc>
          <w:tcPr>
            <w:tcW w:w="1985" w:type="dxa"/>
            <w:tcBorders>
              <w:top w:val="single" w:sz="8" w:space="0" w:color="4BACC6"/>
              <w:left w:val="single" w:sz="8" w:space="0" w:color="5B9BD5"/>
              <w:bottom w:val="single" w:sz="8" w:space="0" w:color="4BACC6"/>
              <w:right w:val="single" w:sz="8" w:space="0" w:color="4BACC6"/>
            </w:tcBorders>
            <w:shd w:val="clear" w:color="auto" w:fill="auto"/>
          </w:tcPr>
          <w:p w:rsidR="00B64482" w:rsidRPr="00375150" w:rsidRDefault="00B64482" w:rsidP="00240E87">
            <w:pPr>
              <w:jc w:val="both"/>
              <w:rPr>
                <w:rFonts w:ascii="Arial" w:hAnsi="Arial" w:cs="Arial"/>
                <w:sz w:val="16"/>
                <w:szCs w:val="20"/>
                <w:lang w:val="es-ES_tradnl"/>
              </w:rPr>
            </w:pPr>
            <w:r w:rsidRPr="00375150">
              <w:rPr>
                <w:rFonts w:ascii="Arial" w:hAnsi="Arial" w:cs="Arial"/>
                <w:sz w:val="16"/>
                <w:szCs w:val="20"/>
                <w:lang w:val="es-ES_tradnl"/>
              </w:rPr>
              <w:t>Proyecciones del Poder Judicial para el Ministerio de Hacienda.</w:t>
            </w:r>
          </w:p>
        </w:tc>
      </w:tr>
    </w:tbl>
    <w:p w:rsidR="00B64482" w:rsidRPr="00375150" w:rsidRDefault="00B64482" w:rsidP="00B64482">
      <w:pPr>
        <w:spacing w:line="360" w:lineRule="auto"/>
        <w:ind w:left="-993"/>
        <w:jc w:val="both"/>
        <w:rPr>
          <w:rFonts w:ascii="Arial" w:hAnsi="Arial" w:cs="Arial"/>
          <w:b/>
          <w:sz w:val="20"/>
          <w:szCs w:val="20"/>
          <w:lang w:val="es-ES_tradnl"/>
        </w:rPr>
      </w:pPr>
      <w:r w:rsidRPr="0077710A">
        <w:rPr>
          <w:rFonts w:ascii="Arial" w:hAnsi="Arial" w:cs="Arial"/>
          <w:b/>
          <w:sz w:val="16"/>
          <w:szCs w:val="20"/>
          <w:lang w:val="es-ES_tradnl"/>
        </w:rPr>
        <w:t xml:space="preserve"> </w:t>
      </w:r>
      <w:r w:rsidRPr="00375150">
        <w:rPr>
          <w:rFonts w:ascii="Arial" w:hAnsi="Arial" w:cs="Arial"/>
          <w:b/>
          <w:sz w:val="20"/>
          <w:szCs w:val="20"/>
          <w:lang w:val="es-ES_tradnl"/>
        </w:rPr>
        <w:t xml:space="preserve">Fuente: </w:t>
      </w:r>
      <w:r w:rsidRPr="00375150">
        <w:rPr>
          <w:rFonts w:ascii="Arial" w:hAnsi="Arial" w:cs="Arial"/>
          <w:sz w:val="20"/>
          <w:szCs w:val="20"/>
          <w:lang w:val="es-ES_tradnl"/>
        </w:rPr>
        <w:t>Datos suministrados por la Dirección de Planificación.</w:t>
      </w:r>
    </w:p>
    <w:p w:rsidR="00B64482" w:rsidRPr="00375150" w:rsidRDefault="00B64482" w:rsidP="00B64482">
      <w:pPr>
        <w:shd w:val="clear" w:color="auto" w:fill="FFFFFF" w:themeFill="background1"/>
        <w:spacing w:line="360" w:lineRule="auto"/>
        <w:jc w:val="both"/>
        <w:rPr>
          <w:rFonts w:ascii="Arial" w:hAnsi="Arial" w:cs="Arial"/>
          <w:sz w:val="20"/>
          <w:szCs w:val="20"/>
          <w:lang w:val="es-MX"/>
        </w:rPr>
      </w:pPr>
    </w:p>
    <w:p w:rsidR="00B64482" w:rsidRPr="00375150" w:rsidRDefault="00B64482" w:rsidP="00B64482">
      <w:pPr>
        <w:shd w:val="clear" w:color="auto" w:fill="FFFFFF" w:themeFill="background1"/>
        <w:spacing w:line="360" w:lineRule="auto"/>
        <w:jc w:val="both"/>
        <w:rPr>
          <w:rFonts w:ascii="Arial" w:hAnsi="Arial" w:cs="Arial"/>
          <w:sz w:val="20"/>
          <w:szCs w:val="20"/>
          <w:lang w:val="es-MX"/>
        </w:rPr>
      </w:pPr>
    </w:p>
    <w:p w:rsidR="00B64482" w:rsidRPr="00375150" w:rsidRDefault="00B64482" w:rsidP="00B64482">
      <w:pPr>
        <w:shd w:val="clear" w:color="auto" w:fill="FFFFFF" w:themeFill="background1"/>
        <w:spacing w:line="360" w:lineRule="auto"/>
        <w:jc w:val="both"/>
        <w:rPr>
          <w:rFonts w:ascii="Arial" w:hAnsi="Arial" w:cs="Arial"/>
          <w:sz w:val="20"/>
          <w:szCs w:val="20"/>
          <w:lang w:val="es-MX"/>
        </w:rPr>
      </w:pPr>
      <w:r w:rsidRPr="00375150">
        <w:rPr>
          <w:rFonts w:ascii="Arial" w:hAnsi="Arial" w:cs="Arial"/>
          <w:sz w:val="20"/>
          <w:szCs w:val="20"/>
          <w:lang w:val="es-MX"/>
        </w:rPr>
        <w:lastRenderedPageBreak/>
        <w:t>Con la información anterior:</w:t>
      </w:r>
    </w:p>
    <w:p w:rsidR="00B64482" w:rsidRPr="00375150" w:rsidRDefault="00B64482" w:rsidP="00B64482">
      <w:pPr>
        <w:shd w:val="clear" w:color="auto" w:fill="FFFFFF" w:themeFill="background1"/>
        <w:spacing w:line="360" w:lineRule="auto"/>
        <w:ind w:left="66"/>
        <w:contextualSpacing/>
        <w:jc w:val="both"/>
        <w:rPr>
          <w:rFonts w:ascii="Arial" w:hAnsi="Arial" w:cs="Arial"/>
          <w:sz w:val="20"/>
          <w:szCs w:val="20"/>
          <w:lang w:val="es-MX"/>
        </w:rPr>
      </w:pPr>
    </w:p>
    <w:p w:rsidR="00B64482" w:rsidRPr="00375150" w:rsidRDefault="00B64482" w:rsidP="00B64482">
      <w:pPr>
        <w:shd w:val="clear" w:color="auto" w:fill="FFFFFF" w:themeFill="background1"/>
        <w:spacing w:line="360" w:lineRule="auto"/>
        <w:ind w:left="66"/>
        <w:contextualSpacing/>
        <w:jc w:val="both"/>
        <w:rPr>
          <w:rFonts w:ascii="Arial" w:hAnsi="Arial" w:cs="Arial"/>
          <w:sz w:val="20"/>
          <w:szCs w:val="20"/>
          <w:lang w:val="es-MX"/>
        </w:rPr>
      </w:pPr>
      <w:r w:rsidRPr="00375150">
        <w:rPr>
          <w:rFonts w:ascii="Arial" w:hAnsi="Arial" w:cs="Arial"/>
          <w:sz w:val="20"/>
          <w:szCs w:val="20"/>
          <w:lang w:val="es-MX"/>
        </w:rPr>
        <w:t>De acuerdo con los parámetros establecidos en la siguiente tabla relacionada con el cumplimiento alcanzado para las unidades de medida e indicadores, desarrolle los puntos c) y d.)</w:t>
      </w:r>
    </w:p>
    <w:tbl>
      <w:tblPr>
        <w:tblW w:w="0" w:type="auto"/>
        <w:jc w:val="center"/>
        <w:tblBorders>
          <w:top w:val="single" w:sz="8" w:space="0" w:color="5B9BD5"/>
          <w:left w:val="single" w:sz="8" w:space="0" w:color="5B9BD5"/>
          <w:bottom w:val="single" w:sz="8" w:space="0" w:color="5B9BD5"/>
          <w:right w:val="single" w:sz="8" w:space="0" w:color="5B9BD5"/>
          <w:insideH w:val="single" w:sz="6" w:space="0" w:color="5B9BD5"/>
          <w:insideV w:val="single" w:sz="6" w:space="0" w:color="5B9BD5"/>
        </w:tblBorders>
        <w:tblLook w:val="04A0"/>
      </w:tblPr>
      <w:tblGrid>
        <w:gridCol w:w="2835"/>
        <w:gridCol w:w="4677"/>
      </w:tblGrid>
      <w:tr w:rsidR="00B64482" w:rsidRPr="00375150" w:rsidTr="00240E87">
        <w:trPr>
          <w:jc w:val="center"/>
        </w:trPr>
        <w:tc>
          <w:tcPr>
            <w:tcW w:w="2835" w:type="dxa"/>
            <w:tcBorders>
              <w:top w:val="single" w:sz="8" w:space="0" w:color="5B9BD5"/>
              <w:left w:val="single" w:sz="8" w:space="0" w:color="5B9BD5"/>
              <w:bottom w:val="single" w:sz="6" w:space="0" w:color="5B9BD5"/>
              <w:right w:val="single" w:sz="6" w:space="0" w:color="5B9BD5"/>
            </w:tcBorders>
            <w:shd w:val="clear" w:color="auto" w:fill="DAEEF3" w:themeFill="accent5" w:themeFillTint="33"/>
            <w:vAlign w:val="center"/>
            <w:hideMark/>
          </w:tcPr>
          <w:p w:rsidR="00B64482" w:rsidRPr="00375150" w:rsidRDefault="00B64482" w:rsidP="00240E87">
            <w:pPr>
              <w:shd w:val="clear" w:color="auto" w:fill="FFFFFF" w:themeFill="background1"/>
              <w:spacing w:line="360" w:lineRule="auto"/>
              <w:rPr>
                <w:rFonts w:ascii="Arial" w:hAnsi="Arial" w:cs="Arial"/>
                <w:bCs/>
                <w:sz w:val="20"/>
                <w:szCs w:val="20"/>
                <w:lang w:val="es-MX"/>
              </w:rPr>
            </w:pPr>
            <w:r w:rsidRPr="00375150">
              <w:rPr>
                <w:rFonts w:ascii="Arial" w:hAnsi="Arial" w:cs="Arial"/>
                <w:bCs/>
                <w:sz w:val="20"/>
                <w:szCs w:val="20"/>
                <w:lang w:val="es-MX"/>
              </w:rPr>
              <w:t>Parámetros de cumplimiento</w:t>
            </w:r>
          </w:p>
        </w:tc>
        <w:tc>
          <w:tcPr>
            <w:tcW w:w="4677" w:type="dxa"/>
            <w:tcBorders>
              <w:top w:val="single" w:sz="8" w:space="0" w:color="5B9BD5"/>
              <w:left w:val="single" w:sz="6" w:space="0" w:color="5B9BD5"/>
              <w:bottom w:val="single" w:sz="6" w:space="0" w:color="5B9BD5"/>
              <w:right w:val="single" w:sz="8" w:space="0" w:color="5B9BD5"/>
            </w:tcBorders>
            <w:shd w:val="clear" w:color="auto" w:fill="DAEEF3" w:themeFill="accent5" w:themeFillTint="33"/>
            <w:vAlign w:val="center"/>
            <w:hideMark/>
          </w:tcPr>
          <w:p w:rsidR="00B64482" w:rsidRPr="00375150" w:rsidRDefault="00B64482" w:rsidP="00240E87">
            <w:pPr>
              <w:shd w:val="clear" w:color="auto" w:fill="FFFFFF" w:themeFill="background1"/>
              <w:spacing w:line="360" w:lineRule="auto"/>
              <w:jc w:val="center"/>
              <w:rPr>
                <w:rFonts w:ascii="Arial" w:hAnsi="Arial" w:cs="Arial"/>
                <w:bCs/>
                <w:sz w:val="20"/>
                <w:szCs w:val="20"/>
                <w:lang w:val="es-MX"/>
              </w:rPr>
            </w:pPr>
            <w:r w:rsidRPr="00375150">
              <w:rPr>
                <w:rFonts w:ascii="Arial" w:hAnsi="Arial" w:cs="Arial"/>
                <w:bCs/>
                <w:sz w:val="20"/>
                <w:szCs w:val="20"/>
                <w:lang w:val="es-MX"/>
              </w:rPr>
              <w:t>Rango</w:t>
            </w:r>
          </w:p>
        </w:tc>
      </w:tr>
      <w:tr w:rsidR="00B64482" w:rsidRPr="00375150" w:rsidTr="00240E87">
        <w:trPr>
          <w:jc w:val="center"/>
        </w:trPr>
        <w:tc>
          <w:tcPr>
            <w:tcW w:w="2835" w:type="dxa"/>
            <w:tcBorders>
              <w:top w:val="single" w:sz="6" w:space="0" w:color="5B9BD5"/>
              <w:left w:val="single" w:sz="8" w:space="0" w:color="4BACC6"/>
              <w:bottom w:val="single" w:sz="6" w:space="0" w:color="5B9BD5"/>
              <w:right w:val="single" w:sz="6" w:space="0" w:color="5B9BD5"/>
            </w:tcBorders>
            <w:shd w:val="clear" w:color="auto" w:fill="92D050"/>
            <w:vAlign w:val="center"/>
            <w:hideMark/>
          </w:tcPr>
          <w:p w:rsidR="00B64482" w:rsidRPr="00375150" w:rsidRDefault="00B64482" w:rsidP="00240E87">
            <w:pPr>
              <w:shd w:val="clear" w:color="auto" w:fill="FFFFFF" w:themeFill="background1"/>
              <w:spacing w:line="360" w:lineRule="auto"/>
              <w:rPr>
                <w:rFonts w:ascii="Arial" w:hAnsi="Arial" w:cs="Arial"/>
                <w:b/>
                <w:bCs/>
                <w:sz w:val="20"/>
                <w:szCs w:val="20"/>
                <w:lang w:val="es-MX"/>
              </w:rPr>
            </w:pPr>
            <w:r w:rsidRPr="0077710A">
              <w:rPr>
                <w:rFonts w:ascii="Arial" w:hAnsi="Arial" w:cs="Arial"/>
                <w:b/>
                <w:bCs/>
                <w:sz w:val="20"/>
                <w:szCs w:val="20"/>
                <w:lang w:val="es-MX"/>
              </w:rPr>
              <w:t>Cum</w:t>
            </w:r>
            <w:r w:rsidRPr="00375150">
              <w:rPr>
                <w:rFonts w:ascii="Arial" w:hAnsi="Arial" w:cs="Arial"/>
                <w:b/>
                <w:bCs/>
                <w:sz w:val="20"/>
                <w:szCs w:val="20"/>
                <w:lang w:val="es-MX"/>
              </w:rPr>
              <w:t>plimiento Alto (CA)</w:t>
            </w:r>
          </w:p>
        </w:tc>
        <w:tc>
          <w:tcPr>
            <w:tcW w:w="4677" w:type="dxa"/>
            <w:tcBorders>
              <w:top w:val="single" w:sz="6" w:space="0" w:color="5B9BD5"/>
              <w:left w:val="single" w:sz="6" w:space="0" w:color="5B9BD5"/>
              <w:bottom w:val="single" w:sz="6" w:space="0" w:color="5B9BD5"/>
              <w:right w:val="single" w:sz="8" w:space="0" w:color="4BACC6"/>
            </w:tcBorders>
            <w:shd w:val="clear" w:color="auto" w:fill="auto"/>
            <w:vAlign w:val="center"/>
            <w:hideMark/>
          </w:tcPr>
          <w:p w:rsidR="00B64482" w:rsidRPr="00375150" w:rsidRDefault="00B64482" w:rsidP="00240E87">
            <w:pPr>
              <w:shd w:val="clear" w:color="auto" w:fill="FFFFFF" w:themeFill="background1"/>
              <w:spacing w:line="360" w:lineRule="auto"/>
              <w:jc w:val="center"/>
              <w:rPr>
                <w:rFonts w:ascii="Arial" w:hAnsi="Arial" w:cs="Arial"/>
                <w:i/>
                <w:sz w:val="20"/>
                <w:szCs w:val="20"/>
                <w:lang w:val="es-MX"/>
              </w:rPr>
            </w:pPr>
            <w:r w:rsidRPr="00375150">
              <w:rPr>
                <w:rFonts w:ascii="Arial" w:hAnsi="Arial" w:cs="Arial"/>
                <w:i/>
                <w:sz w:val="20"/>
                <w:szCs w:val="20"/>
                <w:lang w:val="es-MX"/>
              </w:rPr>
              <w:t>Mayor o igual a 90%</w:t>
            </w:r>
          </w:p>
        </w:tc>
      </w:tr>
      <w:tr w:rsidR="00B64482" w:rsidRPr="00375150" w:rsidTr="00240E87">
        <w:trPr>
          <w:trHeight w:val="280"/>
          <w:jc w:val="center"/>
        </w:trPr>
        <w:tc>
          <w:tcPr>
            <w:tcW w:w="2835" w:type="dxa"/>
            <w:tcBorders>
              <w:top w:val="single" w:sz="6" w:space="0" w:color="5B9BD5"/>
              <w:left w:val="single" w:sz="8" w:space="0" w:color="5B9BD5"/>
              <w:bottom w:val="single" w:sz="6" w:space="0" w:color="5B9BD5"/>
              <w:right w:val="single" w:sz="6" w:space="0" w:color="5B9BD5"/>
            </w:tcBorders>
            <w:shd w:val="clear" w:color="auto" w:fill="FFFF00"/>
            <w:vAlign w:val="center"/>
            <w:hideMark/>
          </w:tcPr>
          <w:p w:rsidR="00B64482" w:rsidRPr="00375150" w:rsidRDefault="00B64482" w:rsidP="00240E87">
            <w:pPr>
              <w:shd w:val="clear" w:color="auto" w:fill="FFFFFF" w:themeFill="background1"/>
              <w:spacing w:line="360" w:lineRule="auto"/>
              <w:rPr>
                <w:rFonts w:ascii="Arial" w:hAnsi="Arial" w:cs="Arial"/>
                <w:b/>
                <w:bCs/>
                <w:sz w:val="20"/>
                <w:szCs w:val="20"/>
                <w:lang w:val="es-MX"/>
              </w:rPr>
            </w:pPr>
            <w:r w:rsidRPr="0077710A">
              <w:rPr>
                <w:rFonts w:ascii="Arial" w:hAnsi="Arial" w:cs="Arial"/>
                <w:b/>
                <w:bCs/>
                <w:sz w:val="20"/>
                <w:szCs w:val="20"/>
                <w:lang w:val="es-MX"/>
              </w:rPr>
              <w:t>Cumplimiento Medio (CM)</w:t>
            </w:r>
          </w:p>
        </w:tc>
        <w:tc>
          <w:tcPr>
            <w:tcW w:w="4677" w:type="dxa"/>
            <w:tcBorders>
              <w:top w:val="single" w:sz="6" w:space="0" w:color="5B9BD5"/>
              <w:left w:val="single" w:sz="6" w:space="0" w:color="5B9BD5"/>
              <w:bottom w:val="single" w:sz="6" w:space="0" w:color="5B9BD5"/>
              <w:right w:val="single" w:sz="8" w:space="0" w:color="5B9BD5"/>
            </w:tcBorders>
            <w:shd w:val="clear" w:color="auto" w:fill="auto"/>
            <w:vAlign w:val="center"/>
            <w:hideMark/>
          </w:tcPr>
          <w:p w:rsidR="00B64482" w:rsidRPr="00375150" w:rsidRDefault="00B64482" w:rsidP="00240E87">
            <w:pPr>
              <w:shd w:val="clear" w:color="auto" w:fill="FFFFFF" w:themeFill="background1"/>
              <w:spacing w:line="360" w:lineRule="auto"/>
              <w:jc w:val="center"/>
              <w:rPr>
                <w:rFonts w:ascii="Arial" w:hAnsi="Arial" w:cs="Arial"/>
                <w:i/>
                <w:sz w:val="20"/>
                <w:szCs w:val="20"/>
                <w:lang w:val="es-MX"/>
              </w:rPr>
            </w:pPr>
            <w:r w:rsidRPr="00375150">
              <w:rPr>
                <w:rFonts w:ascii="Arial" w:hAnsi="Arial" w:cs="Arial"/>
                <w:i/>
                <w:sz w:val="20"/>
                <w:szCs w:val="20"/>
                <w:lang w:val="es-MX"/>
              </w:rPr>
              <w:t xml:space="preserve">Menor </w:t>
            </w:r>
            <w:r w:rsidR="00B37EC2" w:rsidRPr="00375150">
              <w:rPr>
                <w:rFonts w:ascii="Arial" w:hAnsi="Arial" w:cs="Arial"/>
                <w:i/>
                <w:sz w:val="20"/>
                <w:szCs w:val="20"/>
                <w:lang w:val="es-MX"/>
              </w:rPr>
              <w:t>o igual</w:t>
            </w:r>
            <w:r w:rsidRPr="00375150">
              <w:rPr>
                <w:rFonts w:ascii="Arial" w:hAnsi="Arial" w:cs="Arial"/>
                <w:i/>
                <w:sz w:val="20"/>
                <w:szCs w:val="20"/>
                <w:lang w:val="es-MX"/>
              </w:rPr>
              <w:t xml:space="preserve"> a 89,99% o igual a 50%</w:t>
            </w:r>
          </w:p>
        </w:tc>
      </w:tr>
      <w:tr w:rsidR="00B64482" w:rsidRPr="00375150" w:rsidTr="00240E87">
        <w:trPr>
          <w:jc w:val="center"/>
        </w:trPr>
        <w:tc>
          <w:tcPr>
            <w:tcW w:w="2835" w:type="dxa"/>
            <w:tcBorders>
              <w:top w:val="single" w:sz="6" w:space="0" w:color="5B9BD5"/>
              <w:left w:val="single" w:sz="8" w:space="0" w:color="4BACC6"/>
              <w:bottom w:val="single" w:sz="8" w:space="0" w:color="4BACC6"/>
              <w:right w:val="single" w:sz="6" w:space="0" w:color="5B9BD5"/>
            </w:tcBorders>
            <w:shd w:val="clear" w:color="auto" w:fill="C00000"/>
            <w:vAlign w:val="center"/>
            <w:hideMark/>
          </w:tcPr>
          <w:p w:rsidR="00B64482" w:rsidRPr="00375150" w:rsidRDefault="00B64482" w:rsidP="00240E87">
            <w:pPr>
              <w:shd w:val="clear" w:color="auto" w:fill="FFFFFF" w:themeFill="background1"/>
              <w:spacing w:line="360" w:lineRule="auto"/>
              <w:rPr>
                <w:rFonts w:ascii="Arial" w:hAnsi="Arial" w:cs="Arial"/>
                <w:b/>
                <w:bCs/>
                <w:sz w:val="20"/>
                <w:szCs w:val="20"/>
                <w:lang w:val="es-MX"/>
              </w:rPr>
            </w:pPr>
            <w:r w:rsidRPr="0077710A">
              <w:rPr>
                <w:rFonts w:ascii="Arial" w:hAnsi="Arial" w:cs="Arial"/>
                <w:b/>
                <w:bCs/>
                <w:sz w:val="20"/>
                <w:szCs w:val="20"/>
                <w:lang w:val="es-MX"/>
              </w:rPr>
              <w:t>Cumplimiento Bajo (CB)</w:t>
            </w:r>
          </w:p>
        </w:tc>
        <w:tc>
          <w:tcPr>
            <w:tcW w:w="4677" w:type="dxa"/>
            <w:tcBorders>
              <w:top w:val="single" w:sz="6" w:space="0" w:color="5B9BD5"/>
              <w:left w:val="single" w:sz="6" w:space="0" w:color="5B9BD5"/>
              <w:bottom w:val="single" w:sz="8" w:space="0" w:color="4BACC6"/>
              <w:right w:val="single" w:sz="8" w:space="0" w:color="4BACC6"/>
            </w:tcBorders>
            <w:shd w:val="clear" w:color="auto" w:fill="auto"/>
            <w:vAlign w:val="center"/>
            <w:hideMark/>
          </w:tcPr>
          <w:p w:rsidR="00B64482" w:rsidRPr="00375150" w:rsidRDefault="00B64482" w:rsidP="00240E87">
            <w:pPr>
              <w:shd w:val="clear" w:color="auto" w:fill="FFFFFF" w:themeFill="background1"/>
              <w:spacing w:line="360" w:lineRule="auto"/>
              <w:jc w:val="center"/>
              <w:rPr>
                <w:rFonts w:ascii="Arial" w:hAnsi="Arial" w:cs="Arial"/>
                <w:i/>
                <w:sz w:val="20"/>
                <w:szCs w:val="20"/>
                <w:lang w:val="es-MX"/>
              </w:rPr>
            </w:pPr>
            <w:r w:rsidRPr="00375150">
              <w:rPr>
                <w:rFonts w:ascii="Arial" w:hAnsi="Arial" w:cs="Arial"/>
                <w:i/>
                <w:sz w:val="20"/>
                <w:szCs w:val="20"/>
                <w:lang w:val="es-MX"/>
              </w:rPr>
              <w:t>Menor o igual a 49,99%</w:t>
            </w:r>
          </w:p>
        </w:tc>
      </w:tr>
    </w:tbl>
    <w:p w:rsidR="00B64482" w:rsidRPr="0077710A" w:rsidRDefault="00B64482" w:rsidP="00B64482">
      <w:pPr>
        <w:shd w:val="clear" w:color="auto" w:fill="FFFFFF" w:themeFill="background1"/>
        <w:spacing w:line="360" w:lineRule="auto"/>
        <w:ind w:left="66"/>
        <w:contextualSpacing/>
        <w:jc w:val="both"/>
        <w:rPr>
          <w:rFonts w:ascii="Arial" w:hAnsi="Arial" w:cs="Arial"/>
          <w:sz w:val="20"/>
          <w:szCs w:val="20"/>
          <w:lang w:val="es-MX"/>
        </w:rPr>
      </w:pPr>
    </w:p>
    <w:p w:rsidR="00B64482" w:rsidRPr="0084580C" w:rsidRDefault="00B64482" w:rsidP="00B64482">
      <w:pPr>
        <w:pStyle w:val="Prrafodelista"/>
        <w:numPr>
          <w:ilvl w:val="0"/>
          <w:numId w:val="15"/>
        </w:numPr>
        <w:shd w:val="clear" w:color="auto" w:fill="FFFFFF" w:themeFill="background1"/>
        <w:spacing w:line="360" w:lineRule="auto"/>
        <w:ind w:left="426"/>
        <w:contextualSpacing/>
        <w:jc w:val="both"/>
        <w:rPr>
          <w:rFonts w:ascii="Arial" w:hAnsi="Arial" w:cs="Arial"/>
          <w:b/>
          <w:sz w:val="20"/>
          <w:szCs w:val="20"/>
          <w:lang w:val="es-MX"/>
        </w:rPr>
      </w:pPr>
      <w:r w:rsidRPr="0084580C">
        <w:rPr>
          <w:rFonts w:ascii="Arial" w:hAnsi="Arial" w:cs="Arial"/>
          <w:b/>
          <w:sz w:val="20"/>
          <w:szCs w:val="20"/>
          <w:lang w:val="es-MX"/>
        </w:rPr>
        <w:t xml:space="preserve">En relación con las unidades de medida, para los casos con porcentajes de cumplimientos bajo y medio, indique las razones que incidieron para ubicarse en determinado nivel y las acciones correctivas que desarrollará el programa y/o subprograma </w:t>
      </w:r>
      <w:r w:rsidRPr="0084580C">
        <w:rPr>
          <w:rFonts w:ascii="Arial" w:hAnsi="Arial" w:cs="Arial"/>
          <w:b/>
          <w:sz w:val="20"/>
          <w:szCs w:val="20"/>
          <w:u w:val="single"/>
          <w:lang w:val="es-MX"/>
        </w:rPr>
        <w:t>con la fecha de implementación de las mismas</w:t>
      </w:r>
      <w:r w:rsidRPr="0084580C">
        <w:rPr>
          <w:rFonts w:ascii="Arial" w:hAnsi="Arial" w:cs="Arial"/>
          <w:b/>
          <w:sz w:val="20"/>
          <w:szCs w:val="20"/>
          <w:lang w:val="es-MX"/>
        </w:rPr>
        <w:t>, así como el nombre de la unidad o departamento que las llevará a cabo y dará seguimiento para efectuar una mejor gestión.</w:t>
      </w:r>
    </w:p>
    <w:p w:rsidR="00B64482" w:rsidRPr="0077710A" w:rsidRDefault="00B64482" w:rsidP="00B64482">
      <w:pPr>
        <w:shd w:val="clear" w:color="auto" w:fill="FFFFFF" w:themeFill="background1"/>
        <w:spacing w:line="360" w:lineRule="auto"/>
        <w:ind w:left="66"/>
        <w:contextualSpacing/>
        <w:jc w:val="both"/>
        <w:rPr>
          <w:rFonts w:ascii="Arial" w:hAnsi="Arial" w:cs="Arial"/>
          <w:sz w:val="20"/>
          <w:szCs w:val="20"/>
          <w:lang w:val="es-MX"/>
        </w:rPr>
      </w:pPr>
    </w:p>
    <w:p w:rsidR="00B64482" w:rsidRPr="00375150" w:rsidRDefault="00B64482" w:rsidP="00B64482">
      <w:pPr>
        <w:pStyle w:val="Sangra2detindependiente"/>
        <w:spacing w:line="360" w:lineRule="auto"/>
        <w:ind w:left="0"/>
        <w:jc w:val="both"/>
        <w:rPr>
          <w:rFonts w:ascii="Arial" w:hAnsi="Arial" w:cs="Arial"/>
          <w:sz w:val="20"/>
          <w:szCs w:val="20"/>
        </w:rPr>
      </w:pPr>
      <w:r w:rsidRPr="00375150">
        <w:rPr>
          <w:rFonts w:ascii="Arial" w:hAnsi="Arial" w:cs="Arial"/>
          <w:sz w:val="20"/>
          <w:szCs w:val="20"/>
        </w:rPr>
        <w:t xml:space="preserve"> </w:t>
      </w:r>
    </w:p>
    <w:p w:rsidR="00B64482" w:rsidRPr="00375150" w:rsidRDefault="00B64482" w:rsidP="00B64482">
      <w:pPr>
        <w:pStyle w:val="Sangra2detindependiente"/>
        <w:spacing w:line="360" w:lineRule="auto"/>
        <w:ind w:left="0"/>
        <w:jc w:val="both"/>
        <w:rPr>
          <w:rFonts w:ascii="Arial" w:hAnsi="Arial" w:cs="Arial"/>
          <w:b/>
          <w:bCs/>
          <w:sz w:val="20"/>
          <w:szCs w:val="20"/>
          <w:lang w:val="es-ES"/>
        </w:rPr>
      </w:pPr>
      <w:r w:rsidRPr="00375150">
        <w:rPr>
          <w:rFonts w:ascii="Arial" w:hAnsi="Arial" w:cs="Arial"/>
          <w:b/>
          <w:bCs/>
          <w:sz w:val="20"/>
          <w:szCs w:val="20"/>
          <w:lang w:val="es-ES"/>
        </w:rPr>
        <w:t>Tasa de resolución</w:t>
      </w:r>
    </w:p>
    <w:p w:rsidR="00B64482" w:rsidRPr="00375150" w:rsidRDefault="00B64482" w:rsidP="00B64482">
      <w:pPr>
        <w:pStyle w:val="Sangra2detindependiente"/>
        <w:spacing w:line="360" w:lineRule="auto"/>
        <w:ind w:left="0"/>
        <w:jc w:val="both"/>
        <w:rPr>
          <w:rFonts w:ascii="Arial" w:hAnsi="Arial" w:cs="Arial"/>
          <w:bCs/>
          <w:sz w:val="20"/>
          <w:szCs w:val="20"/>
          <w:lang w:val="es-ES"/>
        </w:rPr>
      </w:pPr>
      <w:r w:rsidRPr="00375150">
        <w:rPr>
          <w:rFonts w:ascii="Arial" w:hAnsi="Arial" w:cs="Arial"/>
          <w:bCs/>
          <w:sz w:val="20"/>
          <w:szCs w:val="20"/>
          <w:lang w:val="es-ES"/>
        </w:rPr>
        <w:t>En relación con esta métrica, la tasa de resolución para el año 2018 establecía que los casos terminados debían representar el 36,17% de toda la carga de trabajo de los Tribunales y Juzgados del país. Al respecto se tiene que, ese porcentaje fue del 29,77%, en relación con el 36,17% proyectado, lo que significó que la meta establecida alcanzara un 82,3% de cumplimiento; teniéndose que la huelga nacional de empleados públicos perjudicó de manera considerable el cumplimiento de esta meta, aunado a que, este indicador se ve afectado por las medidas alternas de conflicto con plazo, las cuales permiten que la parte demandada cuente con un plazo para que lleve a cabo una reparación integral del daño, una suspensión del proceso a prueba o bien una conciliación, por lo que los procesos no pueden darse por terminados hasta que esa medida alterna agote el plazo, provocando que estadísticamente los asuntos no se dé por concluidos, aún, cuando el proceso conllevó todo la tramitología de un proceso que termina con sentencia y por lo tanto se da por concluido; no obstante, por el plazo establecido en la medida alterna, este tipo de procesos se trasladan del circulante en trámite al circulante con resolución provisional o pasivo, lo cual afecta de manera directa los porcentajes de resolución.</w:t>
      </w:r>
    </w:p>
    <w:p w:rsidR="00B64482" w:rsidRPr="00375150" w:rsidRDefault="00B64482" w:rsidP="00B64482">
      <w:pPr>
        <w:pStyle w:val="Sangra2detindependiente"/>
        <w:spacing w:line="360" w:lineRule="auto"/>
        <w:ind w:left="0"/>
        <w:jc w:val="both"/>
        <w:rPr>
          <w:rFonts w:ascii="Arial" w:hAnsi="Arial" w:cs="Arial"/>
          <w:bCs/>
          <w:sz w:val="20"/>
          <w:szCs w:val="20"/>
          <w:lang w:val="es-ES"/>
        </w:rPr>
      </w:pPr>
    </w:p>
    <w:p w:rsidR="00B64482" w:rsidRPr="00375150" w:rsidRDefault="00B64482" w:rsidP="00B64482">
      <w:pPr>
        <w:pStyle w:val="Sangra2detindependiente"/>
        <w:spacing w:line="360" w:lineRule="auto"/>
        <w:ind w:left="0"/>
        <w:jc w:val="both"/>
        <w:rPr>
          <w:rFonts w:ascii="Arial" w:hAnsi="Arial" w:cs="Arial"/>
          <w:bCs/>
          <w:sz w:val="20"/>
          <w:szCs w:val="20"/>
          <w:lang w:val="es-ES"/>
        </w:rPr>
      </w:pPr>
      <w:r w:rsidRPr="00375150">
        <w:rPr>
          <w:rFonts w:ascii="Arial" w:hAnsi="Arial" w:cs="Arial"/>
          <w:bCs/>
          <w:sz w:val="20"/>
          <w:szCs w:val="20"/>
          <w:lang w:val="es-ES"/>
        </w:rPr>
        <w:t>Como medida correctiva se tiene que el Poder Judicial ha implementado proyectos que buscan aumentar la tasa de resolución, dentro de los cuales se tienen. :</w:t>
      </w:r>
    </w:p>
    <w:p w:rsidR="00B64482" w:rsidRPr="00375150" w:rsidRDefault="00B64482" w:rsidP="00B64482">
      <w:pPr>
        <w:pStyle w:val="Sangra2detindependiente"/>
        <w:spacing w:line="360" w:lineRule="auto"/>
        <w:ind w:left="0"/>
        <w:jc w:val="both"/>
        <w:rPr>
          <w:rFonts w:ascii="Arial" w:hAnsi="Arial" w:cs="Arial"/>
          <w:bCs/>
          <w:sz w:val="20"/>
          <w:szCs w:val="20"/>
          <w:lang w:val="es-ES"/>
        </w:rPr>
      </w:pPr>
    </w:p>
    <w:p w:rsidR="00B64482" w:rsidRPr="00375150" w:rsidRDefault="00B64482" w:rsidP="00B64482">
      <w:pPr>
        <w:numPr>
          <w:ilvl w:val="0"/>
          <w:numId w:val="14"/>
        </w:numPr>
        <w:spacing w:line="360" w:lineRule="auto"/>
        <w:jc w:val="both"/>
        <w:rPr>
          <w:rFonts w:ascii="Arial" w:hAnsi="Arial" w:cs="Arial"/>
          <w:bCs/>
          <w:sz w:val="20"/>
          <w:szCs w:val="20"/>
          <w:lang w:val="es-CR"/>
        </w:rPr>
      </w:pPr>
      <w:r w:rsidRPr="00375150">
        <w:rPr>
          <w:rFonts w:ascii="Arial" w:hAnsi="Arial" w:cs="Arial"/>
          <w:bCs/>
          <w:sz w:val="20"/>
          <w:szCs w:val="20"/>
          <w:lang w:val="es-CR"/>
        </w:rPr>
        <w:t xml:space="preserve">El Rediseño de Procesos del Modelo Penal con la aplicación de nuevas tecnologías de información, el cual se está direccionando a la disminución de los circulantes y los plazos de espera en los tribunales de juicio </w:t>
      </w:r>
      <w:r w:rsidR="005C38B0">
        <w:rPr>
          <w:rFonts w:ascii="Arial" w:hAnsi="Arial" w:cs="Arial"/>
          <w:bCs/>
          <w:sz w:val="20"/>
          <w:szCs w:val="20"/>
          <w:lang w:val="es-CR"/>
        </w:rPr>
        <w:t xml:space="preserve">penales </w:t>
      </w:r>
      <w:bookmarkStart w:id="14" w:name="_GoBack"/>
      <w:bookmarkEnd w:id="14"/>
      <w:r w:rsidRPr="00375150">
        <w:rPr>
          <w:rFonts w:ascii="Arial" w:hAnsi="Arial" w:cs="Arial"/>
          <w:bCs/>
          <w:sz w:val="20"/>
          <w:szCs w:val="20"/>
          <w:lang w:val="es-CR"/>
        </w:rPr>
        <w:t>y de apelación del país, por lo que es de esperar que conforme este Modelo se vaya aplicando, la tasa de resolución tienda a aumentar y por lo tanto se dé una disminución en la tasa de Pendencia.</w:t>
      </w:r>
    </w:p>
    <w:p w:rsidR="00B64482" w:rsidRPr="00375150" w:rsidRDefault="00B64482" w:rsidP="00B64482">
      <w:pPr>
        <w:spacing w:line="360" w:lineRule="auto"/>
        <w:rPr>
          <w:rFonts w:ascii="Arial" w:hAnsi="Arial" w:cs="Arial"/>
          <w:bCs/>
          <w:sz w:val="20"/>
          <w:szCs w:val="20"/>
          <w:lang w:val="es-CR"/>
        </w:rPr>
      </w:pPr>
    </w:p>
    <w:p w:rsidR="00B64482" w:rsidRPr="00375150" w:rsidRDefault="00B64482" w:rsidP="00B64482">
      <w:pPr>
        <w:numPr>
          <w:ilvl w:val="0"/>
          <w:numId w:val="14"/>
        </w:numPr>
        <w:spacing w:line="360" w:lineRule="auto"/>
        <w:jc w:val="both"/>
        <w:rPr>
          <w:rFonts w:ascii="Arial" w:hAnsi="Arial" w:cs="Arial"/>
          <w:bCs/>
          <w:sz w:val="20"/>
          <w:szCs w:val="20"/>
          <w:lang w:val="es-CR"/>
        </w:rPr>
      </w:pPr>
      <w:r w:rsidRPr="00375150">
        <w:rPr>
          <w:rFonts w:ascii="Arial" w:hAnsi="Arial" w:cs="Arial"/>
          <w:bCs/>
          <w:sz w:val="20"/>
          <w:szCs w:val="20"/>
          <w:lang w:val="es-CR"/>
        </w:rPr>
        <w:t>Plan de descongestionamiento en materia Civil y Laboral, Cobratoria continuar con el plan de descongestionamiento en estas materias permitirá que los despachos disminuyan de manera considerable su circulante, con lo cual la tasa de resolución aumentará.</w:t>
      </w:r>
    </w:p>
    <w:p w:rsidR="00B64482" w:rsidRPr="00375150" w:rsidRDefault="00B64482" w:rsidP="00B64482">
      <w:pPr>
        <w:pStyle w:val="Prrafodelista"/>
        <w:rPr>
          <w:rFonts w:ascii="Arial" w:hAnsi="Arial" w:cs="Arial"/>
          <w:bCs/>
          <w:sz w:val="20"/>
          <w:szCs w:val="20"/>
          <w:lang w:val="es-CR"/>
        </w:rPr>
      </w:pPr>
    </w:p>
    <w:p w:rsidR="00B64482" w:rsidRPr="00375150" w:rsidRDefault="00B64482" w:rsidP="00B64482">
      <w:pPr>
        <w:numPr>
          <w:ilvl w:val="0"/>
          <w:numId w:val="14"/>
        </w:numPr>
        <w:spacing w:line="360" w:lineRule="auto"/>
        <w:jc w:val="both"/>
        <w:rPr>
          <w:rFonts w:ascii="Arial" w:hAnsi="Arial" w:cs="Arial"/>
          <w:bCs/>
          <w:sz w:val="20"/>
          <w:szCs w:val="20"/>
          <w:lang w:val="es-CR"/>
        </w:rPr>
      </w:pPr>
      <w:r w:rsidRPr="00375150">
        <w:rPr>
          <w:rFonts w:ascii="Arial" w:hAnsi="Arial" w:cs="Arial"/>
          <w:bCs/>
          <w:sz w:val="20"/>
          <w:szCs w:val="20"/>
          <w:lang w:val="es-CR"/>
        </w:rPr>
        <w:t>Plan de descongestionamiento en la materia Agraria, el cual busca que el circulante en los despachos que tramitan esta materia se disminuya antes de que ingrese en funcionamiento la Reforma Agraria.</w:t>
      </w:r>
    </w:p>
    <w:p w:rsidR="00B64482" w:rsidRPr="00375150" w:rsidRDefault="00B64482" w:rsidP="00B64482">
      <w:pPr>
        <w:pStyle w:val="Prrafodelista"/>
        <w:rPr>
          <w:rFonts w:ascii="Arial" w:hAnsi="Arial" w:cs="Arial"/>
          <w:bCs/>
          <w:sz w:val="20"/>
          <w:szCs w:val="20"/>
          <w:lang w:val="es-CR"/>
        </w:rPr>
      </w:pPr>
    </w:p>
    <w:p w:rsidR="00B64482" w:rsidRPr="00375150" w:rsidRDefault="00B64482" w:rsidP="00B64482">
      <w:pPr>
        <w:pStyle w:val="Prrafodelista"/>
        <w:numPr>
          <w:ilvl w:val="0"/>
          <w:numId w:val="14"/>
        </w:numPr>
        <w:spacing w:line="360" w:lineRule="auto"/>
        <w:jc w:val="both"/>
        <w:rPr>
          <w:rFonts w:ascii="Arial" w:hAnsi="Arial" w:cs="Arial"/>
          <w:bCs/>
          <w:sz w:val="20"/>
          <w:szCs w:val="20"/>
          <w:lang w:val="es-CR"/>
        </w:rPr>
      </w:pPr>
      <w:r w:rsidRPr="00375150">
        <w:rPr>
          <w:rFonts w:ascii="Arial" w:hAnsi="Arial" w:cs="Arial"/>
          <w:bCs/>
          <w:sz w:val="20"/>
          <w:szCs w:val="20"/>
          <w:lang w:val="es-CR"/>
        </w:rPr>
        <w:t>El apoyo brindado por el Programa Contra el Retraso Judicial, del Centro de Apoyo Coordinación y Mejoramiento de la Función Jurisdiccional, es otra de las acciones que se tomarán para reducir la tasa de pendencia en aquellas materias que no cuentan con un plan de descongestionamiento.</w:t>
      </w:r>
    </w:p>
    <w:p w:rsidR="00B64482" w:rsidRPr="00375150" w:rsidRDefault="00B64482" w:rsidP="00B64482">
      <w:pPr>
        <w:pStyle w:val="Prrafodelista"/>
        <w:rPr>
          <w:rFonts w:ascii="Arial" w:hAnsi="Arial" w:cs="Arial"/>
          <w:bCs/>
          <w:sz w:val="20"/>
          <w:szCs w:val="20"/>
          <w:lang w:val="es-CR"/>
        </w:rPr>
      </w:pPr>
    </w:p>
    <w:p w:rsidR="00B64482" w:rsidRPr="00375150" w:rsidRDefault="00B64482" w:rsidP="00B64482">
      <w:pPr>
        <w:spacing w:line="360" w:lineRule="auto"/>
        <w:jc w:val="both"/>
        <w:rPr>
          <w:rFonts w:ascii="Arial" w:hAnsi="Arial" w:cs="Arial"/>
          <w:bCs/>
          <w:sz w:val="20"/>
          <w:szCs w:val="20"/>
          <w:lang w:val="es-CR"/>
        </w:rPr>
      </w:pPr>
      <w:r w:rsidRPr="00375150">
        <w:rPr>
          <w:rFonts w:ascii="Arial" w:hAnsi="Arial" w:cs="Arial"/>
          <w:bCs/>
          <w:sz w:val="20"/>
          <w:szCs w:val="20"/>
          <w:lang w:val="es-CR"/>
        </w:rPr>
        <w:t>Estas acciones correctivas se estarán desarrollando de enero a diciembre del 2019 por los juzgados y tribunales que integran el Ámbito Jurisdiccional y el seguimiento será dado por el Centro de Apoyo, Coordinación y Mejoramiento de la Función Jurisdiccional.</w:t>
      </w:r>
    </w:p>
    <w:p w:rsidR="00B64482" w:rsidRPr="00375150" w:rsidRDefault="00B64482" w:rsidP="00B64482">
      <w:pPr>
        <w:pStyle w:val="Sangra2detindependiente"/>
        <w:spacing w:line="360" w:lineRule="auto"/>
        <w:ind w:left="0"/>
        <w:jc w:val="both"/>
        <w:rPr>
          <w:rFonts w:ascii="Arial" w:hAnsi="Arial" w:cs="Arial"/>
          <w:bCs/>
          <w:sz w:val="20"/>
          <w:szCs w:val="20"/>
          <w:lang w:val="es-ES"/>
        </w:rPr>
      </w:pPr>
    </w:p>
    <w:p w:rsidR="00B64482" w:rsidRPr="00375150" w:rsidRDefault="00B64482" w:rsidP="00B64482">
      <w:pPr>
        <w:pStyle w:val="Sangra2detindependiente"/>
        <w:spacing w:line="360" w:lineRule="auto"/>
        <w:ind w:left="0"/>
        <w:jc w:val="both"/>
        <w:rPr>
          <w:rFonts w:ascii="Arial" w:hAnsi="Arial" w:cs="Arial"/>
          <w:bCs/>
          <w:sz w:val="20"/>
          <w:szCs w:val="20"/>
          <w:lang w:val="es-ES"/>
        </w:rPr>
      </w:pPr>
    </w:p>
    <w:p w:rsidR="00B64482" w:rsidRPr="00375150" w:rsidRDefault="00B64482" w:rsidP="00B64482">
      <w:pPr>
        <w:pStyle w:val="Sangra2detindependiente"/>
        <w:spacing w:line="360" w:lineRule="auto"/>
        <w:ind w:left="0"/>
        <w:mirrorIndents/>
        <w:jc w:val="both"/>
        <w:rPr>
          <w:rFonts w:ascii="Arial" w:hAnsi="Arial" w:cs="Arial"/>
          <w:bCs/>
          <w:sz w:val="20"/>
          <w:szCs w:val="20"/>
          <w:lang w:val="es-ES"/>
        </w:rPr>
      </w:pPr>
    </w:p>
    <w:p w:rsidR="00B64482" w:rsidRPr="00375150" w:rsidRDefault="00B64482" w:rsidP="00B64482">
      <w:pPr>
        <w:pStyle w:val="Sangra2detindependiente"/>
        <w:spacing w:line="360" w:lineRule="auto"/>
        <w:ind w:left="0"/>
        <w:jc w:val="both"/>
        <w:rPr>
          <w:rFonts w:ascii="Arial" w:hAnsi="Arial" w:cs="Arial"/>
          <w:b/>
          <w:bCs/>
          <w:sz w:val="20"/>
          <w:szCs w:val="20"/>
          <w:lang w:val="es-ES"/>
        </w:rPr>
      </w:pPr>
      <w:r w:rsidRPr="00375150">
        <w:rPr>
          <w:rFonts w:ascii="Arial" w:hAnsi="Arial" w:cs="Arial"/>
          <w:bCs/>
          <w:sz w:val="20"/>
          <w:szCs w:val="20"/>
          <w:lang w:val="es-ES"/>
        </w:rPr>
        <w:t xml:space="preserve"> </w:t>
      </w:r>
      <w:r w:rsidRPr="00375150">
        <w:rPr>
          <w:rFonts w:ascii="Arial" w:hAnsi="Arial" w:cs="Arial"/>
          <w:b/>
          <w:bCs/>
          <w:sz w:val="20"/>
          <w:szCs w:val="20"/>
          <w:lang w:val="es-ES"/>
        </w:rPr>
        <w:t>Tasa de Pendencia</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Al finalizar el año 2018 el cálculo de la Tasa de Pendencia fue de un 59,98%, porcentaje que muestra la cantidad de expedientes que están a la espera de ser tramitados o bien que ya iniciaron su tramitación, pero aún no se dan por terminados.</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La tasa de pendencia se encuentra estrechamente relacionada con la tasa de resolución, en razón que, a mayor tasa de resolución, menor será la tasa de pendencia, en el tanto el ingreso de asuntos sea estable, lo cual no depende del Poder Judicial, sino de las denuncias que realicen los ciudadanos, por lo que no es una variable que pueda ser contr</w:t>
      </w:r>
      <w:r w:rsidR="00EE5731" w:rsidRPr="00375150">
        <w:rPr>
          <w:rFonts w:ascii="Arial" w:hAnsi="Arial" w:cs="Arial"/>
          <w:bCs/>
          <w:sz w:val="20"/>
          <w:szCs w:val="20"/>
          <w:lang w:val="es-CR"/>
        </w:rPr>
        <w:t>o</w:t>
      </w:r>
      <w:r w:rsidRPr="00375150">
        <w:rPr>
          <w:rFonts w:ascii="Arial" w:hAnsi="Arial" w:cs="Arial"/>
          <w:bCs/>
          <w:sz w:val="20"/>
          <w:szCs w:val="20"/>
          <w:lang w:val="es-CR"/>
        </w:rPr>
        <w:t xml:space="preserve">lada por esta institución. El circulante, incluyendo asuntos inactivos, en el Servicio Jurisdiccional al finalizar </w:t>
      </w:r>
      <w:r w:rsidRPr="00375150">
        <w:rPr>
          <w:rFonts w:ascii="Arial" w:hAnsi="Arial" w:cs="Arial"/>
          <w:bCs/>
          <w:sz w:val="20"/>
          <w:szCs w:val="20"/>
          <w:lang w:val="es-CR"/>
        </w:rPr>
        <w:lastRenderedPageBreak/>
        <w:t>diciembre 2018, se ubicó en 1.335.611 expedientes, de esa cantidad 1.141.852 expedientes se encuentran a la espera de ser tramitados o en trámite, representando el 86% de ese circulante.</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 xml:space="preserve"> </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Dado el ligamen que existe entre la tasa de resolución y la tas</w:t>
      </w:r>
      <w:r w:rsidR="00EE5731" w:rsidRPr="00375150">
        <w:rPr>
          <w:rFonts w:ascii="Arial" w:hAnsi="Arial" w:cs="Arial"/>
          <w:bCs/>
          <w:sz w:val="20"/>
          <w:szCs w:val="20"/>
          <w:lang w:val="es-CR"/>
        </w:rPr>
        <w:t>a</w:t>
      </w:r>
      <w:r w:rsidRPr="00375150">
        <w:rPr>
          <w:rFonts w:ascii="Arial" w:hAnsi="Arial" w:cs="Arial"/>
          <w:bCs/>
          <w:sz w:val="20"/>
          <w:szCs w:val="20"/>
          <w:lang w:val="es-CR"/>
        </w:rPr>
        <w:t xml:space="preserve"> de pendencia, se tiene que las acciones correctivas que aplicará la institución para aumentar la resolución de asuntos, afectarán de manera directa la tasa de pendencia, por lo que dichas medidas de corrección aplican para este indicador y se desarrollarán durante presente año, de ahí que sean las mismas que se enunciaron anteriormente, a saber.</w:t>
      </w:r>
    </w:p>
    <w:p w:rsidR="00B64482" w:rsidRPr="00375150" w:rsidRDefault="00B64482" w:rsidP="00B64482">
      <w:pPr>
        <w:spacing w:line="360" w:lineRule="auto"/>
        <w:rPr>
          <w:rFonts w:ascii="Arial" w:hAnsi="Arial" w:cs="Arial"/>
          <w:bCs/>
          <w:sz w:val="20"/>
          <w:szCs w:val="20"/>
          <w:lang w:val="es-CR"/>
        </w:rPr>
      </w:pPr>
    </w:p>
    <w:p w:rsidR="00B64482" w:rsidRPr="00375150" w:rsidRDefault="00B64482" w:rsidP="00B64482">
      <w:pPr>
        <w:numPr>
          <w:ilvl w:val="0"/>
          <w:numId w:val="14"/>
        </w:numPr>
        <w:spacing w:line="360" w:lineRule="auto"/>
        <w:jc w:val="both"/>
        <w:rPr>
          <w:rFonts w:ascii="Arial" w:hAnsi="Arial" w:cs="Arial"/>
          <w:bCs/>
          <w:sz w:val="20"/>
          <w:szCs w:val="20"/>
          <w:lang w:val="es-CR"/>
        </w:rPr>
      </w:pPr>
      <w:r w:rsidRPr="00375150">
        <w:rPr>
          <w:rFonts w:ascii="Arial" w:hAnsi="Arial" w:cs="Arial"/>
          <w:bCs/>
          <w:sz w:val="20"/>
          <w:szCs w:val="20"/>
          <w:lang w:val="es-CR"/>
        </w:rPr>
        <w:t>El Rediseño de Procesos del Modelo Penal con la aplicación de nuevas tecnologías de información, el cual se está direccionando a la disminución de los circulantes y los plazos de espera en los tribunales de juicio y de apelación del país, por lo que es de esperar que conforme este Modelo se vaya aplicando, la tasa de resolución tienda a aumentar y por lo tanto se dé una disminución en la tasa de Pendencia.</w:t>
      </w:r>
    </w:p>
    <w:p w:rsidR="00B64482" w:rsidRPr="00375150" w:rsidRDefault="00B64482" w:rsidP="00B64482">
      <w:pPr>
        <w:spacing w:line="360" w:lineRule="auto"/>
        <w:rPr>
          <w:rFonts w:ascii="Arial" w:hAnsi="Arial" w:cs="Arial"/>
          <w:bCs/>
          <w:sz w:val="20"/>
          <w:szCs w:val="20"/>
          <w:lang w:val="es-CR"/>
        </w:rPr>
      </w:pPr>
    </w:p>
    <w:p w:rsidR="00B64482" w:rsidRPr="00375150" w:rsidRDefault="00B64482" w:rsidP="00B64482">
      <w:pPr>
        <w:numPr>
          <w:ilvl w:val="0"/>
          <w:numId w:val="14"/>
        </w:numPr>
        <w:spacing w:line="360" w:lineRule="auto"/>
        <w:jc w:val="both"/>
        <w:rPr>
          <w:rFonts w:ascii="Arial" w:hAnsi="Arial" w:cs="Arial"/>
          <w:bCs/>
          <w:sz w:val="20"/>
          <w:szCs w:val="20"/>
          <w:lang w:val="es-CR"/>
        </w:rPr>
      </w:pPr>
      <w:r w:rsidRPr="00375150">
        <w:rPr>
          <w:rFonts w:ascii="Arial" w:hAnsi="Arial" w:cs="Arial"/>
          <w:bCs/>
          <w:sz w:val="20"/>
          <w:szCs w:val="20"/>
          <w:lang w:val="es-CR"/>
        </w:rPr>
        <w:t>Plan de descongestionamiento en materia Civil y Laboral, Cobratoria continuar con el plan de descongestionamiento en estas materias permitirá que los despachos disminuyan de manera considerable su circulante, con lo cual la tasa de resolución aumentará.</w:t>
      </w:r>
    </w:p>
    <w:p w:rsidR="00B64482" w:rsidRPr="00375150" w:rsidRDefault="00B64482" w:rsidP="00B64482">
      <w:pPr>
        <w:pStyle w:val="Prrafodelista"/>
        <w:rPr>
          <w:rFonts w:ascii="Arial" w:hAnsi="Arial" w:cs="Arial"/>
          <w:bCs/>
          <w:sz w:val="20"/>
          <w:szCs w:val="20"/>
          <w:lang w:val="es-CR"/>
        </w:rPr>
      </w:pPr>
    </w:p>
    <w:p w:rsidR="00B64482" w:rsidRPr="00375150" w:rsidRDefault="00B64482" w:rsidP="00B64482">
      <w:pPr>
        <w:numPr>
          <w:ilvl w:val="0"/>
          <w:numId w:val="14"/>
        </w:numPr>
        <w:spacing w:line="360" w:lineRule="auto"/>
        <w:jc w:val="both"/>
        <w:rPr>
          <w:rFonts w:ascii="Arial" w:hAnsi="Arial" w:cs="Arial"/>
          <w:bCs/>
          <w:sz w:val="20"/>
          <w:szCs w:val="20"/>
          <w:lang w:val="es-CR"/>
        </w:rPr>
      </w:pPr>
      <w:r w:rsidRPr="00375150">
        <w:rPr>
          <w:rFonts w:ascii="Arial" w:hAnsi="Arial" w:cs="Arial"/>
          <w:bCs/>
          <w:sz w:val="20"/>
          <w:szCs w:val="20"/>
          <w:lang w:val="es-CR"/>
        </w:rPr>
        <w:t>Plan de descongestionamiento en la materia Agraria, el cual busca que el circulante en los despachos que tramitan esta materia se disminuya antes de que ingrese en funcionamiento la Reforma Agraria.</w:t>
      </w:r>
    </w:p>
    <w:p w:rsidR="00B64482" w:rsidRPr="00375150" w:rsidRDefault="00B64482" w:rsidP="00B64482">
      <w:pPr>
        <w:pStyle w:val="Prrafodelista"/>
        <w:rPr>
          <w:rFonts w:ascii="Arial" w:hAnsi="Arial" w:cs="Arial"/>
          <w:bCs/>
          <w:sz w:val="20"/>
          <w:szCs w:val="20"/>
          <w:lang w:val="es-CR"/>
        </w:rPr>
      </w:pPr>
    </w:p>
    <w:p w:rsidR="00B64482" w:rsidRPr="00375150" w:rsidRDefault="00B64482" w:rsidP="00B64482">
      <w:pPr>
        <w:pStyle w:val="Prrafodelista"/>
        <w:numPr>
          <w:ilvl w:val="0"/>
          <w:numId w:val="14"/>
        </w:numPr>
        <w:spacing w:line="360" w:lineRule="auto"/>
        <w:jc w:val="both"/>
        <w:rPr>
          <w:rFonts w:ascii="Arial" w:hAnsi="Arial" w:cs="Arial"/>
          <w:bCs/>
          <w:sz w:val="20"/>
          <w:szCs w:val="20"/>
          <w:lang w:val="es-CR"/>
        </w:rPr>
      </w:pPr>
      <w:r w:rsidRPr="00375150">
        <w:rPr>
          <w:rFonts w:ascii="Arial" w:hAnsi="Arial" w:cs="Arial"/>
          <w:bCs/>
          <w:sz w:val="20"/>
          <w:szCs w:val="20"/>
          <w:lang w:val="es-CR"/>
        </w:rPr>
        <w:t>El apoyo brindado por el Programa Contra el Retraso Judicial, del Centro de Apoyo Coordinación y Mejoramiento de la Función Jurisdiccional, es otra de las acciones que se tomarán para reducir la tasa de pendencia en aquellas materias que no cuentan con un plan de descongestionamiento.</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spacing w:line="360" w:lineRule="auto"/>
        <w:jc w:val="both"/>
        <w:rPr>
          <w:rFonts w:ascii="Arial" w:hAnsi="Arial" w:cs="Arial"/>
          <w:bCs/>
          <w:sz w:val="20"/>
          <w:szCs w:val="20"/>
          <w:lang w:val="es-CR"/>
        </w:rPr>
      </w:pPr>
      <w:r w:rsidRPr="00375150">
        <w:rPr>
          <w:rFonts w:ascii="Arial" w:hAnsi="Arial" w:cs="Arial"/>
          <w:bCs/>
          <w:sz w:val="20"/>
          <w:szCs w:val="20"/>
          <w:lang w:val="es-CR"/>
        </w:rPr>
        <w:t>Estas acciones correctivas se estarán desarrollando de enero a diciembre del 2019 por los juzgados y tribunales que integran el Ámbito Jurisdiccional y el seguimiento será dado por el Centro de Apoyo, Coordinación y Mejoramiento de la Función Jurisdiccional.</w:t>
      </w:r>
    </w:p>
    <w:p w:rsidR="00B64482" w:rsidRPr="00375150" w:rsidRDefault="00B64482" w:rsidP="00B64482">
      <w:pPr>
        <w:spacing w:line="360" w:lineRule="auto"/>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
          <w:bCs/>
          <w:sz w:val="20"/>
          <w:szCs w:val="20"/>
          <w:lang w:val="es-CR"/>
        </w:rPr>
      </w:pPr>
      <w:r w:rsidRPr="00375150">
        <w:rPr>
          <w:rFonts w:ascii="Arial" w:hAnsi="Arial" w:cs="Arial"/>
          <w:b/>
          <w:bCs/>
          <w:sz w:val="20"/>
          <w:szCs w:val="20"/>
          <w:lang w:val="es-CR"/>
        </w:rPr>
        <w:t>Tasa de crecimiento de las conciliaciones</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 xml:space="preserve">La conciliación como medida alterna de conflictos, se hace posible si todas las partes del proceso tienen anuencia para llevarla a cabo y si se cumplen los requisitos que permitan </w:t>
      </w:r>
      <w:r w:rsidRPr="00375150">
        <w:rPr>
          <w:rFonts w:ascii="Arial" w:hAnsi="Arial" w:cs="Arial"/>
          <w:bCs/>
          <w:sz w:val="20"/>
          <w:szCs w:val="20"/>
          <w:lang w:val="es-CR"/>
        </w:rPr>
        <w:lastRenderedPageBreak/>
        <w:t xml:space="preserve">establecerla, por lo que, basta con que una parte del proceso no desee conciliar para que no se lleve a cabo esa medida alterna. </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Dentro del compendio indicadores judiciales la tasa de conciliación (que es total de casos resueltos por conciliación sobre el total de asuntos resueltos), cuyo comportamiento promedio en los últimos 10 periodos se mantiene en un 6%, que se encuentra por encima del valor obtenido durante el año 2018 que fue de 4,2%. De acuerdo con la fórmula matemática este indicador se ve afectado por la cantidad de asuntos resueltos, por lo que, a menor cantidad de asuntos resueltos, menor el porcentaje de casos resueltos por conciliación.</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Seguidamente el detalle de este comportamiento para los últimos 10 años.</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tbl>
      <w:tblPr>
        <w:tblW w:w="2720" w:type="dxa"/>
        <w:jc w:val="center"/>
        <w:tblCellMar>
          <w:left w:w="70" w:type="dxa"/>
          <w:right w:w="70" w:type="dxa"/>
        </w:tblCellMar>
        <w:tblLook w:val="04A0"/>
      </w:tblPr>
      <w:tblGrid>
        <w:gridCol w:w="1480"/>
        <w:gridCol w:w="1240"/>
      </w:tblGrid>
      <w:tr w:rsidR="00B64482" w:rsidRPr="00375150" w:rsidTr="00240E87">
        <w:trPr>
          <w:trHeight w:val="288"/>
          <w:jc w:val="center"/>
        </w:trPr>
        <w:tc>
          <w:tcPr>
            <w:tcW w:w="148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B64482" w:rsidRPr="00375150" w:rsidRDefault="00B64482" w:rsidP="00240E87">
            <w:pPr>
              <w:jc w:val="center"/>
              <w:rPr>
                <w:rFonts w:ascii="Arial" w:hAnsi="Arial" w:cs="Arial"/>
                <w:b/>
                <w:bCs/>
                <w:color w:val="000000"/>
                <w:sz w:val="20"/>
                <w:szCs w:val="20"/>
              </w:rPr>
            </w:pPr>
            <w:r w:rsidRPr="00375150">
              <w:rPr>
                <w:rFonts w:ascii="Arial" w:hAnsi="Arial" w:cs="Arial"/>
                <w:b/>
                <w:bCs/>
                <w:color w:val="000000"/>
                <w:sz w:val="20"/>
                <w:szCs w:val="20"/>
              </w:rPr>
              <w:t>Año</w:t>
            </w:r>
          </w:p>
        </w:tc>
        <w:tc>
          <w:tcPr>
            <w:tcW w:w="1240" w:type="dxa"/>
            <w:tcBorders>
              <w:top w:val="single" w:sz="4" w:space="0" w:color="auto"/>
              <w:left w:val="nil"/>
              <w:bottom w:val="single" w:sz="4" w:space="0" w:color="auto"/>
              <w:right w:val="single" w:sz="4" w:space="0" w:color="auto"/>
            </w:tcBorders>
            <w:shd w:val="clear" w:color="000000" w:fill="A6A6A6"/>
            <w:noWrap/>
            <w:vAlign w:val="bottom"/>
            <w:hideMark/>
          </w:tcPr>
          <w:p w:rsidR="00B64482" w:rsidRPr="00375150" w:rsidRDefault="00B64482" w:rsidP="00240E87">
            <w:pPr>
              <w:jc w:val="center"/>
              <w:rPr>
                <w:rFonts w:ascii="Arial" w:hAnsi="Arial" w:cs="Arial"/>
                <w:b/>
                <w:bCs/>
                <w:color w:val="000000"/>
                <w:sz w:val="20"/>
                <w:szCs w:val="20"/>
              </w:rPr>
            </w:pPr>
            <w:r w:rsidRPr="00375150">
              <w:rPr>
                <w:rFonts w:ascii="Arial" w:hAnsi="Arial" w:cs="Arial"/>
                <w:b/>
                <w:bCs/>
                <w:color w:val="000000"/>
                <w:sz w:val="20"/>
                <w:szCs w:val="20"/>
              </w:rPr>
              <w:t>Tasa</w:t>
            </w:r>
          </w:p>
        </w:tc>
      </w:tr>
      <w:tr w:rsidR="00B64482" w:rsidRPr="00375150" w:rsidTr="00240E87">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77710A">
              <w:rPr>
                <w:rFonts w:ascii="Arial" w:hAnsi="Arial" w:cs="Arial"/>
                <w:color w:val="000000"/>
                <w:sz w:val="20"/>
                <w:szCs w:val="20"/>
              </w:rPr>
              <w:t>2009</w:t>
            </w:r>
          </w:p>
        </w:tc>
        <w:tc>
          <w:tcPr>
            <w:tcW w:w="1240" w:type="dxa"/>
            <w:tcBorders>
              <w:top w:val="nil"/>
              <w:left w:val="nil"/>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375150">
              <w:rPr>
                <w:rFonts w:ascii="Arial" w:hAnsi="Arial" w:cs="Arial"/>
                <w:color w:val="000000"/>
                <w:sz w:val="20"/>
                <w:szCs w:val="20"/>
              </w:rPr>
              <w:t>4,4</w:t>
            </w:r>
          </w:p>
        </w:tc>
      </w:tr>
      <w:tr w:rsidR="00B64482" w:rsidRPr="00375150" w:rsidTr="00240E87">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77710A">
              <w:rPr>
                <w:rFonts w:ascii="Arial" w:hAnsi="Arial" w:cs="Arial"/>
                <w:color w:val="000000"/>
                <w:sz w:val="20"/>
                <w:szCs w:val="20"/>
              </w:rPr>
              <w:t>2010</w:t>
            </w:r>
          </w:p>
        </w:tc>
        <w:tc>
          <w:tcPr>
            <w:tcW w:w="1240" w:type="dxa"/>
            <w:tcBorders>
              <w:top w:val="nil"/>
              <w:left w:val="nil"/>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375150">
              <w:rPr>
                <w:rFonts w:ascii="Arial" w:hAnsi="Arial" w:cs="Arial"/>
                <w:color w:val="000000"/>
                <w:sz w:val="20"/>
                <w:szCs w:val="20"/>
              </w:rPr>
              <w:t>5,1</w:t>
            </w:r>
          </w:p>
        </w:tc>
      </w:tr>
      <w:tr w:rsidR="00B64482" w:rsidRPr="00375150" w:rsidTr="00240E87">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77710A">
              <w:rPr>
                <w:rFonts w:ascii="Arial" w:hAnsi="Arial" w:cs="Arial"/>
                <w:color w:val="000000"/>
                <w:sz w:val="20"/>
                <w:szCs w:val="20"/>
              </w:rPr>
              <w:t>2011</w:t>
            </w:r>
          </w:p>
        </w:tc>
        <w:tc>
          <w:tcPr>
            <w:tcW w:w="1240" w:type="dxa"/>
            <w:tcBorders>
              <w:top w:val="nil"/>
              <w:left w:val="nil"/>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375150">
              <w:rPr>
                <w:rFonts w:ascii="Arial" w:hAnsi="Arial" w:cs="Arial"/>
                <w:color w:val="000000"/>
                <w:sz w:val="20"/>
                <w:szCs w:val="20"/>
              </w:rPr>
              <w:t>4,7</w:t>
            </w:r>
          </w:p>
        </w:tc>
      </w:tr>
      <w:tr w:rsidR="00B64482" w:rsidRPr="00375150" w:rsidTr="00240E87">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77710A">
              <w:rPr>
                <w:rFonts w:ascii="Arial" w:hAnsi="Arial" w:cs="Arial"/>
                <w:color w:val="000000"/>
                <w:sz w:val="20"/>
                <w:szCs w:val="20"/>
              </w:rPr>
              <w:t>2012</w:t>
            </w:r>
          </w:p>
        </w:tc>
        <w:tc>
          <w:tcPr>
            <w:tcW w:w="1240" w:type="dxa"/>
            <w:tcBorders>
              <w:top w:val="nil"/>
              <w:left w:val="nil"/>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375150">
              <w:rPr>
                <w:rFonts w:ascii="Arial" w:hAnsi="Arial" w:cs="Arial"/>
                <w:color w:val="000000"/>
                <w:sz w:val="20"/>
                <w:szCs w:val="20"/>
              </w:rPr>
              <w:t>7,1</w:t>
            </w:r>
          </w:p>
        </w:tc>
      </w:tr>
      <w:tr w:rsidR="00B64482" w:rsidRPr="00375150" w:rsidTr="00240E87">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77710A">
              <w:rPr>
                <w:rFonts w:ascii="Arial" w:hAnsi="Arial" w:cs="Arial"/>
                <w:color w:val="000000"/>
                <w:sz w:val="20"/>
                <w:szCs w:val="20"/>
              </w:rPr>
              <w:t>2013</w:t>
            </w:r>
          </w:p>
        </w:tc>
        <w:tc>
          <w:tcPr>
            <w:tcW w:w="1240" w:type="dxa"/>
            <w:tcBorders>
              <w:top w:val="nil"/>
              <w:left w:val="nil"/>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375150">
              <w:rPr>
                <w:rFonts w:ascii="Arial" w:hAnsi="Arial" w:cs="Arial"/>
                <w:color w:val="000000"/>
                <w:sz w:val="20"/>
                <w:szCs w:val="20"/>
              </w:rPr>
              <w:t>8,4</w:t>
            </w:r>
          </w:p>
        </w:tc>
      </w:tr>
      <w:tr w:rsidR="00B64482" w:rsidRPr="00375150" w:rsidTr="00240E87">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77710A">
              <w:rPr>
                <w:rFonts w:ascii="Arial" w:hAnsi="Arial" w:cs="Arial"/>
                <w:color w:val="000000"/>
                <w:sz w:val="20"/>
                <w:szCs w:val="20"/>
              </w:rPr>
              <w:t>2014</w:t>
            </w:r>
          </w:p>
        </w:tc>
        <w:tc>
          <w:tcPr>
            <w:tcW w:w="1240" w:type="dxa"/>
            <w:tcBorders>
              <w:top w:val="nil"/>
              <w:left w:val="nil"/>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375150">
              <w:rPr>
                <w:rFonts w:ascii="Arial" w:hAnsi="Arial" w:cs="Arial"/>
                <w:color w:val="000000"/>
                <w:sz w:val="20"/>
                <w:szCs w:val="20"/>
              </w:rPr>
              <w:t>6,2</w:t>
            </w:r>
          </w:p>
        </w:tc>
      </w:tr>
      <w:tr w:rsidR="00B64482" w:rsidRPr="00375150" w:rsidTr="00240E87">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77710A">
              <w:rPr>
                <w:rFonts w:ascii="Arial" w:hAnsi="Arial" w:cs="Arial"/>
                <w:color w:val="000000"/>
                <w:sz w:val="20"/>
                <w:szCs w:val="20"/>
              </w:rPr>
              <w:t>2015</w:t>
            </w:r>
          </w:p>
        </w:tc>
        <w:tc>
          <w:tcPr>
            <w:tcW w:w="1240" w:type="dxa"/>
            <w:tcBorders>
              <w:top w:val="nil"/>
              <w:left w:val="nil"/>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375150">
              <w:rPr>
                <w:rFonts w:ascii="Arial" w:hAnsi="Arial" w:cs="Arial"/>
                <w:color w:val="000000"/>
                <w:sz w:val="20"/>
                <w:szCs w:val="20"/>
              </w:rPr>
              <w:t>5,9</w:t>
            </w:r>
          </w:p>
        </w:tc>
      </w:tr>
      <w:tr w:rsidR="00B64482" w:rsidRPr="00375150" w:rsidTr="00240E87">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77710A">
              <w:rPr>
                <w:rFonts w:ascii="Arial" w:hAnsi="Arial" w:cs="Arial"/>
                <w:color w:val="000000"/>
                <w:sz w:val="20"/>
                <w:szCs w:val="20"/>
              </w:rPr>
              <w:t>2016</w:t>
            </w:r>
          </w:p>
        </w:tc>
        <w:tc>
          <w:tcPr>
            <w:tcW w:w="1240" w:type="dxa"/>
            <w:tcBorders>
              <w:top w:val="nil"/>
              <w:left w:val="nil"/>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375150">
              <w:rPr>
                <w:rFonts w:ascii="Arial" w:hAnsi="Arial" w:cs="Arial"/>
                <w:color w:val="000000"/>
                <w:sz w:val="20"/>
                <w:szCs w:val="20"/>
              </w:rPr>
              <w:t>5,7</w:t>
            </w:r>
          </w:p>
        </w:tc>
      </w:tr>
      <w:tr w:rsidR="00B64482" w:rsidRPr="00375150" w:rsidTr="00240E87">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77710A">
              <w:rPr>
                <w:rFonts w:ascii="Arial" w:hAnsi="Arial" w:cs="Arial"/>
                <w:color w:val="000000"/>
                <w:sz w:val="20"/>
                <w:szCs w:val="20"/>
              </w:rPr>
              <w:t>2017</w:t>
            </w:r>
          </w:p>
        </w:tc>
        <w:tc>
          <w:tcPr>
            <w:tcW w:w="1240" w:type="dxa"/>
            <w:tcBorders>
              <w:top w:val="nil"/>
              <w:left w:val="nil"/>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375150">
              <w:rPr>
                <w:rFonts w:ascii="Arial" w:hAnsi="Arial" w:cs="Arial"/>
                <w:color w:val="000000"/>
                <w:sz w:val="20"/>
                <w:szCs w:val="20"/>
              </w:rPr>
              <w:t>6,8</w:t>
            </w:r>
          </w:p>
        </w:tc>
      </w:tr>
      <w:tr w:rsidR="00B64482" w:rsidRPr="00375150" w:rsidTr="00240E87">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77710A">
              <w:rPr>
                <w:rFonts w:ascii="Arial" w:hAnsi="Arial" w:cs="Arial"/>
                <w:color w:val="000000"/>
                <w:sz w:val="20"/>
                <w:szCs w:val="20"/>
              </w:rPr>
              <w:t>2018</w:t>
            </w:r>
          </w:p>
        </w:tc>
        <w:tc>
          <w:tcPr>
            <w:tcW w:w="1240" w:type="dxa"/>
            <w:tcBorders>
              <w:top w:val="nil"/>
              <w:left w:val="nil"/>
              <w:bottom w:val="single" w:sz="4" w:space="0" w:color="auto"/>
              <w:right w:val="single" w:sz="4" w:space="0" w:color="auto"/>
            </w:tcBorders>
            <w:shd w:val="clear" w:color="auto" w:fill="auto"/>
            <w:noWrap/>
            <w:vAlign w:val="bottom"/>
            <w:hideMark/>
          </w:tcPr>
          <w:p w:rsidR="00B64482" w:rsidRPr="00375150" w:rsidRDefault="00B64482" w:rsidP="00240E87">
            <w:pPr>
              <w:jc w:val="center"/>
              <w:rPr>
                <w:rFonts w:ascii="Arial" w:hAnsi="Arial" w:cs="Arial"/>
                <w:color w:val="000000"/>
                <w:sz w:val="20"/>
                <w:szCs w:val="20"/>
              </w:rPr>
            </w:pPr>
            <w:r w:rsidRPr="00375150">
              <w:rPr>
                <w:rFonts w:ascii="Arial" w:hAnsi="Arial" w:cs="Arial"/>
                <w:color w:val="000000"/>
                <w:sz w:val="20"/>
                <w:szCs w:val="20"/>
              </w:rPr>
              <w:t>4,2</w:t>
            </w:r>
          </w:p>
        </w:tc>
      </w:tr>
      <w:tr w:rsidR="00B64482" w:rsidRPr="00375150" w:rsidTr="00240E87">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B64482" w:rsidRPr="00375150" w:rsidRDefault="00B64482" w:rsidP="00240E87">
            <w:pPr>
              <w:rPr>
                <w:rFonts w:ascii="Arial" w:hAnsi="Arial" w:cs="Arial"/>
                <w:b/>
                <w:bCs/>
                <w:color w:val="000000"/>
                <w:sz w:val="20"/>
                <w:szCs w:val="20"/>
              </w:rPr>
            </w:pPr>
            <w:r w:rsidRPr="0077710A">
              <w:rPr>
                <w:rFonts w:ascii="Arial" w:hAnsi="Arial" w:cs="Arial"/>
                <w:b/>
                <w:bCs/>
                <w:color w:val="000000"/>
                <w:sz w:val="20"/>
                <w:szCs w:val="20"/>
              </w:rPr>
              <w:t>Promedio</w:t>
            </w:r>
          </w:p>
        </w:tc>
        <w:tc>
          <w:tcPr>
            <w:tcW w:w="1240" w:type="dxa"/>
            <w:tcBorders>
              <w:top w:val="nil"/>
              <w:left w:val="nil"/>
              <w:bottom w:val="single" w:sz="4" w:space="0" w:color="auto"/>
              <w:right w:val="single" w:sz="4" w:space="0" w:color="auto"/>
            </w:tcBorders>
            <w:shd w:val="clear" w:color="auto" w:fill="auto"/>
            <w:noWrap/>
            <w:vAlign w:val="center"/>
            <w:hideMark/>
          </w:tcPr>
          <w:p w:rsidR="00B64482" w:rsidRPr="00375150" w:rsidRDefault="00B64482" w:rsidP="00240E87">
            <w:pPr>
              <w:jc w:val="center"/>
              <w:rPr>
                <w:rFonts w:ascii="Arial" w:hAnsi="Arial" w:cs="Arial"/>
                <w:b/>
                <w:bCs/>
                <w:color w:val="000000"/>
                <w:sz w:val="20"/>
                <w:szCs w:val="20"/>
              </w:rPr>
            </w:pPr>
            <w:r w:rsidRPr="00375150">
              <w:rPr>
                <w:rFonts w:ascii="Arial" w:hAnsi="Arial" w:cs="Arial"/>
                <w:b/>
                <w:bCs/>
                <w:color w:val="000000"/>
                <w:sz w:val="20"/>
                <w:szCs w:val="20"/>
              </w:rPr>
              <w:t>5,9</w:t>
            </w:r>
          </w:p>
        </w:tc>
      </w:tr>
    </w:tbl>
    <w:p w:rsidR="00B64482" w:rsidRPr="0077710A"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Como se desprende de las tasas anteriores, el comportamiento de esta variable ha sido más a la baja que a la alza, lo que dificulta llegar a la meta de 10 puntos establecida en el PAOM del Programa 927, lo cual se debe a que este indicador no depende solo del Ámbito Jurisdiccional, sino que también de la promoción que se haga de este tipo de medida alterna a nivel de la Defensa Pública, Ministerio Público y Departamento de Trabajo Social y Psicología, ya que cada una de las partes intervinientes en los procesos son fundamentales para poder llegar a una conciliación, dentro de las cuales la parte afectada es la que juega el papel fundamental para que se aplique este tipo de medida alterna de conflictos; convirtiéndose en una limitante para este Programa.</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Como medidas correctivas aplicadas por el Poder Judicial para que se aumente día a día el número de conciliaciones que se realizan, están.</w:t>
      </w:r>
    </w:p>
    <w:p w:rsidR="00B64482" w:rsidRPr="00375150" w:rsidRDefault="00B64482" w:rsidP="00B64482">
      <w:pPr>
        <w:pStyle w:val="Sangra2detindependiente"/>
        <w:spacing w:line="360" w:lineRule="auto"/>
        <w:jc w:val="both"/>
        <w:rPr>
          <w:rFonts w:ascii="Arial" w:hAnsi="Arial" w:cs="Arial"/>
          <w:bCs/>
          <w:sz w:val="20"/>
          <w:szCs w:val="20"/>
          <w:lang w:val="es-CR"/>
        </w:rPr>
      </w:pPr>
    </w:p>
    <w:p w:rsidR="00B64482" w:rsidRPr="00375150" w:rsidRDefault="00B64482" w:rsidP="00B64482">
      <w:pPr>
        <w:pStyle w:val="Sangra2detindependiente"/>
        <w:numPr>
          <w:ilvl w:val="0"/>
          <w:numId w:val="16"/>
        </w:numPr>
        <w:spacing w:line="360" w:lineRule="auto"/>
        <w:jc w:val="both"/>
        <w:rPr>
          <w:rFonts w:ascii="Arial" w:hAnsi="Arial" w:cs="Arial"/>
          <w:bCs/>
          <w:sz w:val="20"/>
          <w:szCs w:val="20"/>
          <w:lang w:val="es-CR"/>
        </w:rPr>
      </w:pPr>
      <w:r w:rsidRPr="00375150">
        <w:rPr>
          <w:rFonts w:ascii="Arial" w:hAnsi="Arial" w:cs="Arial"/>
          <w:bCs/>
          <w:sz w:val="20"/>
          <w:szCs w:val="20"/>
          <w:lang w:val="es-CR"/>
        </w:rPr>
        <w:lastRenderedPageBreak/>
        <w:t>Programación de conciliaciones masivas promocionadas con Circular del Consejo Superior N°42-2017.</w:t>
      </w:r>
    </w:p>
    <w:p w:rsidR="00B64482" w:rsidRPr="00375150" w:rsidRDefault="00B64482" w:rsidP="00B64482">
      <w:pPr>
        <w:pStyle w:val="Sangra2detindependiente"/>
        <w:spacing w:line="360" w:lineRule="auto"/>
        <w:jc w:val="both"/>
        <w:rPr>
          <w:rFonts w:ascii="Arial" w:hAnsi="Arial" w:cs="Arial"/>
          <w:bCs/>
          <w:sz w:val="20"/>
          <w:szCs w:val="20"/>
          <w:lang w:val="es-CR"/>
        </w:rPr>
      </w:pPr>
    </w:p>
    <w:p w:rsidR="00B64482" w:rsidRPr="00375150" w:rsidRDefault="00B64482" w:rsidP="00B64482">
      <w:pPr>
        <w:pStyle w:val="Sangra2detindependiente"/>
        <w:numPr>
          <w:ilvl w:val="0"/>
          <w:numId w:val="16"/>
        </w:numPr>
        <w:spacing w:line="360" w:lineRule="auto"/>
        <w:jc w:val="both"/>
        <w:rPr>
          <w:rFonts w:ascii="Arial" w:hAnsi="Arial" w:cs="Arial"/>
          <w:bCs/>
          <w:sz w:val="20"/>
          <w:szCs w:val="20"/>
          <w:lang w:val="es-CR"/>
        </w:rPr>
      </w:pPr>
      <w:r w:rsidRPr="00375150">
        <w:rPr>
          <w:rFonts w:ascii="Arial" w:hAnsi="Arial" w:cs="Arial"/>
          <w:bCs/>
          <w:sz w:val="20"/>
          <w:szCs w:val="20"/>
          <w:lang w:val="es-CR"/>
        </w:rPr>
        <w:t>Proyecto de conciliaciones anticipadas en los Juzgados de Trabajo del Primero y Segundo Circuito Judicial de San José.</w:t>
      </w:r>
    </w:p>
    <w:p w:rsidR="00B64482" w:rsidRPr="00375150" w:rsidRDefault="00B64482" w:rsidP="00B64482">
      <w:pPr>
        <w:pStyle w:val="Prrafodelista"/>
        <w:rPr>
          <w:rFonts w:ascii="Arial" w:hAnsi="Arial" w:cs="Arial"/>
          <w:bCs/>
          <w:sz w:val="20"/>
          <w:szCs w:val="20"/>
          <w:lang w:val="es-CR"/>
        </w:rPr>
      </w:pPr>
    </w:p>
    <w:p w:rsidR="00B64482" w:rsidRPr="00375150" w:rsidRDefault="00B64482" w:rsidP="00B64482">
      <w:pPr>
        <w:pStyle w:val="Sangra2detindependiente"/>
        <w:numPr>
          <w:ilvl w:val="0"/>
          <w:numId w:val="16"/>
        </w:numPr>
        <w:spacing w:line="360" w:lineRule="auto"/>
        <w:jc w:val="both"/>
        <w:rPr>
          <w:rFonts w:ascii="Arial" w:hAnsi="Arial" w:cs="Arial"/>
          <w:bCs/>
          <w:sz w:val="20"/>
          <w:szCs w:val="20"/>
          <w:lang w:val="es-CR"/>
        </w:rPr>
      </w:pPr>
      <w:r w:rsidRPr="00375150">
        <w:rPr>
          <w:rFonts w:ascii="Arial" w:hAnsi="Arial" w:cs="Arial"/>
          <w:bCs/>
          <w:sz w:val="20"/>
          <w:szCs w:val="20"/>
          <w:lang w:val="es-CR"/>
        </w:rPr>
        <w:t>Proyecto de conciliaciones previas en Seguridad Social, el cual se está aplicando como un plan piloto en los Juzgados de Trabajo de Heredia y San José.</w:t>
      </w:r>
    </w:p>
    <w:p w:rsidR="00B64482" w:rsidRPr="00375150" w:rsidRDefault="00B64482" w:rsidP="00B64482">
      <w:pPr>
        <w:pStyle w:val="Prrafodelista"/>
        <w:rPr>
          <w:rFonts w:ascii="Arial" w:hAnsi="Arial" w:cs="Arial"/>
          <w:bCs/>
          <w:sz w:val="20"/>
          <w:szCs w:val="20"/>
          <w:lang w:val="es-CR"/>
        </w:rPr>
      </w:pPr>
    </w:p>
    <w:p w:rsidR="00B64482" w:rsidRPr="00375150" w:rsidRDefault="00B64482" w:rsidP="00B64482">
      <w:pPr>
        <w:pStyle w:val="Sangra2detindependiente"/>
        <w:numPr>
          <w:ilvl w:val="0"/>
          <w:numId w:val="16"/>
        </w:numPr>
        <w:spacing w:line="360" w:lineRule="auto"/>
        <w:jc w:val="both"/>
        <w:rPr>
          <w:rFonts w:ascii="Arial" w:hAnsi="Arial" w:cs="Arial"/>
          <w:bCs/>
          <w:sz w:val="20"/>
          <w:szCs w:val="20"/>
          <w:lang w:val="es-CR"/>
        </w:rPr>
      </w:pPr>
      <w:r w:rsidRPr="00375150">
        <w:rPr>
          <w:rFonts w:ascii="Arial" w:hAnsi="Arial" w:cs="Arial"/>
          <w:bCs/>
          <w:sz w:val="20"/>
          <w:szCs w:val="20"/>
          <w:lang w:val="es-CR"/>
        </w:rPr>
        <w:t>Proyecto de conciliaciones previas laborales en Régimen de empleado privado.</w:t>
      </w:r>
    </w:p>
    <w:p w:rsidR="00B64482" w:rsidRPr="00375150" w:rsidRDefault="00B64482" w:rsidP="00B64482">
      <w:pPr>
        <w:pStyle w:val="Prrafodelista"/>
        <w:rPr>
          <w:rFonts w:ascii="Arial" w:hAnsi="Arial" w:cs="Arial"/>
          <w:bCs/>
          <w:sz w:val="20"/>
          <w:szCs w:val="20"/>
          <w:lang w:val="es-CR"/>
        </w:rPr>
      </w:pPr>
    </w:p>
    <w:p w:rsidR="00B64482" w:rsidRPr="00375150" w:rsidRDefault="00B64482" w:rsidP="00B64482">
      <w:pPr>
        <w:pStyle w:val="Sangra2detindependiente"/>
        <w:numPr>
          <w:ilvl w:val="0"/>
          <w:numId w:val="16"/>
        </w:numPr>
        <w:spacing w:line="360" w:lineRule="auto"/>
        <w:jc w:val="both"/>
        <w:rPr>
          <w:rFonts w:ascii="Arial" w:hAnsi="Arial" w:cs="Arial"/>
          <w:bCs/>
          <w:sz w:val="20"/>
          <w:szCs w:val="20"/>
          <w:lang w:val="es-CR"/>
        </w:rPr>
      </w:pPr>
      <w:r w:rsidRPr="00375150">
        <w:rPr>
          <w:rFonts w:ascii="Arial" w:hAnsi="Arial" w:cs="Arial"/>
          <w:bCs/>
          <w:sz w:val="20"/>
          <w:szCs w:val="20"/>
          <w:lang w:val="es-CR"/>
        </w:rPr>
        <w:t xml:space="preserve">En materia laboral con oportunidad de la reforma legal, se plantea y fortalece la conciliación como una medida oportuna para resolver los conflictos entre las partes desde las etapas tempranas del proceso, por lo que se espera que la mayor cantidad de usuarios, en la medida que la ley lo permita, elijan esta opción como una medida para dirimir sus diferencias o reparación de daños. </w:t>
      </w:r>
    </w:p>
    <w:p w:rsidR="00B64482" w:rsidRPr="00375150" w:rsidRDefault="00B64482" w:rsidP="00B64482">
      <w:pPr>
        <w:pStyle w:val="Prrafodelista"/>
        <w:rPr>
          <w:rFonts w:ascii="Arial" w:hAnsi="Arial" w:cs="Arial"/>
          <w:bCs/>
          <w:sz w:val="20"/>
          <w:szCs w:val="20"/>
          <w:lang w:val="es-CR"/>
        </w:rPr>
      </w:pPr>
    </w:p>
    <w:p w:rsidR="00B64482" w:rsidRPr="00375150" w:rsidRDefault="00B64482" w:rsidP="00B64482">
      <w:pPr>
        <w:pStyle w:val="Sangra2detindependiente"/>
        <w:spacing w:line="360" w:lineRule="auto"/>
        <w:jc w:val="both"/>
        <w:rPr>
          <w:rFonts w:ascii="Arial" w:hAnsi="Arial" w:cs="Arial"/>
          <w:bCs/>
          <w:sz w:val="20"/>
          <w:szCs w:val="20"/>
          <w:lang w:val="es-CR"/>
        </w:rPr>
      </w:pPr>
    </w:p>
    <w:p w:rsidR="00B64482" w:rsidRPr="00375150" w:rsidRDefault="00B64482" w:rsidP="00B64482">
      <w:pPr>
        <w:pStyle w:val="Sangra2detindependiente"/>
        <w:numPr>
          <w:ilvl w:val="0"/>
          <w:numId w:val="16"/>
        </w:numPr>
        <w:spacing w:line="360" w:lineRule="auto"/>
        <w:jc w:val="both"/>
        <w:rPr>
          <w:rFonts w:ascii="Arial" w:hAnsi="Arial" w:cs="Arial"/>
          <w:bCs/>
          <w:sz w:val="20"/>
          <w:szCs w:val="20"/>
          <w:lang w:val="es-CR"/>
        </w:rPr>
      </w:pPr>
      <w:r w:rsidRPr="00375150">
        <w:rPr>
          <w:rFonts w:ascii="Arial" w:hAnsi="Arial" w:cs="Arial"/>
          <w:bCs/>
          <w:sz w:val="20"/>
          <w:szCs w:val="20"/>
          <w:lang w:val="es-CR"/>
        </w:rPr>
        <w:t>Capacitación y material de divulgación, relacionadas con los beneficios que conlleva la aplicación de una conciliación.</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numPr>
          <w:ilvl w:val="0"/>
          <w:numId w:val="16"/>
        </w:numPr>
        <w:shd w:val="clear" w:color="auto" w:fill="FFFFFF" w:themeFill="background1"/>
        <w:spacing w:line="360" w:lineRule="auto"/>
        <w:jc w:val="both"/>
        <w:rPr>
          <w:rFonts w:ascii="Arial" w:hAnsi="Arial" w:cs="Arial"/>
          <w:bCs/>
          <w:color w:val="000000" w:themeColor="text1"/>
          <w:sz w:val="20"/>
          <w:szCs w:val="20"/>
          <w:lang w:val="es-CR"/>
        </w:rPr>
      </w:pPr>
      <w:r w:rsidRPr="00375150">
        <w:rPr>
          <w:rFonts w:ascii="Arial" w:hAnsi="Arial" w:cs="Arial"/>
          <w:bCs/>
          <w:color w:val="000000" w:themeColor="text1"/>
          <w:sz w:val="20"/>
          <w:szCs w:val="20"/>
          <w:lang w:val="es-CR"/>
        </w:rPr>
        <w:t>Adicionalmente, se tiene que debido a la limitante que ha presentado este indicador para su cumplimiento al depender de la totalidad de intervinientes en un proceso, la Dirección de Planificación gestionará ante el Ministerio de Hacienda la modificación del valor correspondiente, dentro del plazo de reprogramación concedido por ese ministerio para esos fines.</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Como se denota, por parte de la institución hay un gran compromiso para que se llegue a la conciliación como medida alterna de conflictos, aún, cuando los datos numéricos no lo demuestren dado que, como se indicó líneas atrás este indicador es el resultado de un acuerdo entre las partes, por lo que su aplicación no depende solo del Poder Judicial; no obstante, se seguirá con el compromiso.</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spacing w:line="360" w:lineRule="auto"/>
        <w:jc w:val="both"/>
        <w:rPr>
          <w:rFonts w:ascii="Arial" w:hAnsi="Arial" w:cs="Arial"/>
          <w:bCs/>
          <w:sz w:val="20"/>
          <w:szCs w:val="20"/>
          <w:lang w:val="es-CR"/>
        </w:rPr>
      </w:pPr>
      <w:r w:rsidRPr="00375150">
        <w:rPr>
          <w:rFonts w:ascii="Arial" w:hAnsi="Arial" w:cs="Arial"/>
          <w:bCs/>
          <w:sz w:val="20"/>
          <w:szCs w:val="20"/>
          <w:lang w:val="es-CR"/>
        </w:rPr>
        <w:t>Estas acciones correctivas se estarán desarrollando de enero a diciembre del 2019 por los juzgados y tribunales que integran el Ámbito Jurisdiccional y el Centro de Conciliaciones y el seguimiento será dado por el Centro de Apoyo, Coordinación y Mejoramiento de la Función Jurisdiccional.</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84580C" w:rsidRDefault="00B64482" w:rsidP="00B64482">
      <w:pPr>
        <w:shd w:val="clear" w:color="auto" w:fill="FFFFFF" w:themeFill="background1"/>
        <w:spacing w:line="360" w:lineRule="auto"/>
        <w:ind w:left="426"/>
        <w:jc w:val="both"/>
        <w:rPr>
          <w:rFonts w:ascii="Arial" w:hAnsi="Arial" w:cs="Arial"/>
          <w:b/>
          <w:sz w:val="20"/>
          <w:szCs w:val="20"/>
        </w:rPr>
      </w:pPr>
    </w:p>
    <w:p w:rsidR="00B64482" w:rsidRPr="0084580C" w:rsidRDefault="00B64482" w:rsidP="00B64482">
      <w:pPr>
        <w:numPr>
          <w:ilvl w:val="0"/>
          <w:numId w:val="15"/>
        </w:numPr>
        <w:shd w:val="clear" w:color="auto" w:fill="FFFFFF" w:themeFill="background1"/>
        <w:spacing w:line="360" w:lineRule="auto"/>
        <w:ind w:left="426"/>
        <w:jc w:val="both"/>
        <w:rPr>
          <w:rFonts w:ascii="Arial" w:hAnsi="Arial" w:cs="Arial"/>
          <w:b/>
          <w:sz w:val="20"/>
          <w:szCs w:val="20"/>
        </w:rPr>
      </w:pPr>
      <w:r w:rsidRPr="0084580C">
        <w:rPr>
          <w:rFonts w:ascii="Arial" w:hAnsi="Arial" w:cs="Arial"/>
          <w:b/>
          <w:bCs/>
          <w:sz w:val="20"/>
          <w:szCs w:val="20"/>
        </w:rPr>
        <w:lastRenderedPageBreak/>
        <w:t>Elabore un</w:t>
      </w:r>
      <w:r w:rsidRPr="0084580C">
        <w:rPr>
          <w:rFonts w:ascii="Arial" w:hAnsi="Arial" w:cs="Arial"/>
          <w:b/>
          <w:sz w:val="20"/>
          <w:szCs w:val="20"/>
        </w:rPr>
        <w:t xml:space="preserve"> análisis amplio de los resultados de </w:t>
      </w:r>
      <w:r w:rsidRPr="0077710A">
        <w:rPr>
          <w:rFonts w:ascii="Arial" w:hAnsi="Arial" w:cs="Arial"/>
          <w:b/>
          <w:sz w:val="20"/>
          <w:szCs w:val="20"/>
          <w:u w:val="single"/>
        </w:rPr>
        <w:t>cada indicador de producto</w:t>
      </w:r>
      <w:r w:rsidRPr="0084580C">
        <w:rPr>
          <w:rFonts w:ascii="Arial" w:hAnsi="Arial" w:cs="Arial"/>
          <w:b/>
          <w:sz w:val="20"/>
          <w:szCs w:val="20"/>
        </w:rPr>
        <w:t xml:space="preserve"> del programa y/o subprograma, considerando los siguientes aspectos:</w:t>
      </w:r>
    </w:p>
    <w:p w:rsidR="00B64482" w:rsidRPr="0084580C" w:rsidRDefault="00B64482" w:rsidP="00B64482">
      <w:pPr>
        <w:shd w:val="clear" w:color="auto" w:fill="FFFFFF" w:themeFill="background1"/>
        <w:spacing w:line="360" w:lineRule="auto"/>
        <w:jc w:val="both"/>
        <w:rPr>
          <w:rFonts w:ascii="Arial" w:hAnsi="Arial" w:cs="Arial"/>
          <w:b/>
          <w:sz w:val="20"/>
          <w:szCs w:val="20"/>
        </w:rPr>
      </w:pPr>
    </w:p>
    <w:p w:rsidR="00B64482" w:rsidRPr="0084580C" w:rsidRDefault="00B64482" w:rsidP="00B64482">
      <w:pPr>
        <w:numPr>
          <w:ilvl w:val="0"/>
          <w:numId w:val="1"/>
        </w:numPr>
        <w:shd w:val="clear" w:color="auto" w:fill="FFFFFF" w:themeFill="background1"/>
        <w:tabs>
          <w:tab w:val="clear" w:pos="720"/>
          <w:tab w:val="num" w:pos="851"/>
        </w:tabs>
        <w:spacing w:line="360" w:lineRule="auto"/>
        <w:ind w:left="851" w:hanging="425"/>
        <w:jc w:val="both"/>
        <w:rPr>
          <w:rFonts w:ascii="Arial" w:hAnsi="Arial" w:cs="Arial"/>
          <w:b/>
          <w:sz w:val="20"/>
          <w:szCs w:val="20"/>
        </w:rPr>
      </w:pPr>
      <w:r w:rsidRPr="0084580C">
        <w:rPr>
          <w:rFonts w:ascii="Arial" w:hAnsi="Arial" w:cs="Arial"/>
          <w:b/>
          <w:sz w:val="20"/>
          <w:szCs w:val="20"/>
        </w:rPr>
        <w:t xml:space="preserve">De los indicadores con un </w:t>
      </w:r>
      <w:r w:rsidRPr="0077710A">
        <w:rPr>
          <w:rFonts w:ascii="Arial" w:hAnsi="Arial" w:cs="Arial"/>
          <w:b/>
          <w:sz w:val="20"/>
          <w:szCs w:val="20"/>
        </w:rPr>
        <w:t>cumplimiento alto</w:t>
      </w:r>
      <w:r w:rsidRPr="0084580C">
        <w:rPr>
          <w:rFonts w:ascii="Arial" w:hAnsi="Arial" w:cs="Arial"/>
          <w:b/>
          <w:sz w:val="20"/>
          <w:szCs w:val="20"/>
        </w:rPr>
        <w:t xml:space="preserve"> (mayor o igual a 90,0%), indique los beneficios brindados a la población objeto. En caso de existir metas con resultados mayores a lo programado, se deberá justificar las razones que lo generaron.</w:t>
      </w:r>
    </w:p>
    <w:p w:rsidR="00B64482" w:rsidRPr="0077710A" w:rsidRDefault="00B64482" w:rsidP="00B64482">
      <w:pPr>
        <w:shd w:val="clear" w:color="auto" w:fill="FFFFFF" w:themeFill="background1"/>
        <w:spacing w:line="360" w:lineRule="auto"/>
        <w:ind w:left="851"/>
        <w:jc w:val="both"/>
        <w:rPr>
          <w:rFonts w:ascii="Arial" w:hAnsi="Arial" w:cs="Arial"/>
          <w:sz w:val="20"/>
          <w:szCs w:val="20"/>
        </w:rPr>
      </w:pPr>
    </w:p>
    <w:p w:rsidR="00B64482" w:rsidRPr="00375150" w:rsidRDefault="00B64482" w:rsidP="00B64482">
      <w:pPr>
        <w:pStyle w:val="Sangra2detindependiente"/>
        <w:ind w:left="0"/>
        <w:mirrorIndents/>
        <w:jc w:val="both"/>
        <w:rPr>
          <w:rFonts w:ascii="Arial" w:hAnsi="Arial" w:cs="Arial"/>
          <w:bCs/>
          <w:sz w:val="20"/>
          <w:szCs w:val="20"/>
          <w:lang w:val="es-ES"/>
        </w:rPr>
      </w:pPr>
      <w:r w:rsidRPr="00375150">
        <w:rPr>
          <w:rFonts w:ascii="Arial" w:hAnsi="Arial" w:cs="Arial"/>
          <w:b/>
          <w:bCs/>
          <w:sz w:val="20"/>
          <w:szCs w:val="20"/>
          <w:lang w:val="es-CR"/>
        </w:rPr>
        <w:t xml:space="preserve">Porcentaje de expedientes judiciales resueltos respecto del total de asuntos </w:t>
      </w:r>
    </w:p>
    <w:p w:rsidR="00B64482" w:rsidRPr="00375150" w:rsidRDefault="00B64482" w:rsidP="00B64482">
      <w:pPr>
        <w:pStyle w:val="Sangra2detindependiente"/>
        <w:ind w:left="0"/>
        <w:mirrorIndents/>
        <w:jc w:val="both"/>
        <w:rPr>
          <w:rFonts w:ascii="Arial" w:hAnsi="Arial" w:cs="Arial"/>
          <w:b/>
          <w:bCs/>
          <w:sz w:val="20"/>
          <w:szCs w:val="20"/>
          <w:lang w:val="es-CR"/>
        </w:rPr>
      </w:pPr>
      <w:r w:rsidRPr="00375150">
        <w:rPr>
          <w:rFonts w:ascii="Arial" w:hAnsi="Arial" w:cs="Arial"/>
          <w:b/>
          <w:bCs/>
          <w:sz w:val="20"/>
          <w:szCs w:val="20"/>
          <w:lang w:val="es-CR"/>
        </w:rPr>
        <w:t>ingresados al Programa de Justicia Restaurativa.</w:t>
      </w:r>
    </w:p>
    <w:p w:rsidR="00B64482" w:rsidRPr="00375150" w:rsidRDefault="00B64482" w:rsidP="00B64482">
      <w:pPr>
        <w:pStyle w:val="Sangra2detindependiente"/>
        <w:ind w:left="0"/>
        <w:mirrorIndents/>
        <w:jc w:val="both"/>
        <w:rPr>
          <w:rFonts w:ascii="Arial" w:hAnsi="Arial" w:cs="Arial"/>
          <w:bCs/>
          <w:sz w:val="20"/>
          <w:szCs w:val="20"/>
          <w:lang w:val="es-ES"/>
        </w:rPr>
      </w:pPr>
    </w:p>
    <w:p w:rsidR="00B64482" w:rsidRPr="00375150" w:rsidRDefault="00B64482" w:rsidP="00B64482">
      <w:pPr>
        <w:pStyle w:val="Sangra2detindependiente"/>
        <w:spacing w:line="360" w:lineRule="auto"/>
        <w:ind w:left="0"/>
        <w:mirrorIndents/>
        <w:jc w:val="both"/>
        <w:rPr>
          <w:rFonts w:ascii="Arial" w:hAnsi="Arial" w:cs="Arial"/>
          <w:bCs/>
          <w:sz w:val="20"/>
          <w:szCs w:val="20"/>
          <w:lang w:val="es-ES"/>
        </w:rPr>
      </w:pPr>
      <w:r w:rsidRPr="00375150">
        <w:rPr>
          <w:rFonts w:ascii="Arial" w:hAnsi="Arial" w:cs="Arial"/>
          <w:bCs/>
          <w:sz w:val="20"/>
          <w:szCs w:val="20"/>
          <w:lang w:val="es-ES"/>
        </w:rPr>
        <w:t>La misión del Programa de Justicia Restaurativa es “Ser un proceso generador de cambios en la forma de resolver los conflictos penales, con soluciones integrales y realistas, para obtener mejores resultados y mayor eficiencia en el tratamiento del delito, en el marco de la humanización de la justicia”.</w:t>
      </w:r>
    </w:p>
    <w:p w:rsidR="00B64482" w:rsidRPr="00375150" w:rsidRDefault="00B64482" w:rsidP="00B64482">
      <w:pPr>
        <w:pStyle w:val="Sangra2detindependiente"/>
        <w:spacing w:line="360" w:lineRule="auto"/>
        <w:ind w:left="0"/>
        <w:mirrorIndents/>
        <w:jc w:val="both"/>
        <w:rPr>
          <w:rFonts w:ascii="Arial" w:hAnsi="Arial" w:cs="Arial"/>
          <w:bCs/>
          <w:sz w:val="20"/>
          <w:szCs w:val="20"/>
          <w:lang w:val="es-ES"/>
        </w:rPr>
      </w:pPr>
    </w:p>
    <w:p w:rsidR="00B64482" w:rsidRPr="00375150" w:rsidRDefault="00B64482" w:rsidP="00B64482">
      <w:pPr>
        <w:pStyle w:val="Sangra2detindependiente"/>
        <w:spacing w:line="360" w:lineRule="auto"/>
        <w:ind w:left="0"/>
        <w:mirrorIndents/>
        <w:jc w:val="both"/>
        <w:rPr>
          <w:rFonts w:ascii="Arial" w:hAnsi="Arial" w:cs="Arial"/>
          <w:bCs/>
          <w:sz w:val="20"/>
          <w:szCs w:val="20"/>
          <w:lang w:val="es-ES"/>
        </w:rPr>
      </w:pPr>
      <w:r w:rsidRPr="00375150">
        <w:rPr>
          <w:rFonts w:ascii="Arial" w:hAnsi="Arial" w:cs="Arial"/>
          <w:bCs/>
          <w:sz w:val="20"/>
          <w:szCs w:val="20"/>
          <w:lang w:val="es-ES"/>
        </w:rPr>
        <w:t xml:space="preserve"> Partiendo de esa misión se tiene que, durante el año 2018 este programa recibió 2.592 expedientes de los cuales se resolvieron satisfactoriamente 1.164, distribuidos de la siguiente forma: 404 suspensiones del proceso a prueba y 760 conciliaciones. Lo anterior significó que, el Programa de Justicia Restaurativa logró alcanzar el porcentaje del 47,87% de los procesos que fueron admitidos para su abordaje, suma muy cercana al 50% programado en el Plan Estratégico del Poder Judicial 2013-2018, para este período, permitiendo con ello lograr un 95,7%, ubicándose dentro de los parámetros con cumplimiento alto, por lo que un alto porcentaje de la población cuyos casos se atendieron en este programa se vio beneficiado al contar con una alternativa a la solución de los conflictos de manera integral y realista, permitiendo con ello que se les brindara una justicia más humanizada, con mejores resultados y mayor eficiencia en el tratamiento del delito.</w:t>
      </w:r>
    </w:p>
    <w:p w:rsidR="00B64482" w:rsidRPr="00375150" w:rsidRDefault="00B64482" w:rsidP="00B64482">
      <w:pPr>
        <w:pStyle w:val="Sangra2detindependiente"/>
        <w:spacing w:line="360" w:lineRule="auto"/>
        <w:ind w:left="0"/>
        <w:mirrorIndents/>
        <w:jc w:val="both"/>
        <w:rPr>
          <w:rFonts w:ascii="Arial" w:hAnsi="Arial" w:cs="Arial"/>
          <w:bCs/>
          <w:sz w:val="20"/>
          <w:szCs w:val="20"/>
          <w:lang w:val="es-ES"/>
        </w:rPr>
      </w:pPr>
    </w:p>
    <w:p w:rsidR="00B64482" w:rsidRPr="00375150" w:rsidRDefault="00B64482" w:rsidP="00B64482">
      <w:pPr>
        <w:pStyle w:val="Sangra2detindependiente"/>
        <w:ind w:left="0"/>
        <w:jc w:val="both"/>
        <w:rPr>
          <w:rFonts w:ascii="Arial" w:hAnsi="Arial" w:cs="Arial"/>
          <w:bCs/>
          <w:sz w:val="20"/>
          <w:szCs w:val="20"/>
          <w:lang w:val="es-CR"/>
        </w:rPr>
      </w:pPr>
      <w:r w:rsidRPr="00375150">
        <w:rPr>
          <w:rFonts w:ascii="Arial" w:hAnsi="Arial" w:cs="Arial"/>
          <w:b/>
          <w:bCs/>
          <w:sz w:val="20"/>
          <w:szCs w:val="20"/>
          <w:lang w:val="es-CR"/>
        </w:rPr>
        <w:t>Porcentaje de asuntos judiciales de la materia penal resueltos por el procedimiento de flagrancia.</w:t>
      </w:r>
    </w:p>
    <w:p w:rsidR="00B64482" w:rsidRPr="00375150" w:rsidRDefault="00B64482" w:rsidP="00B64482">
      <w:pPr>
        <w:pStyle w:val="Sangra2detindependiente"/>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Para el presente período, este indicador se ubicó en un 37%, superando la meta proyectada del 33.3% dado que durante el 2018, de los 27.914 expedientes resueltos en materia penal, 9.148 correspondieron a procesos de flagrancia, lo que equivale a decir que, por cada 100 procesos penales fenecidos en los despachos, 37 fueron por el procedimiento de flagrancia, resultando con ello un porcentaje superior al 100%, lo cual se da porque el Código de Procedimientos Penales así lo establece, permitiendo con ello que se beneficiara a un porcentaje de la población que vio resueltos sus asuntos en un menor tiempo en relación con los procesos que se resuelven en la vía Penal.</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NormalWeb"/>
        <w:numPr>
          <w:ilvl w:val="0"/>
          <w:numId w:val="1"/>
        </w:numPr>
        <w:shd w:val="clear" w:color="auto" w:fill="FFFFFF" w:themeFill="background1"/>
        <w:spacing w:line="360" w:lineRule="auto"/>
        <w:jc w:val="both"/>
        <w:rPr>
          <w:rFonts w:ascii="Arial" w:hAnsi="Arial" w:cs="Arial"/>
          <w:sz w:val="20"/>
          <w:szCs w:val="20"/>
        </w:rPr>
      </w:pPr>
      <w:r w:rsidRPr="00375150">
        <w:rPr>
          <w:rFonts w:ascii="Arial" w:hAnsi="Arial" w:cs="Arial"/>
          <w:sz w:val="20"/>
          <w:szCs w:val="20"/>
        </w:rPr>
        <w:t xml:space="preserve">De los indicadores con un </w:t>
      </w:r>
      <w:r w:rsidRPr="00375150">
        <w:rPr>
          <w:rFonts w:ascii="Arial" w:hAnsi="Arial" w:cs="Arial"/>
          <w:b/>
          <w:sz w:val="20"/>
          <w:szCs w:val="20"/>
        </w:rPr>
        <w:t>cumplimiento medio y bajo</w:t>
      </w:r>
      <w:r w:rsidRPr="00375150">
        <w:rPr>
          <w:rFonts w:ascii="Arial" w:hAnsi="Arial" w:cs="Arial"/>
          <w:sz w:val="20"/>
          <w:szCs w:val="20"/>
        </w:rPr>
        <w:t xml:space="preserve"> (menor o igual a 89,99%), refiérase a cómo esto afectó a la población objeto por los beneficios que dejó de recibir. Señalar las causas que propiciaron el incumplimiento y las medidas correctivas que la institución llevará a cabo </w:t>
      </w:r>
      <w:r w:rsidRPr="00375150">
        <w:rPr>
          <w:rFonts w:ascii="Arial" w:hAnsi="Arial" w:cs="Arial"/>
          <w:sz w:val="20"/>
          <w:szCs w:val="20"/>
          <w:u w:val="single"/>
          <w:lang w:val="es-MX"/>
        </w:rPr>
        <w:t>con la fecha de implementación de las mismas</w:t>
      </w:r>
      <w:r w:rsidRPr="00375150">
        <w:rPr>
          <w:rFonts w:ascii="Arial" w:hAnsi="Arial" w:cs="Arial"/>
          <w:sz w:val="20"/>
          <w:szCs w:val="20"/>
        </w:rPr>
        <w:t xml:space="preserve">, </w:t>
      </w:r>
      <w:r w:rsidRPr="00375150">
        <w:rPr>
          <w:rFonts w:ascii="Arial" w:hAnsi="Arial" w:cs="Arial"/>
          <w:bCs/>
          <w:sz w:val="20"/>
          <w:szCs w:val="20"/>
        </w:rPr>
        <w:t>así como el nombre de la unidad o departamento que las ejecutará y dará seguimiento para efectuar una mejor gestión.</w:t>
      </w:r>
      <w:r w:rsidRPr="00375150">
        <w:rPr>
          <w:rFonts w:ascii="Arial" w:hAnsi="Arial" w:cs="Arial"/>
          <w:sz w:val="20"/>
          <w:szCs w:val="20"/>
        </w:rPr>
        <w:t xml:space="preserve"> En los casos que sean reincidentes, referirse a las acciones que ha llevado a cabo la entidad para mejorar la situación</w:t>
      </w:r>
    </w:p>
    <w:p w:rsidR="00B64482" w:rsidRPr="00375150" w:rsidRDefault="00B64482" w:rsidP="00B64482">
      <w:pPr>
        <w:pStyle w:val="Sangra2detindependiente"/>
        <w:spacing w:line="360" w:lineRule="auto"/>
        <w:ind w:left="0"/>
        <w:jc w:val="both"/>
        <w:rPr>
          <w:rFonts w:ascii="Arial" w:hAnsi="Arial" w:cs="Arial"/>
          <w:b/>
          <w:bCs/>
          <w:sz w:val="22"/>
          <w:szCs w:val="22"/>
          <w:lang w:val="es-ES"/>
        </w:rPr>
      </w:pPr>
      <w:r w:rsidRPr="00375150">
        <w:rPr>
          <w:rFonts w:ascii="Arial" w:hAnsi="Arial" w:cs="Arial"/>
          <w:b/>
          <w:bCs/>
          <w:sz w:val="22"/>
          <w:szCs w:val="22"/>
          <w:lang w:val="es-ES"/>
        </w:rPr>
        <w:t>Tasa de resolución</w:t>
      </w:r>
    </w:p>
    <w:p w:rsidR="00B64482" w:rsidRPr="00375150" w:rsidRDefault="00B64482" w:rsidP="00B64482">
      <w:pPr>
        <w:pStyle w:val="Sangra2detindependiente"/>
        <w:shd w:val="clear" w:color="auto" w:fill="FFFFFF" w:themeFill="background1"/>
        <w:spacing w:line="360" w:lineRule="auto"/>
        <w:ind w:left="0"/>
        <w:jc w:val="both"/>
        <w:rPr>
          <w:rFonts w:ascii="Arial" w:hAnsi="Arial" w:cs="Arial"/>
          <w:bCs/>
          <w:sz w:val="20"/>
          <w:szCs w:val="20"/>
          <w:lang w:val="es-ES"/>
        </w:rPr>
      </w:pPr>
    </w:p>
    <w:p w:rsidR="00B64482" w:rsidRPr="00375150" w:rsidRDefault="00B64482" w:rsidP="00B64482">
      <w:pPr>
        <w:pStyle w:val="Sangra2detindependiente"/>
        <w:shd w:val="clear" w:color="auto" w:fill="FFFFFF" w:themeFill="background1"/>
        <w:spacing w:line="360" w:lineRule="auto"/>
        <w:ind w:left="0"/>
        <w:jc w:val="both"/>
        <w:rPr>
          <w:rFonts w:ascii="Arial" w:hAnsi="Arial" w:cs="Arial"/>
          <w:bCs/>
          <w:sz w:val="20"/>
          <w:szCs w:val="20"/>
          <w:lang w:val="es-ES"/>
        </w:rPr>
      </w:pPr>
      <w:r w:rsidRPr="00375150">
        <w:rPr>
          <w:rFonts w:ascii="Arial" w:hAnsi="Arial" w:cs="Arial"/>
          <w:bCs/>
          <w:sz w:val="20"/>
          <w:szCs w:val="20"/>
          <w:lang w:val="es-ES"/>
        </w:rPr>
        <w:t xml:space="preserve">En proceso judiciales de manera tangible no se puede hablar de afectación a la población, razón por la cual al presentar la tasa de resolución un cumplimiento medio o bajo, no necesariamente se ha causado una afectación a la población, ya que, los procesos judiciales se van señalando a juicio cuando el expediente se encuentre debidamente proveído, lo cual no depende solo del Poder Judicial, sino también de las partes intervinientes en el proceso en lo que a presentación de pruebas se refiere, aunado a que existe la particularidad de que si los procesos se señalan a juicio, en un porcentaje alto estos no se llevan a cabo porque la persona acusada se encuentra rebelde, lo cual no se puede </w:t>
      </w:r>
      <w:r w:rsidR="008F6E08" w:rsidRPr="00375150">
        <w:rPr>
          <w:rFonts w:ascii="Arial" w:hAnsi="Arial" w:cs="Arial"/>
          <w:bCs/>
          <w:sz w:val="20"/>
          <w:szCs w:val="20"/>
          <w:lang w:val="es-ES"/>
        </w:rPr>
        <w:t>prever</w:t>
      </w:r>
      <w:r w:rsidRPr="00375150">
        <w:rPr>
          <w:rFonts w:ascii="Arial" w:hAnsi="Arial" w:cs="Arial"/>
          <w:bCs/>
          <w:sz w:val="20"/>
          <w:szCs w:val="20"/>
          <w:lang w:val="es-ES"/>
        </w:rPr>
        <w:t xml:space="preserve"> antes de llevar el señalamiento, razón por la cual el juicio debe ser señalado nuevamente, de ahí que no se pueda hablar de incumplimiento, dado que el proceso en algún momento va a concluir, por lo que la única afectación que se causa a la población es que el proceso se mantiene activo porque es imposible para el tribunal terminarlo.</w:t>
      </w:r>
    </w:p>
    <w:p w:rsidR="00B64482" w:rsidRPr="00375150" w:rsidRDefault="00B64482" w:rsidP="00B64482">
      <w:pPr>
        <w:pStyle w:val="Sangra2detindependiente"/>
        <w:shd w:val="clear" w:color="auto" w:fill="FFFFFF" w:themeFill="background1"/>
        <w:spacing w:line="360" w:lineRule="auto"/>
        <w:ind w:left="0"/>
        <w:jc w:val="both"/>
        <w:rPr>
          <w:rFonts w:ascii="Arial" w:hAnsi="Arial" w:cs="Arial"/>
          <w:bCs/>
          <w:sz w:val="20"/>
          <w:szCs w:val="20"/>
          <w:lang w:val="es-ES"/>
        </w:rPr>
      </w:pPr>
    </w:p>
    <w:p w:rsidR="00B64482" w:rsidRPr="00375150" w:rsidRDefault="00B64482" w:rsidP="00B64482">
      <w:pPr>
        <w:pStyle w:val="Sangra2detindependiente"/>
        <w:shd w:val="clear" w:color="auto" w:fill="FFFFFF" w:themeFill="background1"/>
        <w:spacing w:line="360" w:lineRule="auto"/>
        <w:ind w:left="0"/>
        <w:jc w:val="both"/>
        <w:rPr>
          <w:rFonts w:ascii="Arial" w:hAnsi="Arial" w:cs="Arial"/>
          <w:bCs/>
          <w:sz w:val="20"/>
          <w:szCs w:val="20"/>
          <w:lang w:val="es-ES"/>
        </w:rPr>
      </w:pPr>
      <w:r w:rsidRPr="00375150">
        <w:rPr>
          <w:rFonts w:ascii="Arial" w:hAnsi="Arial" w:cs="Arial"/>
          <w:bCs/>
          <w:sz w:val="20"/>
          <w:szCs w:val="20"/>
          <w:lang w:val="es-ES"/>
        </w:rPr>
        <w:t>Como se mencionó anteriormente, parte de las medidas correctivas para el año 2019, están dar continuidad a los diferentes planes de descongestionamiento en materia Civil, Laboral y Agraria, y al Rediseño de Procesos del Modelo Penal con la aplicación de nuevas tecnologías de información, con el propósito de incrementar la cantidad de expedientes que se señalan a juicio, las cuales será desarrolladas por lo juzgados y tribunales de enero a diciembre del 2019 y el seguimiento corresponderá al Centro de Apoyo, Coordinación y Mejoramiento de la Función Jurisdiccional.</w:t>
      </w:r>
    </w:p>
    <w:p w:rsidR="00B64482" w:rsidRPr="00375150" w:rsidRDefault="00B64482" w:rsidP="00B64482">
      <w:pPr>
        <w:pStyle w:val="NormalWeb"/>
        <w:shd w:val="clear" w:color="auto" w:fill="FFFFFF" w:themeFill="background1"/>
        <w:ind w:left="720"/>
        <w:jc w:val="both"/>
        <w:rPr>
          <w:rFonts w:ascii="Arial" w:hAnsi="Arial" w:cs="Arial"/>
          <w:sz w:val="20"/>
          <w:szCs w:val="20"/>
        </w:rPr>
      </w:pPr>
    </w:p>
    <w:p w:rsidR="00B64482" w:rsidRPr="00375150" w:rsidRDefault="00B64482" w:rsidP="00B64482">
      <w:pPr>
        <w:pStyle w:val="Sangra2detindependiente"/>
        <w:spacing w:line="360" w:lineRule="auto"/>
        <w:ind w:left="0"/>
        <w:jc w:val="both"/>
        <w:rPr>
          <w:rFonts w:ascii="Arial" w:hAnsi="Arial" w:cs="Arial"/>
          <w:b/>
          <w:bCs/>
          <w:sz w:val="22"/>
          <w:szCs w:val="22"/>
          <w:lang w:val="es-ES"/>
        </w:rPr>
      </w:pPr>
      <w:r w:rsidRPr="00375150">
        <w:rPr>
          <w:rFonts w:ascii="Arial" w:hAnsi="Arial" w:cs="Arial"/>
          <w:b/>
          <w:bCs/>
          <w:sz w:val="22"/>
          <w:szCs w:val="22"/>
          <w:lang w:val="es-ES"/>
        </w:rPr>
        <w:t>Tasa de Pendencia</w:t>
      </w:r>
    </w:p>
    <w:p w:rsidR="00B64482" w:rsidRPr="00375150" w:rsidRDefault="00B64482" w:rsidP="00B64482">
      <w:pPr>
        <w:pStyle w:val="Sangra2detindependiente"/>
        <w:spacing w:line="360" w:lineRule="auto"/>
        <w:ind w:left="0" w:right="-91"/>
        <w:jc w:val="both"/>
        <w:rPr>
          <w:rFonts w:ascii="Arial" w:hAnsi="Arial" w:cs="Arial"/>
          <w:bCs/>
          <w:sz w:val="20"/>
          <w:szCs w:val="20"/>
          <w:lang w:val="es-CR"/>
        </w:rPr>
      </w:pPr>
    </w:p>
    <w:p w:rsidR="00B64482" w:rsidRPr="00375150" w:rsidRDefault="00B64482" w:rsidP="00B64482">
      <w:pPr>
        <w:pStyle w:val="Sangra2detindependiente"/>
        <w:spacing w:line="360" w:lineRule="auto"/>
        <w:ind w:left="0" w:right="-91"/>
        <w:jc w:val="both"/>
        <w:rPr>
          <w:rFonts w:ascii="Arial" w:hAnsi="Arial" w:cs="Arial"/>
          <w:bCs/>
          <w:sz w:val="20"/>
          <w:szCs w:val="20"/>
          <w:lang w:val="es-CR"/>
        </w:rPr>
      </w:pPr>
      <w:r w:rsidRPr="00375150">
        <w:rPr>
          <w:rFonts w:ascii="Arial" w:hAnsi="Arial" w:cs="Arial"/>
          <w:bCs/>
          <w:sz w:val="20"/>
          <w:szCs w:val="20"/>
          <w:lang w:val="es-CR"/>
        </w:rPr>
        <w:lastRenderedPageBreak/>
        <w:t xml:space="preserve">La tasa de pendencia o asuntos pendientes, se refiere a la cantidad de expedientes que están a la espera de ser tramitados o bien que ya iniciaron su tramitación, pero aún no se da por terminado y resulta de dividir el circulante final de un año entre la carga de trabajo, entendiéndose por carga de trabajo, la sumatoria del circulante al iniciar el año + expedientes entrados + expedientes reentrados. </w:t>
      </w:r>
    </w:p>
    <w:p w:rsidR="00B64482" w:rsidRPr="00375150" w:rsidRDefault="00B64482" w:rsidP="00B64482">
      <w:pPr>
        <w:pStyle w:val="Sangra2detindependiente"/>
        <w:spacing w:line="360" w:lineRule="auto"/>
        <w:ind w:left="0" w:right="-91"/>
        <w:jc w:val="both"/>
        <w:rPr>
          <w:rFonts w:ascii="Arial" w:hAnsi="Arial" w:cs="Arial"/>
          <w:bCs/>
          <w:sz w:val="20"/>
          <w:szCs w:val="20"/>
          <w:lang w:val="es-CR"/>
        </w:rPr>
      </w:pPr>
    </w:p>
    <w:p w:rsidR="00B64482" w:rsidRPr="00375150" w:rsidRDefault="00B64482" w:rsidP="00B64482">
      <w:pPr>
        <w:pStyle w:val="Sangra2detindependiente"/>
        <w:spacing w:line="360" w:lineRule="auto"/>
        <w:ind w:left="0" w:right="-91"/>
        <w:jc w:val="both"/>
        <w:rPr>
          <w:rFonts w:ascii="Arial" w:hAnsi="Arial" w:cs="Arial"/>
          <w:bCs/>
          <w:sz w:val="20"/>
          <w:szCs w:val="20"/>
          <w:lang w:val="es-CR"/>
        </w:rPr>
      </w:pPr>
      <w:r w:rsidRPr="00375150">
        <w:rPr>
          <w:rFonts w:ascii="Arial" w:hAnsi="Arial" w:cs="Arial"/>
          <w:bCs/>
          <w:sz w:val="20"/>
          <w:szCs w:val="20"/>
          <w:lang w:val="es-CR"/>
        </w:rPr>
        <w:t>Partiendo de esa definición es importante acotar que, el ingreso de asuntos nuevos al Poder Judicial es una variable independiente a la institución  la cual no se puede controlar, ya que día con día aumenta la demanda por los servicios que aquí se brindan, los cuales deben ser solventados con la misma cantidad de recursos de períodos anteriores, debido a las limitaciones presupuestarias, circunstancia que dificulta el margen de acción de esta  institución, pese a ello se hacen esfuerzos ingentes para que la cantidad de expedientes en espera de trámite y  en etapas procesales avanzadas lleguen a su término en el menor tiempo posible.</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No obstante, al igual que en el indicador tasa de resolución, la tasa de pendencia no depende solo de los despachos jurisdiccionales, ya que si un expediente se encuentra en trámite, se debe a que no está preparado para señalarlo a juicio, producto de la etapa del proveído del expediente, etapa en la cual se deben presentar todas las pruebas que requiere el proceso para llegar a juicio, de ahí que también en ese tipo de indicador no procede hablar de afectación a la población objeto, ya que, si el expediente se mantiene pendiente es porque requiere de tiempo para que esté listo para el debate.</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 xml:space="preserve">Las medidas correctivas que se indicaron en la tasa de resolución aplican de manera directa para este indicador y se desarrollarán durante el año 2019 por los despachos jurisdiccionales y el seguimiento corresponde al Centro de Apoyo, Coordinación y Mejoramiento de la Función Jurisdiccional. </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
          <w:bCs/>
          <w:sz w:val="20"/>
          <w:szCs w:val="20"/>
          <w:lang w:val="es-CR"/>
        </w:rPr>
      </w:pPr>
      <w:r w:rsidRPr="00375150">
        <w:rPr>
          <w:rFonts w:ascii="Arial" w:hAnsi="Arial" w:cs="Arial"/>
          <w:b/>
          <w:bCs/>
          <w:sz w:val="20"/>
          <w:szCs w:val="20"/>
          <w:lang w:val="es-CR"/>
        </w:rPr>
        <w:t>Tasa de crecimiento de las conciliaciones</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El cumplimiento de este indicador no depende solo del Ámbito Jurisdiccional, también de la promoción que se haga de este tipo de medida alterna a nivel de la Defensa Pública, Ministerio Público y Departamento de Trabajo Social y Psicología, ya que al ser una medida alterna de conflictos se da a voluntad de las partes intervinientes en los procesos, por lo que cada una de esas partes son fundamentales para poder llegar a una conciliación.</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 xml:space="preserve">Por lo tanto, en este indicador no procede utilizar el término de afectación a la población al darse a voluntad de las partes y en caso de que las partes deseen conciliar, debe someterse a </w:t>
      </w:r>
      <w:r w:rsidRPr="00375150">
        <w:rPr>
          <w:rFonts w:ascii="Arial" w:hAnsi="Arial" w:cs="Arial"/>
          <w:bCs/>
          <w:sz w:val="20"/>
          <w:szCs w:val="20"/>
          <w:lang w:val="es-CR"/>
        </w:rPr>
        <w:lastRenderedPageBreak/>
        <w:t>una serie de requisitos que exige el Código Procesal Penal y si los requisitos no se cumplen no se puede llevar a cabo, de ahí que no se puede decir que se está afectando a la población por encontrarse este porcentaje en el nivel medio bajo.</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No obstante, por ser una medida que reduce los procesos, el Poder Judicial realiza grandes esfuerzos para que se aumente día a día el número de conciliaciones que se realizan, dentro de los cuales están la conciliaciones masivas promocionadas con Circular del Consejo Superior N°42-2017; proyecto de conciliaciones anticipadas en los Juzgados de Trabajo del Primero y Segundo Circuito Judicial de San José; proyecto de conciliaciones previas en Seguridad Social, el cual se está aplicando como un plan piloto en los Juzgados de Trabajo de Heredia y San José; proyecto de conciliaciones previas laborales en Régimen de empleado privado el cual está en etapa de audiencia ante la Defensa Pública; capacitación; material de divulgación, entre otros esfuerzos que realiza la institución para aumentar el número de conciliaciones en los procesos de todas las materias.</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 xml:space="preserve">Adicionalmente, en materia laboral con oportunidad de la reforma legal, se plantea y fortalece la conciliación como una medida oportuna para resolver los conflictos entre las partes desde las etapas tempranas del proceso, por lo que se espera que la mayor cantidad de usuarios, en la medida que la ley lo permita, elijan esta opción como una medida para dirimir sus diferencias o reparación de daños. </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Como se señaló estas medidas correctivas serán desarrolladas de enero a diciembre del año en curso por los juzgados y tribunales del país y el seguimiento será realizado por el Centro de Apoyo, Coordinación y Mejoramiento de la Función Jurisdiccional.</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84580C" w:rsidRDefault="00B64482" w:rsidP="00B64482">
      <w:pPr>
        <w:numPr>
          <w:ilvl w:val="0"/>
          <w:numId w:val="1"/>
        </w:numPr>
        <w:shd w:val="clear" w:color="auto" w:fill="FFFFFF" w:themeFill="background1"/>
        <w:spacing w:line="360" w:lineRule="auto"/>
        <w:jc w:val="both"/>
        <w:rPr>
          <w:rFonts w:ascii="Arial" w:hAnsi="Arial" w:cs="Arial"/>
          <w:b/>
          <w:sz w:val="20"/>
          <w:szCs w:val="20"/>
          <w:lang w:val="es-MX"/>
        </w:rPr>
      </w:pPr>
      <w:r w:rsidRPr="0084580C">
        <w:rPr>
          <w:rFonts w:ascii="Arial" w:hAnsi="Arial" w:cs="Arial"/>
          <w:b/>
          <w:sz w:val="20"/>
          <w:szCs w:val="20"/>
          <w:lang w:val="es-MX"/>
        </w:rPr>
        <w:t>Informe sobre los resultados de la aplicación de las acciones correctivas indicadas en el Informe de Seguimiento Semestral.</w:t>
      </w:r>
    </w:p>
    <w:p w:rsidR="00B64482" w:rsidRPr="0077710A" w:rsidRDefault="00B64482" w:rsidP="00B64482">
      <w:pPr>
        <w:pStyle w:val="Sangra2detindependiente"/>
        <w:spacing w:line="360" w:lineRule="auto"/>
        <w:ind w:left="0"/>
        <w:jc w:val="both"/>
        <w:rPr>
          <w:rFonts w:ascii="Arial" w:hAnsi="Arial" w:cs="Arial"/>
          <w:bCs/>
          <w:sz w:val="20"/>
          <w:szCs w:val="20"/>
          <w:lang w:val="es-CR"/>
        </w:rPr>
      </w:pPr>
    </w:p>
    <w:p w:rsidR="00B64482" w:rsidRPr="00375150" w:rsidRDefault="00B64482" w:rsidP="00B64482">
      <w:pPr>
        <w:pStyle w:val="Sangra2detindependiente"/>
        <w:spacing w:line="360" w:lineRule="auto"/>
        <w:ind w:left="0"/>
        <w:jc w:val="both"/>
        <w:rPr>
          <w:rFonts w:ascii="Arial" w:hAnsi="Arial" w:cs="Arial"/>
          <w:bCs/>
          <w:sz w:val="20"/>
          <w:szCs w:val="20"/>
          <w:lang w:val="es-CR"/>
        </w:rPr>
      </w:pPr>
      <w:r w:rsidRPr="00375150">
        <w:rPr>
          <w:rFonts w:ascii="Arial" w:hAnsi="Arial" w:cs="Arial"/>
          <w:bCs/>
          <w:sz w:val="20"/>
          <w:szCs w:val="20"/>
          <w:lang w:val="es-CR"/>
        </w:rPr>
        <w:t xml:space="preserve">Sobre los resultados de la aplicación de las acciones correctivas indicadas en el Informe de Seguimiento Semestral, se tiene que tanto los planes de descongestionamiento como el Rediseño de Procesos del Modelo Penal con la aplicación de nuevas tecnologías de información y el apoyo dado por medio del Programa Contra el Retraso Judicial, del Centro de Apoyo Coordinación y Mejoramiento de la Función Jurisdiccional surtieron los efectos deseados por cuanto los circulantes final de las materias Civil, Laboral y Penal se vieron disminuidos porque los casos terminados aumentaron y  el circulante en trámite se </w:t>
      </w:r>
      <w:r w:rsidR="009C19E6" w:rsidRPr="00375150">
        <w:rPr>
          <w:rFonts w:ascii="Arial" w:hAnsi="Arial" w:cs="Arial"/>
          <w:bCs/>
          <w:sz w:val="20"/>
          <w:szCs w:val="20"/>
          <w:lang w:val="es-CR"/>
        </w:rPr>
        <w:t>disminuyó</w:t>
      </w:r>
      <w:r w:rsidRPr="00375150">
        <w:rPr>
          <w:rFonts w:ascii="Arial" w:hAnsi="Arial" w:cs="Arial"/>
          <w:bCs/>
          <w:sz w:val="20"/>
          <w:szCs w:val="20"/>
          <w:lang w:val="es-CR"/>
        </w:rPr>
        <w:t>.</w:t>
      </w:r>
    </w:p>
    <w:p w:rsidR="00B64482" w:rsidRPr="00375150" w:rsidRDefault="00B64482" w:rsidP="00B64482">
      <w:pPr>
        <w:pStyle w:val="Sangra2detindependiente"/>
        <w:spacing w:line="360" w:lineRule="auto"/>
        <w:ind w:left="0"/>
        <w:jc w:val="both"/>
        <w:rPr>
          <w:rFonts w:ascii="Arial" w:hAnsi="Arial" w:cs="Arial"/>
          <w:bCs/>
          <w:sz w:val="20"/>
          <w:szCs w:val="20"/>
          <w:lang w:val="es-CR"/>
        </w:rPr>
      </w:pPr>
    </w:p>
    <w:p w:rsidR="00B64482" w:rsidRPr="0084580C" w:rsidRDefault="00B64482" w:rsidP="00B64482">
      <w:pPr>
        <w:numPr>
          <w:ilvl w:val="0"/>
          <w:numId w:val="15"/>
        </w:numPr>
        <w:shd w:val="clear" w:color="auto" w:fill="FFFFFF" w:themeFill="background1"/>
        <w:spacing w:line="360" w:lineRule="auto"/>
        <w:ind w:left="426"/>
        <w:jc w:val="both"/>
        <w:rPr>
          <w:rFonts w:ascii="Arial" w:hAnsi="Arial" w:cs="Arial"/>
          <w:b/>
          <w:bCs/>
          <w:sz w:val="20"/>
          <w:szCs w:val="20"/>
        </w:rPr>
      </w:pPr>
      <w:r w:rsidRPr="0084580C">
        <w:rPr>
          <w:rFonts w:ascii="Arial" w:hAnsi="Arial" w:cs="Arial"/>
          <w:b/>
          <w:bCs/>
          <w:sz w:val="20"/>
          <w:szCs w:val="20"/>
        </w:rPr>
        <w:t xml:space="preserve">Refiérase a los recursos ejecutados del programa y/o subprograma en relación con los logros alcanzados. </w:t>
      </w:r>
    </w:p>
    <w:p w:rsidR="00B64482" w:rsidRPr="0077710A" w:rsidRDefault="00B64482" w:rsidP="00B64482">
      <w:pPr>
        <w:spacing w:line="360" w:lineRule="auto"/>
        <w:jc w:val="both"/>
        <w:rPr>
          <w:rFonts w:ascii="Arial" w:hAnsi="Arial" w:cs="Arial"/>
          <w:sz w:val="20"/>
          <w:szCs w:val="20"/>
        </w:rPr>
      </w:pPr>
    </w:p>
    <w:p w:rsidR="00B64482" w:rsidRPr="00375150" w:rsidRDefault="00B64482" w:rsidP="00B64482">
      <w:pPr>
        <w:spacing w:line="360" w:lineRule="auto"/>
        <w:jc w:val="both"/>
        <w:rPr>
          <w:rFonts w:ascii="Arial" w:hAnsi="Arial" w:cs="Arial"/>
          <w:sz w:val="20"/>
          <w:szCs w:val="20"/>
          <w:lang w:val="es-ES_tradnl"/>
        </w:rPr>
      </w:pPr>
      <w:r w:rsidRPr="00375150">
        <w:rPr>
          <w:rFonts w:ascii="Arial" w:hAnsi="Arial" w:cs="Arial"/>
          <w:sz w:val="20"/>
          <w:szCs w:val="20"/>
          <w:lang w:val="es-ES_tradnl"/>
        </w:rPr>
        <w:t>Para el período que 2018, el monto presupuestado para el Programa 927 Ámbito Jurisdiccional fue de 16.549.136.027,31, de este monto se ejecutaron ₡15.186.657.581,12, alcanzo con ello porcentaje de ejecución del 91,77%, cumplimiento alto.</w:t>
      </w:r>
    </w:p>
    <w:p w:rsidR="00B64482" w:rsidRPr="00375150" w:rsidRDefault="00B64482" w:rsidP="00B64482">
      <w:pPr>
        <w:spacing w:line="360" w:lineRule="auto"/>
        <w:jc w:val="both"/>
        <w:rPr>
          <w:rFonts w:ascii="Arial" w:hAnsi="Arial" w:cs="Arial"/>
          <w:sz w:val="20"/>
          <w:szCs w:val="20"/>
        </w:rPr>
      </w:pPr>
    </w:p>
    <w:p w:rsidR="00B64482" w:rsidRPr="00375150" w:rsidRDefault="00B64482" w:rsidP="00B64482">
      <w:pPr>
        <w:spacing w:line="360" w:lineRule="auto"/>
        <w:ind w:left="720"/>
        <w:jc w:val="both"/>
        <w:rPr>
          <w:rFonts w:ascii="Arial" w:hAnsi="Arial" w:cs="Arial"/>
          <w:b/>
          <w:bCs/>
          <w:sz w:val="20"/>
          <w:szCs w:val="20"/>
        </w:rPr>
      </w:pPr>
      <w:r w:rsidRPr="00375150">
        <w:rPr>
          <w:rFonts w:ascii="Arial" w:hAnsi="Arial" w:cs="Arial"/>
          <w:bCs/>
          <w:sz w:val="20"/>
          <w:szCs w:val="20"/>
        </w:rPr>
        <w:t xml:space="preserve">  </w:t>
      </w:r>
    </w:p>
    <w:p w:rsidR="00B64482" w:rsidRPr="00375150" w:rsidRDefault="00B64482" w:rsidP="00B64482">
      <w:pPr>
        <w:pStyle w:val="Sangra2detindependiente"/>
        <w:ind w:left="0"/>
        <w:jc w:val="both"/>
        <w:rPr>
          <w:rFonts w:ascii="Arial" w:hAnsi="Arial" w:cs="Arial"/>
          <w:b/>
          <w:bCs/>
          <w:color w:val="000000"/>
          <w:sz w:val="20"/>
          <w:szCs w:val="20"/>
        </w:rPr>
      </w:pPr>
      <w:r w:rsidRPr="00375150">
        <w:rPr>
          <w:rFonts w:ascii="Arial" w:hAnsi="Arial" w:cs="Arial"/>
          <w:b/>
          <w:bCs/>
          <w:color w:val="000000"/>
          <w:sz w:val="20"/>
          <w:szCs w:val="20"/>
        </w:rPr>
        <w:t>Datos del (la) Director (a) del Programa o Subprograma:</w:t>
      </w:r>
    </w:p>
    <w:p w:rsidR="00B64482" w:rsidRPr="00375150" w:rsidRDefault="00B64482" w:rsidP="00B64482">
      <w:pPr>
        <w:pStyle w:val="Sangra2detindependiente"/>
        <w:ind w:left="0"/>
        <w:rPr>
          <w:rFonts w:ascii="Arial" w:hAnsi="Arial" w:cs="Arial"/>
          <w:b/>
          <w:bCs/>
          <w:sz w:val="20"/>
          <w:szCs w:val="20"/>
        </w:rPr>
      </w:pPr>
    </w:p>
    <w:p w:rsidR="00B64482" w:rsidRPr="00375150" w:rsidRDefault="00B64482" w:rsidP="00B64482">
      <w:pPr>
        <w:pStyle w:val="Sangra2detindependiente"/>
        <w:ind w:left="0"/>
        <w:jc w:val="both"/>
        <w:rPr>
          <w:rFonts w:ascii="Arial" w:hAnsi="Arial" w:cs="Arial"/>
          <w:b/>
          <w:bCs/>
          <w:sz w:val="20"/>
          <w:szCs w:val="20"/>
        </w:rPr>
      </w:pPr>
      <w:r w:rsidRPr="00375150">
        <w:rPr>
          <w:rFonts w:ascii="Arial" w:hAnsi="Arial" w:cs="Arial"/>
          <w:b/>
          <w:bCs/>
          <w:sz w:val="20"/>
          <w:szCs w:val="20"/>
        </w:rPr>
        <w:t>Nombre: Licda. Maricruz Chacón Cubillo.</w:t>
      </w:r>
    </w:p>
    <w:p w:rsidR="00B64482" w:rsidRPr="00375150" w:rsidRDefault="00B64482" w:rsidP="00B64482">
      <w:pPr>
        <w:pStyle w:val="Sangra2detindependiente"/>
        <w:ind w:left="0"/>
        <w:rPr>
          <w:rFonts w:ascii="Arial" w:hAnsi="Arial" w:cs="Arial"/>
          <w:b/>
          <w:bCs/>
          <w:sz w:val="20"/>
          <w:szCs w:val="20"/>
        </w:rPr>
      </w:pPr>
    </w:p>
    <w:p w:rsidR="00B64482" w:rsidRPr="00375150" w:rsidRDefault="00B64482" w:rsidP="00B64482">
      <w:pPr>
        <w:pStyle w:val="Sangra2detindependiente"/>
        <w:ind w:left="0"/>
        <w:rPr>
          <w:rFonts w:ascii="Arial" w:hAnsi="Arial" w:cs="Arial"/>
          <w:b/>
          <w:bCs/>
          <w:sz w:val="20"/>
          <w:szCs w:val="20"/>
        </w:rPr>
      </w:pPr>
      <w:r w:rsidRPr="00375150">
        <w:rPr>
          <w:rFonts w:ascii="Arial" w:hAnsi="Arial" w:cs="Arial"/>
          <w:b/>
          <w:bCs/>
          <w:sz w:val="20"/>
          <w:szCs w:val="20"/>
        </w:rPr>
        <w:t xml:space="preserve">Dirección de correo electrónico: </w:t>
      </w:r>
    </w:p>
    <w:p w:rsidR="00B64482" w:rsidRPr="00375150" w:rsidRDefault="00B64482" w:rsidP="00B64482">
      <w:pPr>
        <w:pStyle w:val="Sangra2detindependiente"/>
        <w:ind w:left="0"/>
        <w:rPr>
          <w:rFonts w:ascii="Arial" w:hAnsi="Arial" w:cs="Arial"/>
          <w:b/>
          <w:bCs/>
          <w:sz w:val="20"/>
          <w:szCs w:val="20"/>
        </w:rPr>
      </w:pPr>
    </w:p>
    <w:p w:rsidR="00B64482" w:rsidRPr="00375150" w:rsidRDefault="00B64482" w:rsidP="00B64482">
      <w:pPr>
        <w:pStyle w:val="Sangra2detindependiente"/>
        <w:ind w:left="0"/>
        <w:jc w:val="both"/>
        <w:rPr>
          <w:rFonts w:ascii="Arial" w:hAnsi="Arial" w:cs="Arial"/>
          <w:b/>
          <w:bCs/>
          <w:sz w:val="20"/>
          <w:szCs w:val="20"/>
        </w:rPr>
      </w:pPr>
      <w:r w:rsidRPr="00375150">
        <w:rPr>
          <w:rFonts w:ascii="Arial" w:hAnsi="Arial" w:cs="Arial"/>
          <w:b/>
          <w:bCs/>
          <w:sz w:val="20"/>
          <w:szCs w:val="20"/>
        </w:rPr>
        <w:t>Número telefónico: 2295-4821/ 2295-3112</w:t>
      </w:r>
    </w:p>
    <w:p w:rsidR="00B64482" w:rsidRPr="00375150" w:rsidRDefault="00B64482" w:rsidP="00B64482">
      <w:pPr>
        <w:pStyle w:val="Sangra2detindependiente"/>
        <w:ind w:left="0"/>
        <w:jc w:val="both"/>
        <w:rPr>
          <w:rFonts w:ascii="Arial" w:hAnsi="Arial" w:cs="Arial"/>
          <w:b/>
          <w:bCs/>
          <w:sz w:val="20"/>
          <w:szCs w:val="20"/>
        </w:rPr>
      </w:pPr>
    </w:p>
    <w:p w:rsidR="00B64482" w:rsidRPr="00375150" w:rsidRDefault="00B64482" w:rsidP="00B64482">
      <w:pPr>
        <w:pStyle w:val="Sangra2detindependiente"/>
        <w:ind w:left="0"/>
        <w:jc w:val="both"/>
        <w:rPr>
          <w:rFonts w:ascii="Arial" w:hAnsi="Arial" w:cs="Arial"/>
          <w:b/>
          <w:bCs/>
          <w:sz w:val="20"/>
          <w:szCs w:val="20"/>
        </w:rPr>
      </w:pPr>
      <w:r w:rsidRPr="00375150">
        <w:rPr>
          <w:rFonts w:ascii="Arial" w:hAnsi="Arial" w:cs="Arial"/>
          <w:b/>
          <w:bCs/>
          <w:sz w:val="20"/>
          <w:szCs w:val="20"/>
        </w:rPr>
        <w:t>Firma:</w:t>
      </w:r>
    </w:p>
    <w:p w:rsidR="00B64482" w:rsidRPr="00375150" w:rsidRDefault="00B64482" w:rsidP="00B64482">
      <w:pPr>
        <w:pStyle w:val="Sangra2detindependiente"/>
        <w:ind w:left="0"/>
        <w:jc w:val="both"/>
        <w:rPr>
          <w:rFonts w:ascii="Arial" w:hAnsi="Arial" w:cs="Arial"/>
          <w:b/>
          <w:bCs/>
          <w:sz w:val="20"/>
          <w:szCs w:val="20"/>
          <w:highlight w:val="yellow"/>
        </w:rPr>
      </w:pPr>
    </w:p>
    <w:p w:rsidR="00B64482" w:rsidRPr="0077710A" w:rsidRDefault="00B64482" w:rsidP="00B64482">
      <w:pPr>
        <w:pStyle w:val="Sangra2detindependiente"/>
        <w:ind w:left="0"/>
        <w:jc w:val="both"/>
        <w:rPr>
          <w:rFonts w:ascii="Arial" w:hAnsi="Arial" w:cs="Arial"/>
          <w:sz w:val="20"/>
          <w:szCs w:val="20"/>
        </w:rPr>
      </w:pPr>
      <w:r w:rsidRPr="00375150">
        <w:rPr>
          <w:rFonts w:ascii="Arial" w:hAnsi="Arial" w:cs="Arial"/>
          <w:b/>
          <w:bCs/>
          <w:sz w:val="20"/>
          <w:szCs w:val="20"/>
        </w:rPr>
        <w:t>Sello</w:t>
      </w:r>
      <w:r w:rsidRPr="00375150">
        <w:rPr>
          <w:rFonts w:ascii="Arial" w:hAnsi="Arial" w:cs="Arial"/>
          <w:sz w:val="20"/>
          <w:szCs w:val="20"/>
        </w:rPr>
        <w:t xml:space="preserve">: </w:t>
      </w:r>
      <w:r w:rsidRPr="0084580C">
        <w:rPr>
          <w:rFonts w:ascii="Arial" w:hAnsi="Arial" w:cs="Arial"/>
          <w:i/>
        </w:rPr>
        <w:t>(en caso que se presente en forma física)</w:t>
      </w:r>
    </w:p>
    <w:p w:rsidR="00B64482" w:rsidRPr="00375150" w:rsidRDefault="00B64482" w:rsidP="00B64482">
      <w:pPr>
        <w:spacing w:after="120"/>
        <w:jc w:val="both"/>
        <w:rPr>
          <w:rFonts w:ascii="Arial" w:hAnsi="Arial" w:cs="Arial"/>
          <w:color w:val="FF0000"/>
          <w:sz w:val="20"/>
          <w:szCs w:val="20"/>
          <w:lang w:val="es-MX"/>
        </w:rPr>
      </w:pPr>
    </w:p>
    <w:p w:rsidR="00B64482" w:rsidRPr="00375150" w:rsidRDefault="00B64482" w:rsidP="00BD5F61">
      <w:pPr>
        <w:spacing w:line="360" w:lineRule="auto"/>
        <w:jc w:val="both"/>
        <w:rPr>
          <w:rFonts w:ascii="Arial" w:hAnsi="Arial" w:cs="Arial"/>
          <w:b/>
          <w:color w:val="000000" w:themeColor="text1"/>
          <w:sz w:val="20"/>
          <w:szCs w:val="20"/>
          <w:lang w:val="es-MX"/>
        </w:rPr>
      </w:pPr>
    </w:p>
    <w:p w:rsidR="00B64482" w:rsidRPr="00375150" w:rsidRDefault="00B64482" w:rsidP="00BD5F61">
      <w:pPr>
        <w:spacing w:line="360" w:lineRule="auto"/>
        <w:jc w:val="both"/>
        <w:rPr>
          <w:rFonts w:ascii="Arial" w:hAnsi="Arial" w:cs="Arial"/>
          <w:b/>
          <w:color w:val="000000" w:themeColor="text1"/>
          <w:sz w:val="20"/>
          <w:szCs w:val="20"/>
          <w:lang w:val="es-MX"/>
        </w:rPr>
      </w:pPr>
    </w:p>
    <w:p w:rsidR="00A36489" w:rsidRPr="00375150" w:rsidRDefault="00A36489" w:rsidP="008C0CB8">
      <w:pPr>
        <w:spacing w:after="120"/>
        <w:jc w:val="both"/>
        <w:rPr>
          <w:rFonts w:ascii="Arial" w:hAnsi="Arial" w:cs="Arial"/>
          <w:color w:val="FF0000"/>
          <w:sz w:val="20"/>
          <w:szCs w:val="20"/>
          <w:lang w:val="es-MX"/>
        </w:rPr>
      </w:pPr>
    </w:p>
    <w:p w:rsidR="00A32D8B" w:rsidRPr="00375150" w:rsidRDefault="00A32D8B">
      <w:pPr>
        <w:rPr>
          <w:rFonts w:ascii="Arial" w:hAnsi="Arial" w:cs="Arial"/>
          <w:b/>
          <w:bCs/>
          <w:color w:val="FF0000"/>
          <w:sz w:val="22"/>
          <w:szCs w:val="22"/>
        </w:rPr>
      </w:pPr>
      <w:r w:rsidRPr="00375150">
        <w:rPr>
          <w:rFonts w:ascii="Arial" w:hAnsi="Arial" w:cs="Arial"/>
          <w:b/>
          <w:bCs/>
          <w:color w:val="FF0000"/>
          <w:sz w:val="22"/>
          <w:szCs w:val="22"/>
        </w:rPr>
        <w:br w:type="page"/>
      </w:r>
    </w:p>
    <w:p w:rsidR="0084626E" w:rsidRPr="00375150" w:rsidRDefault="0084626E">
      <w:pPr>
        <w:rPr>
          <w:rFonts w:ascii="Arial" w:hAnsi="Arial" w:cs="Arial"/>
          <w:b/>
          <w:bCs/>
          <w:color w:val="FF0000"/>
          <w:sz w:val="22"/>
          <w:szCs w:val="22"/>
        </w:rPr>
      </w:pPr>
    </w:p>
    <w:p w:rsidR="0084626E" w:rsidRPr="00375150" w:rsidRDefault="0084626E">
      <w:pPr>
        <w:rPr>
          <w:rFonts w:ascii="Arial" w:hAnsi="Arial" w:cs="Arial"/>
          <w:b/>
          <w:bCs/>
          <w:color w:val="FF0000"/>
          <w:sz w:val="22"/>
          <w:szCs w:val="22"/>
        </w:rPr>
      </w:pPr>
    </w:p>
    <w:p w:rsidR="004947FD" w:rsidRPr="0084580C" w:rsidRDefault="002855D3" w:rsidP="00075112">
      <w:pPr>
        <w:pStyle w:val="Ttulo2"/>
        <w:rPr>
          <w:rStyle w:val="Ttulodellibro"/>
          <w:rFonts w:cs="Arial"/>
        </w:rPr>
      </w:pPr>
      <w:bookmarkStart w:id="15" w:name="_Toc530474647"/>
      <w:bookmarkStart w:id="16" w:name="_Toc531253886"/>
      <w:r w:rsidRPr="0084580C">
        <w:rPr>
          <w:rStyle w:val="Ttulodellibro"/>
          <w:rFonts w:cs="Arial"/>
          <w:b/>
          <w:color w:val="000000" w:themeColor="text1"/>
        </w:rPr>
        <w:t xml:space="preserve">METODOLOGÍA QUE SE UTILIZARÁ PARA EVALUAR LA </w:t>
      </w:r>
      <w:r w:rsidR="00C95377" w:rsidRPr="0084580C">
        <w:rPr>
          <w:rStyle w:val="Ttulodellibro"/>
          <w:rFonts w:cs="Arial"/>
          <w:b/>
          <w:color w:val="000000" w:themeColor="text1"/>
        </w:rPr>
        <w:t>EFECTIVIDAD EN LA EJECUCIÓN DEL PRESUPUESTO Y</w:t>
      </w:r>
      <w:r w:rsidR="002141EA" w:rsidRPr="0084580C">
        <w:rPr>
          <w:rStyle w:val="Ttulodellibro"/>
          <w:rFonts w:cs="Arial"/>
          <w:b/>
          <w:color w:val="000000" w:themeColor="text1"/>
        </w:rPr>
        <w:t xml:space="preserve"> EN</w:t>
      </w:r>
      <w:r w:rsidR="00C95377" w:rsidRPr="0084580C">
        <w:rPr>
          <w:rStyle w:val="Ttulodellibro"/>
          <w:rFonts w:cs="Arial"/>
          <w:b/>
          <w:color w:val="000000" w:themeColor="text1"/>
        </w:rPr>
        <w:t xml:space="preserve"> EL CUMPLIMIENTO DE METAS</w:t>
      </w:r>
      <w:bookmarkEnd w:id="15"/>
      <w:bookmarkEnd w:id="16"/>
    </w:p>
    <w:p w:rsidR="004D3095" w:rsidRPr="0077710A" w:rsidRDefault="004D3095" w:rsidP="00075112">
      <w:pPr>
        <w:pStyle w:val="Ttulo"/>
        <w:rPr>
          <w:rFonts w:cs="Arial"/>
          <w:sz w:val="20"/>
          <w:szCs w:val="20"/>
          <w:lang w:val="es-ES"/>
        </w:rPr>
      </w:pPr>
    </w:p>
    <w:p w:rsidR="00B15B8E" w:rsidRPr="00375150" w:rsidRDefault="00B15B8E" w:rsidP="001E098C">
      <w:pPr>
        <w:spacing w:line="360" w:lineRule="auto"/>
        <w:jc w:val="both"/>
        <w:rPr>
          <w:rFonts w:ascii="Arial" w:hAnsi="Arial" w:cs="Arial"/>
          <w:sz w:val="20"/>
          <w:szCs w:val="20"/>
        </w:rPr>
      </w:pPr>
      <w:r w:rsidRPr="00375150">
        <w:rPr>
          <w:rFonts w:ascii="Arial" w:hAnsi="Arial" w:cs="Arial"/>
          <w:sz w:val="20"/>
          <w:szCs w:val="20"/>
        </w:rPr>
        <w:t xml:space="preserve">Para determinar la efectividad en la ejecución de los recursos del Presupuesto Nacional y en el cumplimiento de metas, </w:t>
      </w:r>
      <w:r w:rsidR="002C08A2" w:rsidRPr="00375150">
        <w:rPr>
          <w:rFonts w:ascii="Arial" w:hAnsi="Arial" w:cs="Arial"/>
          <w:sz w:val="20"/>
          <w:szCs w:val="20"/>
        </w:rPr>
        <w:t>se uti</w:t>
      </w:r>
      <w:r w:rsidR="0008329C" w:rsidRPr="00375150">
        <w:rPr>
          <w:rFonts w:ascii="Arial" w:hAnsi="Arial" w:cs="Arial"/>
          <w:sz w:val="20"/>
          <w:szCs w:val="20"/>
        </w:rPr>
        <w:t xml:space="preserve">lizará la siguiente metodología, con la cual el analista de la DGPN, procederá a realizar la valoración </w:t>
      </w:r>
      <w:r w:rsidR="00D353FD" w:rsidRPr="00375150">
        <w:rPr>
          <w:rFonts w:ascii="Arial" w:hAnsi="Arial" w:cs="Arial"/>
          <w:sz w:val="20"/>
          <w:szCs w:val="20"/>
        </w:rPr>
        <w:t>del informe de evaluación de la entidad</w:t>
      </w:r>
      <w:r w:rsidR="000E15BD" w:rsidRPr="00375150">
        <w:rPr>
          <w:rFonts w:ascii="Arial" w:hAnsi="Arial" w:cs="Arial"/>
          <w:sz w:val="20"/>
          <w:szCs w:val="20"/>
        </w:rPr>
        <w:t xml:space="preserve">, </w:t>
      </w:r>
      <w:r w:rsidR="0008329C" w:rsidRPr="00375150">
        <w:rPr>
          <w:rFonts w:ascii="Arial" w:hAnsi="Arial" w:cs="Arial"/>
          <w:sz w:val="20"/>
          <w:szCs w:val="20"/>
        </w:rPr>
        <w:t>seg</w:t>
      </w:r>
      <w:r w:rsidR="000E15BD" w:rsidRPr="00375150">
        <w:rPr>
          <w:rFonts w:ascii="Arial" w:hAnsi="Arial" w:cs="Arial"/>
          <w:sz w:val="20"/>
          <w:szCs w:val="20"/>
        </w:rPr>
        <w:t>ún los resultados obtenidos.</w:t>
      </w:r>
    </w:p>
    <w:p w:rsidR="00E218FC" w:rsidRPr="00375150" w:rsidRDefault="00E218FC" w:rsidP="002C08A2">
      <w:pPr>
        <w:spacing w:line="360" w:lineRule="auto"/>
        <w:jc w:val="both"/>
        <w:rPr>
          <w:rFonts w:ascii="Arial" w:hAnsi="Arial" w:cs="Arial"/>
          <w:sz w:val="20"/>
          <w:szCs w:val="20"/>
        </w:rPr>
      </w:pPr>
    </w:p>
    <w:p w:rsidR="004B79AF" w:rsidRPr="00375150" w:rsidRDefault="002C08A2" w:rsidP="001E098C">
      <w:pPr>
        <w:spacing w:line="360" w:lineRule="auto"/>
        <w:jc w:val="both"/>
        <w:rPr>
          <w:rFonts w:ascii="Arial" w:hAnsi="Arial" w:cs="Arial"/>
          <w:sz w:val="20"/>
          <w:szCs w:val="20"/>
          <w:lang w:val="es-CR"/>
        </w:rPr>
      </w:pPr>
      <w:r w:rsidRPr="00375150">
        <w:rPr>
          <w:rFonts w:ascii="Arial" w:hAnsi="Arial" w:cs="Arial"/>
          <w:sz w:val="20"/>
          <w:szCs w:val="20"/>
        </w:rPr>
        <w:t xml:space="preserve">La efectividad se obtendrá evaluando los niveles de cumplimiento obtenidos tanto a nivel de ejecución </w:t>
      </w:r>
      <w:r w:rsidR="003B6B1E" w:rsidRPr="00375150">
        <w:rPr>
          <w:rFonts w:ascii="Arial" w:hAnsi="Arial" w:cs="Arial"/>
          <w:sz w:val="20"/>
          <w:szCs w:val="20"/>
        </w:rPr>
        <w:t>financiera y</w:t>
      </w:r>
      <w:r w:rsidR="005665AE" w:rsidRPr="00375150">
        <w:rPr>
          <w:rFonts w:ascii="Arial" w:hAnsi="Arial" w:cs="Arial"/>
          <w:sz w:val="20"/>
          <w:szCs w:val="20"/>
        </w:rPr>
        <w:t xml:space="preserve"> programática</w:t>
      </w:r>
      <w:r w:rsidRPr="00375150">
        <w:rPr>
          <w:rFonts w:ascii="Arial" w:hAnsi="Arial" w:cs="Arial"/>
          <w:sz w:val="20"/>
          <w:szCs w:val="20"/>
        </w:rPr>
        <w:t>.</w:t>
      </w:r>
      <w:r w:rsidR="002E3229" w:rsidRPr="00375150">
        <w:rPr>
          <w:rFonts w:ascii="Arial" w:hAnsi="Arial" w:cs="Arial"/>
          <w:sz w:val="20"/>
          <w:szCs w:val="20"/>
        </w:rPr>
        <w:t xml:space="preserve"> </w:t>
      </w:r>
      <w:r w:rsidR="004B79AF" w:rsidRPr="00375150">
        <w:rPr>
          <w:rFonts w:ascii="Arial" w:hAnsi="Arial" w:cs="Arial"/>
          <w:sz w:val="20"/>
          <w:szCs w:val="20"/>
          <w:lang w:val="es-CR"/>
        </w:rPr>
        <w:t>Para el caso de los programas y/o subprogramas que no cuenten con producción cuantificable, no se les medirá la efectividad.</w:t>
      </w:r>
    </w:p>
    <w:p w:rsidR="004B79AF" w:rsidRPr="00375150" w:rsidRDefault="004B79AF" w:rsidP="001E098C">
      <w:pPr>
        <w:spacing w:line="360" w:lineRule="auto"/>
        <w:jc w:val="both"/>
        <w:rPr>
          <w:rFonts w:ascii="Arial" w:hAnsi="Arial" w:cs="Arial"/>
          <w:sz w:val="20"/>
          <w:szCs w:val="20"/>
          <w:lang w:val="es-CR"/>
        </w:rPr>
      </w:pPr>
    </w:p>
    <w:p w:rsidR="00E218FC" w:rsidRPr="00375150" w:rsidRDefault="0078495C" w:rsidP="001E098C">
      <w:pPr>
        <w:spacing w:line="360" w:lineRule="auto"/>
        <w:jc w:val="both"/>
        <w:rPr>
          <w:rFonts w:ascii="Arial" w:hAnsi="Arial" w:cs="Arial"/>
          <w:sz w:val="20"/>
          <w:szCs w:val="20"/>
        </w:rPr>
      </w:pPr>
      <w:r w:rsidRPr="00375150">
        <w:rPr>
          <w:rFonts w:ascii="Arial" w:hAnsi="Arial" w:cs="Arial"/>
          <w:sz w:val="20"/>
          <w:szCs w:val="20"/>
        </w:rPr>
        <w:t>La razón de ser de las entidades públicas es la prestación de bienes y servicios a la población, por lo anterior, para efectos de la metodología se asignaron porcentajes de ponderación para cad</w:t>
      </w:r>
      <w:r w:rsidR="0024051D" w:rsidRPr="00375150">
        <w:rPr>
          <w:rFonts w:ascii="Arial" w:hAnsi="Arial" w:cs="Arial"/>
          <w:sz w:val="20"/>
          <w:szCs w:val="20"/>
        </w:rPr>
        <w:t>a una de las variables a evaluar. P</w:t>
      </w:r>
      <w:r w:rsidRPr="00375150">
        <w:rPr>
          <w:rFonts w:ascii="Arial" w:hAnsi="Arial" w:cs="Arial"/>
          <w:sz w:val="20"/>
          <w:szCs w:val="20"/>
        </w:rPr>
        <w:t>ara las unidades de medida e indicadores, se asignó un 35</w:t>
      </w:r>
      <w:r w:rsidR="004D06B1" w:rsidRPr="00375150">
        <w:rPr>
          <w:rFonts w:ascii="Arial" w:hAnsi="Arial" w:cs="Arial"/>
          <w:sz w:val="20"/>
          <w:szCs w:val="20"/>
        </w:rPr>
        <w:t>,0</w:t>
      </w:r>
      <w:r w:rsidRPr="00375150">
        <w:rPr>
          <w:rFonts w:ascii="Arial" w:hAnsi="Arial" w:cs="Arial"/>
          <w:sz w:val="20"/>
          <w:szCs w:val="20"/>
        </w:rPr>
        <w:t>% a cada una, representando un 70</w:t>
      </w:r>
      <w:r w:rsidR="004D06B1" w:rsidRPr="00375150">
        <w:rPr>
          <w:rFonts w:ascii="Arial" w:hAnsi="Arial" w:cs="Arial"/>
          <w:sz w:val="20"/>
          <w:szCs w:val="20"/>
        </w:rPr>
        <w:t>,0</w:t>
      </w:r>
      <w:r w:rsidRPr="00375150">
        <w:rPr>
          <w:rFonts w:ascii="Arial" w:hAnsi="Arial" w:cs="Arial"/>
          <w:sz w:val="20"/>
          <w:szCs w:val="20"/>
        </w:rPr>
        <w:t xml:space="preserve">% </w:t>
      </w:r>
      <w:r w:rsidR="0024051D" w:rsidRPr="00375150">
        <w:rPr>
          <w:rFonts w:ascii="Arial" w:hAnsi="Arial" w:cs="Arial"/>
          <w:sz w:val="20"/>
          <w:szCs w:val="20"/>
        </w:rPr>
        <w:t xml:space="preserve">en </w:t>
      </w:r>
      <w:r w:rsidRPr="00375150">
        <w:rPr>
          <w:rFonts w:ascii="Arial" w:hAnsi="Arial" w:cs="Arial"/>
          <w:sz w:val="20"/>
          <w:szCs w:val="20"/>
        </w:rPr>
        <w:t>lo que se refiere a la programación física. El restante 30</w:t>
      </w:r>
      <w:r w:rsidR="004D06B1" w:rsidRPr="00375150">
        <w:rPr>
          <w:rFonts w:ascii="Arial" w:hAnsi="Arial" w:cs="Arial"/>
          <w:sz w:val="20"/>
          <w:szCs w:val="20"/>
        </w:rPr>
        <w:t>,0</w:t>
      </w:r>
      <w:r w:rsidRPr="00375150">
        <w:rPr>
          <w:rFonts w:ascii="Arial" w:hAnsi="Arial" w:cs="Arial"/>
          <w:sz w:val="20"/>
          <w:szCs w:val="20"/>
        </w:rPr>
        <w:t xml:space="preserve">% se asignó a la ejecución financiera. </w:t>
      </w:r>
    </w:p>
    <w:p w:rsidR="00866092" w:rsidRPr="00375150" w:rsidRDefault="00866092" w:rsidP="00866092">
      <w:pPr>
        <w:spacing w:line="360" w:lineRule="auto"/>
        <w:rPr>
          <w:rFonts w:ascii="Arial" w:hAnsi="Arial" w:cs="Arial"/>
          <w:sz w:val="20"/>
          <w:szCs w:val="20"/>
          <w:lang w:val="es-MX"/>
        </w:rPr>
      </w:pPr>
    </w:p>
    <w:p w:rsidR="00866092" w:rsidRPr="00375150" w:rsidRDefault="00866092" w:rsidP="004E4BEF">
      <w:pPr>
        <w:spacing w:line="360" w:lineRule="auto"/>
        <w:jc w:val="both"/>
        <w:rPr>
          <w:rFonts w:ascii="Arial" w:hAnsi="Arial" w:cs="Arial"/>
          <w:sz w:val="20"/>
          <w:szCs w:val="20"/>
          <w:lang w:val="es-MX"/>
        </w:rPr>
      </w:pPr>
      <w:r w:rsidRPr="00375150">
        <w:rPr>
          <w:rFonts w:ascii="Arial" w:hAnsi="Arial" w:cs="Arial"/>
          <w:sz w:val="20"/>
          <w:szCs w:val="20"/>
          <w:lang w:val="es-MX"/>
        </w:rPr>
        <w:t xml:space="preserve">De acuerdo a los porcentajes anteriores, </w:t>
      </w:r>
      <w:r w:rsidR="001F5477" w:rsidRPr="00375150">
        <w:rPr>
          <w:rFonts w:ascii="Arial" w:hAnsi="Arial" w:cs="Arial"/>
          <w:sz w:val="20"/>
          <w:szCs w:val="20"/>
          <w:lang w:val="es-MX"/>
        </w:rPr>
        <w:t xml:space="preserve">la valoración de la efectividad </w:t>
      </w:r>
      <w:r w:rsidRPr="00375150">
        <w:rPr>
          <w:rFonts w:ascii="Arial" w:hAnsi="Arial" w:cs="Arial"/>
          <w:sz w:val="20"/>
          <w:szCs w:val="20"/>
          <w:lang w:val="es-MX"/>
        </w:rPr>
        <w:t xml:space="preserve">de cada programa y/o subprograma se obtendrá </w:t>
      </w:r>
      <w:r w:rsidR="00B357C4" w:rsidRPr="00375150">
        <w:rPr>
          <w:rFonts w:ascii="Arial" w:hAnsi="Arial" w:cs="Arial"/>
          <w:sz w:val="20"/>
          <w:szCs w:val="20"/>
          <w:lang w:val="es-MX"/>
        </w:rPr>
        <w:t xml:space="preserve">al </w:t>
      </w:r>
      <w:r w:rsidRPr="00375150">
        <w:rPr>
          <w:rFonts w:ascii="Arial" w:hAnsi="Arial" w:cs="Arial"/>
          <w:sz w:val="20"/>
          <w:szCs w:val="20"/>
          <w:lang w:val="es-MX"/>
        </w:rPr>
        <w:t xml:space="preserve">aplicar la siguiente fórmula: </w:t>
      </w:r>
    </w:p>
    <w:p w:rsidR="00866092" w:rsidRPr="00375150" w:rsidRDefault="00866092" w:rsidP="00866092">
      <w:pPr>
        <w:spacing w:line="360" w:lineRule="auto"/>
        <w:rPr>
          <w:rFonts w:ascii="Arial" w:hAnsi="Arial" w:cs="Arial"/>
          <w:sz w:val="20"/>
          <w:szCs w:val="20"/>
          <w:lang w:val="es-MX"/>
        </w:rPr>
      </w:pPr>
    </w:p>
    <w:p w:rsidR="00866092" w:rsidRPr="00375150" w:rsidRDefault="004B79AF" w:rsidP="005665AE">
      <w:pPr>
        <w:spacing w:line="360" w:lineRule="auto"/>
        <w:jc w:val="both"/>
        <w:rPr>
          <w:rFonts w:ascii="Arial" w:hAnsi="Arial" w:cs="Arial"/>
          <w:sz w:val="20"/>
          <w:szCs w:val="20"/>
          <w:lang w:val="es-MX"/>
        </w:rPr>
      </w:pPr>
      <w:r w:rsidRPr="00375150">
        <w:rPr>
          <w:rFonts w:ascii="Arial" w:hAnsi="Arial" w:cs="Arial"/>
          <w:b/>
          <w:sz w:val="20"/>
          <w:szCs w:val="20"/>
          <w:lang w:val="es-MX"/>
        </w:rPr>
        <w:t>Fórmula para determinar el nivel de cumplimiento</w:t>
      </w:r>
      <w:r w:rsidR="00866092" w:rsidRPr="00375150">
        <w:rPr>
          <w:rFonts w:ascii="Arial" w:hAnsi="Arial" w:cs="Arial"/>
          <w:b/>
          <w:sz w:val="20"/>
          <w:szCs w:val="20"/>
          <w:lang w:val="es-MX"/>
        </w:rPr>
        <w:t xml:space="preserve"> </w:t>
      </w:r>
      <w:r w:rsidR="00866092" w:rsidRPr="00375150">
        <w:rPr>
          <w:rFonts w:ascii="Arial" w:hAnsi="Arial" w:cs="Arial"/>
          <w:sz w:val="20"/>
          <w:szCs w:val="20"/>
          <w:lang w:val="es-MX"/>
        </w:rPr>
        <w:t xml:space="preserve"> = (%</w:t>
      </w:r>
      <w:r w:rsidR="00A03DA8" w:rsidRPr="00375150">
        <w:rPr>
          <w:rFonts w:ascii="Arial" w:hAnsi="Arial" w:cs="Arial"/>
          <w:sz w:val="20"/>
          <w:szCs w:val="20"/>
          <w:lang w:val="es-MX"/>
        </w:rPr>
        <w:t xml:space="preserve"> </w:t>
      </w:r>
      <w:r w:rsidR="00866092" w:rsidRPr="00375150">
        <w:rPr>
          <w:rFonts w:ascii="Arial" w:hAnsi="Arial" w:cs="Arial"/>
          <w:sz w:val="20"/>
          <w:szCs w:val="20"/>
          <w:lang w:val="es-MX"/>
        </w:rPr>
        <w:t xml:space="preserve">alcanzado </w:t>
      </w:r>
      <w:r w:rsidR="005665AE" w:rsidRPr="00375150">
        <w:rPr>
          <w:rFonts w:ascii="Arial" w:hAnsi="Arial" w:cs="Arial"/>
          <w:sz w:val="20"/>
          <w:szCs w:val="20"/>
          <w:lang w:val="es-MX"/>
        </w:rPr>
        <w:t xml:space="preserve">promedio </w:t>
      </w:r>
      <w:r w:rsidR="00866092" w:rsidRPr="00375150">
        <w:rPr>
          <w:rFonts w:ascii="Arial" w:hAnsi="Arial" w:cs="Arial"/>
          <w:sz w:val="20"/>
          <w:szCs w:val="20"/>
          <w:lang w:val="es-MX"/>
        </w:rPr>
        <w:t>unidad de medida * 35</w:t>
      </w:r>
      <w:r w:rsidR="004D06B1" w:rsidRPr="00375150">
        <w:rPr>
          <w:rFonts w:ascii="Arial" w:hAnsi="Arial" w:cs="Arial"/>
          <w:sz w:val="20"/>
          <w:szCs w:val="20"/>
          <w:lang w:val="es-MX"/>
        </w:rPr>
        <w:t>,0</w:t>
      </w:r>
      <w:r w:rsidR="00866092" w:rsidRPr="00375150">
        <w:rPr>
          <w:rFonts w:ascii="Arial" w:hAnsi="Arial" w:cs="Arial"/>
          <w:sz w:val="20"/>
          <w:szCs w:val="20"/>
          <w:lang w:val="es-MX"/>
        </w:rPr>
        <w:t>%) + (%</w:t>
      </w:r>
      <w:r w:rsidR="00A03DA8" w:rsidRPr="00375150">
        <w:rPr>
          <w:rFonts w:ascii="Arial" w:hAnsi="Arial" w:cs="Arial"/>
          <w:sz w:val="20"/>
          <w:szCs w:val="20"/>
          <w:lang w:val="es-MX"/>
        </w:rPr>
        <w:t xml:space="preserve"> </w:t>
      </w:r>
      <w:r w:rsidR="00866092" w:rsidRPr="00375150">
        <w:rPr>
          <w:rFonts w:ascii="Arial" w:hAnsi="Arial" w:cs="Arial"/>
          <w:sz w:val="20"/>
          <w:szCs w:val="20"/>
          <w:lang w:val="es-MX"/>
        </w:rPr>
        <w:t xml:space="preserve">alcanzado </w:t>
      </w:r>
      <w:r w:rsidR="005665AE" w:rsidRPr="00375150">
        <w:rPr>
          <w:rFonts w:ascii="Arial" w:hAnsi="Arial" w:cs="Arial"/>
          <w:sz w:val="20"/>
          <w:szCs w:val="20"/>
          <w:lang w:val="es-MX"/>
        </w:rPr>
        <w:t xml:space="preserve">promedio </w:t>
      </w:r>
      <w:r w:rsidR="00866092" w:rsidRPr="00375150">
        <w:rPr>
          <w:rFonts w:ascii="Arial" w:hAnsi="Arial" w:cs="Arial"/>
          <w:sz w:val="20"/>
          <w:szCs w:val="20"/>
          <w:lang w:val="es-MX"/>
        </w:rPr>
        <w:t>indicadores * 35</w:t>
      </w:r>
      <w:r w:rsidR="004D06B1" w:rsidRPr="00375150">
        <w:rPr>
          <w:rFonts w:ascii="Arial" w:hAnsi="Arial" w:cs="Arial"/>
          <w:sz w:val="20"/>
          <w:szCs w:val="20"/>
          <w:lang w:val="es-MX"/>
        </w:rPr>
        <w:t>,0</w:t>
      </w:r>
      <w:r w:rsidR="00866092" w:rsidRPr="00375150">
        <w:rPr>
          <w:rFonts w:ascii="Arial" w:hAnsi="Arial" w:cs="Arial"/>
          <w:sz w:val="20"/>
          <w:szCs w:val="20"/>
          <w:lang w:val="es-MX"/>
        </w:rPr>
        <w:t>%) + (% ejecución financiera * 30</w:t>
      </w:r>
      <w:r w:rsidR="004D06B1" w:rsidRPr="00375150">
        <w:rPr>
          <w:rFonts w:ascii="Arial" w:hAnsi="Arial" w:cs="Arial"/>
          <w:sz w:val="20"/>
          <w:szCs w:val="20"/>
          <w:lang w:val="es-MX"/>
        </w:rPr>
        <w:t>,0</w:t>
      </w:r>
      <w:r w:rsidR="00866092" w:rsidRPr="00375150">
        <w:rPr>
          <w:rFonts w:ascii="Arial" w:hAnsi="Arial" w:cs="Arial"/>
          <w:sz w:val="20"/>
          <w:szCs w:val="20"/>
          <w:lang w:val="es-MX"/>
        </w:rPr>
        <w:t>%)</w:t>
      </w:r>
    </w:p>
    <w:p w:rsidR="0078495C" w:rsidRPr="00375150" w:rsidRDefault="0078495C" w:rsidP="001E098C">
      <w:pPr>
        <w:spacing w:line="360" w:lineRule="auto"/>
        <w:jc w:val="both"/>
        <w:rPr>
          <w:rFonts w:ascii="Arial" w:hAnsi="Arial" w:cs="Arial"/>
          <w:sz w:val="20"/>
          <w:szCs w:val="20"/>
          <w:lang w:val="es-MX"/>
        </w:rPr>
      </w:pPr>
    </w:p>
    <w:p w:rsidR="004E4BEF" w:rsidRPr="00375150" w:rsidRDefault="004E4BEF" w:rsidP="004E4BEF">
      <w:pPr>
        <w:spacing w:line="360" w:lineRule="auto"/>
        <w:jc w:val="both"/>
        <w:rPr>
          <w:rFonts w:ascii="Arial" w:hAnsi="Arial" w:cs="Arial"/>
          <w:sz w:val="20"/>
          <w:szCs w:val="20"/>
          <w:lang w:val="es-MX"/>
        </w:rPr>
      </w:pPr>
      <w:r w:rsidRPr="00375150">
        <w:rPr>
          <w:rFonts w:ascii="Arial" w:hAnsi="Arial" w:cs="Arial"/>
          <w:sz w:val="20"/>
          <w:szCs w:val="20"/>
          <w:lang w:val="es-MX"/>
        </w:rPr>
        <w:t xml:space="preserve">Al resultado obtenido </w:t>
      </w:r>
      <w:r w:rsidR="004B79AF" w:rsidRPr="00375150">
        <w:rPr>
          <w:rFonts w:ascii="Arial" w:hAnsi="Arial" w:cs="Arial"/>
          <w:sz w:val="20"/>
          <w:szCs w:val="20"/>
          <w:lang w:val="es-MX"/>
        </w:rPr>
        <w:t>con la fórmula</w:t>
      </w:r>
      <w:r w:rsidRPr="00375150">
        <w:rPr>
          <w:rFonts w:ascii="Arial" w:hAnsi="Arial" w:cs="Arial"/>
          <w:sz w:val="20"/>
          <w:szCs w:val="20"/>
          <w:lang w:val="es-MX"/>
        </w:rPr>
        <w:t xml:space="preserve"> se </w:t>
      </w:r>
      <w:r w:rsidR="00C272D5" w:rsidRPr="00375150">
        <w:rPr>
          <w:rFonts w:ascii="Arial" w:hAnsi="Arial" w:cs="Arial"/>
          <w:sz w:val="20"/>
          <w:szCs w:val="20"/>
          <w:lang w:val="es-MX"/>
        </w:rPr>
        <w:t xml:space="preserve">le </w:t>
      </w:r>
      <w:r w:rsidRPr="00375150">
        <w:rPr>
          <w:rFonts w:ascii="Arial" w:hAnsi="Arial" w:cs="Arial"/>
          <w:sz w:val="20"/>
          <w:szCs w:val="20"/>
          <w:lang w:val="es-MX"/>
        </w:rPr>
        <w:t>asocia</w:t>
      </w:r>
      <w:r w:rsidR="00C272D5" w:rsidRPr="00375150">
        <w:rPr>
          <w:rFonts w:ascii="Arial" w:hAnsi="Arial" w:cs="Arial"/>
          <w:sz w:val="20"/>
          <w:szCs w:val="20"/>
          <w:lang w:val="es-MX"/>
        </w:rPr>
        <w:t>rá</w:t>
      </w:r>
      <w:r w:rsidRPr="00375150">
        <w:rPr>
          <w:rFonts w:ascii="Arial" w:hAnsi="Arial" w:cs="Arial"/>
          <w:sz w:val="20"/>
          <w:szCs w:val="20"/>
          <w:lang w:val="es-MX"/>
        </w:rPr>
        <w:t xml:space="preserve"> respectivamente el resultado de efectividad de acuerdo a la siguiente tabla:</w:t>
      </w:r>
    </w:p>
    <w:p w:rsidR="000104A3" w:rsidRPr="00375150" w:rsidRDefault="000104A3" w:rsidP="000104A3">
      <w:pPr>
        <w:spacing w:line="360" w:lineRule="auto"/>
        <w:jc w:val="both"/>
        <w:rPr>
          <w:rFonts w:ascii="Arial" w:hAnsi="Arial" w:cs="Arial"/>
          <w:sz w:val="20"/>
          <w:szCs w:val="20"/>
          <w:lang w:val="es-MX"/>
        </w:rPr>
      </w:pPr>
    </w:p>
    <w:tbl>
      <w:tblPr>
        <w:tblStyle w:val="Listaclara-nfasis1"/>
        <w:tblW w:w="0" w:type="auto"/>
        <w:jc w:val="center"/>
        <w:tblBorders>
          <w:insideH w:val="single" w:sz="6" w:space="0" w:color="4F81BD" w:themeColor="accent1"/>
          <w:insideV w:val="single" w:sz="6" w:space="0" w:color="4F81BD" w:themeColor="accent1"/>
        </w:tblBorders>
        <w:tblLook w:val="04A0"/>
      </w:tblPr>
      <w:tblGrid>
        <w:gridCol w:w="3199"/>
        <w:gridCol w:w="3883"/>
      </w:tblGrid>
      <w:tr w:rsidR="003F6FCA" w:rsidRPr="00375150" w:rsidTr="00FF37D1">
        <w:trPr>
          <w:cnfStyle w:val="100000000000"/>
          <w:jc w:val="center"/>
        </w:trPr>
        <w:tc>
          <w:tcPr>
            <w:cnfStyle w:val="001000000000"/>
            <w:tcW w:w="3199" w:type="dxa"/>
          </w:tcPr>
          <w:p w:rsidR="003F6FCA" w:rsidRPr="00375150" w:rsidRDefault="003F6FCA" w:rsidP="00B21CF7">
            <w:pPr>
              <w:spacing w:line="360" w:lineRule="auto"/>
              <w:jc w:val="center"/>
              <w:rPr>
                <w:rFonts w:ascii="Arial" w:hAnsi="Arial" w:cs="Arial"/>
                <w:sz w:val="20"/>
                <w:szCs w:val="20"/>
                <w:lang w:val="es-MX"/>
              </w:rPr>
            </w:pPr>
            <w:r w:rsidRPr="00375150">
              <w:rPr>
                <w:rFonts w:ascii="Arial" w:hAnsi="Arial" w:cs="Arial"/>
                <w:sz w:val="20"/>
                <w:szCs w:val="20"/>
                <w:lang w:val="es-MX"/>
              </w:rPr>
              <w:t>Efectividad</w:t>
            </w:r>
          </w:p>
        </w:tc>
        <w:tc>
          <w:tcPr>
            <w:tcW w:w="3883" w:type="dxa"/>
          </w:tcPr>
          <w:p w:rsidR="003F6FCA" w:rsidRPr="00375150" w:rsidRDefault="003F6FCA" w:rsidP="00B21CF7">
            <w:pPr>
              <w:spacing w:line="360" w:lineRule="auto"/>
              <w:jc w:val="center"/>
              <w:cnfStyle w:val="100000000000"/>
              <w:rPr>
                <w:rFonts w:ascii="Arial" w:hAnsi="Arial" w:cs="Arial"/>
                <w:sz w:val="20"/>
                <w:szCs w:val="20"/>
                <w:lang w:val="es-MX"/>
              </w:rPr>
            </w:pPr>
            <w:r w:rsidRPr="00375150">
              <w:rPr>
                <w:rFonts w:ascii="Arial" w:hAnsi="Arial" w:cs="Arial"/>
                <w:sz w:val="20"/>
                <w:szCs w:val="20"/>
                <w:lang w:val="es-MX"/>
              </w:rPr>
              <w:t>Nivel de Cumplimiento</w:t>
            </w:r>
          </w:p>
        </w:tc>
      </w:tr>
      <w:tr w:rsidR="00412F3E" w:rsidRPr="00375150" w:rsidTr="00FF37D1">
        <w:trPr>
          <w:cnfStyle w:val="000000100000"/>
          <w:jc w:val="center"/>
        </w:trPr>
        <w:tc>
          <w:tcPr>
            <w:cnfStyle w:val="001000000000"/>
            <w:tcW w:w="3199" w:type="dxa"/>
            <w:tcBorders>
              <w:top w:val="none" w:sz="0" w:space="0" w:color="auto"/>
              <w:left w:val="none" w:sz="0" w:space="0" w:color="auto"/>
              <w:bottom w:val="none" w:sz="0" w:space="0" w:color="auto"/>
            </w:tcBorders>
            <w:shd w:val="clear" w:color="auto" w:fill="92D050"/>
          </w:tcPr>
          <w:p w:rsidR="00412F3E" w:rsidRPr="00375150" w:rsidRDefault="00412F3E" w:rsidP="00332B57">
            <w:pPr>
              <w:spacing w:line="360" w:lineRule="auto"/>
              <w:jc w:val="both"/>
              <w:rPr>
                <w:rFonts w:ascii="Arial" w:hAnsi="Arial" w:cs="Arial"/>
                <w:sz w:val="20"/>
                <w:szCs w:val="20"/>
                <w:lang w:val="es-MX"/>
              </w:rPr>
            </w:pPr>
            <w:r w:rsidRPr="0077710A">
              <w:rPr>
                <w:rFonts w:ascii="Arial" w:hAnsi="Arial" w:cs="Arial"/>
                <w:sz w:val="20"/>
                <w:szCs w:val="20"/>
                <w:lang w:val="es-MX"/>
              </w:rPr>
              <w:t>Efectivo</w:t>
            </w:r>
          </w:p>
        </w:tc>
        <w:tc>
          <w:tcPr>
            <w:tcW w:w="3883" w:type="dxa"/>
            <w:tcBorders>
              <w:top w:val="none" w:sz="0" w:space="0" w:color="auto"/>
              <w:bottom w:val="none" w:sz="0" w:space="0" w:color="auto"/>
              <w:right w:val="none" w:sz="0" w:space="0" w:color="auto"/>
            </w:tcBorders>
            <w:vAlign w:val="center"/>
          </w:tcPr>
          <w:p w:rsidR="00412F3E" w:rsidRPr="00375150" w:rsidRDefault="00412F3E" w:rsidP="00A83AEC">
            <w:pPr>
              <w:spacing w:line="360" w:lineRule="auto"/>
              <w:jc w:val="center"/>
              <w:cnfStyle w:val="000000100000"/>
              <w:rPr>
                <w:rFonts w:ascii="Arial" w:hAnsi="Arial" w:cs="Arial"/>
                <w:i/>
                <w:sz w:val="20"/>
                <w:szCs w:val="20"/>
                <w:lang w:val="es-MX"/>
              </w:rPr>
            </w:pPr>
            <w:r w:rsidRPr="00375150">
              <w:rPr>
                <w:rFonts w:ascii="Arial" w:hAnsi="Arial" w:cs="Arial"/>
                <w:i/>
                <w:sz w:val="20"/>
                <w:szCs w:val="20"/>
                <w:lang w:val="es-MX"/>
              </w:rPr>
              <w:t>Mayor o igual a 90%</w:t>
            </w:r>
          </w:p>
        </w:tc>
      </w:tr>
      <w:tr w:rsidR="00412F3E" w:rsidRPr="00375150" w:rsidTr="00FF37D1">
        <w:trPr>
          <w:jc w:val="center"/>
        </w:trPr>
        <w:tc>
          <w:tcPr>
            <w:cnfStyle w:val="001000000000"/>
            <w:tcW w:w="3199" w:type="dxa"/>
            <w:shd w:val="clear" w:color="auto" w:fill="FFFF00"/>
          </w:tcPr>
          <w:p w:rsidR="00412F3E" w:rsidRPr="00375150" w:rsidRDefault="00412F3E" w:rsidP="00332B57">
            <w:pPr>
              <w:spacing w:line="360" w:lineRule="auto"/>
              <w:jc w:val="both"/>
              <w:rPr>
                <w:rFonts w:ascii="Arial" w:hAnsi="Arial" w:cs="Arial"/>
                <w:sz w:val="20"/>
                <w:szCs w:val="20"/>
                <w:lang w:val="es-MX"/>
              </w:rPr>
            </w:pPr>
            <w:r w:rsidRPr="0077710A">
              <w:rPr>
                <w:rFonts w:ascii="Arial" w:hAnsi="Arial" w:cs="Arial"/>
                <w:sz w:val="20"/>
                <w:szCs w:val="20"/>
                <w:lang w:val="es-MX"/>
              </w:rPr>
              <w:t>Parcialmente efectivo</w:t>
            </w:r>
          </w:p>
        </w:tc>
        <w:tc>
          <w:tcPr>
            <w:tcW w:w="3883" w:type="dxa"/>
            <w:vAlign w:val="center"/>
          </w:tcPr>
          <w:p w:rsidR="00412F3E" w:rsidRPr="00375150" w:rsidRDefault="001248BE" w:rsidP="00A83AEC">
            <w:pPr>
              <w:spacing w:line="360" w:lineRule="auto"/>
              <w:jc w:val="center"/>
              <w:cnfStyle w:val="000000000000"/>
              <w:rPr>
                <w:rFonts w:ascii="Arial" w:hAnsi="Arial" w:cs="Arial"/>
                <w:i/>
                <w:sz w:val="20"/>
                <w:szCs w:val="20"/>
                <w:lang w:val="es-MX"/>
              </w:rPr>
            </w:pPr>
            <w:r w:rsidRPr="00375150">
              <w:rPr>
                <w:rFonts w:ascii="Arial" w:hAnsi="Arial" w:cs="Arial"/>
                <w:i/>
                <w:sz w:val="20"/>
                <w:szCs w:val="20"/>
                <w:lang w:val="es-MX"/>
              </w:rPr>
              <w:t>Menor o  igual a 89,99% o igual a 50%</w:t>
            </w:r>
          </w:p>
        </w:tc>
      </w:tr>
      <w:tr w:rsidR="00412F3E" w:rsidRPr="00375150" w:rsidTr="00FF37D1">
        <w:trPr>
          <w:cnfStyle w:val="000000100000"/>
          <w:jc w:val="center"/>
        </w:trPr>
        <w:tc>
          <w:tcPr>
            <w:cnfStyle w:val="001000000000"/>
            <w:tcW w:w="3199" w:type="dxa"/>
            <w:tcBorders>
              <w:top w:val="none" w:sz="0" w:space="0" w:color="auto"/>
              <w:left w:val="none" w:sz="0" w:space="0" w:color="auto"/>
              <w:bottom w:val="none" w:sz="0" w:space="0" w:color="auto"/>
            </w:tcBorders>
            <w:shd w:val="clear" w:color="auto" w:fill="FF0000"/>
          </w:tcPr>
          <w:p w:rsidR="00412F3E" w:rsidRPr="00375150" w:rsidRDefault="00412F3E" w:rsidP="00332B57">
            <w:pPr>
              <w:spacing w:line="360" w:lineRule="auto"/>
              <w:jc w:val="both"/>
              <w:rPr>
                <w:rFonts w:ascii="Arial" w:hAnsi="Arial" w:cs="Arial"/>
                <w:sz w:val="20"/>
                <w:szCs w:val="20"/>
                <w:lang w:val="es-MX"/>
              </w:rPr>
            </w:pPr>
            <w:r w:rsidRPr="0077710A">
              <w:rPr>
                <w:rFonts w:ascii="Arial" w:hAnsi="Arial" w:cs="Arial"/>
                <w:color w:val="FFFFFF" w:themeColor="background1"/>
                <w:sz w:val="20"/>
                <w:szCs w:val="20"/>
                <w:lang w:val="es-MX"/>
              </w:rPr>
              <w:t>No efectivo</w:t>
            </w:r>
          </w:p>
        </w:tc>
        <w:tc>
          <w:tcPr>
            <w:tcW w:w="3883" w:type="dxa"/>
            <w:tcBorders>
              <w:top w:val="none" w:sz="0" w:space="0" w:color="auto"/>
              <w:bottom w:val="none" w:sz="0" w:space="0" w:color="auto"/>
              <w:right w:val="none" w:sz="0" w:space="0" w:color="auto"/>
            </w:tcBorders>
            <w:vAlign w:val="center"/>
          </w:tcPr>
          <w:p w:rsidR="00412F3E" w:rsidRPr="00375150" w:rsidRDefault="00412F3E" w:rsidP="00A83AEC">
            <w:pPr>
              <w:spacing w:line="360" w:lineRule="auto"/>
              <w:jc w:val="center"/>
              <w:cnfStyle w:val="000000100000"/>
              <w:rPr>
                <w:rFonts w:ascii="Arial" w:hAnsi="Arial" w:cs="Arial"/>
                <w:i/>
                <w:sz w:val="20"/>
                <w:szCs w:val="20"/>
                <w:lang w:val="es-MX"/>
              </w:rPr>
            </w:pPr>
            <w:r w:rsidRPr="00375150">
              <w:rPr>
                <w:rFonts w:ascii="Arial" w:hAnsi="Arial" w:cs="Arial"/>
                <w:i/>
                <w:sz w:val="20"/>
                <w:szCs w:val="20"/>
                <w:lang w:val="es-MX"/>
              </w:rPr>
              <w:t>Menor o igual a 49,99%</w:t>
            </w:r>
          </w:p>
        </w:tc>
      </w:tr>
    </w:tbl>
    <w:p w:rsidR="000104A3" w:rsidRPr="0077710A" w:rsidRDefault="000104A3" w:rsidP="000104A3">
      <w:pPr>
        <w:spacing w:line="360" w:lineRule="auto"/>
        <w:jc w:val="both"/>
        <w:rPr>
          <w:rFonts w:ascii="Arial" w:hAnsi="Arial" w:cs="Arial"/>
          <w:color w:val="FF0000"/>
          <w:sz w:val="20"/>
          <w:szCs w:val="20"/>
          <w:lang w:val="es-MX"/>
        </w:rPr>
      </w:pPr>
    </w:p>
    <w:p w:rsidR="00486191" w:rsidRPr="0084580C" w:rsidRDefault="004D06B1" w:rsidP="001248BE">
      <w:pPr>
        <w:spacing w:line="360" w:lineRule="auto"/>
        <w:jc w:val="both"/>
        <w:rPr>
          <w:rFonts w:ascii="Arial" w:hAnsi="Arial" w:cs="Arial"/>
          <w:bCs/>
          <w:sz w:val="20"/>
          <w:szCs w:val="20"/>
        </w:rPr>
      </w:pPr>
      <w:r w:rsidRPr="0077710A">
        <w:rPr>
          <w:rFonts w:ascii="Arial" w:hAnsi="Arial" w:cs="Arial"/>
          <w:sz w:val="20"/>
          <w:szCs w:val="20"/>
        </w:rPr>
        <w:t>De acuerdo con lo que establece la metodología “</w:t>
      </w:r>
      <w:r w:rsidRPr="00375150">
        <w:rPr>
          <w:rFonts w:ascii="Arial" w:hAnsi="Arial" w:cs="Arial"/>
          <w:i/>
          <w:sz w:val="20"/>
          <w:szCs w:val="20"/>
        </w:rPr>
        <w:t>Programación presupuestaria en el marco de la Gestión por resultados para el Desarrollo</w:t>
      </w:r>
      <w:r w:rsidRPr="00375150">
        <w:rPr>
          <w:rFonts w:ascii="Arial" w:hAnsi="Arial" w:cs="Arial"/>
          <w:sz w:val="20"/>
          <w:szCs w:val="20"/>
        </w:rPr>
        <w:t xml:space="preserve">”, la cual se utiliza para la formulación del presupuesto, cada producto debe contar con unidades de medida e indicadores que permitan medir la producción de bienes y servicios, y que puedan ser monitoreados y evaluados a partir </w:t>
      </w:r>
      <w:r w:rsidRPr="00375150">
        <w:rPr>
          <w:rFonts w:ascii="Arial" w:hAnsi="Arial" w:cs="Arial"/>
          <w:sz w:val="20"/>
          <w:szCs w:val="20"/>
        </w:rPr>
        <w:lastRenderedPageBreak/>
        <w:t xml:space="preserve">de los resultados que la ciudadanía espera de su ejecución. Por lo anterior, los programas y subprogramas que no cuenten con </w:t>
      </w:r>
      <w:r w:rsidR="001248BE" w:rsidRPr="00375150">
        <w:rPr>
          <w:rFonts w:ascii="Arial" w:hAnsi="Arial" w:cs="Arial"/>
          <w:sz w:val="20"/>
          <w:szCs w:val="20"/>
        </w:rPr>
        <w:t xml:space="preserve">alguno de </w:t>
      </w:r>
      <w:r w:rsidRPr="00375150">
        <w:rPr>
          <w:rFonts w:ascii="Arial" w:hAnsi="Arial" w:cs="Arial"/>
          <w:sz w:val="20"/>
          <w:szCs w:val="20"/>
        </w:rPr>
        <w:t>estos elementos, se considerará como cumplimiento 0%.</w:t>
      </w:r>
    </w:p>
    <w:sectPr w:rsidR="00486191" w:rsidRPr="0084580C" w:rsidSect="00242891">
      <w:footerReference w:type="default" r:id="rId23"/>
      <w:headerReference w:type="first" r:id="rId24"/>
      <w:pgSz w:w="12242" w:h="15842" w:code="1"/>
      <w:pgMar w:top="1418" w:right="1701" w:bottom="1077" w:left="1701" w:header="737" w:footer="567" w:gutter="0"/>
      <w:pgNumType w:start="0"/>
      <w:cols w:space="708" w:equalWidth="0">
        <w:col w:w="85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08A" w:rsidRDefault="005A308A">
      <w:r>
        <w:separator/>
      </w:r>
    </w:p>
  </w:endnote>
  <w:endnote w:type="continuationSeparator" w:id="0">
    <w:p w:rsidR="005A308A" w:rsidRDefault="005A30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93394"/>
      <w:docPartObj>
        <w:docPartGallery w:val="Page Numbers (Bottom of Page)"/>
        <w:docPartUnique/>
      </w:docPartObj>
    </w:sdtPr>
    <w:sdtContent>
      <w:p w:rsidR="00F840D7" w:rsidRDefault="00337C33">
        <w:pPr>
          <w:pStyle w:val="Piedepgina"/>
          <w:jc w:val="right"/>
        </w:pPr>
        <w:r>
          <w:fldChar w:fldCharType="begin"/>
        </w:r>
        <w:r w:rsidR="00F840D7">
          <w:instrText>PAGE   \* MERGEFORMAT</w:instrText>
        </w:r>
        <w:r>
          <w:fldChar w:fldCharType="separate"/>
        </w:r>
        <w:r w:rsidR="00881B88">
          <w:rPr>
            <w:noProof/>
          </w:rPr>
          <w:t>1</w:t>
        </w:r>
        <w:r>
          <w:fldChar w:fldCharType="end"/>
        </w:r>
      </w:p>
    </w:sdtContent>
  </w:sdt>
  <w:p w:rsidR="00F840D7" w:rsidRPr="00EB7BAD" w:rsidRDefault="00F840D7" w:rsidP="00E54F02">
    <w:pPr>
      <w:pStyle w:val="Piedepgina"/>
      <w:tabs>
        <w:tab w:val="right" w:pos="8789"/>
      </w:tabs>
      <w:spacing w:before="120" w:after="100" w:afterAutospacing="1"/>
      <w:jc w:val="center"/>
      <w:rPr>
        <w:lang w:val="es-C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08A" w:rsidRDefault="005A308A">
      <w:r>
        <w:separator/>
      </w:r>
    </w:p>
  </w:footnote>
  <w:footnote w:type="continuationSeparator" w:id="0">
    <w:p w:rsidR="005A308A" w:rsidRDefault="005A308A">
      <w:r>
        <w:continuationSeparator/>
      </w:r>
    </w:p>
  </w:footnote>
  <w:footnote w:id="1">
    <w:p w:rsidR="00F840D7" w:rsidRDefault="00F840D7" w:rsidP="00EF5E68">
      <w:pPr>
        <w:jc w:val="both"/>
        <w:rPr>
          <w:rFonts w:ascii="Book Antiqua" w:hAnsi="Book Antiqua" w:cs="Book Antiqua"/>
          <w:sz w:val="18"/>
          <w:szCs w:val="18"/>
        </w:rPr>
      </w:pPr>
      <w:r>
        <w:rPr>
          <w:rFonts w:ascii="Book Antiqua" w:hAnsi="Book Antiqua" w:cs="Book Antiqua"/>
          <w:sz w:val="18"/>
          <w:szCs w:val="18"/>
          <w:vertAlign w:val="superscript"/>
        </w:rPr>
        <w:t>1</w:t>
      </w:r>
      <w:r>
        <w:rPr>
          <w:rFonts w:ascii="Book Antiqua" w:hAnsi="Book Antiqua" w:cs="Book Antiqua"/>
          <w:sz w:val="18"/>
          <w:szCs w:val="18"/>
        </w:rPr>
        <w:t xml:space="preserve"> En el caso de los programas 926 “Dirección, Administración y otros Órganos de Apoyo Jurisdiccional”, 928: “Organismo de Investigación Judicial” y 929: “Ministerio Público”; con base en lo indicado por la Licda. </w:t>
      </w:r>
      <w:r w:rsidRPr="000F3F6E">
        <w:rPr>
          <w:rFonts w:ascii="Book Antiqua" w:hAnsi="Book Antiqua" w:cs="Book Antiqua"/>
          <w:sz w:val="18"/>
          <w:szCs w:val="18"/>
        </w:rPr>
        <w:t>Hailyn Núñez Valerio</w:t>
      </w:r>
      <w:r>
        <w:rPr>
          <w:rFonts w:ascii="Book Antiqua" w:hAnsi="Book Antiqua" w:cs="Book Antiqua"/>
          <w:sz w:val="18"/>
          <w:szCs w:val="18"/>
        </w:rPr>
        <w:t xml:space="preserve"> de la Unidad de Análisis Presupuestario de Poderes Dirección General de Presupuesto Nacional, no se deben incluir en el presente informe, por ser programas “intermedios” o de apoyo para los otros programas presupuestarios, donde se alcanza los objetivos y metas institucionales vinculadas a los productos finales.</w:t>
      </w:r>
    </w:p>
  </w:footnote>
  <w:footnote w:id="2">
    <w:p w:rsidR="00F840D7" w:rsidRPr="00B6692D" w:rsidRDefault="00F840D7">
      <w:pPr>
        <w:pStyle w:val="Textonotapie"/>
        <w:rPr>
          <w:rFonts w:ascii="Arial" w:hAnsi="Arial" w:cs="Arial"/>
          <w:sz w:val="18"/>
          <w:szCs w:val="18"/>
          <w:lang w:val="es-CR"/>
        </w:rPr>
      </w:pPr>
      <w:r w:rsidRPr="00B6692D">
        <w:rPr>
          <w:rStyle w:val="Refdenotaalpie"/>
          <w:rFonts w:ascii="Arial" w:hAnsi="Arial" w:cs="Arial"/>
          <w:sz w:val="16"/>
          <w:szCs w:val="18"/>
        </w:rPr>
        <w:footnoteRef/>
      </w:r>
      <w:r w:rsidRPr="00B6692D">
        <w:rPr>
          <w:rFonts w:ascii="Arial" w:hAnsi="Arial" w:cs="Arial"/>
          <w:sz w:val="16"/>
          <w:szCs w:val="18"/>
        </w:rPr>
        <w:t xml:space="preserve"> Esta es la misión aprobada por Corte Plena en la sesión No. 38-12 del 05 de noviembre de 2012, art. XXV y ratificada en sesión de Corte Plena 12-14 celebrada el 24 de marzo de 2014, artículo XXII.</w:t>
      </w:r>
    </w:p>
  </w:footnote>
  <w:footnote w:id="3">
    <w:p w:rsidR="00F840D7" w:rsidRPr="00C67240" w:rsidRDefault="00F840D7" w:rsidP="00A81C19">
      <w:pPr>
        <w:pStyle w:val="Textonotapie"/>
      </w:pPr>
      <w:r>
        <w:rPr>
          <w:rStyle w:val="Refdenotaalpie"/>
        </w:rPr>
        <w:footnoteRef/>
      </w:r>
      <w:r>
        <w:t xml:space="preserve"> </w:t>
      </w:r>
      <w:r w:rsidRPr="00062001">
        <w:rPr>
          <w:rFonts w:eastAsia="Arial Unicode MS"/>
          <w:b/>
          <w:sz w:val="16"/>
          <w:szCs w:val="16"/>
        </w:rPr>
        <w:t>Casos concluidos  por disminución del riesgo:</w:t>
      </w:r>
      <w:r w:rsidRPr="00062001">
        <w:rPr>
          <w:rFonts w:eastAsia="Arial Unicode MS"/>
          <w:sz w:val="16"/>
          <w:szCs w:val="16"/>
        </w:rPr>
        <w:t xml:space="preserve"> causal  de exclusión  que define la ley 8720 en su artículo “12” inciso “d)”  </w:t>
      </w:r>
    </w:p>
  </w:footnote>
  <w:footnote w:id="4">
    <w:p w:rsidR="00F840D7" w:rsidRPr="00062001" w:rsidRDefault="00F840D7" w:rsidP="00A81C19">
      <w:pPr>
        <w:pStyle w:val="Textonotapie"/>
        <w:jc w:val="both"/>
        <w:rPr>
          <w:sz w:val="16"/>
          <w:szCs w:val="16"/>
        </w:rPr>
      </w:pPr>
      <w:r>
        <w:rPr>
          <w:rStyle w:val="Refdenotaalpie"/>
        </w:rPr>
        <w:footnoteRef/>
      </w:r>
      <w:r>
        <w:t xml:space="preserve"> </w:t>
      </w:r>
      <w:r w:rsidRPr="00062001">
        <w:rPr>
          <w:rFonts w:eastAsia="Arial Unicode MS"/>
          <w:sz w:val="16"/>
          <w:szCs w:val="16"/>
        </w:rPr>
        <w:t>Plan de Intervención: estrategia personalizada diseñada por criminólogos, abogados, trabajadores sociales y psicólogas con la finalidad de empoderar a la víctima  y  disminuir las consecuencias sufridas por el delito</w:t>
      </w:r>
    </w:p>
    <w:p w:rsidR="00F840D7" w:rsidRPr="00C67240" w:rsidRDefault="00F840D7" w:rsidP="00A81C19">
      <w:pPr>
        <w:pStyle w:val="Textonotapie"/>
      </w:pPr>
    </w:p>
  </w:footnote>
  <w:footnote w:id="5">
    <w:p w:rsidR="00F840D7" w:rsidRPr="00DD46EB" w:rsidRDefault="00F840D7" w:rsidP="00A81C19">
      <w:pPr>
        <w:pStyle w:val="Textonotapie"/>
        <w:rPr>
          <w:sz w:val="16"/>
          <w:szCs w:val="16"/>
        </w:rPr>
      </w:pPr>
      <w:r w:rsidRPr="00DD46EB">
        <w:rPr>
          <w:rStyle w:val="Refdenotaalpie"/>
          <w:sz w:val="16"/>
          <w:szCs w:val="16"/>
        </w:rPr>
        <w:footnoteRef/>
      </w:r>
      <w:r w:rsidRPr="00DD46EB">
        <w:rPr>
          <w:sz w:val="16"/>
          <w:szCs w:val="16"/>
        </w:rPr>
        <w:t xml:space="preserve"> Disciplinas de Trabajo Social, Der</w:t>
      </w:r>
      <w:r>
        <w:rPr>
          <w:sz w:val="16"/>
          <w:szCs w:val="16"/>
        </w:rPr>
        <w:t>echo, Criminología, Psicología.</w:t>
      </w:r>
      <w:r w:rsidRPr="00DD46EB">
        <w:rPr>
          <w:sz w:val="16"/>
          <w:szCs w:val="16"/>
        </w:rPr>
        <w:t xml:space="preserve"> </w:t>
      </w:r>
    </w:p>
  </w:footnote>
  <w:footnote w:id="6">
    <w:p w:rsidR="00F840D7" w:rsidRPr="00DD46EB" w:rsidRDefault="00F840D7" w:rsidP="00A81C19">
      <w:pPr>
        <w:pStyle w:val="Textonotapie"/>
        <w:rPr>
          <w:sz w:val="16"/>
          <w:szCs w:val="16"/>
        </w:rPr>
      </w:pPr>
      <w:r w:rsidRPr="00DD46EB">
        <w:rPr>
          <w:rStyle w:val="Refdenotaalpie"/>
          <w:sz w:val="16"/>
          <w:szCs w:val="16"/>
        </w:rPr>
        <w:footnoteRef/>
      </w:r>
      <w:r w:rsidRPr="00DD46EB">
        <w:rPr>
          <w:sz w:val="16"/>
          <w:szCs w:val="16"/>
        </w:rPr>
        <w:t xml:space="preserve"> </w:t>
      </w:r>
      <w:r w:rsidRPr="00DD46EB">
        <w:rPr>
          <w:rFonts w:eastAsia="Arial Unicode MS"/>
          <w:sz w:val="16"/>
          <w:szCs w:val="16"/>
        </w:rPr>
        <w:t>Plan de Protección: se denomina plan de protección a las acciones o mecanismos que recomiendan los equipos técnicos interdisciplinario a las personas protegidas con el propósito de garantizar su vida e integridad física.</w:t>
      </w:r>
    </w:p>
  </w:footnote>
  <w:footnote w:id="7">
    <w:p w:rsidR="00F840D7" w:rsidRPr="005B6C1E" w:rsidRDefault="00F840D7" w:rsidP="00A81C19">
      <w:pPr>
        <w:pStyle w:val="Textonotapie"/>
        <w:rPr>
          <w:rFonts w:eastAsia="Arial Unicode MS"/>
          <w:sz w:val="16"/>
          <w:szCs w:val="16"/>
        </w:rPr>
      </w:pPr>
      <w:r w:rsidRPr="005B6C1E">
        <w:rPr>
          <w:rFonts w:eastAsia="Arial Unicode MS"/>
          <w:sz w:val="16"/>
          <w:szCs w:val="16"/>
        </w:rPr>
        <w:footnoteRef/>
      </w:r>
      <w:r w:rsidRPr="005B6C1E">
        <w:rPr>
          <w:rFonts w:eastAsia="Arial Unicode MS"/>
          <w:sz w:val="16"/>
          <w:szCs w:val="16"/>
        </w:rPr>
        <w:t xml:space="preserve"> </w:t>
      </w:r>
      <w:r>
        <w:rPr>
          <w:rFonts w:eastAsia="Arial Unicode MS"/>
          <w:sz w:val="16"/>
          <w:szCs w:val="16"/>
        </w:rPr>
        <w:t>Cierre por falta de interés:</w:t>
      </w:r>
    </w:p>
  </w:footnote>
  <w:footnote w:id="8">
    <w:p w:rsidR="00F840D7" w:rsidRPr="005B6C1E" w:rsidRDefault="00F840D7" w:rsidP="00A81C19">
      <w:pPr>
        <w:pStyle w:val="Textonotapie"/>
      </w:pPr>
      <w:r w:rsidRPr="005B6C1E">
        <w:rPr>
          <w:rFonts w:eastAsia="Arial Unicode MS"/>
          <w:sz w:val="16"/>
          <w:szCs w:val="16"/>
        </w:rPr>
        <w:footnoteRef/>
      </w:r>
      <w:r w:rsidRPr="005B6C1E">
        <w:rPr>
          <w:rFonts w:eastAsia="Arial Unicode MS"/>
          <w:sz w:val="16"/>
          <w:szCs w:val="16"/>
        </w:rPr>
        <w:t xml:space="preserve"> Cierre por archivo administrativo:</w:t>
      </w:r>
      <w:r>
        <w:t xml:space="preserve"> </w:t>
      </w:r>
    </w:p>
  </w:footnote>
  <w:footnote w:id="9">
    <w:p w:rsidR="00F840D7" w:rsidRPr="007E4ADF" w:rsidRDefault="00F840D7" w:rsidP="00A81C19">
      <w:pPr>
        <w:pStyle w:val="Textonotapie"/>
        <w:rPr>
          <w:sz w:val="16"/>
          <w:szCs w:val="16"/>
        </w:rPr>
      </w:pPr>
      <w:r w:rsidRPr="007E4ADF">
        <w:rPr>
          <w:rStyle w:val="Refdenotaalpie"/>
          <w:sz w:val="16"/>
          <w:szCs w:val="16"/>
        </w:rPr>
        <w:footnoteRef/>
      </w:r>
      <w:r w:rsidRPr="007E4ADF">
        <w:rPr>
          <w:sz w:val="16"/>
          <w:szCs w:val="16"/>
        </w:rPr>
        <w:t xml:space="preserve"> Visita domiciliaria: </w:t>
      </w:r>
      <w:r w:rsidRPr="007E4ADF">
        <w:rPr>
          <w:rFonts w:ascii="Arial" w:hAnsi="Arial" w:cs="Arial"/>
          <w:color w:val="000000"/>
          <w:sz w:val="16"/>
          <w:szCs w:val="16"/>
          <w:shd w:val="clear" w:color="auto" w:fill="FFFFFF"/>
        </w:rPr>
        <w:t xml:space="preserve">visita que realiza el profesional de la OAPVD a casas de habitación, o lugar destinado en el momento como domicilio de la víctima o testigo.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0D7" w:rsidRDefault="00F840D7" w:rsidP="0084580C">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Poder Judicial – Dirección de Planificación</w:t>
    </w:r>
    <w: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4pt;height:32.55pt" o:ole="">
          <v:imagedata r:id="rId1" o:title=""/>
        </v:shape>
        <o:OLEObject Type="Embed" ProgID="PBrush" ShapeID="_x0000_i1030" DrawAspect="Content" ObjectID="_1609768434" r:id="rId2"/>
      </w:object>
    </w:r>
  </w:p>
  <w:p w:rsidR="00F840D7" w:rsidRDefault="00F840D7" w:rsidP="00EF5E6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rsidR="00F840D7" w:rsidRPr="005B3B0C" w:rsidRDefault="00F840D7" w:rsidP="00EF5E68">
    <w:pPr>
      <w:pStyle w:val="Encabezado"/>
      <w:jc w:val="center"/>
      <w:rPr>
        <w:lang w:val="en-US"/>
      </w:rPr>
    </w:pPr>
    <w:r w:rsidRPr="001018BE">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r w:rsidRPr="005B3B0C">
      <w:rPr>
        <w:rFonts w:ascii="Book Antiqua" w:hAnsi="Book Antiqua" w:cs="Book Antiqua"/>
        <w:i/>
        <w:iCs/>
        <w:sz w:val="18"/>
        <w:szCs w:val="18"/>
        <w:lang w:val="en-US"/>
      </w:rPr>
      <w:t>planificacion@poder-judicial.go.cr</w:t>
    </w:r>
  </w:p>
  <w:p w:rsidR="00F840D7" w:rsidRPr="005B3B0C" w:rsidRDefault="00F840D7" w:rsidP="00EF5E68">
    <w:pPr>
      <w:pBdr>
        <w:bottom w:val="single" w:sz="6" w:space="0" w:color="auto"/>
      </w:pBdr>
      <w:spacing w:after="20"/>
      <w:rPr>
        <w:lang w:val="en-US"/>
      </w:rPr>
    </w:pPr>
  </w:p>
  <w:p w:rsidR="00F840D7" w:rsidRPr="00FD5B31" w:rsidRDefault="00F840D7">
    <w:pPr>
      <w:pStyle w:val="Encabezado"/>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0368F"/>
    <w:multiLevelType w:val="hybridMultilevel"/>
    <w:tmpl w:val="57C0B41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6D542EC"/>
    <w:multiLevelType w:val="hybridMultilevel"/>
    <w:tmpl w:val="85825A00"/>
    <w:lvl w:ilvl="0" w:tplc="670A554E">
      <w:start w:val="1"/>
      <w:numFmt w:val="decimal"/>
      <w:lvlText w:val="%1."/>
      <w:lvlJc w:val="left"/>
      <w:pPr>
        <w:tabs>
          <w:tab w:val="num" w:pos="720"/>
        </w:tabs>
        <w:ind w:left="720" w:hanging="360"/>
      </w:pPr>
      <w:rPr>
        <w:rFonts w:cs="Times New Roman" w:hint="default"/>
        <w:b w:val="0"/>
        <w:color w:val="auto"/>
      </w:rPr>
    </w:lvl>
    <w:lvl w:ilvl="1" w:tplc="D982C868">
      <w:start w:val="1"/>
      <w:numFmt w:val="bullet"/>
      <w:lvlText w:val=""/>
      <w:lvlJc w:val="left"/>
      <w:pPr>
        <w:tabs>
          <w:tab w:val="num" w:pos="1440"/>
        </w:tabs>
        <w:ind w:left="1440" w:hanging="360"/>
      </w:pPr>
      <w:rPr>
        <w:rFonts w:ascii="Symbol" w:hAnsi="Symbol" w:hint="default"/>
        <w:b w:val="0"/>
        <w:color w:val="auto"/>
      </w:rPr>
    </w:lvl>
    <w:lvl w:ilvl="2" w:tplc="BD98E1D2">
      <w:start w:val="1"/>
      <w:numFmt w:val="lowerLetter"/>
      <w:lvlText w:val="%3)"/>
      <w:lvlJc w:val="left"/>
      <w:pPr>
        <w:ind w:left="2340" w:hanging="360"/>
      </w:pPr>
      <w:rPr>
        <w:rFonts w:hint="default"/>
      </w:rPr>
    </w:lvl>
    <w:lvl w:ilvl="3" w:tplc="0D1EAA46">
      <w:start w:val="2"/>
      <w:numFmt w:val="upperLetter"/>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nsid w:val="085F5D78"/>
    <w:multiLevelType w:val="hybridMultilevel"/>
    <w:tmpl w:val="13CCDFEE"/>
    <w:lvl w:ilvl="0" w:tplc="67BC16E0">
      <w:start w:val="1"/>
      <w:numFmt w:val="upperRoman"/>
      <w:pStyle w:val="Ttulo2"/>
      <w:lvlText w:val="%1."/>
      <w:lvlJc w:val="right"/>
      <w:pPr>
        <w:ind w:left="360" w:hanging="360"/>
      </w:pPr>
      <w:rPr>
        <w:b w:val="0"/>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17956588"/>
    <w:multiLevelType w:val="hybridMultilevel"/>
    <w:tmpl w:val="2DF4546E"/>
    <w:lvl w:ilvl="0" w:tplc="E2BE4D12">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17C05932"/>
    <w:multiLevelType w:val="hybridMultilevel"/>
    <w:tmpl w:val="3FBA501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EF13450"/>
    <w:multiLevelType w:val="hybridMultilevel"/>
    <w:tmpl w:val="49EA27A6"/>
    <w:lvl w:ilvl="0" w:tplc="0C0A0009">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24730D9E"/>
    <w:multiLevelType w:val="hybridMultilevel"/>
    <w:tmpl w:val="08BE99D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2CA021A4"/>
    <w:multiLevelType w:val="hybridMultilevel"/>
    <w:tmpl w:val="714E3CD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04F7CF1"/>
    <w:multiLevelType w:val="hybridMultilevel"/>
    <w:tmpl w:val="0538A8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47B954BC"/>
    <w:multiLevelType w:val="hybridMultilevel"/>
    <w:tmpl w:val="731EA46C"/>
    <w:lvl w:ilvl="0" w:tplc="29BA3FC2">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525252AD"/>
    <w:multiLevelType w:val="hybridMultilevel"/>
    <w:tmpl w:val="E3548A2E"/>
    <w:lvl w:ilvl="0" w:tplc="0C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5A606265"/>
    <w:multiLevelType w:val="hybridMultilevel"/>
    <w:tmpl w:val="A4AE12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nsid w:val="5D6F39F7"/>
    <w:multiLevelType w:val="hybridMultilevel"/>
    <w:tmpl w:val="F066228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65C75B87"/>
    <w:multiLevelType w:val="hybridMultilevel"/>
    <w:tmpl w:val="22D496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6F4916AB"/>
    <w:multiLevelType w:val="hybridMultilevel"/>
    <w:tmpl w:val="92E03A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707510FD"/>
    <w:multiLevelType w:val="multilevel"/>
    <w:tmpl w:val="CC0C795E"/>
    <w:lvl w:ilvl="0">
      <w:start w:val="1"/>
      <w:numFmt w:val="decimal"/>
      <w:lvlText w:val="%1."/>
      <w:lvlJc w:val="left"/>
      <w:pPr>
        <w:ind w:left="360" w:hanging="360"/>
      </w:pPr>
      <w:rPr>
        <w:rFonts w:ascii="Book Antiqua" w:eastAsia="Times New Roman" w:hAnsi="Book Antiqua" w:cs="Arial" w:hint="default"/>
        <w:b/>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6">
    <w:nsid w:val="73BD75CA"/>
    <w:multiLevelType w:val="hybridMultilevel"/>
    <w:tmpl w:val="52F263E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784C4B89"/>
    <w:multiLevelType w:val="hybridMultilevel"/>
    <w:tmpl w:val="292CE3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E380201"/>
    <w:multiLevelType w:val="hybridMultilevel"/>
    <w:tmpl w:val="77E86D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0"/>
  </w:num>
  <w:num w:numId="4">
    <w:abstractNumId w:val="2"/>
  </w:num>
  <w:num w:numId="5">
    <w:abstractNumId w:val="16"/>
  </w:num>
  <w:num w:numId="6">
    <w:abstractNumId w:val="10"/>
  </w:num>
  <w:num w:numId="7">
    <w:abstractNumId w:val="2"/>
  </w:num>
  <w:num w:numId="8">
    <w:abstractNumId w:val="5"/>
  </w:num>
  <w:num w:numId="9">
    <w:abstractNumId w:val="4"/>
  </w:num>
  <w:num w:numId="10">
    <w:abstractNumId w:val="7"/>
  </w:num>
  <w:num w:numId="11">
    <w:abstractNumId w:val="12"/>
  </w:num>
  <w:num w:numId="12">
    <w:abstractNumId w:val="15"/>
  </w:num>
  <w:num w:numId="13">
    <w:abstractNumId w:val="1"/>
  </w:num>
  <w:num w:numId="14">
    <w:abstractNumId w:val="18"/>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8"/>
  </w:num>
  <w:num w:numId="18">
    <w:abstractNumId w:val="3"/>
  </w:num>
  <w:num w:numId="19">
    <w:abstractNumId w:val="14"/>
  </w:num>
  <w:num w:numId="20">
    <w:abstractNumId w:val="6"/>
  </w:num>
  <w:num w:numId="21">
    <w:abstractNumId w:val="1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hyphenationZone w:val="425"/>
  <w:noPunctuationKerning/>
  <w:characterSpacingControl w:val="doNotCompress"/>
  <w:hdrShapeDefaults>
    <o:shapedefaults v:ext="edit" spidmax="8194"/>
  </w:hdrShapeDefaults>
  <w:footnotePr>
    <w:footnote w:id="-1"/>
    <w:footnote w:id="0"/>
  </w:footnotePr>
  <w:endnotePr>
    <w:endnote w:id="-1"/>
    <w:endnote w:id="0"/>
  </w:endnotePr>
  <w:compat/>
  <w:rsids>
    <w:rsidRoot w:val="00825240"/>
    <w:rsid w:val="00001EB0"/>
    <w:rsid w:val="000022FD"/>
    <w:rsid w:val="0000652C"/>
    <w:rsid w:val="00006D90"/>
    <w:rsid w:val="00006F64"/>
    <w:rsid w:val="000104A3"/>
    <w:rsid w:val="000116C4"/>
    <w:rsid w:val="0001381B"/>
    <w:rsid w:val="000236BC"/>
    <w:rsid w:val="00024884"/>
    <w:rsid w:val="00027A66"/>
    <w:rsid w:val="00031BA7"/>
    <w:rsid w:val="000334FF"/>
    <w:rsid w:val="00035F84"/>
    <w:rsid w:val="0003629C"/>
    <w:rsid w:val="00040077"/>
    <w:rsid w:val="00040226"/>
    <w:rsid w:val="000404E5"/>
    <w:rsid w:val="00044EBB"/>
    <w:rsid w:val="0004514B"/>
    <w:rsid w:val="0004638D"/>
    <w:rsid w:val="00054BA6"/>
    <w:rsid w:val="00054F03"/>
    <w:rsid w:val="00055154"/>
    <w:rsid w:val="00057AD1"/>
    <w:rsid w:val="000606BA"/>
    <w:rsid w:val="00061274"/>
    <w:rsid w:val="00064953"/>
    <w:rsid w:val="00064B10"/>
    <w:rsid w:val="00064DB0"/>
    <w:rsid w:val="00066107"/>
    <w:rsid w:val="0007222D"/>
    <w:rsid w:val="00075112"/>
    <w:rsid w:val="00075540"/>
    <w:rsid w:val="00075A2E"/>
    <w:rsid w:val="00076AD8"/>
    <w:rsid w:val="00077F3D"/>
    <w:rsid w:val="0008081E"/>
    <w:rsid w:val="00080FDB"/>
    <w:rsid w:val="00083107"/>
    <w:rsid w:val="0008329C"/>
    <w:rsid w:val="00084E4B"/>
    <w:rsid w:val="00085D1A"/>
    <w:rsid w:val="000905C1"/>
    <w:rsid w:val="0009334D"/>
    <w:rsid w:val="0009480F"/>
    <w:rsid w:val="00095E1D"/>
    <w:rsid w:val="00097E64"/>
    <w:rsid w:val="000A55FE"/>
    <w:rsid w:val="000A5709"/>
    <w:rsid w:val="000A5D8A"/>
    <w:rsid w:val="000A76E9"/>
    <w:rsid w:val="000A78B0"/>
    <w:rsid w:val="000B07CC"/>
    <w:rsid w:val="000B1EDC"/>
    <w:rsid w:val="000B3D94"/>
    <w:rsid w:val="000B400C"/>
    <w:rsid w:val="000B53FB"/>
    <w:rsid w:val="000C2BE3"/>
    <w:rsid w:val="000C39E6"/>
    <w:rsid w:val="000C3FDD"/>
    <w:rsid w:val="000D159C"/>
    <w:rsid w:val="000D1D40"/>
    <w:rsid w:val="000D223F"/>
    <w:rsid w:val="000D3CAF"/>
    <w:rsid w:val="000D76FD"/>
    <w:rsid w:val="000E0056"/>
    <w:rsid w:val="000E02CF"/>
    <w:rsid w:val="000E15BD"/>
    <w:rsid w:val="000E258A"/>
    <w:rsid w:val="000E4282"/>
    <w:rsid w:val="000E459C"/>
    <w:rsid w:val="000E78A6"/>
    <w:rsid w:val="000F10FC"/>
    <w:rsid w:val="000F1D77"/>
    <w:rsid w:val="000F229C"/>
    <w:rsid w:val="000F25FD"/>
    <w:rsid w:val="000F3866"/>
    <w:rsid w:val="00101157"/>
    <w:rsid w:val="00105B0D"/>
    <w:rsid w:val="0010686E"/>
    <w:rsid w:val="00106BE2"/>
    <w:rsid w:val="001070EE"/>
    <w:rsid w:val="00110793"/>
    <w:rsid w:val="00113F5F"/>
    <w:rsid w:val="00114E3E"/>
    <w:rsid w:val="00115DD7"/>
    <w:rsid w:val="00117EC9"/>
    <w:rsid w:val="00120B7C"/>
    <w:rsid w:val="00122C2B"/>
    <w:rsid w:val="001248BE"/>
    <w:rsid w:val="00125A18"/>
    <w:rsid w:val="00125C74"/>
    <w:rsid w:val="00131894"/>
    <w:rsid w:val="00132CA4"/>
    <w:rsid w:val="00133586"/>
    <w:rsid w:val="0013582B"/>
    <w:rsid w:val="001358A0"/>
    <w:rsid w:val="001376B0"/>
    <w:rsid w:val="0013789B"/>
    <w:rsid w:val="001422DE"/>
    <w:rsid w:val="00142D09"/>
    <w:rsid w:val="00146052"/>
    <w:rsid w:val="00151F48"/>
    <w:rsid w:val="00156275"/>
    <w:rsid w:val="00156ADE"/>
    <w:rsid w:val="00160E20"/>
    <w:rsid w:val="00161F37"/>
    <w:rsid w:val="0016214B"/>
    <w:rsid w:val="001626E9"/>
    <w:rsid w:val="001650D1"/>
    <w:rsid w:val="00171A45"/>
    <w:rsid w:val="0017204D"/>
    <w:rsid w:val="0017263A"/>
    <w:rsid w:val="00174E34"/>
    <w:rsid w:val="00175685"/>
    <w:rsid w:val="0018187D"/>
    <w:rsid w:val="001830B8"/>
    <w:rsid w:val="00183AC4"/>
    <w:rsid w:val="00183DBE"/>
    <w:rsid w:val="00183F17"/>
    <w:rsid w:val="00184A24"/>
    <w:rsid w:val="00187470"/>
    <w:rsid w:val="0019375C"/>
    <w:rsid w:val="001942D6"/>
    <w:rsid w:val="00195D53"/>
    <w:rsid w:val="00197182"/>
    <w:rsid w:val="001A1391"/>
    <w:rsid w:val="001A2C61"/>
    <w:rsid w:val="001B1D6F"/>
    <w:rsid w:val="001C18CF"/>
    <w:rsid w:val="001C6FC8"/>
    <w:rsid w:val="001D0428"/>
    <w:rsid w:val="001D50EF"/>
    <w:rsid w:val="001D57F9"/>
    <w:rsid w:val="001D62C0"/>
    <w:rsid w:val="001D7DE8"/>
    <w:rsid w:val="001E098C"/>
    <w:rsid w:val="001E461F"/>
    <w:rsid w:val="001E47B8"/>
    <w:rsid w:val="001E4B19"/>
    <w:rsid w:val="001E7DF5"/>
    <w:rsid w:val="001F0EBB"/>
    <w:rsid w:val="001F1B95"/>
    <w:rsid w:val="001F3078"/>
    <w:rsid w:val="001F3300"/>
    <w:rsid w:val="001F5477"/>
    <w:rsid w:val="001F5CB3"/>
    <w:rsid w:val="001F5D95"/>
    <w:rsid w:val="00201930"/>
    <w:rsid w:val="00202090"/>
    <w:rsid w:val="00202AC3"/>
    <w:rsid w:val="00203E83"/>
    <w:rsid w:val="00207622"/>
    <w:rsid w:val="00210AE6"/>
    <w:rsid w:val="00210C83"/>
    <w:rsid w:val="002121A7"/>
    <w:rsid w:val="00213E69"/>
    <w:rsid w:val="002141EA"/>
    <w:rsid w:val="00215512"/>
    <w:rsid w:val="00221867"/>
    <w:rsid w:val="00225388"/>
    <w:rsid w:val="0022605F"/>
    <w:rsid w:val="0022673D"/>
    <w:rsid w:val="002357CB"/>
    <w:rsid w:val="002369F0"/>
    <w:rsid w:val="0024051D"/>
    <w:rsid w:val="00240E87"/>
    <w:rsid w:val="00241129"/>
    <w:rsid w:val="00241C70"/>
    <w:rsid w:val="00242891"/>
    <w:rsid w:val="00242BF0"/>
    <w:rsid w:val="0024660E"/>
    <w:rsid w:val="002509B3"/>
    <w:rsid w:val="00251ED5"/>
    <w:rsid w:val="00252828"/>
    <w:rsid w:val="00253D9E"/>
    <w:rsid w:val="00253F30"/>
    <w:rsid w:val="002546F9"/>
    <w:rsid w:val="00257D00"/>
    <w:rsid w:val="00257F06"/>
    <w:rsid w:val="0026051A"/>
    <w:rsid w:val="002708EC"/>
    <w:rsid w:val="002718F6"/>
    <w:rsid w:val="0027198B"/>
    <w:rsid w:val="00276588"/>
    <w:rsid w:val="00280DA1"/>
    <w:rsid w:val="00281699"/>
    <w:rsid w:val="00282EA0"/>
    <w:rsid w:val="00284030"/>
    <w:rsid w:val="002846E6"/>
    <w:rsid w:val="002855D3"/>
    <w:rsid w:val="002870C5"/>
    <w:rsid w:val="00290724"/>
    <w:rsid w:val="00292947"/>
    <w:rsid w:val="00293EFC"/>
    <w:rsid w:val="002A0364"/>
    <w:rsid w:val="002A1347"/>
    <w:rsid w:val="002A213D"/>
    <w:rsid w:val="002A2B82"/>
    <w:rsid w:val="002A33AD"/>
    <w:rsid w:val="002A59C5"/>
    <w:rsid w:val="002A6657"/>
    <w:rsid w:val="002B1861"/>
    <w:rsid w:val="002B24C9"/>
    <w:rsid w:val="002B565A"/>
    <w:rsid w:val="002B6DDB"/>
    <w:rsid w:val="002C08A2"/>
    <w:rsid w:val="002C0FEC"/>
    <w:rsid w:val="002C1B5C"/>
    <w:rsid w:val="002C1E0D"/>
    <w:rsid w:val="002C3A5B"/>
    <w:rsid w:val="002D1114"/>
    <w:rsid w:val="002D4186"/>
    <w:rsid w:val="002D54BF"/>
    <w:rsid w:val="002D7B4C"/>
    <w:rsid w:val="002E2533"/>
    <w:rsid w:val="002E3229"/>
    <w:rsid w:val="002E3951"/>
    <w:rsid w:val="002E5B2D"/>
    <w:rsid w:val="002E7114"/>
    <w:rsid w:val="002F07D3"/>
    <w:rsid w:val="002F0E8F"/>
    <w:rsid w:val="00300C8C"/>
    <w:rsid w:val="0030586B"/>
    <w:rsid w:val="003129C6"/>
    <w:rsid w:val="00312BA2"/>
    <w:rsid w:val="003166F8"/>
    <w:rsid w:val="00317417"/>
    <w:rsid w:val="00322394"/>
    <w:rsid w:val="00322EEB"/>
    <w:rsid w:val="00323C4A"/>
    <w:rsid w:val="00327EB8"/>
    <w:rsid w:val="00332B57"/>
    <w:rsid w:val="00333242"/>
    <w:rsid w:val="00337C33"/>
    <w:rsid w:val="00340667"/>
    <w:rsid w:val="00344947"/>
    <w:rsid w:val="0034528F"/>
    <w:rsid w:val="003455BE"/>
    <w:rsid w:val="0034596A"/>
    <w:rsid w:val="0034752C"/>
    <w:rsid w:val="00356388"/>
    <w:rsid w:val="00356D7D"/>
    <w:rsid w:val="0036033D"/>
    <w:rsid w:val="00363527"/>
    <w:rsid w:val="00364A06"/>
    <w:rsid w:val="00366E9A"/>
    <w:rsid w:val="00375150"/>
    <w:rsid w:val="003766D9"/>
    <w:rsid w:val="00376A27"/>
    <w:rsid w:val="003778F8"/>
    <w:rsid w:val="00377C15"/>
    <w:rsid w:val="003811CC"/>
    <w:rsid w:val="00383DA2"/>
    <w:rsid w:val="00385324"/>
    <w:rsid w:val="00385875"/>
    <w:rsid w:val="00387F7A"/>
    <w:rsid w:val="00387F98"/>
    <w:rsid w:val="00390C81"/>
    <w:rsid w:val="003923DD"/>
    <w:rsid w:val="00394B6D"/>
    <w:rsid w:val="003952E3"/>
    <w:rsid w:val="0039588D"/>
    <w:rsid w:val="003960A5"/>
    <w:rsid w:val="00397AEA"/>
    <w:rsid w:val="003A0BBC"/>
    <w:rsid w:val="003A1AC6"/>
    <w:rsid w:val="003A28F4"/>
    <w:rsid w:val="003A6738"/>
    <w:rsid w:val="003B2FDD"/>
    <w:rsid w:val="003B5601"/>
    <w:rsid w:val="003B576D"/>
    <w:rsid w:val="003B6B1E"/>
    <w:rsid w:val="003B6E71"/>
    <w:rsid w:val="003C299C"/>
    <w:rsid w:val="003C5E9C"/>
    <w:rsid w:val="003D2F09"/>
    <w:rsid w:val="003D66D3"/>
    <w:rsid w:val="003D7059"/>
    <w:rsid w:val="003D7DEA"/>
    <w:rsid w:val="003E1A11"/>
    <w:rsid w:val="003F0D17"/>
    <w:rsid w:val="003F5A76"/>
    <w:rsid w:val="003F6036"/>
    <w:rsid w:val="003F60B0"/>
    <w:rsid w:val="003F690C"/>
    <w:rsid w:val="003F6FCA"/>
    <w:rsid w:val="00401F9C"/>
    <w:rsid w:val="00403BB7"/>
    <w:rsid w:val="00403CE6"/>
    <w:rsid w:val="00403D11"/>
    <w:rsid w:val="004065A8"/>
    <w:rsid w:val="00406789"/>
    <w:rsid w:val="00411BD2"/>
    <w:rsid w:val="00412F3E"/>
    <w:rsid w:val="00412F6D"/>
    <w:rsid w:val="00413236"/>
    <w:rsid w:val="00413BF4"/>
    <w:rsid w:val="004140EC"/>
    <w:rsid w:val="004156BD"/>
    <w:rsid w:val="00417245"/>
    <w:rsid w:val="0042009D"/>
    <w:rsid w:val="00420D4E"/>
    <w:rsid w:val="0042111B"/>
    <w:rsid w:val="00421A08"/>
    <w:rsid w:val="0042451B"/>
    <w:rsid w:val="00425428"/>
    <w:rsid w:val="004260A7"/>
    <w:rsid w:val="00426608"/>
    <w:rsid w:val="00426BA3"/>
    <w:rsid w:val="00426FFC"/>
    <w:rsid w:val="00427986"/>
    <w:rsid w:val="004300F6"/>
    <w:rsid w:val="00430A01"/>
    <w:rsid w:val="00432E4B"/>
    <w:rsid w:val="00433905"/>
    <w:rsid w:val="0043609B"/>
    <w:rsid w:val="00436FF5"/>
    <w:rsid w:val="004409BC"/>
    <w:rsid w:val="00440B06"/>
    <w:rsid w:val="00440CF6"/>
    <w:rsid w:val="004412A3"/>
    <w:rsid w:val="004422DD"/>
    <w:rsid w:val="004451A7"/>
    <w:rsid w:val="0044559F"/>
    <w:rsid w:val="004466AE"/>
    <w:rsid w:val="00446808"/>
    <w:rsid w:val="00446CFF"/>
    <w:rsid w:val="004470D0"/>
    <w:rsid w:val="00451E8C"/>
    <w:rsid w:val="00453CDA"/>
    <w:rsid w:val="00456C1B"/>
    <w:rsid w:val="00457D77"/>
    <w:rsid w:val="004602F7"/>
    <w:rsid w:val="00460CD0"/>
    <w:rsid w:val="00460DAD"/>
    <w:rsid w:val="004611FC"/>
    <w:rsid w:val="00461DC8"/>
    <w:rsid w:val="004620C3"/>
    <w:rsid w:val="0046555B"/>
    <w:rsid w:val="00465B01"/>
    <w:rsid w:val="00465C6C"/>
    <w:rsid w:val="00465F72"/>
    <w:rsid w:val="0046629F"/>
    <w:rsid w:val="004664FE"/>
    <w:rsid w:val="00466936"/>
    <w:rsid w:val="00472371"/>
    <w:rsid w:val="00477788"/>
    <w:rsid w:val="00481D6D"/>
    <w:rsid w:val="004842AE"/>
    <w:rsid w:val="00485565"/>
    <w:rsid w:val="00485F8F"/>
    <w:rsid w:val="00486191"/>
    <w:rsid w:val="0048798D"/>
    <w:rsid w:val="00493C0A"/>
    <w:rsid w:val="004947FD"/>
    <w:rsid w:val="00494871"/>
    <w:rsid w:val="00494CE0"/>
    <w:rsid w:val="004975E7"/>
    <w:rsid w:val="004A25EE"/>
    <w:rsid w:val="004A3528"/>
    <w:rsid w:val="004A6211"/>
    <w:rsid w:val="004B166E"/>
    <w:rsid w:val="004B3A9E"/>
    <w:rsid w:val="004B46D6"/>
    <w:rsid w:val="004B732A"/>
    <w:rsid w:val="004B79AF"/>
    <w:rsid w:val="004C0D61"/>
    <w:rsid w:val="004C179F"/>
    <w:rsid w:val="004C7C28"/>
    <w:rsid w:val="004D06B1"/>
    <w:rsid w:val="004D1A7D"/>
    <w:rsid w:val="004D3095"/>
    <w:rsid w:val="004D5935"/>
    <w:rsid w:val="004D59BF"/>
    <w:rsid w:val="004D6325"/>
    <w:rsid w:val="004D68B9"/>
    <w:rsid w:val="004E0F68"/>
    <w:rsid w:val="004E1904"/>
    <w:rsid w:val="004E2B37"/>
    <w:rsid w:val="004E41A3"/>
    <w:rsid w:val="004E4BEF"/>
    <w:rsid w:val="004E4F0F"/>
    <w:rsid w:val="004E565B"/>
    <w:rsid w:val="004E63CF"/>
    <w:rsid w:val="004E6A02"/>
    <w:rsid w:val="004F083D"/>
    <w:rsid w:val="004F2F91"/>
    <w:rsid w:val="004F3FDF"/>
    <w:rsid w:val="00500936"/>
    <w:rsid w:val="0050143E"/>
    <w:rsid w:val="00502485"/>
    <w:rsid w:val="00507572"/>
    <w:rsid w:val="005105D6"/>
    <w:rsid w:val="005116CD"/>
    <w:rsid w:val="005133EB"/>
    <w:rsid w:val="005149FD"/>
    <w:rsid w:val="005176CB"/>
    <w:rsid w:val="00520005"/>
    <w:rsid w:val="00520FC1"/>
    <w:rsid w:val="00521426"/>
    <w:rsid w:val="005215BB"/>
    <w:rsid w:val="0052299B"/>
    <w:rsid w:val="00522CE2"/>
    <w:rsid w:val="0052604E"/>
    <w:rsid w:val="0053646B"/>
    <w:rsid w:val="005436A5"/>
    <w:rsid w:val="005528FD"/>
    <w:rsid w:val="005541B3"/>
    <w:rsid w:val="00555515"/>
    <w:rsid w:val="00555B5B"/>
    <w:rsid w:val="00560639"/>
    <w:rsid w:val="005617FD"/>
    <w:rsid w:val="00563DDF"/>
    <w:rsid w:val="005665AE"/>
    <w:rsid w:val="00571BB3"/>
    <w:rsid w:val="00572171"/>
    <w:rsid w:val="0057290A"/>
    <w:rsid w:val="00573073"/>
    <w:rsid w:val="00580437"/>
    <w:rsid w:val="00580D72"/>
    <w:rsid w:val="00581BC7"/>
    <w:rsid w:val="00584E92"/>
    <w:rsid w:val="0059006A"/>
    <w:rsid w:val="00590A48"/>
    <w:rsid w:val="005932B8"/>
    <w:rsid w:val="00593770"/>
    <w:rsid w:val="005952D8"/>
    <w:rsid w:val="00595454"/>
    <w:rsid w:val="0059747B"/>
    <w:rsid w:val="005A1792"/>
    <w:rsid w:val="005A1AF1"/>
    <w:rsid w:val="005A1E18"/>
    <w:rsid w:val="005A203D"/>
    <w:rsid w:val="005A308A"/>
    <w:rsid w:val="005A3A62"/>
    <w:rsid w:val="005A48B4"/>
    <w:rsid w:val="005A51C7"/>
    <w:rsid w:val="005A5389"/>
    <w:rsid w:val="005A5D25"/>
    <w:rsid w:val="005B03B6"/>
    <w:rsid w:val="005B13BE"/>
    <w:rsid w:val="005B6083"/>
    <w:rsid w:val="005C0B69"/>
    <w:rsid w:val="005C1005"/>
    <w:rsid w:val="005C291F"/>
    <w:rsid w:val="005C38B0"/>
    <w:rsid w:val="005C49D2"/>
    <w:rsid w:val="005C69B5"/>
    <w:rsid w:val="005C79B9"/>
    <w:rsid w:val="005D22F4"/>
    <w:rsid w:val="005D379B"/>
    <w:rsid w:val="005D5D6C"/>
    <w:rsid w:val="005E269B"/>
    <w:rsid w:val="005E2D3E"/>
    <w:rsid w:val="005E73EF"/>
    <w:rsid w:val="005E7C34"/>
    <w:rsid w:val="005F2B22"/>
    <w:rsid w:val="005F5B1E"/>
    <w:rsid w:val="00604694"/>
    <w:rsid w:val="00604B10"/>
    <w:rsid w:val="00611B1E"/>
    <w:rsid w:val="00620F3A"/>
    <w:rsid w:val="006227EA"/>
    <w:rsid w:val="00622B7A"/>
    <w:rsid w:val="00624943"/>
    <w:rsid w:val="00624E08"/>
    <w:rsid w:val="006319B0"/>
    <w:rsid w:val="00634E26"/>
    <w:rsid w:val="006367B5"/>
    <w:rsid w:val="0063725F"/>
    <w:rsid w:val="00641506"/>
    <w:rsid w:val="00647053"/>
    <w:rsid w:val="0064706D"/>
    <w:rsid w:val="00650DED"/>
    <w:rsid w:val="00651146"/>
    <w:rsid w:val="00652679"/>
    <w:rsid w:val="0065623F"/>
    <w:rsid w:val="006575F4"/>
    <w:rsid w:val="0066131F"/>
    <w:rsid w:val="0066513F"/>
    <w:rsid w:val="0066720D"/>
    <w:rsid w:val="0067022B"/>
    <w:rsid w:val="006711A2"/>
    <w:rsid w:val="00671D45"/>
    <w:rsid w:val="00674B3A"/>
    <w:rsid w:val="00676780"/>
    <w:rsid w:val="00676B9D"/>
    <w:rsid w:val="00677757"/>
    <w:rsid w:val="006804C7"/>
    <w:rsid w:val="00680982"/>
    <w:rsid w:val="00680EFA"/>
    <w:rsid w:val="00682A1D"/>
    <w:rsid w:val="0068342E"/>
    <w:rsid w:val="00684C51"/>
    <w:rsid w:val="00684CE9"/>
    <w:rsid w:val="00690AE2"/>
    <w:rsid w:val="00691F7A"/>
    <w:rsid w:val="00692B20"/>
    <w:rsid w:val="00692BA0"/>
    <w:rsid w:val="00697F15"/>
    <w:rsid w:val="006A10EE"/>
    <w:rsid w:val="006A3AFF"/>
    <w:rsid w:val="006A3FFD"/>
    <w:rsid w:val="006A658B"/>
    <w:rsid w:val="006B245F"/>
    <w:rsid w:val="006B34DB"/>
    <w:rsid w:val="006B6B79"/>
    <w:rsid w:val="006C67A7"/>
    <w:rsid w:val="006C6AD6"/>
    <w:rsid w:val="006C7B38"/>
    <w:rsid w:val="006D0589"/>
    <w:rsid w:val="006D1BD4"/>
    <w:rsid w:val="006D3311"/>
    <w:rsid w:val="006D340A"/>
    <w:rsid w:val="006D48E6"/>
    <w:rsid w:val="006D4908"/>
    <w:rsid w:val="006D5189"/>
    <w:rsid w:val="006D6403"/>
    <w:rsid w:val="006E0532"/>
    <w:rsid w:val="006E1ACB"/>
    <w:rsid w:val="006E396A"/>
    <w:rsid w:val="006E3A13"/>
    <w:rsid w:val="006F29D1"/>
    <w:rsid w:val="006F330B"/>
    <w:rsid w:val="006F44D4"/>
    <w:rsid w:val="006F4B88"/>
    <w:rsid w:val="006F675B"/>
    <w:rsid w:val="00702634"/>
    <w:rsid w:val="00704C14"/>
    <w:rsid w:val="0070538C"/>
    <w:rsid w:val="00706128"/>
    <w:rsid w:val="007072ED"/>
    <w:rsid w:val="00710019"/>
    <w:rsid w:val="007105BF"/>
    <w:rsid w:val="00711740"/>
    <w:rsid w:val="00713939"/>
    <w:rsid w:val="00713ABA"/>
    <w:rsid w:val="00714E4B"/>
    <w:rsid w:val="007179E9"/>
    <w:rsid w:val="0072026C"/>
    <w:rsid w:val="0072096C"/>
    <w:rsid w:val="00726D25"/>
    <w:rsid w:val="00727CA1"/>
    <w:rsid w:val="00730BEE"/>
    <w:rsid w:val="0073194B"/>
    <w:rsid w:val="00732FE6"/>
    <w:rsid w:val="0073443F"/>
    <w:rsid w:val="0073542E"/>
    <w:rsid w:val="00740480"/>
    <w:rsid w:val="00740D37"/>
    <w:rsid w:val="00742081"/>
    <w:rsid w:val="00743394"/>
    <w:rsid w:val="00747D1C"/>
    <w:rsid w:val="00750B65"/>
    <w:rsid w:val="00754DDF"/>
    <w:rsid w:val="00760141"/>
    <w:rsid w:val="007614E3"/>
    <w:rsid w:val="007630CE"/>
    <w:rsid w:val="007664ED"/>
    <w:rsid w:val="00770BC4"/>
    <w:rsid w:val="00771FD6"/>
    <w:rsid w:val="007721E7"/>
    <w:rsid w:val="007725AB"/>
    <w:rsid w:val="007725EC"/>
    <w:rsid w:val="00772DB9"/>
    <w:rsid w:val="00775F45"/>
    <w:rsid w:val="0077659D"/>
    <w:rsid w:val="0077710A"/>
    <w:rsid w:val="007778C9"/>
    <w:rsid w:val="00780161"/>
    <w:rsid w:val="00781378"/>
    <w:rsid w:val="007829E2"/>
    <w:rsid w:val="00782A26"/>
    <w:rsid w:val="0078495C"/>
    <w:rsid w:val="00787DAB"/>
    <w:rsid w:val="007902BE"/>
    <w:rsid w:val="007916A2"/>
    <w:rsid w:val="007963BF"/>
    <w:rsid w:val="00797DAC"/>
    <w:rsid w:val="007A00B8"/>
    <w:rsid w:val="007A2588"/>
    <w:rsid w:val="007A311C"/>
    <w:rsid w:val="007A5B49"/>
    <w:rsid w:val="007B1346"/>
    <w:rsid w:val="007B16AB"/>
    <w:rsid w:val="007B3F95"/>
    <w:rsid w:val="007B5F55"/>
    <w:rsid w:val="007B70D8"/>
    <w:rsid w:val="007C0911"/>
    <w:rsid w:val="007C4496"/>
    <w:rsid w:val="007C4647"/>
    <w:rsid w:val="007C68B9"/>
    <w:rsid w:val="007C6CFE"/>
    <w:rsid w:val="007C7E22"/>
    <w:rsid w:val="007D00F9"/>
    <w:rsid w:val="007D01AC"/>
    <w:rsid w:val="007D272F"/>
    <w:rsid w:val="007D4572"/>
    <w:rsid w:val="007D6771"/>
    <w:rsid w:val="007D6908"/>
    <w:rsid w:val="007D7186"/>
    <w:rsid w:val="007E0F59"/>
    <w:rsid w:val="007E220D"/>
    <w:rsid w:val="007E2C32"/>
    <w:rsid w:val="007E2DA2"/>
    <w:rsid w:val="007E5940"/>
    <w:rsid w:val="007E6541"/>
    <w:rsid w:val="007E6A6D"/>
    <w:rsid w:val="007F0240"/>
    <w:rsid w:val="007F0BC4"/>
    <w:rsid w:val="007F1FCF"/>
    <w:rsid w:val="007F2C53"/>
    <w:rsid w:val="007F30F1"/>
    <w:rsid w:val="007F38CA"/>
    <w:rsid w:val="007F3979"/>
    <w:rsid w:val="007F4BEB"/>
    <w:rsid w:val="007F5086"/>
    <w:rsid w:val="007F52CF"/>
    <w:rsid w:val="007F5951"/>
    <w:rsid w:val="00804169"/>
    <w:rsid w:val="008065D4"/>
    <w:rsid w:val="00807341"/>
    <w:rsid w:val="0081159E"/>
    <w:rsid w:val="00812580"/>
    <w:rsid w:val="00814806"/>
    <w:rsid w:val="00815D4C"/>
    <w:rsid w:val="00816287"/>
    <w:rsid w:val="00816BB9"/>
    <w:rsid w:val="00820D0B"/>
    <w:rsid w:val="00821503"/>
    <w:rsid w:val="00825240"/>
    <w:rsid w:val="008321DA"/>
    <w:rsid w:val="00832A12"/>
    <w:rsid w:val="008341D5"/>
    <w:rsid w:val="00840DC7"/>
    <w:rsid w:val="00840DCD"/>
    <w:rsid w:val="00841F3E"/>
    <w:rsid w:val="00842076"/>
    <w:rsid w:val="008425B7"/>
    <w:rsid w:val="00842C96"/>
    <w:rsid w:val="00844E39"/>
    <w:rsid w:val="0084580C"/>
    <w:rsid w:val="0084626E"/>
    <w:rsid w:val="00850534"/>
    <w:rsid w:val="00850E69"/>
    <w:rsid w:val="008574B9"/>
    <w:rsid w:val="008600F2"/>
    <w:rsid w:val="008619C1"/>
    <w:rsid w:val="00863DCC"/>
    <w:rsid w:val="008646CD"/>
    <w:rsid w:val="00864B67"/>
    <w:rsid w:val="00866092"/>
    <w:rsid w:val="00871274"/>
    <w:rsid w:val="00873417"/>
    <w:rsid w:val="00873ADB"/>
    <w:rsid w:val="00874D6F"/>
    <w:rsid w:val="0087593C"/>
    <w:rsid w:val="00880227"/>
    <w:rsid w:val="00881B88"/>
    <w:rsid w:val="00887E5F"/>
    <w:rsid w:val="00891222"/>
    <w:rsid w:val="0089380B"/>
    <w:rsid w:val="00895CC5"/>
    <w:rsid w:val="008963FF"/>
    <w:rsid w:val="0089647A"/>
    <w:rsid w:val="008965F1"/>
    <w:rsid w:val="008A0457"/>
    <w:rsid w:val="008A1543"/>
    <w:rsid w:val="008A6DBD"/>
    <w:rsid w:val="008A7470"/>
    <w:rsid w:val="008B0176"/>
    <w:rsid w:val="008B3AE5"/>
    <w:rsid w:val="008B53B7"/>
    <w:rsid w:val="008B5B00"/>
    <w:rsid w:val="008B5F97"/>
    <w:rsid w:val="008C07C2"/>
    <w:rsid w:val="008C0CB8"/>
    <w:rsid w:val="008C2F35"/>
    <w:rsid w:val="008C4911"/>
    <w:rsid w:val="008C6CE4"/>
    <w:rsid w:val="008C6F28"/>
    <w:rsid w:val="008D027E"/>
    <w:rsid w:val="008D0BE9"/>
    <w:rsid w:val="008D12D0"/>
    <w:rsid w:val="008D25F4"/>
    <w:rsid w:val="008D26F3"/>
    <w:rsid w:val="008D4F52"/>
    <w:rsid w:val="008E028C"/>
    <w:rsid w:val="008E15A0"/>
    <w:rsid w:val="008E1763"/>
    <w:rsid w:val="008E2267"/>
    <w:rsid w:val="008E26A4"/>
    <w:rsid w:val="008E5C78"/>
    <w:rsid w:val="008F070F"/>
    <w:rsid w:val="008F1BFC"/>
    <w:rsid w:val="008F6E08"/>
    <w:rsid w:val="009006E4"/>
    <w:rsid w:val="00904A33"/>
    <w:rsid w:val="00904B9C"/>
    <w:rsid w:val="00904BC9"/>
    <w:rsid w:val="009055AF"/>
    <w:rsid w:val="00905F9E"/>
    <w:rsid w:val="0090763A"/>
    <w:rsid w:val="00910028"/>
    <w:rsid w:val="009124FE"/>
    <w:rsid w:val="00914899"/>
    <w:rsid w:val="00915965"/>
    <w:rsid w:val="00915BBA"/>
    <w:rsid w:val="00916062"/>
    <w:rsid w:val="00916E99"/>
    <w:rsid w:val="00922B67"/>
    <w:rsid w:val="00923676"/>
    <w:rsid w:val="00923A33"/>
    <w:rsid w:val="00925E19"/>
    <w:rsid w:val="00926C4C"/>
    <w:rsid w:val="009274D4"/>
    <w:rsid w:val="00927E06"/>
    <w:rsid w:val="009300C6"/>
    <w:rsid w:val="0093021E"/>
    <w:rsid w:val="009325E8"/>
    <w:rsid w:val="00932611"/>
    <w:rsid w:val="00934020"/>
    <w:rsid w:val="009340B8"/>
    <w:rsid w:val="0093644D"/>
    <w:rsid w:val="00940140"/>
    <w:rsid w:val="00942942"/>
    <w:rsid w:val="009431DA"/>
    <w:rsid w:val="00943763"/>
    <w:rsid w:val="00945AC2"/>
    <w:rsid w:val="009470D5"/>
    <w:rsid w:val="00947BAB"/>
    <w:rsid w:val="00947ED1"/>
    <w:rsid w:val="00950092"/>
    <w:rsid w:val="00950213"/>
    <w:rsid w:val="00950461"/>
    <w:rsid w:val="0095099D"/>
    <w:rsid w:val="009521D5"/>
    <w:rsid w:val="00952AFF"/>
    <w:rsid w:val="00953EBB"/>
    <w:rsid w:val="009554CD"/>
    <w:rsid w:val="009554FB"/>
    <w:rsid w:val="009578BB"/>
    <w:rsid w:val="009627BF"/>
    <w:rsid w:val="009628FC"/>
    <w:rsid w:val="00962C6D"/>
    <w:rsid w:val="00965C72"/>
    <w:rsid w:val="00965EB6"/>
    <w:rsid w:val="00971390"/>
    <w:rsid w:val="009719CD"/>
    <w:rsid w:val="00971BBF"/>
    <w:rsid w:val="00972442"/>
    <w:rsid w:val="009758BB"/>
    <w:rsid w:val="009812D8"/>
    <w:rsid w:val="00981B1B"/>
    <w:rsid w:val="009833BA"/>
    <w:rsid w:val="0098485E"/>
    <w:rsid w:val="00987E89"/>
    <w:rsid w:val="00991885"/>
    <w:rsid w:val="00994E1A"/>
    <w:rsid w:val="00997791"/>
    <w:rsid w:val="009A11ED"/>
    <w:rsid w:val="009A2036"/>
    <w:rsid w:val="009A6373"/>
    <w:rsid w:val="009A78FA"/>
    <w:rsid w:val="009A7B03"/>
    <w:rsid w:val="009B135C"/>
    <w:rsid w:val="009B20E2"/>
    <w:rsid w:val="009B3434"/>
    <w:rsid w:val="009B37A7"/>
    <w:rsid w:val="009B454A"/>
    <w:rsid w:val="009B53E5"/>
    <w:rsid w:val="009C03E2"/>
    <w:rsid w:val="009C15D9"/>
    <w:rsid w:val="009C16DC"/>
    <w:rsid w:val="009C19E6"/>
    <w:rsid w:val="009C1BDE"/>
    <w:rsid w:val="009C21B6"/>
    <w:rsid w:val="009C273B"/>
    <w:rsid w:val="009C305C"/>
    <w:rsid w:val="009C4004"/>
    <w:rsid w:val="009C4CAA"/>
    <w:rsid w:val="009C74A2"/>
    <w:rsid w:val="009D122B"/>
    <w:rsid w:val="009D1BC6"/>
    <w:rsid w:val="009D63E9"/>
    <w:rsid w:val="009D6615"/>
    <w:rsid w:val="009E130E"/>
    <w:rsid w:val="009E42C2"/>
    <w:rsid w:val="009E49D2"/>
    <w:rsid w:val="009E558E"/>
    <w:rsid w:val="009E58E4"/>
    <w:rsid w:val="009E71FA"/>
    <w:rsid w:val="009F0ADD"/>
    <w:rsid w:val="009F19E5"/>
    <w:rsid w:val="009F1AF3"/>
    <w:rsid w:val="009F4DBA"/>
    <w:rsid w:val="009F68C4"/>
    <w:rsid w:val="00A00402"/>
    <w:rsid w:val="00A0088D"/>
    <w:rsid w:val="00A011EA"/>
    <w:rsid w:val="00A02D7B"/>
    <w:rsid w:val="00A03DA8"/>
    <w:rsid w:val="00A04D28"/>
    <w:rsid w:val="00A0647C"/>
    <w:rsid w:val="00A0760D"/>
    <w:rsid w:val="00A12B7F"/>
    <w:rsid w:val="00A14817"/>
    <w:rsid w:val="00A15267"/>
    <w:rsid w:val="00A15629"/>
    <w:rsid w:val="00A156A4"/>
    <w:rsid w:val="00A16EC8"/>
    <w:rsid w:val="00A1753B"/>
    <w:rsid w:val="00A20193"/>
    <w:rsid w:val="00A228D0"/>
    <w:rsid w:val="00A25A29"/>
    <w:rsid w:val="00A26774"/>
    <w:rsid w:val="00A26FC4"/>
    <w:rsid w:val="00A277D4"/>
    <w:rsid w:val="00A309DD"/>
    <w:rsid w:val="00A31322"/>
    <w:rsid w:val="00A32D8B"/>
    <w:rsid w:val="00A33305"/>
    <w:rsid w:val="00A36489"/>
    <w:rsid w:val="00A37F63"/>
    <w:rsid w:val="00A4088A"/>
    <w:rsid w:val="00A40A5E"/>
    <w:rsid w:val="00A43A0C"/>
    <w:rsid w:val="00A4483F"/>
    <w:rsid w:val="00A4513E"/>
    <w:rsid w:val="00A45414"/>
    <w:rsid w:val="00A457E1"/>
    <w:rsid w:val="00A4644B"/>
    <w:rsid w:val="00A5039F"/>
    <w:rsid w:val="00A510C3"/>
    <w:rsid w:val="00A56C84"/>
    <w:rsid w:val="00A579CA"/>
    <w:rsid w:val="00A57C49"/>
    <w:rsid w:val="00A60467"/>
    <w:rsid w:val="00A618B3"/>
    <w:rsid w:val="00A61A7E"/>
    <w:rsid w:val="00A62FA5"/>
    <w:rsid w:val="00A63081"/>
    <w:rsid w:val="00A63381"/>
    <w:rsid w:val="00A67CBE"/>
    <w:rsid w:val="00A7024A"/>
    <w:rsid w:val="00A702CE"/>
    <w:rsid w:val="00A71A64"/>
    <w:rsid w:val="00A71F37"/>
    <w:rsid w:val="00A72EFF"/>
    <w:rsid w:val="00A738A5"/>
    <w:rsid w:val="00A742FC"/>
    <w:rsid w:val="00A76201"/>
    <w:rsid w:val="00A778AF"/>
    <w:rsid w:val="00A77C90"/>
    <w:rsid w:val="00A8061E"/>
    <w:rsid w:val="00A81C19"/>
    <w:rsid w:val="00A81E63"/>
    <w:rsid w:val="00A83AEC"/>
    <w:rsid w:val="00A869DD"/>
    <w:rsid w:val="00A87E01"/>
    <w:rsid w:val="00A91AEE"/>
    <w:rsid w:val="00A94504"/>
    <w:rsid w:val="00AA0114"/>
    <w:rsid w:val="00AA140F"/>
    <w:rsid w:val="00AB1B80"/>
    <w:rsid w:val="00AB1C07"/>
    <w:rsid w:val="00AB1CFA"/>
    <w:rsid w:val="00AB30CC"/>
    <w:rsid w:val="00AB3F4C"/>
    <w:rsid w:val="00AB6045"/>
    <w:rsid w:val="00AB7DAB"/>
    <w:rsid w:val="00AC2F18"/>
    <w:rsid w:val="00AC3845"/>
    <w:rsid w:val="00AD0520"/>
    <w:rsid w:val="00AD0980"/>
    <w:rsid w:val="00AD3782"/>
    <w:rsid w:val="00AD71DB"/>
    <w:rsid w:val="00AE2518"/>
    <w:rsid w:val="00AE6D77"/>
    <w:rsid w:val="00AE7386"/>
    <w:rsid w:val="00AF1472"/>
    <w:rsid w:val="00AF57DE"/>
    <w:rsid w:val="00AF704A"/>
    <w:rsid w:val="00AF7A4E"/>
    <w:rsid w:val="00B10A20"/>
    <w:rsid w:val="00B10F03"/>
    <w:rsid w:val="00B1141D"/>
    <w:rsid w:val="00B12C92"/>
    <w:rsid w:val="00B1362A"/>
    <w:rsid w:val="00B13AEF"/>
    <w:rsid w:val="00B1421A"/>
    <w:rsid w:val="00B14B7E"/>
    <w:rsid w:val="00B155D1"/>
    <w:rsid w:val="00B15B8E"/>
    <w:rsid w:val="00B17064"/>
    <w:rsid w:val="00B212E4"/>
    <w:rsid w:val="00B21BA7"/>
    <w:rsid w:val="00B21CF7"/>
    <w:rsid w:val="00B22135"/>
    <w:rsid w:val="00B22349"/>
    <w:rsid w:val="00B23492"/>
    <w:rsid w:val="00B261C9"/>
    <w:rsid w:val="00B26A7A"/>
    <w:rsid w:val="00B2753B"/>
    <w:rsid w:val="00B314F7"/>
    <w:rsid w:val="00B356D4"/>
    <w:rsid w:val="00B357C4"/>
    <w:rsid w:val="00B37EC2"/>
    <w:rsid w:val="00B4600D"/>
    <w:rsid w:val="00B4783D"/>
    <w:rsid w:val="00B47BB9"/>
    <w:rsid w:val="00B5070B"/>
    <w:rsid w:val="00B5113D"/>
    <w:rsid w:val="00B51364"/>
    <w:rsid w:val="00B51D01"/>
    <w:rsid w:val="00B53E3E"/>
    <w:rsid w:val="00B554B2"/>
    <w:rsid w:val="00B56DBB"/>
    <w:rsid w:val="00B56E80"/>
    <w:rsid w:val="00B609BB"/>
    <w:rsid w:val="00B60D51"/>
    <w:rsid w:val="00B63055"/>
    <w:rsid w:val="00B63243"/>
    <w:rsid w:val="00B634F4"/>
    <w:rsid w:val="00B64482"/>
    <w:rsid w:val="00B6692D"/>
    <w:rsid w:val="00B70EF6"/>
    <w:rsid w:val="00B70F70"/>
    <w:rsid w:val="00B71B01"/>
    <w:rsid w:val="00B73F00"/>
    <w:rsid w:val="00B7481D"/>
    <w:rsid w:val="00B75024"/>
    <w:rsid w:val="00B753A3"/>
    <w:rsid w:val="00B76147"/>
    <w:rsid w:val="00B77425"/>
    <w:rsid w:val="00B8263B"/>
    <w:rsid w:val="00B82692"/>
    <w:rsid w:val="00B82959"/>
    <w:rsid w:val="00B833AC"/>
    <w:rsid w:val="00B84350"/>
    <w:rsid w:val="00B858FA"/>
    <w:rsid w:val="00B85A96"/>
    <w:rsid w:val="00B905EE"/>
    <w:rsid w:val="00B93DE0"/>
    <w:rsid w:val="00B94370"/>
    <w:rsid w:val="00B96AC3"/>
    <w:rsid w:val="00BA1D81"/>
    <w:rsid w:val="00BA24BE"/>
    <w:rsid w:val="00BA3B11"/>
    <w:rsid w:val="00BA501E"/>
    <w:rsid w:val="00BA6591"/>
    <w:rsid w:val="00BA6B2F"/>
    <w:rsid w:val="00BA6B89"/>
    <w:rsid w:val="00BA7695"/>
    <w:rsid w:val="00BB175D"/>
    <w:rsid w:val="00BB33B6"/>
    <w:rsid w:val="00BB37C5"/>
    <w:rsid w:val="00BB3F88"/>
    <w:rsid w:val="00BC1918"/>
    <w:rsid w:val="00BC28F6"/>
    <w:rsid w:val="00BC583D"/>
    <w:rsid w:val="00BC7C29"/>
    <w:rsid w:val="00BD1D5D"/>
    <w:rsid w:val="00BD2379"/>
    <w:rsid w:val="00BD41E2"/>
    <w:rsid w:val="00BD4896"/>
    <w:rsid w:val="00BD5867"/>
    <w:rsid w:val="00BD5F61"/>
    <w:rsid w:val="00BD7115"/>
    <w:rsid w:val="00BE0AA2"/>
    <w:rsid w:val="00BE5812"/>
    <w:rsid w:val="00BE75B8"/>
    <w:rsid w:val="00BE7A9C"/>
    <w:rsid w:val="00BF1669"/>
    <w:rsid w:val="00BF2333"/>
    <w:rsid w:val="00C016F9"/>
    <w:rsid w:val="00C0377D"/>
    <w:rsid w:val="00C048E3"/>
    <w:rsid w:val="00C05F4D"/>
    <w:rsid w:val="00C10A51"/>
    <w:rsid w:val="00C13242"/>
    <w:rsid w:val="00C142D9"/>
    <w:rsid w:val="00C209D9"/>
    <w:rsid w:val="00C20EF1"/>
    <w:rsid w:val="00C213D6"/>
    <w:rsid w:val="00C215D7"/>
    <w:rsid w:val="00C23F6F"/>
    <w:rsid w:val="00C254D7"/>
    <w:rsid w:val="00C25F80"/>
    <w:rsid w:val="00C272D5"/>
    <w:rsid w:val="00C30E70"/>
    <w:rsid w:val="00C33765"/>
    <w:rsid w:val="00C368BE"/>
    <w:rsid w:val="00C378DA"/>
    <w:rsid w:val="00C424CC"/>
    <w:rsid w:val="00C427A5"/>
    <w:rsid w:val="00C43698"/>
    <w:rsid w:val="00C4485C"/>
    <w:rsid w:val="00C45122"/>
    <w:rsid w:val="00C46DF0"/>
    <w:rsid w:val="00C53A79"/>
    <w:rsid w:val="00C5464A"/>
    <w:rsid w:val="00C61D1A"/>
    <w:rsid w:val="00C62F2F"/>
    <w:rsid w:val="00C6586F"/>
    <w:rsid w:val="00C65BF2"/>
    <w:rsid w:val="00C66B64"/>
    <w:rsid w:val="00C67713"/>
    <w:rsid w:val="00C678EB"/>
    <w:rsid w:val="00C72555"/>
    <w:rsid w:val="00C744BD"/>
    <w:rsid w:val="00C74C40"/>
    <w:rsid w:val="00C75267"/>
    <w:rsid w:val="00C86D0D"/>
    <w:rsid w:val="00C90811"/>
    <w:rsid w:val="00C9291F"/>
    <w:rsid w:val="00C93363"/>
    <w:rsid w:val="00C9382E"/>
    <w:rsid w:val="00C95377"/>
    <w:rsid w:val="00C95D76"/>
    <w:rsid w:val="00CA11CB"/>
    <w:rsid w:val="00CA385F"/>
    <w:rsid w:val="00CA4294"/>
    <w:rsid w:val="00CA6CE9"/>
    <w:rsid w:val="00CA7171"/>
    <w:rsid w:val="00CB0DAF"/>
    <w:rsid w:val="00CB5EEF"/>
    <w:rsid w:val="00CB770D"/>
    <w:rsid w:val="00CC21AA"/>
    <w:rsid w:val="00CC3134"/>
    <w:rsid w:val="00CC6897"/>
    <w:rsid w:val="00CD1116"/>
    <w:rsid w:val="00CD56EF"/>
    <w:rsid w:val="00CE015B"/>
    <w:rsid w:val="00CE0210"/>
    <w:rsid w:val="00CE0727"/>
    <w:rsid w:val="00CE1A13"/>
    <w:rsid w:val="00CE37DA"/>
    <w:rsid w:val="00CE4710"/>
    <w:rsid w:val="00CF51D0"/>
    <w:rsid w:val="00CF67A3"/>
    <w:rsid w:val="00CF7129"/>
    <w:rsid w:val="00D037F9"/>
    <w:rsid w:val="00D0415B"/>
    <w:rsid w:val="00D04C8A"/>
    <w:rsid w:val="00D066D7"/>
    <w:rsid w:val="00D06809"/>
    <w:rsid w:val="00D06894"/>
    <w:rsid w:val="00D110E0"/>
    <w:rsid w:val="00D1357C"/>
    <w:rsid w:val="00D165B2"/>
    <w:rsid w:val="00D1739E"/>
    <w:rsid w:val="00D204F1"/>
    <w:rsid w:val="00D214C8"/>
    <w:rsid w:val="00D240FC"/>
    <w:rsid w:val="00D24818"/>
    <w:rsid w:val="00D27BEC"/>
    <w:rsid w:val="00D301BB"/>
    <w:rsid w:val="00D347BE"/>
    <w:rsid w:val="00D34B61"/>
    <w:rsid w:val="00D353FD"/>
    <w:rsid w:val="00D40CA4"/>
    <w:rsid w:val="00D41B77"/>
    <w:rsid w:val="00D41BAC"/>
    <w:rsid w:val="00D4327F"/>
    <w:rsid w:val="00D45C4E"/>
    <w:rsid w:val="00D45C85"/>
    <w:rsid w:val="00D45D89"/>
    <w:rsid w:val="00D471D5"/>
    <w:rsid w:val="00D5333A"/>
    <w:rsid w:val="00D5468F"/>
    <w:rsid w:val="00D57B35"/>
    <w:rsid w:val="00D57C8E"/>
    <w:rsid w:val="00D57EE9"/>
    <w:rsid w:val="00D60208"/>
    <w:rsid w:val="00D62FF3"/>
    <w:rsid w:val="00D645B9"/>
    <w:rsid w:val="00D662D4"/>
    <w:rsid w:val="00D706E5"/>
    <w:rsid w:val="00D71F75"/>
    <w:rsid w:val="00D735EC"/>
    <w:rsid w:val="00D73C9A"/>
    <w:rsid w:val="00D73DD9"/>
    <w:rsid w:val="00D74892"/>
    <w:rsid w:val="00D7701F"/>
    <w:rsid w:val="00D77DA5"/>
    <w:rsid w:val="00D830E4"/>
    <w:rsid w:val="00D839A8"/>
    <w:rsid w:val="00D846CE"/>
    <w:rsid w:val="00D8480A"/>
    <w:rsid w:val="00D84839"/>
    <w:rsid w:val="00D86606"/>
    <w:rsid w:val="00D87D25"/>
    <w:rsid w:val="00D9130B"/>
    <w:rsid w:val="00D918C0"/>
    <w:rsid w:val="00D9384C"/>
    <w:rsid w:val="00D93A3F"/>
    <w:rsid w:val="00D957C2"/>
    <w:rsid w:val="00D96DC7"/>
    <w:rsid w:val="00DA241E"/>
    <w:rsid w:val="00DA642C"/>
    <w:rsid w:val="00DB05B2"/>
    <w:rsid w:val="00DB16C3"/>
    <w:rsid w:val="00DB23DE"/>
    <w:rsid w:val="00DB2DE3"/>
    <w:rsid w:val="00DB37B2"/>
    <w:rsid w:val="00DB40D3"/>
    <w:rsid w:val="00DB60FF"/>
    <w:rsid w:val="00DC19D1"/>
    <w:rsid w:val="00DC1C15"/>
    <w:rsid w:val="00DC2FA1"/>
    <w:rsid w:val="00DC449C"/>
    <w:rsid w:val="00DD5238"/>
    <w:rsid w:val="00DD5300"/>
    <w:rsid w:val="00DE0180"/>
    <w:rsid w:val="00DE06A9"/>
    <w:rsid w:val="00DE2D72"/>
    <w:rsid w:val="00DE3E42"/>
    <w:rsid w:val="00DE6ADD"/>
    <w:rsid w:val="00DF0B2F"/>
    <w:rsid w:val="00DF0D35"/>
    <w:rsid w:val="00DF18CB"/>
    <w:rsid w:val="00DF31DC"/>
    <w:rsid w:val="00DF5EA3"/>
    <w:rsid w:val="00DF6FED"/>
    <w:rsid w:val="00DF7548"/>
    <w:rsid w:val="00DF77AE"/>
    <w:rsid w:val="00E019B7"/>
    <w:rsid w:val="00E0291B"/>
    <w:rsid w:val="00E02D61"/>
    <w:rsid w:val="00E05371"/>
    <w:rsid w:val="00E06A42"/>
    <w:rsid w:val="00E070E0"/>
    <w:rsid w:val="00E1328E"/>
    <w:rsid w:val="00E13BDE"/>
    <w:rsid w:val="00E15FF6"/>
    <w:rsid w:val="00E17887"/>
    <w:rsid w:val="00E218FC"/>
    <w:rsid w:val="00E229C8"/>
    <w:rsid w:val="00E26768"/>
    <w:rsid w:val="00E30428"/>
    <w:rsid w:val="00E310C9"/>
    <w:rsid w:val="00E31B2A"/>
    <w:rsid w:val="00E32CB6"/>
    <w:rsid w:val="00E37711"/>
    <w:rsid w:val="00E41CE1"/>
    <w:rsid w:val="00E42EFB"/>
    <w:rsid w:val="00E44A7B"/>
    <w:rsid w:val="00E4636A"/>
    <w:rsid w:val="00E506E8"/>
    <w:rsid w:val="00E52A50"/>
    <w:rsid w:val="00E5482A"/>
    <w:rsid w:val="00E54F02"/>
    <w:rsid w:val="00E5505A"/>
    <w:rsid w:val="00E5556B"/>
    <w:rsid w:val="00E57030"/>
    <w:rsid w:val="00E57C55"/>
    <w:rsid w:val="00E6033C"/>
    <w:rsid w:val="00E61504"/>
    <w:rsid w:val="00E6284D"/>
    <w:rsid w:val="00E62987"/>
    <w:rsid w:val="00E6606D"/>
    <w:rsid w:val="00E70620"/>
    <w:rsid w:val="00E7074E"/>
    <w:rsid w:val="00E70FC3"/>
    <w:rsid w:val="00E7185A"/>
    <w:rsid w:val="00E7265A"/>
    <w:rsid w:val="00E7265B"/>
    <w:rsid w:val="00E7391B"/>
    <w:rsid w:val="00E77094"/>
    <w:rsid w:val="00E77106"/>
    <w:rsid w:val="00E83B71"/>
    <w:rsid w:val="00E846EC"/>
    <w:rsid w:val="00E872F9"/>
    <w:rsid w:val="00E906DF"/>
    <w:rsid w:val="00E92B30"/>
    <w:rsid w:val="00E935A7"/>
    <w:rsid w:val="00E9381B"/>
    <w:rsid w:val="00E947E8"/>
    <w:rsid w:val="00E95419"/>
    <w:rsid w:val="00E97C4D"/>
    <w:rsid w:val="00EA31D2"/>
    <w:rsid w:val="00EA329E"/>
    <w:rsid w:val="00EA7349"/>
    <w:rsid w:val="00EB4424"/>
    <w:rsid w:val="00EB4FF8"/>
    <w:rsid w:val="00EB5B9A"/>
    <w:rsid w:val="00EB6B5E"/>
    <w:rsid w:val="00EB7BAD"/>
    <w:rsid w:val="00EB7FB2"/>
    <w:rsid w:val="00EC314C"/>
    <w:rsid w:val="00EC3A1C"/>
    <w:rsid w:val="00EC45D9"/>
    <w:rsid w:val="00EC531E"/>
    <w:rsid w:val="00ED091B"/>
    <w:rsid w:val="00ED10ED"/>
    <w:rsid w:val="00ED17E8"/>
    <w:rsid w:val="00ED4246"/>
    <w:rsid w:val="00EE3087"/>
    <w:rsid w:val="00EE5731"/>
    <w:rsid w:val="00EE728F"/>
    <w:rsid w:val="00EF14CD"/>
    <w:rsid w:val="00EF1732"/>
    <w:rsid w:val="00EF2597"/>
    <w:rsid w:val="00EF59A1"/>
    <w:rsid w:val="00EF5E68"/>
    <w:rsid w:val="00F00FE3"/>
    <w:rsid w:val="00F025B3"/>
    <w:rsid w:val="00F02F9B"/>
    <w:rsid w:val="00F04802"/>
    <w:rsid w:val="00F06269"/>
    <w:rsid w:val="00F0784F"/>
    <w:rsid w:val="00F1026B"/>
    <w:rsid w:val="00F1254F"/>
    <w:rsid w:val="00F13D75"/>
    <w:rsid w:val="00F140BF"/>
    <w:rsid w:val="00F147F1"/>
    <w:rsid w:val="00F14EE5"/>
    <w:rsid w:val="00F15B2C"/>
    <w:rsid w:val="00F16F20"/>
    <w:rsid w:val="00F17E4A"/>
    <w:rsid w:val="00F20845"/>
    <w:rsid w:val="00F22D84"/>
    <w:rsid w:val="00F2368B"/>
    <w:rsid w:val="00F25175"/>
    <w:rsid w:val="00F300F1"/>
    <w:rsid w:val="00F308BA"/>
    <w:rsid w:val="00F30F0E"/>
    <w:rsid w:val="00F32B3D"/>
    <w:rsid w:val="00F347DE"/>
    <w:rsid w:val="00F35135"/>
    <w:rsid w:val="00F41356"/>
    <w:rsid w:val="00F4162C"/>
    <w:rsid w:val="00F43E43"/>
    <w:rsid w:val="00F45FFD"/>
    <w:rsid w:val="00F46299"/>
    <w:rsid w:val="00F5174A"/>
    <w:rsid w:val="00F53033"/>
    <w:rsid w:val="00F5690E"/>
    <w:rsid w:val="00F57C82"/>
    <w:rsid w:val="00F628C0"/>
    <w:rsid w:val="00F669AA"/>
    <w:rsid w:val="00F66F27"/>
    <w:rsid w:val="00F70670"/>
    <w:rsid w:val="00F72187"/>
    <w:rsid w:val="00F72DBC"/>
    <w:rsid w:val="00F73342"/>
    <w:rsid w:val="00F73CE6"/>
    <w:rsid w:val="00F73E17"/>
    <w:rsid w:val="00F74182"/>
    <w:rsid w:val="00F76184"/>
    <w:rsid w:val="00F76417"/>
    <w:rsid w:val="00F76924"/>
    <w:rsid w:val="00F7795E"/>
    <w:rsid w:val="00F8111D"/>
    <w:rsid w:val="00F82B15"/>
    <w:rsid w:val="00F8364E"/>
    <w:rsid w:val="00F840D7"/>
    <w:rsid w:val="00F8412D"/>
    <w:rsid w:val="00F92EF7"/>
    <w:rsid w:val="00F9376E"/>
    <w:rsid w:val="00F946F2"/>
    <w:rsid w:val="00F956C2"/>
    <w:rsid w:val="00FA104A"/>
    <w:rsid w:val="00FA77EB"/>
    <w:rsid w:val="00FB0208"/>
    <w:rsid w:val="00FB2A11"/>
    <w:rsid w:val="00FB5438"/>
    <w:rsid w:val="00FB71C0"/>
    <w:rsid w:val="00FB7C0D"/>
    <w:rsid w:val="00FC24B5"/>
    <w:rsid w:val="00FC4AFC"/>
    <w:rsid w:val="00FD0C42"/>
    <w:rsid w:val="00FD1B8A"/>
    <w:rsid w:val="00FD3D99"/>
    <w:rsid w:val="00FD5B31"/>
    <w:rsid w:val="00FD63F9"/>
    <w:rsid w:val="00FD6892"/>
    <w:rsid w:val="00FE49DA"/>
    <w:rsid w:val="00FE7568"/>
    <w:rsid w:val="00FF0C6C"/>
    <w:rsid w:val="00FF37D1"/>
    <w:rsid w:val="00FF4A8F"/>
    <w:rsid w:val="00FF649E"/>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2DE"/>
    <w:rPr>
      <w:sz w:val="24"/>
      <w:szCs w:val="24"/>
    </w:rPr>
  </w:style>
  <w:style w:type="paragraph" w:styleId="Ttulo1">
    <w:name w:val="heading 1"/>
    <w:aliases w:val="grandes"/>
    <w:basedOn w:val="Normal"/>
    <w:next w:val="Normal"/>
    <w:rsid w:val="000E15BD"/>
    <w:pPr>
      <w:keepNext/>
      <w:ind w:left="360"/>
      <w:outlineLvl w:val="0"/>
    </w:pPr>
    <w:rPr>
      <w:rFonts w:ascii="Arial" w:hAnsi="Arial"/>
      <w:b/>
      <w:bCs/>
      <w:color w:val="17365D" w:themeColor="text2" w:themeShade="BF"/>
      <w:lang w:val="es-MX"/>
    </w:rPr>
  </w:style>
  <w:style w:type="paragraph" w:styleId="Ttulo2">
    <w:name w:val="heading 2"/>
    <w:basedOn w:val="Normal"/>
    <w:next w:val="Normal"/>
    <w:rsid w:val="00332B57"/>
    <w:pPr>
      <w:keepNext/>
      <w:numPr>
        <w:numId w:val="4"/>
      </w:numPr>
      <w:jc w:val="center"/>
      <w:outlineLvl w:val="1"/>
    </w:pPr>
    <w:rPr>
      <w:b/>
      <w:bCs/>
      <w:sz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1422DE"/>
    <w:pPr>
      <w:ind w:left="360" w:firstLine="360"/>
    </w:pPr>
    <w:rPr>
      <w:lang w:val="es-MX"/>
    </w:rPr>
  </w:style>
  <w:style w:type="paragraph" w:styleId="Sangra2detindependiente">
    <w:name w:val="Body Text Indent 2"/>
    <w:basedOn w:val="Normal"/>
    <w:link w:val="Sangra2detindependienteCar"/>
    <w:rsid w:val="001422DE"/>
    <w:pPr>
      <w:ind w:left="720"/>
    </w:pPr>
    <w:rPr>
      <w:lang w:val="es-MX"/>
    </w:rPr>
  </w:style>
  <w:style w:type="paragraph" w:styleId="Ttulo">
    <w:name w:val="Title"/>
    <w:aliases w:val="peque"/>
    <w:basedOn w:val="Normal"/>
    <w:rsid w:val="00EB4FF8"/>
    <w:rPr>
      <w:rFonts w:ascii="Arial" w:hAnsi="Arial"/>
      <w:b/>
      <w:bCs/>
      <w:color w:val="17365D" w:themeColor="text2" w:themeShade="BF"/>
      <w:sz w:val="22"/>
      <w:lang w:val="es-MX"/>
    </w:rPr>
  </w:style>
  <w:style w:type="paragraph" w:styleId="Sangra3detindependiente">
    <w:name w:val="Body Text Indent 3"/>
    <w:basedOn w:val="Normal"/>
    <w:rsid w:val="001422DE"/>
    <w:pPr>
      <w:ind w:left="720" w:hanging="360"/>
    </w:pPr>
    <w:rPr>
      <w:lang w:val="es-MX"/>
    </w:rPr>
  </w:style>
  <w:style w:type="paragraph" w:styleId="Encabezado">
    <w:name w:val="header"/>
    <w:aliases w:val="encabezado"/>
    <w:basedOn w:val="Normal"/>
    <w:link w:val="EncabezadoCar"/>
    <w:rsid w:val="001422DE"/>
    <w:pPr>
      <w:tabs>
        <w:tab w:val="center" w:pos="4252"/>
        <w:tab w:val="right" w:pos="8504"/>
      </w:tabs>
    </w:pPr>
  </w:style>
  <w:style w:type="paragraph" w:styleId="Piedepgina">
    <w:name w:val="footer"/>
    <w:basedOn w:val="Normal"/>
    <w:link w:val="PiedepginaCar"/>
    <w:uiPriority w:val="99"/>
    <w:rsid w:val="001422DE"/>
    <w:pPr>
      <w:tabs>
        <w:tab w:val="center" w:pos="4252"/>
        <w:tab w:val="right" w:pos="8504"/>
      </w:tabs>
    </w:pPr>
  </w:style>
  <w:style w:type="paragraph" w:styleId="Textodeglobo">
    <w:name w:val="Balloon Text"/>
    <w:basedOn w:val="Normal"/>
    <w:semiHidden/>
    <w:rsid w:val="009C15D9"/>
    <w:rPr>
      <w:rFonts w:ascii="Tahoma" w:hAnsi="Tahoma" w:cs="Tahoma"/>
      <w:sz w:val="16"/>
      <w:szCs w:val="16"/>
    </w:rPr>
  </w:style>
  <w:style w:type="table" w:styleId="Tablaconcuadrcula">
    <w:name w:val="Table Grid"/>
    <w:basedOn w:val="Tablanormal"/>
    <w:rsid w:val="00AA01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semiHidden/>
    <w:rsid w:val="009340B8"/>
    <w:rPr>
      <w:sz w:val="16"/>
      <w:szCs w:val="16"/>
    </w:rPr>
  </w:style>
  <w:style w:type="paragraph" w:styleId="Textocomentario">
    <w:name w:val="annotation text"/>
    <w:basedOn w:val="Normal"/>
    <w:semiHidden/>
    <w:rsid w:val="009340B8"/>
    <w:rPr>
      <w:sz w:val="20"/>
      <w:szCs w:val="20"/>
    </w:rPr>
  </w:style>
  <w:style w:type="paragraph" w:styleId="Asuntodelcomentario">
    <w:name w:val="annotation subject"/>
    <w:basedOn w:val="Textocomentario"/>
    <w:next w:val="Textocomentario"/>
    <w:semiHidden/>
    <w:rsid w:val="009340B8"/>
    <w:rPr>
      <w:b/>
      <w:bCs/>
    </w:rPr>
  </w:style>
  <w:style w:type="paragraph" w:styleId="Textonotapie">
    <w:name w:val="footnote text"/>
    <w:basedOn w:val="Normal"/>
    <w:link w:val="TextonotapieCar"/>
    <w:semiHidden/>
    <w:rsid w:val="00B10A20"/>
    <w:rPr>
      <w:sz w:val="20"/>
      <w:szCs w:val="20"/>
    </w:rPr>
  </w:style>
  <w:style w:type="character" w:styleId="Refdenotaalpie">
    <w:name w:val="footnote reference"/>
    <w:basedOn w:val="Fuentedeprrafopredeter"/>
    <w:semiHidden/>
    <w:rsid w:val="00B10A20"/>
    <w:rPr>
      <w:vertAlign w:val="superscript"/>
    </w:rPr>
  </w:style>
  <w:style w:type="paragraph" w:styleId="Textoindependiente">
    <w:name w:val="Body Text"/>
    <w:basedOn w:val="Normal"/>
    <w:rsid w:val="00BD2379"/>
    <w:pPr>
      <w:spacing w:after="120"/>
    </w:pPr>
  </w:style>
  <w:style w:type="paragraph" w:styleId="Prrafodelista">
    <w:name w:val="List Paragraph"/>
    <w:basedOn w:val="Normal"/>
    <w:uiPriority w:val="34"/>
    <w:qFormat/>
    <w:rsid w:val="0022673D"/>
    <w:pPr>
      <w:ind w:left="708"/>
    </w:pPr>
  </w:style>
  <w:style w:type="character" w:customStyle="1" w:styleId="PiedepginaCar">
    <w:name w:val="Pie de página Car"/>
    <w:basedOn w:val="Fuentedeprrafopredeter"/>
    <w:link w:val="Piedepgina"/>
    <w:uiPriority w:val="99"/>
    <w:rsid w:val="00A0647C"/>
    <w:rPr>
      <w:sz w:val="24"/>
      <w:szCs w:val="24"/>
    </w:rPr>
  </w:style>
  <w:style w:type="character" w:styleId="Hipervnculo">
    <w:name w:val="Hyperlink"/>
    <w:basedOn w:val="Fuentedeprrafopredeter"/>
    <w:uiPriority w:val="99"/>
    <w:unhideWhenUsed/>
    <w:rsid w:val="00EB7BAD"/>
    <w:rPr>
      <w:color w:val="0000FF" w:themeColor="hyperlink"/>
      <w:u w:val="single"/>
    </w:rPr>
  </w:style>
  <w:style w:type="paragraph" w:customStyle="1" w:styleId="Default">
    <w:name w:val="Default"/>
    <w:rsid w:val="00E54F02"/>
    <w:pPr>
      <w:autoSpaceDE w:val="0"/>
      <w:autoSpaceDN w:val="0"/>
      <w:adjustRightInd w:val="0"/>
    </w:pPr>
    <w:rPr>
      <w:rFonts w:ascii="Arial" w:hAnsi="Arial" w:cs="Arial"/>
      <w:color w:val="000000"/>
      <w:sz w:val="24"/>
      <w:szCs w:val="24"/>
      <w:lang w:val="es-CR"/>
    </w:rPr>
  </w:style>
  <w:style w:type="table" w:styleId="Listaclara-nfasis5">
    <w:name w:val="Light List Accent 5"/>
    <w:basedOn w:val="Tablanormal"/>
    <w:uiPriority w:val="61"/>
    <w:rsid w:val="00DB37B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
    <w:name w:val="Light List"/>
    <w:basedOn w:val="Tablanormal"/>
    <w:uiPriority w:val="61"/>
    <w:rsid w:val="00E5556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nfasissutil">
    <w:name w:val="Subtle Emphasis"/>
    <w:basedOn w:val="Fuentedeprrafopredeter"/>
    <w:uiPriority w:val="19"/>
    <w:qFormat/>
    <w:rsid w:val="002121A7"/>
    <w:rPr>
      <w:i/>
      <w:iCs/>
      <w:color w:val="808080" w:themeColor="text1" w:themeTint="7F"/>
    </w:rPr>
  </w:style>
  <w:style w:type="paragraph" w:styleId="Sinespaciado">
    <w:name w:val="No Spacing"/>
    <w:link w:val="SinespaciadoCar"/>
    <w:uiPriority w:val="1"/>
    <w:qFormat/>
    <w:rsid w:val="002121A7"/>
    <w:rPr>
      <w:sz w:val="24"/>
      <w:szCs w:val="24"/>
    </w:rPr>
  </w:style>
  <w:style w:type="character" w:styleId="nfasisintenso">
    <w:name w:val="Intense Emphasis"/>
    <w:basedOn w:val="Fuentedeprrafopredeter"/>
    <w:uiPriority w:val="21"/>
    <w:qFormat/>
    <w:rsid w:val="002121A7"/>
    <w:rPr>
      <w:b/>
      <w:bCs/>
      <w:i/>
      <w:iCs/>
      <w:color w:val="4F81BD" w:themeColor="accent1"/>
    </w:rPr>
  </w:style>
  <w:style w:type="paragraph" w:styleId="TtulodeTDC">
    <w:name w:val="TOC Heading"/>
    <w:basedOn w:val="Ttulo1"/>
    <w:next w:val="Normal"/>
    <w:uiPriority w:val="39"/>
    <w:unhideWhenUsed/>
    <w:qFormat/>
    <w:rsid w:val="002121A7"/>
    <w:pPr>
      <w:keepLines/>
      <w:spacing w:before="480" w:line="276" w:lineRule="auto"/>
      <w:ind w:left="0"/>
      <w:outlineLvl w:val="9"/>
    </w:pPr>
    <w:rPr>
      <w:rFonts w:asciiTheme="majorHAnsi" w:eastAsiaTheme="majorEastAsia" w:hAnsiTheme="majorHAnsi" w:cstheme="majorBidi"/>
      <w:color w:val="365F91" w:themeColor="accent1" w:themeShade="BF"/>
      <w:sz w:val="28"/>
      <w:szCs w:val="28"/>
      <w:lang w:val="es-CR" w:eastAsia="es-CR"/>
    </w:rPr>
  </w:style>
  <w:style w:type="paragraph" w:styleId="TDC1">
    <w:name w:val="toc 1"/>
    <w:basedOn w:val="Normal"/>
    <w:next w:val="Normal"/>
    <w:autoRedefine/>
    <w:uiPriority w:val="39"/>
    <w:rsid w:val="00B1362A"/>
    <w:pPr>
      <w:tabs>
        <w:tab w:val="right" w:leader="dot" w:pos="8494"/>
      </w:tabs>
      <w:spacing w:after="100"/>
      <w:jc w:val="center"/>
    </w:pPr>
    <w:rPr>
      <w:rFonts w:ascii="Arial" w:hAnsi="Arial"/>
      <w:bCs/>
      <w:smallCaps/>
      <w:noProof/>
      <w:color w:val="000000" w:themeColor="text1"/>
      <w:spacing w:val="5"/>
      <w:sz w:val="28"/>
      <w:lang w:val="es-MX"/>
    </w:rPr>
  </w:style>
  <w:style w:type="paragraph" w:styleId="TDC2">
    <w:name w:val="toc 2"/>
    <w:basedOn w:val="Normal"/>
    <w:next w:val="Normal"/>
    <w:autoRedefine/>
    <w:uiPriority w:val="39"/>
    <w:rsid w:val="002121A7"/>
    <w:pPr>
      <w:spacing w:after="100"/>
      <w:ind w:left="240"/>
    </w:pPr>
  </w:style>
  <w:style w:type="character" w:customStyle="1" w:styleId="EncabezadoCar">
    <w:name w:val="Encabezado Car"/>
    <w:aliases w:val="encabezado Car"/>
    <w:basedOn w:val="Fuentedeprrafopredeter"/>
    <w:link w:val="Encabezado"/>
    <w:rsid w:val="003D7DEA"/>
    <w:rPr>
      <w:sz w:val="24"/>
      <w:szCs w:val="24"/>
    </w:rPr>
  </w:style>
  <w:style w:type="table" w:styleId="Listaclara-nfasis1">
    <w:name w:val="Light List Accent 1"/>
    <w:basedOn w:val="Tablanormal"/>
    <w:uiPriority w:val="61"/>
    <w:rsid w:val="00B21CF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242891"/>
    <w:rPr>
      <w:sz w:val="24"/>
      <w:szCs w:val="24"/>
    </w:rPr>
  </w:style>
  <w:style w:type="character" w:styleId="Textoennegrita">
    <w:name w:val="Strong"/>
    <w:aliases w:val="apartados"/>
    <w:basedOn w:val="Fuentedeprrafopredeter"/>
    <w:rsid w:val="00EB4FF8"/>
    <w:rPr>
      <w:rFonts w:ascii="Arial" w:hAnsi="Arial"/>
      <w:b/>
      <w:bCs/>
      <w:color w:val="17365D" w:themeColor="text2" w:themeShade="BF"/>
      <w:sz w:val="24"/>
    </w:rPr>
  </w:style>
  <w:style w:type="paragraph" w:styleId="Subttulo">
    <w:name w:val="Subtitle"/>
    <w:basedOn w:val="Normal"/>
    <w:next w:val="Normal"/>
    <w:link w:val="SubttuloCar"/>
    <w:qFormat/>
    <w:rsid w:val="00EB4FF8"/>
    <w:pPr>
      <w:numPr>
        <w:ilvl w:val="1"/>
      </w:numPr>
    </w:pPr>
    <w:rPr>
      <w:rFonts w:ascii="Arial" w:eastAsiaTheme="majorEastAsia" w:hAnsi="Arial" w:cstheme="majorBidi"/>
      <w:b/>
      <w:iCs/>
      <w:color w:val="17365D" w:themeColor="text2" w:themeShade="BF"/>
      <w:spacing w:val="15"/>
      <w:sz w:val="22"/>
    </w:rPr>
  </w:style>
  <w:style w:type="character" w:customStyle="1" w:styleId="SubttuloCar">
    <w:name w:val="Subtítulo Car"/>
    <w:basedOn w:val="Fuentedeprrafopredeter"/>
    <w:link w:val="Subttulo"/>
    <w:rsid w:val="00EB4FF8"/>
    <w:rPr>
      <w:rFonts w:ascii="Arial" w:eastAsiaTheme="majorEastAsia" w:hAnsi="Arial" w:cstheme="majorBidi"/>
      <w:b/>
      <w:iCs/>
      <w:color w:val="17365D" w:themeColor="text2" w:themeShade="BF"/>
      <w:spacing w:val="15"/>
      <w:sz w:val="22"/>
      <w:szCs w:val="24"/>
    </w:rPr>
  </w:style>
  <w:style w:type="character" w:styleId="Ttulodellibro">
    <w:name w:val="Book Title"/>
    <w:basedOn w:val="Fuentedeprrafopredeter"/>
    <w:uiPriority w:val="33"/>
    <w:qFormat/>
    <w:rsid w:val="00284030"/>
    <w:rPr>
      <w:rFonts w:ascii="Arial" w:hAnsi="Arial"/>
      <w:b/>
      <w:bCs/>
      <w:smallCaps/>
      <w:spacing w:val="5"/>
    </w:rPr>
  </w:style>
  <w:style w:type="character" w:styleId="nfasis">
    <w:name w:val="Emphasis"/>
    <w:basedOn w:val="Fuentedeprrafopredeter"/>
    <w:qFormat/>
    <w:rsid w:val="0008081E"/>
    <w:rPr>
      <w:i/>
      <w:iCs/>
    </w:rPr>
  </w:style>
  <w:style w:type="paragraph" w:customStyle="1" w:styleId="Predeterminado">
    <w:name w:val="Predeterminado"/>
    <w:next w:val="Normal"/>
    <w:rsid w:val="00A81C19"/>
    <w:pPr>
      <w:widowControl w:val="0"/>
      <w:autoSpaceDE w:val="0"/>
      <w:autoSpaceDN w:val="0"/>
      <w:adjustRightInd w:val="0"/>
      <w:spacing w:after="200" w:line="276" w:lineRule="auto"/>
    </w:pPr>
    <w:rPr>
      <w:rFonts w:ascii="Calibri" w:hAnsi="Calibri" w:cs="Calibri"/>
      <w:sz w:val="22"/>
      <w:szCs w:val="22"/>
      <w:lang w:val="es-CR"/>
    </w:rPr>
  </w:style>
  <w:style w:type="character" w:customStyle="1" w:styleId="TextonotapieCar">
    <w:name w:val="Texto nota pie Car"/>
    <w:basedOn w:val="Fuentedeprrafopredeter"/>
    <w:link w:val="Textonotapie"/>
    <w:semiHidden/>
    <w:rsid w:val="00A81C19"/>
  </w:style>
  <w:style w:type="paragraph" w:styleId="NormalWeb">
    <w:name w:val="Normal (Web)"/>
    <w:basedOn w:val="Normal"/>
    <w:uiPriority w:val="99"/>
    <w:rsid w:val="00A81C19"/>
    <w:pPr>
      <w:spacing w:before="100" w:beforeAutospacing="1" w:after="100" w:afterAutospacing="1"/>
    </w:pPr>
  </w:style>
  <w:style w:type="character" w:customStyle="1" w:styleId="Sangra2detindependienteCar">
    <w:name w:val="Sangría 2 de t. independiente Car"/>
    <w:link w:val="Sangra2detindependiente"/>
    <w:rsid w:val="00B64482"/>
    <w:rPr>
      <w:sz w:val="24"/>
      <w:szCs w:val="24"/>
      <w:lang w:val="es-MX"/>
    </w:rPr>
  </w:style>
  <w:style w:type="paragraph" w:styleId="Textoindependiente2">
    <w:name w:val="Body Text 2"/>
    <w:basedOn w:val="Normal"/>
    <w:link w:val="Textoindependiente2Car"/>
    <w:semiHidden/>
    <w:unhideWhenUsed/>
    <w:rsid w:val="00EF5E68"/>
    <w:pPr>
      <w:spacing w:after="120" w:line="480" w:lineRule="auto"/>
    </w:pPr>
  </w:style>
  <w:style w:type="character" w:customStyle="1" w:styleId="Textoindependiente2Car">
    <w:name w:val="Texto independiente 2 Car"/>
    <w:basedOn w:val="Fuentedeprrafopredeter"/>
    <w:link w:val="Textoindependiente2"/>
    <w:semiHidden/>
    <w:rsid w:val="00EF5E68"/>
    <w:rPr>
      <w:sz w:val="24"/>
      <w:szCs w:val="24"/>
    </w:rPr>
  </w:style>
</w:styles>
</file>

<file path=word/webSettings.xml><?xml version="1.0" encoding="utf-8"?>
<w:webSettings xmlns:r="http://schemas.openxmlformats.org/officeDocument/2006/relationships" xmlns:w="http://schemas.openxmlformats.org/wordprocessingml/2006/main">
  <w:divs>
    <w:div w:id="66460801">
      <w:bodyDiv w:val="1"/>
      <w:marLeft w:val="0"/>
      <w:marRight w:val="0"/>
      <w:marTop w:val="0"/>
      <w:marBottom w:val="0"/>
      <w:divBdr>
        <w:top w:val="none" w:sz="0" w:space="0" w:color="auto"/>
        <w:left w:val="none" w:sz="0" w:space="0" w:color="auto"/>
        <w:bottom w:val="none" w:sz="0" w:space="0" w:color="auto"/>
        <w:right w:val="none" w:sz="0" w:space="0" w:color="auto"/>
      </w:divBdr>
    </w:div>
    <w:div w:id="137455500">
      <w:bodyDiv w:val="1"/>
      <w:marLeft w:val="0"/>
      <w:marRight w:val="0"/>
      <w:marTop w:val="0"/>
      <w:marBottom w:val="0"/>
      <w:divBdr>
        <w:top w:val="none" w:sz="0" w:space="0" w:color="auto"/>
        <w:left w:val="none" w:sz="0" w:space="0" w:color="auto"/>
        <w:bottom w:val="none" w:sz="0" w:space="0" w:color="auto"/>
        <w:right w:val="none" w:sz="0" w:space="0" w:color="auto"/>
      </w:divBdr>
    </w:div>
    <w:div w:id="165095915">
      <w:bodyDiv w:val="1"/>
      <w:marLeft w:val="0"/>
      <w:marRight w:val="0"/>
      <w:marTop w:val="0"/>
      <w:marBottom w:val="0"/>
      <w:divBdr>
        <w:top w:val="none" w:sz="0" w:space="0" w:color="auto"/>
        <w:left w:val="none" w:sz="0" w:space="0" w:color="auto"/>
        <w:bottom w:val="none" w:sz="0" w:space="0" w:color="auto"/>
        <w:right w:val="none" w:sz="0" w:space="0" w:color="auto"/>
      </w:divBdr>
    </w:div>
    <w:div w:id="746421875">
      <w:bodyDiv w:val="1"/>
      <w:marLeft w:val="0"/>
      <w:marRight w:val="0"/>
      <w:marTop w:val="0"/>
      <w:marBottom w:val="0"/>
      <w:divBdr>
        <w:top w:val="none" w:sz="0" w:space="0" w:color="auto"/>
        <w:left w:val="none" w:sz="0" w:space="0" w:color="auto"/>
        <w:bottom w:val="none" w:sz="0" w:space="0" w:color="auto"/>
        <w:right w:val="none" w:sz="0" w:space="0" w:color="auto"/>
      </w:divBdr>
    </w:div>
    <w:div w:id="876553646">
      <w:bodyDiv w:val="1"/>
      <w:marLeft w:val="0"/>
      <w:marRight w:val="0"/>
      <w:marTop w:val="0"/>
      <w:marBottom w:val="0"/>
      <w:divBdr>
        <w:top w:val="none" w:sz="0" w:space="0" w:color="auto"/>
        <w:left w:val="none" w:sz="0" w:space="0" w:color="auto"/>
        <w:bottom w:val="none" w:sz="0" w:space="0" w:color="auto"/>
        <w:right w:val="none" w:sz="0" w:space="0" w:color="auto"/>
      </w:divBdr>
    </w:div>
    <w:div w:id="924653301">
      <w:bodyDiv w:val="1"/>
      <w:marLeft w:val="0"/>
      <w:marRight w:val="0"/>
      <w:marTop w:val="0"/>
      <w:marBottom w:val="0"/>
      <w:divBdr>
        <w:top w:val="none" w:sz="0" w:space="0" w:color="auto"/>
        <w:left w:val="none" w:sz="0" w:space="0" w:color="auto"/>
        <w:bottom w:val="none" w:sz="0" w:space="0" w:color="auto"/>
        <w:right w:val="none" w:sz="0" w:space="0" w:color="auto"/>
      </w:divBdr>
    </w:div>
    <w:div w:id="968321184">
      <w:bodyDiv w:val="1"/>
      <w:marLeft w:val="0"/>
      <w:marRight w:val="0"/>
      <w:marTop w:val="0"/>
      <w:marBottom w:val="0"/>
      <w:divBdr>
        <w:top w:val="none" w:sz="0" w:space="0" w:color="auto"/>
        <w:left w:val="none" w:sz="0" w:space="0" w:color="auto"/>
        <w:bottom w:val="none" w:sz="0" w:space="0" w:color="auto"/>
        <w:right w:val="none" w:sz="0" w:space="0" w:color="auto"/>
      </w:divBdr>
    </w:div>
    <w:div w:id="1026904333">
      <w:bodyDiv w:val="1"/>
      <w:marLeft w:val="0"/>
      <w:marRight w:val="0"/>
      <w:marTop w:val="0"/>
      <w:marBottom w:val="0"/>
      <w:divBdr>
        <w:top w:val="none" w:sz="0" w:space="0" w:color="auto"/>
        <w:left w:val="none" w:sz="0" w:space="0" w:color="auto"/>
        <w:bottom w:val="none" w:sz="0" w:space="0" w:color="auto"/>
        <w:right w:val="none" w:sz="0" w:space="0" w:color="auto"/>
      </w:divBdr>
    </w:div>
    <w:div w:id="1228299854">
      <w:bodyDiv w:val="1"/>
      <w:marLeft w:val="0"/>
      <w:marRight w:val="0"/>
      <w:marTop w:val="0"/>
      <w:marBottom w:val="0"/>
      <w:divBdr>
        <w:top w:val="none" w:sz="0" w:space="0" w:color="auto"/>
        <w:left w:val="none" w:sz="0" w:space="0" w:color="auto"/>
        <w:bottom w:val="none" w:sz="0" w:space="0" w:color="auto"/>
        <w:right w:val="none" w:sz="0" w:space="0" w:color="auto"/>
      </w:divBdr>
    </w:div>
    <w:div w:id="1308700609">
      <w:bodyDiv w:val="1"/>
      <w:marLeft w:val="0"/>
      <w:marRight w:val="0"/>
      <w:marTop w:val="0"/>
      <w:marBottom w:val="0"/>
      <w:divBdr>
        <w:top w:val="none" w:sz="0" w:space="0" w:color="auto"/>
        <w:left w:val="none" w:sz="0" w:space="0" w:color="auto"/>
        <w:bottom w:val="none" w:sz="0" w:space="0" w:color="auto"/>
        <w:right w:val="none" w:sz="0" w:space="0" w:color="auto"/>
      </w:divBdr>
    </w:div>
    <w:div w:id="1359741742">
      <w:bodyDiv w:val="1"/>
      <w:marLeft w:val="0"/>
      <w:marRight w:val="0"/>
      <w:marTop w:val="0"/>
      <w:marBottom w:val="0"/>
      <w:divBdr>
        <w:top w:val="none" w:sz="0" w:space="0" w:color="auto"/>
        <w:left w:val="none" w:sz="0" w:space="0" w:color="auto"/>
        <w:bottom w:val="none" w:sz="0" w:space="0" w:color="auto"/>
        <w:right w:val="none" w:sz="0" w:space="0" w:color="auto"/>
      </w:divBdr>
    </w:div>
    <w:div w:id="181779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yperlink" Target="mailto:notifica_presupuesto_nacional@hacienda.go.c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mailto:notifica_presupuesto_nacional@hacienda.go.cr" TargetMode="External"/><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4.emf"/><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3B765-32E2-4D59-97F7-0991805C7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63</Pages>
  <Words>15060</Words>
  <Characters>82835</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Instrumento para elaborar el informe anual de resultados físicos y financieros 2018</vt:lpstr>
    </vt:vector>
  </TitlesOfParts>
  <Company>DIRECCIÓN GENERAL DE PRESUPUESTO NACIONAL   MINISTERIO HACIENDA</Company>
  <LinksUpToDate>false</LinksUpToDate>
  <CharactersWithSpaces>97700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Instrumento para elaborar el informe anual de resultados físicos y financieros 2018</dc:title>
  <dc:creator>Noviembre 2018</dc:creator>
  <cp:lastModifiedBy>pvargasv</cp:lastModifiedBy>
  <cp:revision>12</cp:revision>
  <cp:lastPrinted>2018-12-03T13:28:00Z</cp:lastPrinted>
  <dcterms:created xsi:type="dcterms:W3CDTF">2019-01-23T22:24:00Z</dcterms:created>
  <dcterms:modified xsi:type="dcterms:W3CDTF">2019-01-23T23:07:00Z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