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C42" w:rsidRPr="004E7C42" w:rsidRDefault="00331034" w:rsidP="004E7C42">
      <w:pPr>
        <w:widowControl w:val="0"/>
        <w:jc w:val="right"/>
        <w:rPr>
          <w:rFonts w:ascii="Book Antiqua" w:hAnsi="Book Antiqua" w:cs="Arial"/>
          <w:snapToGrid w:val="0"/>
          <w:sz w:val="24"/>
          <w:szCs w:val="24"/>
        </w:rPr>
      </w:pPr>
      <w:r>
        <w:rPr>
          <w:rFonts w:ascii="Book Antiqua" w:hAnsi="Book Antiqua" w:cs="Arial"/>
          <w:snapToGrid w:val="0"/>
          <w:sz w:val="24"/>
          <w:szCs w:val="24"/>
        </w:rPr>
        <w:t>1129</w:t>
      </w:r>
      <w:r w:rsidR="004E7C42" w:rsidRPr="004E7C42">
        <w:rPr>
          <w:rFonts w:ascii="Book Antiqua" w:hAnsi="Book Antiqua" w:cs="Arial"/>
          <w:snapToGrid w:val="0"/>
          <w:sz w:val="24"/>
          <w:szCs w:val="24"/>
        </w:rPr>
        <w:t>-PLA-EV-2019</w:t>
      </w:r>
    </w:p>
    <w:p w:rsidR="004E7C42" w:rsidRPr="004E7C42" w:rsidRDefault="004E7C42" w:rsidP="004E7C42">
      <w:pPr>
        <w:widowControl w:val="0"/>
        <w:jc w:val="right"/>
        <w:rPr>
          <w:rFonts w:ascii="Book Antiqua" w:hAnsi="Book Antiqua" w:cs="Arial"/>
          <w:snapToGrid w:val="0"/>
          <w:sz w:val="24"/>
          <w:szCs w:val="24"/>
        </w:rPr>
      </w:pPr>
      <w:r w:rsidRPr="004E7C42">
        <w:rPr>
          <w:rFonts w:ascii="Book Antiqua" w:hAnsi="Book Antiqua" w:cs="Arial"/>
          <w:sz w:val="24"/>
          <w:szCs w:val="24"/>
        </w:rPr>
        <w:t>Ref. SICE: 1188-19</w:t>
      </w:r>
    </w:p>
    <w:p w:rsidR="00C10B6E" w:rsidRPr="004E7C42" w:rsidRDefault="00C10B6E" w:rsidP="00EA295C">
      <w:pPr>
        <w:jc w:val="right"/>
        <w:rPr>
          <w:rFonts w:ascii="Book Antiqua" w:hAnsi="Book Antiqua" w:cs="Book Antiqua"/>
          <w:sz w:val="24"/>
          <w:szCs w:val="24"/>
        </w:rPr>
      </w:pPr>
    </w:p>
    <w:p w:rsidR="00EA295C" w:rsidRPr="004E7C42" w:rsidRDefault="00331034" w:rsidP="00EA295C">
      <w:pPr>
        <w:rPr>
          <w:rFonts w:ascii="Book Antiqua" w:hAnsi="Book Antiqua" w:cs="Book Antiqua"/>
          <w:sz w:val="24"/>
          <w:szCs w:val="24"/>
          <w:lang w:val="pt-BR"/>
        </w:rPr>
      </w:pPr>
      <w:r>
        <w:rPr>
          <w:rFonts w:ascii="Book Antiqua" w:hAnsi="Book Antiqua" w:cs="Book Antiqua"/>
          <w:sz w:val="24"/>
          <w:szCs w:val="24"/>
          <w:lang w:val="pt-BR"/>
        </w:rPr>
        <w:t>17 de julio</w:t>
      </w:r>
      <w:r w:rsidR="00EA295C" w:rsidRPr="004E7C42">
        <w:rPr>
          <w:rFonts w:ascii="Book Antiqua" w:hAnsi="Book Antiqua" w:cs="Book Antiqua"/>
          <w:sz w:val="24"/>
          <w:szCs w:val="24"/>
          <w:lang w:val="pt-BR"/>
        </w:rPr>
        <w:t xml:space="preserve"> de 2019</w:t>
      </w:r>
    </w:p>
    <w:p w:rsidR="00EA295C" w:rsidRPr="004E7C42" w:rsidRDefault="00EA295C" w:rsidP="00EA295C">
      <w:pPr>
        <w:rPr>
          <w:rFonts w:ascii="Book Antiqua" w:hAnsi="Book Antiqua" w:cs="Book Antiqua"/>
          <w:sz w:val="24"/>
          <w:szCs w:val="24"/>
          <w:lang w:val="pt-BR"/>
        </w:rPr>
      </w:pPr>
    </w:p>
    <w:p w:rsidR="00EA295C" w:rsidRPr="004E7C42" w:rsidRDefault="00EA295C" w:rsidP="00EA295C">
      <w:pPr>
        <w:rPr>
          <w:rFonts w:ascii="Book Antiqua" w:hAnsi="Book Antiqua" w:cs="Book Antiqua"/>
          <w:sz w:val="24"/>
          <w:szCs w:val="24"/>
          <w:lang w:val="pt-BR"/>
        </w:rPr>
      </w:pPr>
    </w:p>
    <w:p w:rsidR="00EA295C" w:rsidRPr="004E7C42" w:rsidRDefault="00EA295C" w:rsidP="00EA295C">
      <w:pPr>
        <w:rPr>
          <w:rFonts w:ascii="Book Antiqua" w:hAnsi="Book Antiqua" w:cs="Book Antiqua"/>
          <w:sz w:val="24"/>
          <w:szCs w:val="24"/>
          <w:lang w:val="pt-BR"/>
        </w:rPr>
      </w:pPr>
    </w:p>
    <w:p w:rsidR="00EA295C" w:rsidRPr="004E7C42" w:rsidRDefault="00EA295C" w:rsidP="00EA295C">
      <w:pPr>
        <w:rPr>
          <w:rFonts w:ascii="Book Antiqua" w:hAnsi="Book Antiqua" w:cs="Book Antiqua"/>
          <w:sz w:val="24"/>
          <w:szCs w:val="24"/>
          <w:lang w:val="pt-BR"/>
        </w:rPr>
      </w:pPr>
      <w:r w:rsidRPr="004E7C42">
        <w:rPr>
          <w:rFonts w:ascii="Book Antiqua" w:hAnsi="Book Antiqua" w:cs="Book Antiqua"/>
          <w:sz w:val="24"/>
          <w:szCs w:val="24"/>
          <w:lang w:val="pt-BR"/>
        </w:rPr>
        <w:t>Licenciada</w:t>
      </w:r>
    </w:p>
    <w:p w:rsidR="00EA295C" w:rsidRPr="004E7C42" w:rsidRDefault="00EA295C" w:rsidP="00EA295C">
      <w:pPr>
        <w:rPr>
          <w:rFonts w:ascii="Book Antiqua" w:hAnsi="Book Antiqua" w:cs="Book Antiqua"/>
          <w:sz w:val="24"/>
          <w:szCs w:val="24"/>
          <w:lang w:val="pt-BR"/>
        </w:rPr>
      </w:pPr>
      <w:smartTag w:uri="urn:schemas-microsoft-com:office:smarttags" w:element="PersonName">
        <w:r w:rsidRPr="004E7C42">
          <w:rPr>
            <w:rFonts w:ascii="Book Antiqua" w:hAnsi="Book Antiqua" w:cs="Book Antiqua"/>
            <w:sz w:val="24"/>
            <w:szCs w:val="24"/>
            <w:lang w:val="pt-BR"/>
          </w:rPr>
          <w:t>Silvia Navarro Romanini</w:t>
        </w:r>
      </w:smartTag>
      <w:r w:rsidRPr="004E7C42">
        <w:rPr>
          <w:rFonts w:ascii="Book Antiqua" w:hAnsi="Book Antiqua" w:cs="Book Antiqua"/>
          <w:sz w:val="24"/>
          <w:szCs w:val="24"/>
          <w:lang w:val="pt-BR"/>
        </w:rPr>
        <w:t xml:space="preserve"> </w:t>
      </w:r>
    </w:p>
    <w:p w:rsidR="00EA295C" w:rsidRPr="004E7C42" w:rsidRDefault="00EA295C" w:rsidP="00EA295C">
      <w:pPr>
        <w:rPr>
          <w:rFonts w:ascii="Book Antiqua" w:hAnsi="Book Antiqua" w:cs="Book Antiqua"/>
          <w:sz w:val="24"/>
          <w:szCs w:val="24"/>
        </w:rPr>
      </w:pPr>
      <w:r w:rsidRPr="004E7C42">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E7C42">
          <w:rPr>
            <w:rFonts w:ascii="Book Antiqua" w:hAnsi="Book Antiqua" w:cs="Book Antiqua"/>
            <w:sz w:val="24"/>
            <w:szCs w:val="24"/>
          </w:rPr>
          <w:t>la Corte</w:t>
        </w:r>
      </w:smartTag>
    </w:p>
    <w:p w:rsidR="00EA295C" w:rsidRPr="004E7C42" w:rsidRDefault="00EA295C" w:rsidP="00EA295C">
      <w:pPr>
        <w:rPr>
          <w:rFonts w:ascii="Book Antiqua" w:hAnsi="Book Antiqua" w:cs="Arial"/>
          <w:sz w:val="24"/>
          <w:szCs w:val="24"/>
        </w:rPr>
      </w:pPr>
    </w:p>
    <w:p w:rsidR="00EA295C" w:rsidRPr="004E7C42" w:rsidRDefault="00EA295C" w:rsidP="00EA295C">
      <w:pPr>
        <w:rPr>
          <w:rFonts w:ascii="Book Antiqua" w:hAnsi="Book Antiqua" w:cs="Book Antiqua"/>
          <w:snapToGrid w:val="0"/>
          <w:sz w:val="24"/>
          <w:szCs w:val="24"/>
          <w:lang w:val="pt-BR"/>
        </w:rPr>
      </w:pPr>
    </w:p>
    <w:p w:rsidR="00EA295C" w:rsidRPr="004E7C42" w:rsidRDefault="008F3027" w:rsidP="00EA295C">
      <w:pPr>
        <w:rPr>
          <w:rFonts w:ascii="Book Antiqua" w:hAnsi="Book Antiqua" w:cs="Book Antiqua"/>
          <w:snapToGrid w:val="0"/>
          <w:sz w:val="24"/>
          <w:szCs w:val="24"/>
          <w:lang w:val="pt-BR"/>
        </w:rPr>
      </w:pPr>
      <w:r w:rsidRPr="004E7C42">
        <w:rPr>
          <w:rFonts w:ascii="Book Antiqua" w:hAnsi="Book Antiqua" w:cs="Book Antiqua"/>
          <w:snapToGrid w:val="0"/>
          <w:sz w:val="24"/>
          <w:szCs w:val="24"/>
          <w:lang w:val="pt-BR"/>
        </w:rPr>
        <w:t>Estimada</w:t>
      </w:r>
      <w:r w:rsidR="00EA295C" w:rsidRPr="004E7C42">
        <w:rPr>
          <w:rFonts w:ascii="Book Antiqua" w:hAnsi="Book Antiqua" w:cs="Book Antiqua"/>
          <w:snapToGrid w:val="0"/>
          <w:sz w:val="24"/>
          <w:szCs w:val="24"/>
          <w:lang w:val="pt-BR"/>
        </w:rPr>
        <w:t xml:space="preserve"> señor</w:t>
      </w:r>
      <w:r w:rsidRPr="004E7C42">
        <w:rPr>
          <w:rFonts w:ascii="Book Antiqua" w:hAnsi="Book Antiqua" w:cs="Book Antiqua"/>
          <w:snapToGrid w:val="0"/>
          <w:sz w:val="24"/>
          <w:szCs w:val="24"/>
          <w:lang w:val="pt-BR"/>
        </w:rPr>
        <w:t>a</w:t>
      </w:r>
      <w:r w:rsidR="00EA295C" w:rsidRPr="004E7C42">
        <w:rPr>
          <w:rFonts w:ascii="Book Antiqua" w:hAnsi="Book Antiqua" w:cs="Book Antiqua"/>
          <w:snapToGrid w:val="0"/>
          <w:sz w:val="24"/>
          <w:szCs w:val="24"/>
          <w:lang w:val="pt-BR"/>
        </w:rPr>
        <w:t>:</w:t>
      </w:r>
    </w:p>
    <w:p w:rsidR="00EA295C" w:rsidRPr="004E7C42" w:rsidRDefault="00EA295C" w:rsidP="00EA295C">
      <w:pPr>
        <w:jc w:val="both"/>
        <w:rPr>
          <w:rFonts w:ascii="Book Antiqua" w:hAnsi="Book Antiqua" w:cs="Book Antiqua"/>
          <w:snapToGrid w:val="0"/>
          <w:sz w:val="24"/>
          <w:szCs w:val="24"/>
          <w:lang w:val="pt-BR"/>
        </w:rPr>
      </w:pPr>
    </w:p>
    <w:p w:rsidR="001453F5" w:rsidRDefault="004E7C42" w:rsidP="004E7C42">
      <w:pPr>
        <w:ind w:firstLine="708"/>
        <w:jc w:val="both"/>
        <w:rPr>
          <w:rFonts w:ascii="Book Antiqua" w:hAnsi="Book Antiqua" w:cs="Arial"/>
          <w:sz w:val="24"/>
          <w:szCs w:val="24"/>
        </w:rPr>
      </w:pPr>
      <w:r>
        <w:rPr>
          <w:rFonts w:ascii="Book Antiqua" w:hAnsi="Book Antiqua" w:cs="Book Antiqua"/>
          <w:sz w:val="24"/>
          <w:szCs w:val="24"/>
          <w:lang w:val="pt-BR"/>
        </w:rPr>
        <w:t>L</w:t>
      </w:r>
      <w:r w:rsidR="001453F5" w:rsidRPr="004E7C42">
        <w:rPr>
          <w:rFonts w:ascii="Book Antiqua" w:hAnsi="Book Antiqua" w:cs="Book Antiqua"/>
          <w:sz w:val="24"/>
          <w:szCs w:val="24"/>
        </w:rPr>
        <w:t xml:space="preserve">e remito el informe suscrito por el </w:t>
      </w:r>
      <w:r>
        <w:rPr>
          <w:rFonts w:ascii="Book Antiqua" w:hAnsi="Book Antiqua" w:cs="Book Antiqua"/>
          <w:sz w:val="24"/>
          <w:szCs w:val="24"/>
        </w:rPr>
        <w:t>Lic. Erick Monge Sandí</w:t>
      </w:r>
      <w:r w:rsidR="001453F5" w:rsidRPr="004E7C42">
        <w:rPr>
          <w:rFonts w:ascii="Book Antiqua" w:hAnsi="Book Antiqua" w:cs="Book Antiqua"/>
          <w:sz w:val="24"/>
          <w:szCs w:val="24"/>
        </w:rPr>
        <w:t xml:space="preserve">, Jefe del Subproceso de </w:t>
      </w:r>
      <w:r>
        <w:rPr>
          <w:rFonts w:ascii="Book Antiqua" w:hAnsi="Book Antiqua" w:cs="Book Antiqua"/>
          <w:sz w:val="24"/>
          <w:szCs w:val="24"/>
        </w:rPr>
        <w:t>Evaluación</w:t>
      </w:r>
      <w:r w:rsidR="001453F5" w:rsidRPr="004E7C42">
        <w:rPr>
          <w:rFonts w:ascii="Book Antiqua" w:hAnsi="Book Antiqua" w:cs="Book Antiqua"/>
          <w:sz w:val="24"/>
          <w:szCs w:val="24"/>
        </w:rPr>
        <w:t xml:space="preserve">, relacionado con </w:t>
      </w:r>
      <w:r w:rsidRPr="004E7C42">
        <w:rPr>
          <w:rFonts w:ascii="Book Antiqua" w:hAnsi="Book Antiqua" w:cs="Arial"/>
          <w:sz w:val="24"/>
          <w:szCs w:val="24"/>
        </w:rPr>
        <w:t xml:space="preserve">los </w:t>
      </w:r>
      <w:r w:rsidRPr="004E7C42">
        <w:rPr>
          <w:rFonts w:ascii="Book Antiqua" w:hAnsi="Book Antiqua" w:cs="Arial"/>
          <w:i/>
          <w:sz w:val="24"/>
          <w:szCs w:val="24"/>
        </w:rPr>
        <w:t>Lineamientos sobre Formulación, Ejecución y Evaluación del Presupuesto de la República</w:t>
      </w:r>
      <w:r w:rsidRPr="004E7C42">
        <w:rPr>
          <w:rFonts w:ascii="Book Antiqua" w:hAnsi="Book Antiqua" w:cs="Arial"/>
          <w:sz w:val="24"/>
          <w:szCs w:val="24"/>
        </w:rPr>
        <w:t>, en su capítulo VI “</w:t>
      </w:r>
      <w:r w:rsidRPr="004E7C42">
        <w:rPr>
          <w:rFonts w:ascii="Book Antiqua" w:hAnsi="Book Antiqua" w:cs="Arial"/>
          <w:i/>
          <w:sz w:val="24"/>
          <w:szCs w:val="24"/>
        </w:rPr>
        <w:t>Seguimiento y Evaluación</w:t>
      </w:r>
      <w:r w:rsidRPr="004E7C42">
        <w:rPr>
          <w:rFonts w:ascii="Book Antiqua" w:hAnsi="Book Antiqua" w:cs="Arial"/>
          <w:sz w:val="24"/>
          <w:szCs w:val="24"/>
        </w:rPr>
        <w:t>”, artículo 75, dictado por parte de la Dirección General de Presupuesto Nacional del Ministerio de Hacienda</w:t>
      </w:r>
      <w:r>
        <w:rPr>
          <w:rFonts w:ascii="Book Antiqua" w:hAnsi="Book Antiqua" w:cs="Arial"/>
          <w:sz w:val="24"/>
          <w:szCs w:val="24"/>
        </w:rPr>
        <w:t>.</w:t>
      </w:r>
    </w:p>
    <w:p w:rsidR="004E7C42" w:rsidRPr="004E7C42" w:rsidRDefault="004E7C42" w:rsidP="004E7C42">
      <w:pPr>
        <w:ind w:firstLine="708"/>
        <w:jc w:val="both"/>
        <w:rPr>
          <w:rFonts w:ascii="Book Antiqua" w:hAnsi="Book Antiqua" w:cs="Book Antiqua"/>
          <w:sz w:val="24"/>
          <w:szCs w:val="24"/>
        </w:rPr>
      </w:pPr>
    </w:p>
    <w:p w:rsidR="004E7C42" w:rsidRPr="004E7C42" w:rsidRDefault="004E7C42" w:rsidP="004E7C42">
      <w:pPr>
        <w:widowControl w:val="0"/>
        <w:ind w:firstLine="708"/>
        <w:jc w:val="both"/>
        <w:rPr>
          <w:rFonts w:ascii="Book Antiqua" w:hAnsi="Book Antiqua" w:cs="Book Antiqua"/>
          <w:sz w:val="24"/>
          <w:szCs w:val="24"/>
        </w:rPr>
      </w:pPr>
      <w:r>
        <w:rPr>
          <w:rFonts w:ascii="Book Antiqua" w:hAnsi="Book Antiqua" w:cs="Book Antiqua"/>
          <w:sz w:val="24"/>
          <w:szCs w:val="24"/>
        </w:rPr>
        <w:t xml:space="preserve">Este informe tiene como </w:t>
      </w:r>
      <w:r w:rsidRPr="004E7C42">
        <w:rPr>
          <w:rFonts w:ascii="Book Antiqua" w:hAnsi="Book Antiqua" w:cs="Book Antiqua"/>
          <w:sz w:val="24"/>
          <w:szCs w:val="24"/>
        </w:rPr>
        <w:t xml:space="preserve"> plazo de presentación a</w:t>
      </w:r>
      <w:r w:rsidR="00331034">
        <w:rPr>
          <w:rFonts w:ascii="Book Antiqua" w:hAnsi="Book Antiqua" w:cs="Book Antiqua"/>
          <w:sz w:val="24"/>
          <w:szCs w:val="24"/>
        </w:rPr>
        <w:t xml:space="preserve">nte el Ministerio de Hacienda </w:t>
      </w:r>
      <w:r w:rsidRPr="004E7C42">
        <w:rPr>
          <w:rFonts w:ascii="Book Antiqua" w:hAnsi="Book Antiqua" w:cs="Book Antiqua"/>
          <w:sz w:val="24"/>
          <w:szCs w:val="24"/>
        </w:rPr>
        <w:t>el miércoles 31 de julio del 2019.</w:t>
      </w:r>
    </w:p>
    <w:p w:rsidR="004E7C42" w:rsidRPr="004E7C42" w:rsidRDefault="004E7C42" w:rsidP="004E7C42">
      <w:pPr>
        <w:widowControl w:val="0"/>
        <w:jc w:val="both"/>
        <w:rPr>
          <w:rFonts w:ascii="Book Antiqua" w:hAnsi="Book Antiqua" w:cs="Book Antiqua"/>
          <w:sz w:val="24"/>
          <w:szCs w:val="24"/>
        </w:rPr>
      </w:pPr>
    </w:p>
    <w:p w:rsidR="001453F5" w:rsidRPr="004E7C42" w:rsidRDefault="001453F5" w:rsidP="001453F5">
      <w:pPr>
        <w:widowControl w:val="0"/>
        <w:rPr>
          <w:rFonts w:ascii="Book Antiqua" w:hAnsi="Book Antiqua" w:cs="Book Antiqua"/>
          <w:sz w:val="24"/>
          <w:szCs w:val="24"/>
        </w:rPr>
      </w:pPr>
      <w:r w:rsidRPr="004E7C42">
        <w:rPr>
          <w:rFonts w:ascii="Book Antiqua" w:hAnsi="Book Antiqua" w:cs="Book Antiqua"/>
          <w:sz w:val="24"/>
          <w:szCs w:val="24"/>
        </w:rPr>
        <w:t>Atentamente,</w:t>
      </w:r>
    </w:p>
    <w:p w:rsidR="001453F5" w:rsidRPr="004E7C42" w:rsidRDefault="001453F5" w:rsidP="001453F5">
      <w:pPr>
        <w:widowControl w:val="0"/>
        <w:jc w:val="center"/>
        <w:rPr>
          <w:rFonts w:ascii="Book Antiqua" w:hAnsi="Book Antiqua" w:cs="Book Antiqua"/>
          <w:b/>
          <w:bCs/>
          <w:snapToGrid w:val="0"/>
          <w:sz w:val="24"/>
          <w:szCs w:val="24"/>
          <w:lang w:val="pt-BR"/>
        </w:rPr>
      </w:pPr>
    </w:p>
    <w:p w:rsidR="001453F5" w:rsidRPr="004E7C42" w:rsidRDefault="001453F5" w:rsidP="001453F5">
      <w:pPr>
        <w:widowControl w:val="0"/>
        <w:rPr>
          <w:rFonts w:ascii="Book Antiqua" w:hAnsi="Book Antiqua" w:cs="Book Antiqua"/>
          <w:snapToGrid w:val="0"/>
          <w:sz w:val="24"/>
          <w:szCs w:val="24"/>
          <w:lang w:val="pt-BR"/>
        </w:rPr>
      </w:pPr>
    </w:p>
    <w:p w:rsidR="001453F5" w:rsidRPr="004E7C42" w:rsidRDefault="001453F5" w:rsidP="001453F5">
      <w:pPr>
        <w:rPr>
          <w:rFonts w:ascii="Book Antiqua" w:hAnsi="Book Antiqua" w:cs="Book Antiqua"/>
          <w:snapToGrid w:val="0"/>
          <w:sz w:val="24"/>
          <w:szCs w:val="24"/>
          <w:lang w:val="pt-BR"/>
        </w:rPr>
      </w:pPr>
      <w:r w:rsidRPr="004E7C42">
        <w:rPr>
          <w:rFonts w:ascii="Book Antiqua" w:hAnsi="Book Antiqua" w:cs="Book Antiqua"/>
          <w:snapToGrid w:val="0"/>
          <w:sz w:val="24"/>
          <w:szCs w:val="24"/>
          <w:lang w:val="pt-BR"/>
        </w:rPr>
        <w:t xml:space="preserve">Erick Antonio Mora Leiva, Jefe </w:t>
      </w:r>
    </w:p>
    <w:p w:rsidR="001453F5" w:rsidRPr="004E7C42" w:rsidRDefault="001453F5" w:rsidP="001453F5">
      <w:pPr>
        <w:rPr>
          <w:rFonts w:ascii="Book Antiqua" w:hAnsi="Book Antiqua" w:cs="Book Antiqua"/>
          <w:snapToGrid w:val="0"/>
          <w:sz w:val="24"/>
          <w:szCs w:val="24"/>
          <w:lang w:val="pt-BR"/>
        </w:rPr>
      </w:pPr>
      <w:r w:rsidRPr="004E7C42">
        <w:rPr>
          <w:rFonts w:ascii="Book Antiqua" w:hAnsi="Book Antiqua" w:cs="Book Antiqua"/>
          <w:snapToGrid w:val="0"/>
          <w:sz w:val="24"/>
          <w:szCs w:val="24"/>
          <w:lang w:val="pt-BR"/>
        </w:rPr>
        <w:t>Proceso Planeación y Evaluación</w:t>
      </w:r>
    </w:p>
    <w:p w:rsidR="001453F5" w:rsidRPr="004E7C42" w:rsidRDefault="001453F5" w:rsidP="001453F5">
      <w:pPr>
        <w:rPr>
          <w:rFonts w:ascii="Book Antiqua" w:hAnsi="Book Antiqua" w:cs="Book Antiqua"/>
          <w:snapToGrid w:val="0"/>
          <w:sz w:val="24"/>
          <w:szCs w:val="24"/>
          <w:lang w:val="pt-BR"/>
        </w:rPr>
      </w:pPr>
    </w:p>
    <w:p w:rsidR="001453F5" w:rsidRPr="004E7C42" w:rsidRDefault="001453F5" w:rsidP="001453F5">
      <w:pPr>
        <w:rPr>
          <w:rFonts w:ascii="Book Antiqua" w:hAnsi="Book Antiqua" w:cs="Book Antiqua"/>
          <w:sz w:val="24"/>
          <w:szCs w:val="24"/>
        </w:rPr>
      </w:pPr>
    </w:p>
    <w:p w:rsidR="004E7C42" w:rsidRPr="009B25B8" w:rsidRDefault="00E31D80" w:rsidP="004E7C42">
      <w:pPr>
        <w:rPr>
          <w:rFonts w:ascii="Book Antiqua" w:hAnsi="Book Antiqua" w:cs="Arial"/>
        </w:rPr>
      </w:pPr>
      <w:r w:rsidRPr="009B25B8">
        <w:rPr>
          <w:rFonts w:ascii="Book Antiqua" w:hAnsi="Book Antiqua" w:cs="Arial"/>
        </w:rPr>
        <w:t>Copias:</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Dirección Ejecutiva</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Defensa Pública</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Centro de Apoyo, Coordinación y Mejoramiento de la Función Jurisdiccional</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Servicio de Atención y Protección de Víctimas y Testigos</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Ministerio Público</w:t>
      </w:r>
    </w:p>
    <w:p w:rsidR="004E7C42" w:rsidRPr="009B25B8" w:rsidRDefault="004E7C42" w:rsidP="00570DA5">
      <w:pPr>
        <w:numPr>
          <w:ilvl w:val="0"/>
          <w:numId w:val="4"/>
        </w:numPr>
        <w:rPr>
          <w:rFonts w:ascii="Book Antiqua" w:hAnsi="Book Antiqua" w:cs="Arial"/>
        </w:rPr>
      </w:pPr>
      <w:r w:rsidRPr="009B25B8">
        <w:rPr>
          <w:rFonts w:ascii="Book Antiqua" w:hAnsi="Book Antiqua" w:cs="Arial"/>
        </w:rPr>
        <w:t>Organismo de Investigación Judicial</w:t>
      </w:r>
    </w:p>
    <w:p w:rsidR="004E7C42" w:rsidRPr="009B25B8" w:rsidRDefault="004E7C42" w:rsidP="00570DA5">
      <w:pPr>
        <w:numPr>
          <w:ilvl w:val="0"/>
          <w:numId w:val="4"/>
        </w:numPr>
        <w:rPr>
          <w:rFonts w:ascii="Book Antiqua" w:hAnsi="Book Antiqua" w:cs="Book Antiqua"/>
        </w:rPr>
      </w:pPr>
      <w:r w:rsidRPr="009B25B8">
        <w:rPr>
          <w:rFonts w:ascii="Book Antiqua" w:hAnsi="Book Antiqua" w:cs="Arial"/>
        </w:rPr>
        <w:t>Archivo</w:t>
      </w:r>
    </w:p>
    <w:p w:rsidR="001453F5" w:rsidRPr="004E7C42" w:rsidRDefault="001453F5" w:rsidP="001453F5">
      <w:pPr>
        <w:rPr>
          <w:rFonts w:ascii="Book Antiqua" w:hAnsi="Book Antiqua" w:cs="Book Antiqua"/>
          <w:sz w:val="24"/>
          <w:szCs w:val="24"/>
          <w:lang w:val="es-ES"/>
        </w:rPr>
      </w:pPr>
    </w:p>
    <w:p w:rsidR="001453F5" w:rsidRPr="009B25B8" w:rsidRDefault="004E7C42" w:rsidP="001453F5">
      <w:pPr>
        <w:rPr>
          <w:rFonts w:ascii="Book Antiqua" w:hAnsi="Book Antiqua" w:cs="Book Antiqua"/>
          <w:lang w:val="es-ES"/>
        </w:rPr>
      </w:pPr>
      <w:r w:rsidRPr="009B25B8">
        <w:rPr>
          <w:rFonts w:ascii="Book Antiqua" w:hAnsi="Book Antiqua" w:cs="Book Antiqua"/>
          <w:lang w:val="es-ES"/>
        </w:rPr>
        <w:t>amc</w:t>
      </w:r>
    </w:p>
    <w:p w:rsidR="004E7C42" w:rsidRPr="009B25B8" w:rsidRDefault="001453F5" w:rsidP="00C10B6E">
      <w:pPr>
        <w:pStyle w:val="Textoindependiente2"/>
        <w:rPr>
          <w:rFonts w:ascii="Book Antiqua" w:hAnsi="Book Antiqua" w:cs="Book Antiqua"/>
          <w:sz w:val="20"/>
          <w:szCs w:val="20"/>
        </w:rPr>
      </w:pPr>
      <w:r w:rsidRPr="009B25B8">
        <w:rPr>
          <w:rFonts w:ascii="Book Antiqua" w:hAnsi="Book Antiqua" w:cs="Book Antiqua"/>
          <w:sz w:val="20"/>
          <w:szCs w:val="20"/>
        </w:rPr>
        <w:t>Ref.</w:t>
      </w:r>
      <w:r w:rsidR="00E31D80" w:rsidRPr="009B25B8">
        <w:rPr>
          <w:rFonts w:ascii="Book Antiqua" w:hAnsi="Book Antiqua" w:cs="Book Antiqua"/>
          <w:sz w:val="20"/>
          <w:szCs w:val="20"/>
        </w:rPr>
        <w:t>1188-19</w:t>
      </w:r>
    </w:p>
    <w:p w:rsidR="004E7C42" w:rsidRPr="004E7C42" w:rsidRDefault="004E7C42" w:rsidP="00E31D80">
      <w:pPr>
        <w:widowControl w:val="0"/>
        <w:rPr>
          <w:rFonts w:ascii="Book Antiqua" w:hAnsi="Book Antiqua" w:cs="Arial"/>
          <w:snapToGrid w:val="0"/>
          <w:sz w:val="24"/>
          <w:szCs w:val="24"/>
        </w:rPr>
      </w:pPr>
      <w:r w:rsidRPr="004E7C42">
        <w:rPr>
          <w:rFonts w:ascii="Book Antiqua" w:hAnsi="Book Antiqua" w:cs="Book Antiqua"/>
          <w:sz w:val="24"/>
          <w:szCs w:val="24"/>
        </w:rPr>
        <w:br w:type="page"/>
      </w:r>
      <w:r w:rsidRPr="004E7C42">
        <w:rPr>
          <w:rFonts w:ascii="Book Antiqua" w:hAnsi="Book Antiqua" w:cs="Arial"/>
          <w:snapToGrid w:val="0"/>
          <w:sz w:val="24"/>
          <w:szCs w:val="24"/>
        </w:rPr>
        <w:lastRenderedPageBreak/>
        <w:t>17 de julio de 2019</w:t>
      </w:r>
    </w:p>
    <w:p w:rsidR="004E7C42" w:rsidRPr="004E7C42" w:rsidRDefault="004E7C42" w:rsidP="004E7C42">
      <w:pPr>
        <w:widowControl w:val="0"/>
        <w:rPr>
          <w:rFonts w:ascii="Book Antiqua" w:hAnsi="Book Antiqua" w:cs="Arial"/>
          <w:snapToGrid w:val="0"/>
          <w:sz w:val="24"/>
          <w:szCs w:val="24"/>
        </w:rPr>
      </w:pPr>
    </w:p>
    <w:p w:rsidR="004E7C42" w:rsidRPr="004E7C42" w:rsidRDefault="004E7C42" w:rsidP="004E7C42">
      <w:pPr>
        <w:widowControl w:val="0"/>
        <w:rPr>
          <w:rFonts w:ascii="Book Antiqua" w:hAnsi="Book Antiqua" w:cs="Arial"/>
          <w:snapToGrid w:val="0"/>
          <w:sz w:val="24"/>
          <w:szCs w:val="24"/>
        </w:rPr>
      </w:pPr>
    </w:p>
    <w:p w:rsidR="004E7C42" w:rsidRDefault="004E7C42" w:rsidP="004E7C42">
      <w:pPr>
        <w:rPr>
          <w:rFonts w:ascii="Book Antiqua" w:hAnsi="Book Antiqua" w:cs="Book Antiqua"/>
          <w:snapToGrid w:val="0"/>
          <w:sz w:val="24"/>
          <w:szCs w:val="24"/>
          <w:lang w:val="pt-BR"/>
        </w:rPr>
      </w:pPr>
      <w:r>
        <w:rPr>
          <w:rFonts w:ascii="Book Antiqua" w:hAnsi="Book Antiqua" w:cs="Book Antiqua"/>
          <w:snapToGrid w:val="0"/>
          <w:sz w:val="24"/>
          <w:szCs w:val="24"/>
          <w:lang w:val="pt-BR"/>
        </w:rPr>
        <w:t>Licenciado</w:t>
      </w:r>
    </w:p>
    <w:p w:rsidR="004E7C42" w:rsidRPr="004E7C42" w:rsidRDefault="004E7C42" w:rsidP="004E7C42">
      <w:pPr>
        <w:rPr>
          <w:rFonts w:ascii="Book Antiqua" w:hAnsi="Book Antiqua" w:cs="Book Antiqua"/>
          <w:snapToGrid w:val="0"/>
          <w:sz w:val="24"/>
          <w:szCs w:val="24"/>
          <w:lang w:val="pt-BR"/>
        </w:rPr>
      </w:pPr>
      <w:r w:rsidRPr="004E7C42">
        <w:rPr>
          <w:rFonts w:ascii="Book Antiqua" w:hAnsi="Book Antiqua" w:cs="Book Antiqua"/>
          <w:snapToGrid w:val="0"/>
          <w:sz w:val="24"/>
          <w:szCs w:val="24"/>
          <w:lang w:val="pt-BR"/>
        </w:rPr>
        <w:t xml:space="preserve">Erick Antonio Mora Leiva, Jefe </w:t>
      </w:r>
    </w:p>
    <w:p w:rsidR="004E7C42" w:rsidRPr="004E7C42" w:rsidRDefault="004E7C42" w:rsidP="004E7C42">
      <w:pPr>
        <w:rPr>
          <w:rFonts w:ascii="Book Antiqua" w:hAnsi="Book Antiqua" w:cs="Book Antiqua"/>
          <w:snapToGrid w:val="0"/>
          <w:sz w:val="24"/>
          <w:szCs w:val="24"/>
          <w:lang w:val="pt-BR"/>
        </w:rPr>
      </w:pPr>
      <w:r w:rsidRPr="004E7C42">
        <w:rPr>
          <w:rFonts w:ascii="Book Antiqua" w:hAnsi="Book Antiqua" w:cs="Book Antiqua"/>
          <w:snapToGrid w:val="0"/>
          <w:sz w:val="24"/>
          <w:szCs w:val="24"/>
          <w:lang w:val="pt-BR"/>
        </w:rPr>
        <w:t>Proceso Planeación y Evaluación</w:t>
      </w:r>
    </w:p>
    <w:p w:rsidR="004E7C42" w:rsidRPr="004E7C42" w:rsidRDefault="004E7C42" w:rsidP="004E7C42">
      <w:pPr>
        <w:widowControl w:val="0"/>
        <w:rPr>
          <w:rFonts w:ascii="Book Antiqua" w:hAnsi="Book Antiqua" w:cs="Arial"/>
          <w:snapToGrid w:val="0"/>
          <w:color w:val="000000"/>
          <w:sz w:val="24"/>
          <w:szCs w:val="24"/>
          <w:lang w:val="pt-BR"/>
        </w:rPr>
      </w:pPr>
    </w:p>
    <w:p w:rsidR="004E7C42" w:rsidRPr="004E7C42" w:rsidRDefault="004E7C42" w:rsidP="004E7C42">
      <w:pPr>
        <w:widowControl w:val="0"/>
        <w:rPr>
          <w:rFonts w:ascii="Book Antiqua" w:hAnsi="Book Antiqua" w:cs="Arial"/>
          <w:snapToGrid w:val="0"/>
          <w:color w:val="000000"/>
          <w:sz w:val="24"/>
          <w:szCs w:val="24"/>
        </w:rPr>
      </w:pPr>
      <w:r>
        <w:rPr>
          <w:rFonts w:ascii="Book Antiqua" w:hAnsi="Book Antiqua" w:cs="Arial"/>
          <w:snapToGrid w:val="0"/>
          <w:color w:val="000000"/>
          <w:sz w:val="24"/>
          <w:szCs w:val="24"/>
        </w:rPr>
        <w:t>Estimado señor</w:t>
      </w:r>
      <w:r w:rsidRPr="004E7C42">
        <w:rPr>
          <w:rFonts w:ascii="Book Antiqua" w:hAnsi="Book Antiqua" w:cs="Arial"/>
          <w:snapToGrid w:val="0"/>
          <w:color w:val="000000"/>
          <w:sz w:val="24"/>
          <w:szCs w:val="24"/>
        </w:rPr>
        <w:t>:</w:t>
      </w:r>
    </w:p>
    <w:p w:rsidR="004E7C42" w:rsidRPr="004E7C42" w:rsidRDefault="004E7C42" w:rsidP="004E7C42">
      <w:pPr>
        <w:widowControl w:val="0"/>
        <w:jc w:val="both"/>
        <w:rPr>
          <w:rFonts w:ascii="Book Antiqua" w:hAnsi="Book Antiqua" w:cs="Arial"/>
          <w:sz w:val="24"/>
          <w:szCs w:val="24"/>
        </w:rPr>
      </w:pPr>
    </w:p>
    <w:p w:rsidR="004E7C42" w:rsidRPr="004E7C42" w:rsidRDefault="004E7C42" w:rsidP="004E7C42">
      <w:pPr>
        <w:widowControl w:val="0"/>
        <w:ind w:firstLine="708"/>
        <w:jc w:val="both"/>
        <w:rPr>
          <w:rFonts w:ascii="Book Antiqua" w:hAnsi="Book Antiqua" w:cs="Arial"/>
          <w:sz w:val="24"/>
          <w:szCs w:val="24"/>
        </w:rPr>
      </w:pPr>
      <w:r w:rsidRPr="004E7C42">
        <w:rPr>
          <w:rFonts w:ascii="Book Antiqua" w:hAnsi="Book Antiqua" w:cs="Arial"/>
          <w:sz w:val="24"/>
          <w:szCs w:val="24"/>
        </w:rPr>
        <w:t xml:space="preserve">En atención a los </w:t>
      </w:r>
      <w:r w:rsidRPr="004E7C42">
        <w:rPr>
          <w:rFonts w:ascii="Book Antiqua" w:hAnsi="Book Antiqua" w:cs="Arial"/>
          <w:i/>
          <w:sz w:val="24"/>
          <w:szCs w:val="24"/>
        </w:rPr>
        <w:t>Lineamientos sobre Formulación, Ejecución y Evaluación del Presupuesto de la República</w:t>
      </w:r>
      <w:r w:rsidRPr="004E7C42">
        <w:rPr>
          <w:rFonts w:ascii="Book Antiqua" w:hAnsi="Book Antiqua" w:cs="Arial"/>
          <w:sz w:val="24"/>
          <w:szCs w:val="24"/>
        </w:rPr>
        <w:t>, en su capítulo VI “</w:t>
      </w:r>
      <w:r w:rsidRPr="004E7C42">
        <w:rPr>
          <w:rFonts w:ascii="Book Antiqua" w:hAnsi="Book Antiqua" w:cs="Arial"/>
          <w:i/>
          <w:sz w:val="24"/>
          <w:szCs w:val="24"/>
        </w:rPr>
        <w:t>Seguimiento y Evaluación</w:t>
      </w:r>
      <w:r w:rsidRPr="004E7C42">
        <w:rPr>
          <w:rFonts w:ascii="Book Antiqua" w:hAnsi="Book Antiqua" w:cs="Arial"/>
          <w:sz w:val="24"/>
          <w:szCs w:val="24"/>
        </w:rPr>
        <w:t>”, artículo 75, dictado por parte de la Dirección General de Presupuesto Nacional del Ministerio de Hacienda, mediante el cual se solicita el “Informe de Seguimiento Presupuestario semestral 2019”, le remito el informe suscrito por el Lic. Erick Monge Sandí, Jefe del Subproceso de Evaluación, con  el resultado del seguimiento realizado a los programas presupuestarios del Título 301 Poder Judicial, atendiendo la metodología incorporada en el instrumento suministrado por la Dirección General de Presupuesto Nacional del Ministerio de Hacienda, con corte al 31 de junio del 2019.</w:t>
      </w:r>
    </w:p>
    <w:p w:rsidR="004E7C42" w:rsidRPr="004E7C42" w:rsidRDefault="004E7C42" w:rsidP="004E7C42">
      <w:pPr>
        <w:ind w:firstLine="708"/>
        <w:jc w:val="both"/>
        <w:rPr>
          <w:rFonts w:ascii="Book Antiqua" w:hAnsi="Book Antiqua" w:cs="Arial"/>
          <w:color w:val="000000"/>
          <w:sz w:val="24"/>
          <w:szCs w:val="24"/>
        </w:rPr>
      </w:pPr>
    </w:p>
    <w:p w:rsidR="004E7C42" w:rsidRPr="004E7C42" w:rsidRDefault="004E7C42" w:rsidP="004E7C42">
      <w:pPr>
        <w:ind w:firstLine="708"/>
        <w:jc w:val="both"/>
        <w:rPr>
          <w:rFonts w:ascii="Book Antiqua" w:hAnsi="Book Antiqua" w:cs="Arial"/>
          <w:color w:val="000000"/>
          <w:sz w:val="24"/>
          <w:szCs w:val="24"/>
        </w:rPr>
      </w:pPr>
      <w:r w:rsidRPr="004E7C42">
        <w:rPr>
          <w:rFonts w:ascii="Book Antiqua" w:hAnsi="Book Antiqua" w:cs="Arial"/>
          <w:color w:val="000000"/>
          <w:sz w:val="24"/>
          <w:szCs w:val="24"/>
        </w:rPr>
        <w:t xml:space="preserve">Se debe aclarar que para la elaboración del presente informe se remitió por parte de la Dirección de </w:t>
      </w:r>
      <w:bookmarkStart w:id="0" w:name="_GoBack"/>
      <w:bookmarkEnd w:id="0"/>
      <w:r w:rsidRPr="004E7C42">
        <w:rPr>
          <w:rFonts w:ascii="Book Antiqua" w:hAnsi="Book Antiqua" w:cs="Arial"/>
          <w:color w:val="000000"/>
          <w:sz w:val="24"/>
          <w:szCs w:val="24"/>
        </w:rPr>
        <w:t xml:space="preserve">Planifiación el 24 de junio del 2019 a las personas encargadas de cada uno de Programas un correo con el instrumento de seguimiento de la ejecución presupuestaria, a efectos de agilizar la confección de los informes que son el insumo para dar respuesta a los requerimientos del Ministerio de Hacienda.   </w:t>
      </w:r>
    </w:p>
    <w:p w:rsidR="004E7C42" w:rsidRPr="004E7C42" w:rsidRDefault="004E7C42" w:rsidP="004E7C42">
      <w:pPr>
        <w:ind w:firstLine="708"/>
        <w:jc w:val="both"/>
        <w:rPr>
          <w:rFonts w:ascii="Book Antiqua" w:hAnsi="Book Antiqua" w:cs="Arial"/>
          <w:color w:val="000000"/>
          <w:sz w:val="24"/>
          <w:szCs w:val="24"/>
        </w:rPr>
      </w:pPr>
    </w:p>
    <w:p w:rsidR="004E7C42" w:rsidRPr="004E7C42" w:rsidRDefault="004E7C42" w:rsidP="004E7C42">
      <w:pPr>
        <w:pStyle w:val="Default"/>
        <w:ind w:firstLine="708"/>
        <w:jc w:val="both"/>
        <w:rPr>
          <w:rFonts w:ascii="Book Antiqua" w:hAnsi="Book Antiqua"/>
        </w:rPr>
      </w:pPr>
      <w:r w:rsidRPr="004E7C42">
        <w:rPr>
          <w:rFonts w:ascii="Book Antiqua" w:hAnsi="Book Antiqua"/>
        </w:rPr>
        <w:t xml:space="preserve">Cabe indicar que una vez conocido y aprobado este informe por el Consejo Superior, se debe remitir a la Dirección General de Presupuesto </w:t>
      </w:r>
      <w:r w:rsidR="00C5213A" w:rsidRPr="004E7C42">
        <w:rPr>
          <w:rFonts w:ascii="Book Antiqua" w:hAnsi="Book Antiqua"/>
        </w:rPr>
        <w:t>Nacional</w:t>
      </w:r>
      <w:r w:rsidR="00C5213A" w:rsidRPr="004E7C42">
        <w:rPr>
          <w:rFonts w:ascii="Book Antiqua" w:hAnsi="Book Antiqua"/>
          <w:bCs/>
        </w:rPr>
        <w:t>,</w:t>
      </w:r>
      <w:r w:rsidR="00C5213A" w:rsidRPr="004E7C42">
        <w:rPr>
          <w:rFonts w:ascii="Book Antiqua" w:hAnsi="Book Antiqua"/>
        </w:rPr>
        <w:t xml:space="preserve"> con</w:t>
      </w:r>
      <w:r w:rsidRPr="004E7C42">
        <w:rPr>
          <w:rFonts w:ascii="Book Antiqua" w:hAnsi="Book Antiqua"/>
        </w:rPr>
        <w:t xml:space="preserve"> copia a la Contraloría General de la República, División de Fiscalización Operativa y Evaluativa, Área de Fiscalización del Sistema de Administración Financiera de la República.</w:t>
      </w:r>
    </w:p>
    <w:p w:rsidR="004E7C42" w:rsidRPr="004E7C42" w:rsidRDefault="004E7C42" w:rsidP="004E7C42">
      <w:pPr>
        <w:pStyle w:val="Default"/>
        <w:ind w:firstLine="708"/>
        <w:jc w:val="both"/>
        <w:rPr>
          <w:rFonts w:ascii="Book Antiqua" w:hAnsi="Book Antiqua"/>
        </w:rPr>
      </w:pPr>
    </w:p>
    <w:p w:rsidR="004E7C42" w:rsidRPr="004E7C42" w:rsidRDefault="004E7C42" w:rsidP="004E7C42">
      <w:pPr>
        <w:pStyle w:val="Default"/>
        <w:ind w:firstLine="708"/>
        <w:jc w:val="both"/>
        <w:rPr>
          <w:rFonts w:ascii="Book Antiqua" w:hAnsi="Book Antiqua"/>
          <w:b/>
          <w:bCs/>
        </w:rPr>
      </w:pPr>
      <w:r w:rsidRPr="004E7C42">
        <w:rPr>
          <w:rFonts w:ascii="Book Antiqua" w:hAnsi="Book Antiqua"/>
        </w:rPr>
        <w:t xml:space="preserve">El plazo de presentación ante el Ministerio de Hacienda es el </w:t>
      </w:r>
      <w:r w:rsidRPr="004E7C42">
        <w:rPr>
          <w:rFonts w:ascii="Book Antiqua" w:hAnsi="Book Antiqua"/>
          <w:b/>
          <w:bCs/>
        </w:rPr>
        <w:t xml:space="preserve">miércoles 31 de julio del 2019. </w:t>
      </w:r>
    </w:p>
    <w:p w:rsidR="004E7C42" w:rsidRPr="004E7C42" w:rsidRDefault="004E7C42" w:rsidP="004E7C42">
      <w:pPr>
        <w:pStyle w:val="Default"/>
        <w:ind w:firstLine="708"/>
        <w:jc w:val="both"/>
        <w:rPr>
          <w:rFonts w:ascii="Book Antiqua" w:hAnsi="Book Antiqua"/>
        </w:rPr>
      </w:pPr>
    </w:p>
    <w:p w:rsidR="004E7C42" w:rsidRPr="004E7C42" w:rsidRDefault="004E7C42" w:rsidP="004E7C42">
      <w:pPr>
        <w:ind w:firstLine="708"/>
        <w:jc w:val="both"/>
        <w:rPr>
          <w:rFonts w:ascii="Book Antiqua" w:hAnsi="Book Antiqua" w:cs="Arial"/>
          <w:color w:val="000000"/>
          <w:sz w:val="24"/>
          <w:szCs w:val="24"/>
        </w:rPr>
      </w:pPr>
      <w:r w:rsidRPr="004E7C42">
        <w:rPr>
          <w:rFonts w:ascii="Book Antiqua" w:hAnsi="Book Antiqua" w:cs="Arial"/>
          <w:color w:val="000000"/>
          <w:sz w:val="24"/>
          <w:szCs w:val="24"/>
        </w:rPr>
        <w:t xml:space="preserve">Se adjuntan los archivos PDF que </w:t>
      </w:r>
      <w:r w:rsidR="00C5213A" w:rsidRPr="004E7C42">
        <w:rPr>
          <w:rFonts w:ascii="Book Antiqua" w:hAnsi="Book Antiqua" w:cs="Arial"/>
          <w:color w:val="000000"/>
          <w:sz w:val="24"/>
          <w:szCs w:val="24"/>
        </w:rPr>
        <w:t>remitieron los</w:t>
      </w:r>
      <w:r w:rsidRPr="004E7C42">
        <w:rPr>
          <w:rFonts w:ascii="Book Antiqua" w:hAnsi="Book Antiqua" w:cs="Arial"/>
          <w:color w:val="000000"/>
          <w:sz w:val="24"/>
          <w:szCs w:val="24"/>
        </w:rPr>
        <w:t xml:space="preserve"> encargados de los distintos programas institucionales. </w:t>
      </w:r>
    </w:p>
    <w:p w:rsidR="004E7C42" w:rsidRPr="004E7C42" w:rsidRDefault="004E7C42" w:rsidP="004E7C42">
      <w:pPr>
        <w:rPr>
          <w:rFonts w:ascii="Book Antiqua" w:hAnsi="Book Antiqua"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4E7C42" w:rsidRPr="004E7C42" w:rsidTr="004E7C42">
        <w:tc>
          <w:tcPr>
            <w:tcW w:w="4489" w:type="dxa"/>
            <w:vAlign w:val="center"/>
          </w:tcPr>
          <w:p w:rsidR="004E7C42" w:rsidRPr="004E7C42" w:rsidRDefault="004E7C42" w:rsidP="004E7C42">
            <w:pPr>
              <w:jc w:val="center"/>
              <w:rPr>
                <w:rFonts w:ascii="Book Antiqua" w:hAnsi="Book Antiqua" w:cs="Arial"/>
                <w:b/>
                <w:bCs/>
                <w:color w:val="000000"/>
                <w:sz w:val="24"/>
                <w:szCs w:val="24"/>
              </w:rPr>
            </w:pPr>
            <w:r w:rsidRPr="004E7C42">
              <w:rPr>
                <w:rFonts w:ascii="Book Antiqua" w:hAnsi="Book Antiqua" w:cs="Arial"/>
                <w:b/>
                <w:bCs/>
                <w:color w:val="000000"/>
                <w:sz w:val="24"/>
                <w:szCs w:val="24"/>
              </w:rPr>
              <w:t>Programa Presupuestario</w:t>
            </w:r>
          </w:p>
        </w:tc>
        <w:tc>
          <w:tcPr>
            <w:tcW w:w="4489" w:type="dxa"/>
            <w:vAlign w:val="center"/>
          </w:tcPr>
          <w:p w:rsidR="004E7C42" w:rsidRPr="004E7C42" w:rsidRDefault="004E7C42" w:rsidP="004E7C42">
            <w:pPr>
              <w:jc w:val="center"/>
              <w:rPr>
                <w:rFonts w:ascii="Book Antiqua" w:hAnsi="Book Antiqua" w:cs="Arial"/>
                <w:b/>
                <w:bCs/>
                <w:color w:val="000000"/>
                <w:sz w:val="24"/>
                <w:szCs w:val="24"/>
              </w:rPr>
            </w:pPr>
            <w:r w:rsidRPr="004E7C42">
              <w:rPr>
                <w:rFonts w:ascii="Book Antiqua" w:hAnsi="Book Antiqua" w:cs="Arial"/>
                <w:b/>
                <w:bCs/>
                <w:color w:val="000000"/>
                <w:sz w:val="24"/>
                <w:szCs w:val="24"/>
              </w:rPr>
              <w:t>Anexo</w: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lastRenderedPageBreak/>
              <w:t>Programa 926- Dirección y Administración</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05pt" o:ole="">
                  <v:imagedata r:id="rId7" o:title=""/>
                </v:shape>
                <o:OLEObject Type="Embed" ProgID="AcroExch.Document.DC" ShapeID="_x0000_i1025" DrawAspect="Icon" ObjectID="_1624874650" r:id="rId8"/>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Programa 927 -Servicio Jurisdiccional (Apartado Financiero)</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26" type="#_x0000_t75" style="width:57.4pt;height:37.05pt" o:ole="">
                  <v:imagedata r:id="rId9" o:title=""/>
                </v:shape>
                <o:OLEObject Type="Embed" ProgID="AcroExch.Document.DC" ShapeID="_x0000_i1026" DrawAspect="Icon" ObjectID="_1624874651" r:id="rId10"/>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Programa 927 - Servicio Jurisdiccional (Apartado de gestión)</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27" type="#_x0000_t75" style="width:57.4pt;height:37.05pt" o:ole="">
                  <v:imagedata r:id="rId11" o:title=""/>
                </v:shape>
                <o:OLEObject Type="Embed" ProgID="AcroExch.Document.DC" ShapeID="_x0000_i1027" DrawAspect="Icon" ObjectID="_1624874652" r:id="rId12"/>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Programa 928- Servicio de Investigación Judicial</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28" type="#_x0000_t75" style="width:57.4pt;height:37.05pt" o:ole="">
                  <v:imagedata r:id="rId13" o:title=""/>
                </v:shape>
                <o:OLEObject Type="Embed" ProgID="AcroExch.Document.DC" ShapeID="_x0000_i1028" DrawAspect="Icon" ObjectID="_1624874653" r:id="rId14"/>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Programa 929- Servicio Ejercicio de la Acción Penal Pública</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29" type="#_x0000_t75" style="width:57.4pt;height:37.05pt" o:ole="">
                  <v:imagedata r:id="rId15" o:title=""/>
                </v:shape>
                <o:OLEObject Type="Embed" ProgID="AcroExch.Document.DC" ShapeID="_x0000_i1029" DrawAspect="Icon" ObjectID="_1624874654" r:id="rId16"/>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Programa 930- Servicio de Defensa Pública</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30" type="#_x0000_t75" style="width:57.4pt;height:37.05pt" o:ole="">
                  <v:imagedata r:id="rId17" o:title=""/>
                </v:shape>
                <o:OLEObject Type="Embed" ProgID="AcroExch.Document.DC" ShapeID="_x0000_i1030" DrawAspect="Icon" ObjectID="_1624874655" r:id="rId18"/>
              </w:object>
            </w:r>
          </w:p>
        </w:tc>
      </w:tr>
      <w:tr w:rsidR="004E7C42" w:rsidRPr="004E7C42" w:rsidTr="004E7C42">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t xml:space="preserve">Programa 950- Servicio de Atención y Protección de </w:t>
            </w:r>
            <w:r w:rsidR="00C5213A" w:rsidRPr="004E7C42">
              <w:rPr>
                <w:rFonts w:ascii="Book Antiqua" w:hAnsi="Book Antiqua" w:cs="Arial"/>
                <w:color w:val="000000"/>
                <w:sz w:val="24"/>
                <w:szCs w:val="24"/>
              </w:rPr>
              <w:t>Víctimas</w:t>
            </w:r>
            <w:r w:rsidRPr="004E7C42">
              <w:rPr>
                <w:rFonts w:ascii="Book Antiqua" w:hAnsi="Book Antiqua" w:cs="Arial"/>
                <w:color w:val="000000"/>
                <w:sz w:val="24"/>
                <w:szCs w:val="24"/>
              </w:rPr>
              <w:t xml:space="preserve"> y Testigos</w:t>
            </w:r>
          </w:p>
        </w:tc>
        <w:tc>
          <w:tcPr>
            <w:tcW w:w="4489" w:type="dxa"/>
            <w:vAlign w:val="center"/>
          </w:tcPr>
          <w:p w:rsidR="004E7C42" w:rsidRPr="004E7C42" w:rsidRDefault="004E7C42" w:rsidP="004E7C42">
            <w:pPr>
              <w:jc w:val="center"/>
              <w:rPr>
                <w:rFonts w:ascii="Book Antiqua" w:hAnsi="Book Antiqua" w:cs="Arial"/>
                <w:color w:val="000000"/>
                <w:sz w:val="24"/>
                <w:szCs w:val="24"/>
              </w:rPr>
            </w:pPr>
            <w:r w:rsidRPr="004E7C42">
              <w:rPr>
                <w:rFonts w:ascii="Book Antiqua" w:hAnsi="Book Antiqua" w:cs="Arial"/>
                <w:color w:val="000000"/>
                <w:sz w:val="24"/>
                <w:szCs w:val="24"/>
              </w:rPr>
              <w:object w:dxaOrig="1155" w:dyaOrig="747">
                <v:shape id="_x0000_i1031" type="#_x0000_t75" style="width:57.4pt;height:37.05pt" o:ole="">
                  <v:imagedata r:id="rId19" o:title=""/>
                </v:shape>
                <o:OLEObject Type="Embed" ProgID="AcroExch.Document.DC" ShapeID="_x0000_i1031" DrawAspect="Icon" ObjectID="_1624874656" r:id="rId20"/>
              </w:object>
            </w:r>
          </w:p>
        </w:tc>
      </w:tr>
    </w:tbl>
    <w:p w:rsidR="004E7C42" w:rsidRPr="004E7C42" w:rsidRDefault="004E7C42" w:rsidP="004E7C42">
      <w:pPr>
        <w:rPr>
          <w:rFonts w:ascii="Book Antiqua" w:hAnsi="Book Antiqua" w:cs="Arial"/>
          <w:color w:val="000000"/>
          <w:sz w:val="24"/>
          <w:szCs w:val="24"/>
        </w:rPr>
      </w:pPr>
    </w:p>
    <w:p w:rsidR="004E7C42" w:rsidRPr="004E7C42" w:rsidRDefault="004E7C42" w:rsidP="004E7C42">
      <w:pPr>
        <w:widowControl w:val="0"/>
        <w:rPr>
          <w:rFonts w:ascii="Book Antiqua" w:hAnsi="Book Antiqua" w:cs="Arial"/>
          <w:snapToGrid w:val="0"/>
          <w:sz w:val="24"/>
          <w:szCs w:val="24"/>
          <w:lang w:val="pt-BR"/>
        </w:rPr>
      </w:pPr>
      <w:r w:rsidRPr="004E7C42">
        <w:rPr>
          <w:rFonts w:ascii="Book Antiqua" w:hAnsi="Book Antiqua" w:cs="Arial"/>
          <w:snapToGrid w:val="0"/>
          <w:sz w:val="24"/>
          <w:szCs w:val="24"/>
          <w:lang w:val="pt-BR"/>
        </w:rPr>
        <w:t>Atentamente,</w:t>
      </w:r>
    </w:p>
    <w:p w:rsidR="004E7C42" w:rsidRPr="004E7C42" w:rsidRDefault="004E7C42" w:rsidP="004E7C42">
      <w:pPr>
        <w:widowControl w:val="0"/>
        <w:jc w:val="center"/>
        <w:rPr>
          <w:rFonts w:ascii="Book Antiqua" w:hAnsi="Book Antiqua" w:cs="Arial"/>
          <w:b/>
          <w:bCs/>
          <w:snapToGrid w:val="0"/>
          <w:sz w:val="24"/>
          <w:szCs w:val="24"/>
          <w:lang w:val="pt-BR"/>
        </w:rPr>
      </w:pPr>
    </w:p>
    <w:p w:rsidR="004E7C42" w:rsidRPr="004E7C42" w:rsidRDefault="004E7C42" w:rsidP="004E7C42">
      <w:pPr>
        <w:rPr>
          <w:rFonts w:ascii="Book Antiqua" w:hAnsi="Book Antiqua" w:cs="Arial"/>
          <w:snapToGrid w:val="0"/>
          <w:sz w:val="24"/>
          <w:szCs w:val="24"/>
          <w:lang w:val="pt-BR"/>
        </w:rPr>
      </w:pPr>
    </w:p>
    <w:p w:rsidR="004E7C42" w:rsidRDefault="004E7C42" w:rsidP="004E7C42">
      <w:pPr>
        <w:rPr>
          <w:rFonts w:ascii="Book Antiqua" w:hAnsi="Book Antiqua" w:cs="Arial"/>
          <w:snapToGrid w:val="0"/>
          <w:sz w:val="24"/>
          <w:szCs w:val="24"/>
          <w:lang w:val="pt-BR"/>
        </w:rPr>
      </w:pPr>
      <w:r>
        <w:rPr>
          <w:rFonts w:ascii="Book Antiqua" w:hAnsi="Book Antiqua" w:cs="Arial"/>
          <w:snapToGrid w:val="0"/>
          <w:sz w:val="24"/>
          <w:szCs w:val="24"/>
          <w:lang w:val="pt-BR"/>
        </w:rPr>
        <w:t xml:space="preserve">Erick Monge Sandí, Jefe </w:t>
      </w:r>
    </w:p>
    <w:p w:rsidR="004E7C42" w:rsidRPr="004E7C42" w:rsidRDefault="004E7C42" w:rsidP="004E7C42">
      <w:pPr>
        <w:rPr>
          <w:rFonts w:ascii="Book Antiqua" w:hAnsi="Book Antiqua" w:cs="Arial"/>
          <w:snapToGrid w:val="0"/>
          <w:sz w:val="24"/>
          <w:szCs w:val="24"/>
          <w:lang w:val="pt-BR"/>
        </w:rPr>
      </w:pPr>
      <w:r>
        <w:rPr>
          <w:rFonts w:ascii="Book Antiqua" w:hAnsi="Book Antiqua" w:cs="Arial"/>
          <w:snapToGrid w:val="0"/>
          <w:sz w:val="24"/>
          <w:szCs w:val="24"/>
          <w:lang w:val="pt-BR"/>
        </w:rPr>
        <w:t>Subproceso de Evaluación</w:t>
      </w:r>
    </w:p>
    <w:p w:rsidR="004E7C42" w:rsidRPr="004E7C42" w:rsidRDefault="004E7C42" w:rsidP="00570DA5">
      <w:pPr>
        <w:numPr>
          <w:ilvl w:val="0"/>
          <w:numId w:val="4"/>
        </w:numPr>
        <w:rPr>
          <w:rFonts w:ascii="Book Antiqua" w:hAnsi="Book Antiqua"/>
          <w:b/>
          <w:sz w:val="24"/>
          <w:szCs w:val="24"/>
          <w:lang w:val="es-ES"/>
        </w:rPr>
      </w:pPr>
      <w:r w:rsidRPr="004E7C42">
        <w:rPr>
          <w:rFonts w:ascii="Book Antiqua" w:hAnsi="Book Antiqua"/>
          <w:b/>
          <w:sz w:val="24"/>
          <w:szCs w:val="24"/>
          <w:lang w:val="es-ES"/>
        </w:rPr>
        <w:br w:type="page"/>
      </w:r>
    </w:p>
    <w:p w:rsidR="004E7C42" w:rsidRPr="004E7C42" w:rsidRDefault="00331034" w:rsidP="004E7C42">
      <w:pPr>
        <w:rPr>
          <w:rFonts w:ascii="Book Antiqua" w:hAnsi="Book Antiqua"/>
          <w:b/>
          <w:sz w:val="24"/>
          <w:szCs w:val="24"/>
          <w:lang w:val="es-ES"/>
        </w:rPr>
      </w:pPr>
      <w:r>
        <w:rPr>
          <w:rFonts w:ascii="Book Antiqua" w:hAnsi="Book Antiqua"/>
          <w:b/>
          <w:noProof/>
          <w:sz w:val="24"/>
          <w:szCs w:val="24"/>
          <w:lang w:eastAsia="es-CR"/>
        </w:rPr>
        <w:lastRenderedPageBreak/>
        <w:drawing>
          <wp:anchor distT="0" distB="0" distL="114300" distR="114300" simplePos="0" relativeHeight="251661312" behindDoc="1" locked="0" layoutInCell="1" allowOverlap="1">
            <wp:simplePos x="0" y="0"/>
            <wp:positionH relativeFrom="column">
              <wp:posOffset>-1160145</wp:posOffset>
            </wp:positionH>
            <wp:positionV relativeFrom="paragraph">
              <wp:posOffset>-1246505</wp:posOffset>
            </wp:positionV>
            <wp:extent cx="7848600" cy="10149840"/>
            <wp:effectExtent l="19050" t="0" r="0" b="0"/>
            <wp:wrapNone/>
            <wp:docPr id="20" name="Imagen 3" descr="Macintosh HD:Users:comunicacionMH:Desktop:Andé:Libro de marca nuevo:Folleto Presupuesto Nacional:Folleto 2015:fondo portadas presupu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cintosh HD:Users:comunicacionMH:Desktop:Andé:Libro de marca nuevo:Folleto Presupuesto Nacional:Folleto 2015:fondo portadas presupuesto.png"/>
                    <pic:cNvPicPr>
                      <a:picLocks noChangeAspect="1" noChangeArrowheads="1"/>
                    </pic:cNvPicPr>
                  </pic:nvPicPr>
                  <pic:blipFill>
                    <a:blip r:embed="rId21"/>
                    <a:srcRect/>
                    <a:stretch>
                      <a:fillRect/>
                    </a:stretch>
                  </pic:blipFill>
                  <pic:spPr bwMode="auto">
                    <a:xfrm>
                      <a:off x="0" y="0"/>
                      <a:ext cx="7848600" cy="10149840"/>
                    </a:xfrm>
                    <a:prstGeom prst="rect">
                      <a:avLst/>
                    </a:prstGeom>
                    <a:noFill/>
                    <a:ln w="9525">
                      <a:noFill/>
                      <a:miter lim="800000"/>
                      <a:headEnd/>
                      <a:tailEnd/>
                    </a:ln>
                  </pic:spPr>
                </pic:pic>
              </a:graphicData>
            </a:graphic>
          </wp:anchor>
        </w:drawing>
      </w: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3667C2" w:rsidP="004E7C42">
      <w:pPr>
        <w:rPr>
          <w:rFonts w:ascii="Book Antiqua" w:hAnsi="Book Antiqua"/>
          <w:b/>
          <w:sz w:val="24"/>
          <w:szCs w:val="24"/>
          <w:lang w:val="es-ES"/>
        </w:rPr>
      </w:pPr>
      <w:r w:rsidRPr="003667C2">
        <w:rPr>
          <w:rFonts w:ascii="Book Antiqua" w:hAnsi="Book Antiqua"/>
          <w:noProof/>
          <w:color w:val="808080" w:themeColor="background1" w:themeShade="80"/>
          <w:sz w:val="24"/>
          <w:szCs w:val="24"/>
          <w:lang w:eastAsia="es-CR"/>
        </w:rPr>
        <w:pict>
          <v:shapetype id="_x0000_t202" coordsize="21600,21600" o:spt="202" path="m,l,21600r21600,l21600,xe">
            <v:stroke joinstyle="miter"/>
            <v:path gradientshapeok="t" o:connecttype="rect"/>
          </v:shapetype>
          <v:shape id="Cuadro de texto 4" o:spid="_x0000_s1043" type="#_x0000_t202" style="position:absolute;margin-left:-19.4pt;margin-top:22.85pt;width:465.75pt;height:108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2Xsg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" filled="f" stroked="f">
            <v:textbox>
              <w:txbxContent>
                <w:p w:rsidR="004E7C42" w:rsidRPr="004E7C42" w:rsidRDefault="004E7C42" w:rsidP="004E7C42">
                  <w:pPr>
                    <w:jc w:val="center"/>
                    <w:rPr>
                      <w:rFonts w:ascii="Arial" w:hAnsi="Arial"/>
                      <w:color w:val="000000"/>
                      <w:sz w:val="36"/>
                      <w:szCs w:val="36"/>
                    </w:rPr>
                  </w:pPr>
                </w:p>
                <w:p w:rsidR="004E7C42" w:rsidRPr="004E7C42" w:rsidRDefault="004E7C42" w:rsidP="004E7C42">
                  <w:pPr>
                    <w:jc w:val="center"/>
                    <w:rPr>
                      <w:rFonts w:ascii="Arial" w:hAnsi="Arial"/>
                      <w:color w:val="000000"/>
                      <w:sz w:val="36"/>
                      <w:szCs w:val="36"/>
                    </w:rPr>
                  </w:pPr>
                  <w:r w:rsidRPr="004E7C42">
                    <w:rPr>
                      <w:rFonts w:ascii="Arial" w:hAnsi="Arial"/>
                      <w:color w:val="000000"/>
                      <w:sz w:val="36"/>
                      <w:szCs w:val="36"/>
                    </w:rPr>
                    <w:t>INSTRUCTIVO PARA LAS INSTITUCIONES</w:t>
                  </w:r>
                </w:p>
                <w:p w:rsidR="004E7C42" w:rsidRPr="004E7C42" w:rsidRDefault="004E7C42" w:rsidP="004E7C42">
                  <w:pPr>
                    <w:rPr>
                      <w:rFonts w:ascii="Arial" w:hAnsi="Arial"/>
                      <w:color w:val="FFFFFF"/>
                      <w:sz w:val="44"/>
                      <w:szCs w:val="44"/>
                    </w:rPr>
                  </w:pPr>
                  <w:r w:rsidRPr="004E7C42">
                    <w:rPr>
                      <w:rFonts w:ascii="Arial" w:hAnsi="Arial"/>
                      <w:color w:val="FFFFFF"/>
                      <w:sz w:val="44"/>
                      <w:szCs w:val="44"/>
                    </w:rPr>
                    <w:t>INFORME  DE SEGUIMIENTO SEMESTRAL</w:t>
                  </w:r>
                </w:p>
                <w:p w:rsidR="004E7C42" w:rsidRPr="004E7C42" w:rsidRDefault="004E7C42" w:rsidP="004E7C42">
                  <w:pPr>
                    <w:jc w:val="center"/>
                    <w:rPr>
                      <w:color w:val="FFFFFF"/>
                      <w:sz w:val="44"/>
                      <w:szCs w:val="44"/>
                      <w:lang w:val="es-ES"/>
                    </w:rPr>
                  </w:pPr>
                  <w:r w:rsidRPr="004E7C42">
                    <w:rPr>
                      <w:rFonts w:ascii="Arial" w:hAnsi="Arial"/>
                      <w:color w:val="FFFFFF"/>
                      <w:sz w:val="44"/>
                      <w:szCs w:val="44"/>
                    </w:rPr>
                    <w:t>EJERCICIO ECONÓMICO 2019</w:t>
                  </w:r>
                </w:p>
                <w:p w:rsidR="004E7C42" w:rsidRPr="0029042B" w:rsidRDefault="004E7C42" w:rsidP="004E7C42"/>
              </w:txbxContent>
            </v:textbox>
            <w10:wrap type="square"/>
          </v:shape>
        </w:pict>
      </w:r>
    </w:p>
    <w:p w:rsidR="004E7C42" w:rsidRPr="004E7C42" w:rsidRDefault="004E7C42" w:rsidP="004E7C42">
      <w:pPr>
        <w:jc w:val="center"/>
        <w:rPr>
          <w:rFonts w:ascii="Book Antiqua" w:hAnsi="Book Antiqua"/>
          <w:noProof/>
          <w:color w:val="808080" w:themeColor="background1" w:themeShade="80"/>
          <w:sz w:val="24"/>
          <w:szCs w:val="24"/>
          <w:lang w:eastAsia="es-CR"/>
        </w:rPr>
      </w:pPr>
    </w:p>
    <w:p w:rsidR="004E7C42" w:rsidRPr="004E7C42" w:rsidRDefault="004E7C42" w:rsidP="004E7C42">
      <w:pPr>
        <w:jc w:val="center"/>
        <w:rPr>
          <w:rFonts w:ascii="Book Antiqua" w:hAnsi="Book Antiqua"/>
          <w:noProof/>
          <w:color w:val="808080" w:themeColor="background1" w:themeShade="80"/>
          <w:sz w:val="24"/>
          <w:szCs w:val="24"/>
          <w:lang w:eastAsia="es-CR"/>
        </w:rPr>
      </w:pPr>
    </w:p>
    <w:p w:rsidR="004E7C42" w:rsidRPr="004E7C42" w:rsidRDefault="004E7C42" w:rsidP="004E7C42">
      <w:pPr>
        <w:jc w:val="center"/>
        <w:rPr>
          <w:rFonts w:ascii="Book Antiqua" w:hAnsi="Book Antiqua"/>
          <w:noProof/>
          <w:color w:val="808080" w:themeColor="background1" w:themeShade="80"/>
          <w:sz w:val="24"/>
          <w:szCs w:val="24"/>
          <w:lang w:eastAsia="es-CR"/>
        </w:rPr>
      </w:pPr>
    </w:p>
    <w:p w:rsidR="004E7C42" w:rsidRPr="004E7C42" w:rsidRDefault="004E7C42" w:rsidP="004E7C42">
      <w:pPr>
        <w:jc w:val="center"/>
        <w:rPr>
          <w:rFonts w:ascii="Book Antiqua" w:hAnsi="Book Antiqua"/>
          <w:noProof/>
          <w:color w:val="808080" w:themeColor="background1" w:themeShade="80"/>
          <w:sz w:val="24"/>
          <w:szCs w:val="24"/>
          <w:lang w:eastAsia="es-CR"/>
        </w:rPr>
      </w:pPr>
    </w:p>
    <w:p w:rsidR="004E7C42" w:rsidRPr="004E7C42" w:rsidRDefault="004E7C42" w:rsidP="004E7C42">
      <w:pPr>
        <w:jc w:val="both"/>
        <w:rPr>
          <w:rFonts w:ascii="Book Antiqua" w:hAnsi="Book Antiqua"/>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3667C2" w:rsidP="004E7C42">
      <w:pPr>
        <w:rPr>
          <w:rFonts w:ascii="Book Antiqua" w:hAnsi="Book Antiqua"/>
          <w:b/>
          <w:sz w:val="24"/>
          <w:szCs w:val="24"/>
          <w:lang w:val="es-ES"/>
        </w:rPr>
      </w:pPr>
      <w:r w:rsidRPr="003667C2">
        <w:rPr>
          <w:rFonts w:ascii="Book Antiqua" w:hAnsi="Book Antiqua"/>
          <w:noProof/>
          <w:sz w:val="24"/>
          <w:szCs w:val="24"/>
          <w:lang w:eastAsia="es-CR"/>
        </w:rPr>
        <w:pict>
          <v:shape id="Cuadro de texto 2" o:spid="_x0000_s1042" type="#_x0000_t202" style="position:absolute;margin-left:18pt;margin-top:24.9pt;width:415.7pt;height:61.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" filled="f" stroked="f">
            <v:textbox>
              <w:txbxContent>
                <w:p w:rsidR="004E7C42" w:rsidRPr="004E7C42" w:rsidRDefault="004E7C42" w:rsidP="004E7C42">
                  <w:pPr>
                    <w:jc w:val="center"/>
                    <w:rPr>
                      <w:rFonts w:ascii="Arial" w:hAnsi="Arial"/>
                      <w:color w:val="808080"/>
                      <w:sz w:val="40"/>
                      <w:szCs w:val="40"/>
                    </w:rPr>
                  </w:pPr>
                </w:p>
                <w:p w:rsidR="004E7C42" w:rsidRPr="00D74775" w:rsidRDefault="004E7C42" w:rsidP="004E7C42">
                  <w:pPr>
                    <w:jc w:val="center"/>
                  </w:pPr>
                  <w:r w:rsidRPr="004E7C42">
                    <w:rPr>
                      <w:rFonts w:ascii="Arial" w:hAnsi="Arial"/>
                      <w:color w:val="808080"/>
                      <w:sz w:val="40"/>
                      <w:szCs w:val="40"/>
                    </w:rPr>
                    <w:t xml:space="preserve">Dirección General de Presupuesto Nacional </w:t>
                  </w:r>
                </w:p>
                <w:p w:rsidR="004E7C42" w:rsidRPr="004E7C42" w:rsidRDefault="004E7C42" w:rsidP="004E7C42">
                  <w:pPr>
                    <w:jc w:val="center"/>
                    <w:rPr>
                      <w:rFonts w:ascii="Calibri" w:hAnsi="Calibri"/>
                      <w:sz w:val="36"/>
                      <w:lang w:val="es-ES"/>
                    </w:rPr>
                  </w:pPr>
                </w:p>
              </w:txbxContent>
            </v:textbox>
            <w10:wrap type="square"/>
          </v:shape>
        </w:pict>
      </w: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rPr>
          <w:rFonts w:ascii="Book Antiqua" w:hAnsi="Book Antiqua"/>
          <w:b/>
          <w:sz w:val="24"/>
          <w:szCs w:val="24"/>
          <w:lang w:val="es-ES"/>
        </w:rPr>
      </w:pPr>
    </w:p>
    <w:p w:rsidR="004E7C42" w:rsidRPr="004E7C42" w:rsidRDefault="004E7C42" w:rsidP="004E7C42">
      <w:pPr>
        <w:pStyle w:val="Textoindependiente"/>
        <w:spacing w:line="360" w:lineRule="auto"/>
        <w:jc w:val="center"/>
        <w:rPr>
          <w:rFonts w:ascii="Book Antiqua" w:hAnsi="Book Antiqua" w:cs="Arial"/>
          <w:b/>
          <w:sz w:val="24"/>
          <w:szCs w:val="24"/>
        </w:rPr>
      </w:pPr>
    </w:p>
    <w:p w:rsidR="004E7C42" w:rsidRPr="004E7C42" w:rsidRDefault="004E7C42" w:rsidP="004E7C42">
      <w:pPr>
        <w:pStyle w:val="Ttulo1"/>
        <w:jc w:val="center"/>
        <w:rPr>
          <w:rStyle w:val="Ttulodellibro"/>
          <w:rFonts w:ascii="Book Antiqua" w:hAnsi="Book Antiqua"/>
          <w:b/>
          <w:color w:val="000000" w:themeColor="text1"/>
          <w:lang w:val="es-CR"/>
        </w:rPr>
      </w:pPr>
      <w:bookmarkStart w:id="1" w:name="_Toc7346491"/>
      <w:bookmarkStart w:id="2" w:name="_Toc530474644"/>
    </w:p>
    <w:p w:rsidR="004E7C42" w:rsidRPr="004E7C42" w:rsidRDefault="004E7C42" w:rsidP="004E7C42">
      <w:pPr>
        <w:pStyle w:val="Ttulo1"/>
        <w:jc w:val="center"/>
        <w:rPr>
          <w:rStyle w:val="Ttulodellibro"/>
          <w:rFonts w:ascii="Book Antiqua" w:hAnsi="Book Antiqua"/>
          <w:b/>
          <w:color w:val="000000" w:themeColor="text1"/>
          <w:lang w:val="es-CR"/>
        </w:rPr>
      </w:pPr>
    </w:p>
    <w:p w:rsidR="004E7C42" w:rsidRPr="004E7C42" w:rsidRDefault="004E7C42" w:rsidP="004E7C42">
      <w:pPr>
        <w:pStyle w:val="Ttulo1"/>
        <w:jc w:val="center"/>
        <w:rPr>
          <w:rStyle w:val="Ttulodellibro"/>
          <w:rFonts w:ascii="Book Antiqua" w:hAnsi="Book Antiqua"/>
          <w:b/>
          <w:color w:val="000000" w:themeColor="text1"/>
          <w:lang w:val="es-CR"/>
        </w:rPr>
      </w:pPr>
    </w:p>
    <w:p w:rsidR="004E7C42" w:rsidRPr="004E7C42" w:rsidRDefault="004E7C42" w:rsidP="004E7C42">
      <w:pPr>
        <w:pStyle w:val="TtulodeTDC"/>
        <w:rPr>
          <w:rFonts w:ascii="Book Antiqua" w:hAnsi="Book Antiqua" w:cs="Arial"/>
          <w:sz w:val="24"/>
          <w:szCs w:val="24"/>
          <w:lang w:val="es-ES"/>
        </w:rPr>
      </w:pPr>
      <w:r w:rsidRPr="004E7C42">
        <w:rPr>
          <w:rFonts w:ascii="Book Antiqua" w:hAnsi="Book Antiqua" w:cs="Arial"/>
          <w:sz w:val="24"/>
          <w:szCs w:val="24"/>
          <w:lang w:val="es-ES"/>
        </w:rPr>
        <w:t>Contenido</w:t>
      </w:r>
    </w:p>
    <w:p w:rsidR="004E7C42" w:rsidRPr="004E7C42" w:rsidRDefault="004E7C42" w:rsidP="004E7C42">
      <w:pPr>
        <w:rPr>
          <w:rFonts w:ascii="Book Antiqua" w:hAnsi="Book Antiqua"/>
          <w:sz w:val="24"/>
          <w:szCs w:val="24"/>
          <w:lang w:val="es-ES" w:eastAsia="es-CR"/>
        </w:rPr>
      </w:pPr>
    </w:p>
    <w:p w:rsidR="004E7C42" w:rsidRPr="004E7C42" w:rsidRDefault="003667C2" w:rsidP="004E7C42">
      <w:pPr>
        <w:pStyle w:val="TDC1"/>
        <w:tabs>
          <w:tab w:val="right" w:leader="dot" w:pos="8828"/>
        </w:tabs>
        <w:rPr>
          <w:rFonts w:ascii="Book Antiqua" w:eastAsiaTheme="minorEastAsia" w:hAnsi="Book Antiqua" w:cstheme="minorBidi"/>
          <w:noProof/>
          <w:lang w:val="es-CR" w:eastAsia="es-CR"/>
        </w:rPr>
      </w:pPr>
      <w:r w:rsidRPr="003667C2">
        <w:rPr>
          <w:rFonts w:ascii="Book Antiqua" w:hAnsi="Book Antiqua" w:cs="Arial"/>
        </w:rPr>
        <w:fldChar w:fldCharType="begin"/>
      </w:r>
      <w:r w:rsidR="004E7C42" w:rsidRPr="004E7C42">
        <w:rPr>
          <w:rFonts w:ascii="Book Antiqua" w:hAnsi="Book Antiqua" w:cs="Arial"/>
        </w:rPr>
        <w:instrText xml:space="preserve"> TOC \o "1-3" \h \z \u </w:instrText>
      </w:r>
      <w:r w:rsidRPr="003667C2">
        <w:rPr>
          <w:rFonts w:ascii="Book Antiqua" w:hAnsi="Book Antiqua" w:cs="Arial"/>
        </w:rPr>
        <w:fldChar w:fldCharType="separate"/>
      </w:r>
      <w:hyperlink w:anchor="_Toc14184510" w:history="1">
        <w:r w:rsidR="004E7C42" w:rsidRPr="004E7C42">
          <w:rPr>
            <w:rStyle w:val="Hipervnculo"/>
            <w:rFonts w:ascii="Book Antiqua" w:hAnsi="Book Antiqua"/>
            <w:smallCaps/>
            <w:noProof/>
            <w:lang w:val="es-CR"/>
          </w:rPr>
          <w:t>SEGUIMIENTO SEMESTRAL  DE LOS RESULTADOS FÍSICOS Y FINANCIEROS 2019</w:t>
        </w:r>
        <w:r w:rsidR="004E7C42" w:rsidRPr="004E7C42">
          <w:rPr>
            <w:rFonts w:ascii="Book Antiqua" w:hAnsi="Book Antiqua"/>
            <w:noProof/>
            <w:webHidden/>
          </w:rPr>
          <w:tab/>
        </w:r>
        <w:r w:rsidRPr="004E7C42">
          <w:rPr>
            <w:rFonts w:ascii="Book Antiqua" w:hAnsi="Book Antiqua"/>
            <w:noProof/>
            <w:webHidden/>
          </w:rPr>
          <w:fldChar w:fldCharType="begin"/>
        </w:r>
        <w:r w:rsidR="004E7C42" w:rsidRPr="004E7C42">
          <w:rPr>
            <w:rFonts w:ascii="Book Antiqua" w:hAnsi="Book Antiqua"/>
            <w:noProof/>
            <w:webHidden/>
          </w:rPr>
          <w:instrText xml:space="preserve"> PAGEREF _Toc14184510 \h </w:instrText>
        </w:r>
        <w:r w:rsidRPr="004E7C42">
          <w:rPr>
            <w:rFonts w:ascii="Book Antiqua" w:hAnsi="Book Antiqua"/>
            <w:noProof/>
            <w:webHidden/>
          </w:rPr>
        </w:r>
        <w:r w:rsidRPr="004E7C42">
          <w:rPr>
            <w:rFonts w:ascii="Book Antiqua" w:hAnsi="Book Antiqua"/>
            <w:noProof/>
            <w:webHidden/>
          </w:rPr>
          <w:fldChar w:fldCharType="separate"/>
        </w:r>
        <w:r w:rsidR="004E7C42">
          <w:rPr>
            <w:rFonts w:ascii="Book Antiqua" w:hAnsi="Book Antiqua"/>
            <w:noProof/>
            <w:webHidden/>
          </w:rPr>
          <w:t>7</w:t>
        </w:r>
        <w:r w:rsidRPr="004E7C42">
          <w:rPr>
            <w:rFonts w:ascii="Book Antiqua" w:hAnsi="Book Antiqua"/>
            <w:noProof/>
            <w:webHidden/>
          </w:rPr>
          <w:fldChar w:fldCharType="end"/>
        </w:r>
      </w:hyperlink>
    </w:p>
    <w:p w:rsidR="004E7C42" w:rsidRPr="004E7C42" w:rsidRDefault="003667C2" w:rsidP="004E7C42">
      <w:pPr>
        <w:pStyle w:val="TDC1"/>
        <w:tabs>
          <w:tab w:val="right" w:leader="dot" w:pos="8828"/>
        </w:tabs>
        <w:rPr>
          <w:rFonts w:ascii="Book Antiqua" w:eastAsiaTheme="minorEastAsia" w:hAnsi="Book Antiqua" w:cstheme="minorBidi"/>
          <w:noProof/>
          <w:lang w:val="es-CR" w:eastAsia="es-CR"/>
        </w:rPr>
      </w:pPr>
      <w:hyperlink w:anchor="_Toc14184511" w:history="1">
        <w:r w:rsidR="004E7C42" w:rsidRPr="004E7C42">
          <w:rPr>
            <w:rStyle w:val="Hipervnculo"/>
            <w:rFonts w:ascii="Book Antiqua" w:hAnsi="Book Antiqua" w:cs="Arial"/>
            <w:noProof/>
            <w:lang w:val="es-CR"/>
          </w:rPr>
          <w:t>Objetivo del informe de seguimiento</w:t>
        </w:r>
        <w:r w:rsidR="004E7C42" w:rsidRPr="004E7C42">
          <w:rPr>
            <w:rFonts w:ascii="Book Antiqua" w:hAnsi="Book Antiqua"/>
            <w:noProof/>
            <w:webHidden/>
          </w:rPr>
          <w:tab/>
        </w:r>
        <w:r w:rsidRPr="004E7C42">
          <w:rPr>
            <w:rFonts w:ascii="Book Antiqua" w:hAnsi="Book Antiqua"/>
            <w:noProof/>
            <w:webHidden/>
          </w:rPr>
          <w:fldChar w:fldCharType="begin"/>
        </w:r>
        <w:r w:rsidR="004E7C42" w:rsidRPr="004E7C42">
          <w:rPr>
            <w:rFonts w:ascii="Book Antiqua" w:hAnsi="Book Antiqua"/>
            <w:noProof/>
            <w:webHidden/>
          </w:rPr>
          <w:instrText xml:space="preserve"> PAGEREF _Toc14184511 \h </w:instrText>
        </w:r>
        <w:r w:rsidRPr="004E7C42">
          <w:rPr>
            <w:rFonts w:ascii="Book Antiqua" w:hAnsi="Book Antiqua"/>
            <w:noProof/>
            <w:webHidden/>
          </w:rPr>
        </w:r>
        <w:r w:rsidRPr="004E7C42">
          <w:rPr>
            <w:rFonts w:ascii="Book Antiqua" w:hAnsi="Book Antiqua"/>
            <w:noProof/>
            <w:webHidden/>
          </w:rPr>
          <w:fldChar w:fldCharType="separate"/>
        </w:r>
        <w:r w:rsidR="004E7C42">
          <w:rPr>
            <w:rFonts w:ascii="Book Antiqua" w:hAnsi="Book Antiqua"/>
            <w:noProof/>
            <w:webHidden/>
          </w:rPr>
          <w:t>7</w:t>
        </w:r>
        <w:r w:rsidRPr="004E7C42">
          <w:rPr>
            <w:rFonts w:ascii="Book Antiqua" w:hAnsi="Book Antiqua"/>
            <w:noProof/>
            <w:webHidden/>
          </w:rPr>
          <w:fldChar w:fldCharType="end"/>
        </w:r>
      </w:hyperlink>
    </w:p>
    <w:p w:rsidR="004E7C42" w:rsidRPr="004E7C42" w:rsidRDefault="003667C2" w:rsidP="004E7C42">
      <w:pPr>
        <w:pStyle w:val="TDC1"/>
        <w:tabs>
          <w:tab w:val="right" w:leader="dot" w:pos="8828"/>
        </w:tabs>
        <w:rPr>
          <w:rFonts w:ascii="Book Antiqua" w:eastAsiaTheme="minorEastAsia" w:hAnsi="Book Antiqua" w:cstheme="minorBidi"/>
          <w:noProof/>
          <w:lang w:val="es-CR" w:eastAsia="es-CR"/>
        </w:rPr>
      </w:pPr>
      <w:hyperlink w:anchor="_Toc14184512" w:history="1">
        <w:r w:rsidR="004E7C42" w:rsidRPr="004E7C42">
          <w:rPr>
            <w:rStyle w:val="Hipervnculo"/>
            <w:rFonts w:ascii="Book Antiqua" w:hAnsi="Book Antiqua" w:cs="Arial"/>
            <w:noProof/>
            <w:lang w:val="es-CR"/>
          </w:rPr>
          <w:t>Instrucciones generales</w:t>
        </w:r>
        <w:r w:rsidR="004E7C42" w:rsidRPr="004E7C42">
          <w:rPr>
            <w:rFonts w:ascii="Book Antiqua" w:hAnsi="Book Antiqua"/>
            <w:noProof/>
            <w:webHidden/>
          </w:rPr>
          <w:tab/>
        </w:r>
        <w:r w:rsidRPr="004E7C42">
          <w:rPr>
            <w:rFonts w:ascii="Book Antiqua" w:hAnsi="Book Antiqua"/>
            <w:noProof/>
            <w:webHidden/>
          </w:rPr>
          <w:fldChar w:fldCharType="begin"/>
        </w:r>
        <w:r w:rsidR="004E7C42" w:rsidRPr="004E7C42">
          <w:rPr>
            <w:rFonts w:ascii="Book Antiqua" w:hAnsi="Book Antiqua"/>
            <w:noProof/>
            <w:webHidden/>
          </w:rPr>
          <w:instrText xml:space="preserve"> PAGEREF _Toc14184512 \h </w:instrText>
        </w:r>
        <w:r w:rsidRPr="004E7C42">
          <w:rPr>
            <w:rFonts w:ascii="Book Antiqua" w:hAnsi="Book Antiqua"/>
            <w:noProof/>
            <w:webHidden/>
          </w:rPr>
        </w:r>
        <w:r w:rsidRPr="004E7C42">
          <w:rPr>
            <w:rFonts w:ascii="Book Antiqua" w:hAnsi="Book Antiqua"/>
            <w:noProof/>
            <w:webHidden/>
          </w:rPr>
          <w:fldChar w:fldCharType="separate"/>
        </w:r>
        <w:r w:rsidR="004E7C42">
          <w:rPr>
            <w:rFonts w:ascii="Book Antiqua" w:hAnsi="Book Antiqua"/>
            <w:noProof/>
            <w:webHidden/>
          </w:rPr>
          <w:t>7</w:t>
        </w:r>
        <w:r w:rsidRPr="004E7C42">
          <w:rPr>
            <w:rFonts w:ascii="Book Antiqua" w:hAnsi="Book Antiqua"/>
            <w:noProof/>
            <w:webHidden/>
          </w:rPr>
          <w:fldChar w:fldCharType="end"/>
        </w:r>
      </w:hyperlink>
    </w:p>
    <w:p w:rsidR="004E7C42" w:rsidRPr="004E7C42" w:rsidRDefault="003667C2" w:rsidP="004E7C42">
      <w:pPr>
        <w:pStyle w:val="TDC1"/>
        <w:tabs>
          <w:tab w:val="right" w:leader="dot" w:pos="8828"/>
        </w:tabs>
        <w:rPr>
          <w:rFonts w:ascii="Book Antiqua" w:eastAsiaTheme="minorEastAsia" w:hAnsi="Book Antiqua" w:cstheme="minorBidi"/>
          <w:noProof/>
          <w:lang w:val="es-CR" w:eastAsia="es-CR"/>
        </w:rPr>
      </w:pPr>
      <w:hyperlink w:anchor="_Toc14184513" w:history="1">
        <w:r w:rsidR="004E7C42" w:rsidRPr="004E7C42">
          <w:rPr>
            <w:rStyle w:val="Hipervnculo"/>
            <w:rFonts w:ascii="Book Antiqua" w:hAnsi="Book Antiqua" w:cs="Arial"/>
            <w:noProof/>
            <w:lang w:val="es-CR"/>
          </w:rPr>
          <w:t>Apartado financiero</w:t>
        </w:r>
        <w:r w:rsidR="004E7C42" w:rsidRPr="004E7C42">
          <w:rPr>
            <w:rFonts w:ascii="Book Antiqua" w:hAnsi="Book Antiqua"/>
            <w:noProof/>
            <w:webHidden/>
          </w:rPr>
          <w:tab/>
        </w:r>
        <w:r w:rsidRPr="004E7C42">
          <w:rPr>
            <w:rFonts w:ascii="Book Antiqua" w:hAnsi="Book Antiqua"/>
            <w:noProof/>
            <w:webHidden/>
          </w:rPr>
          <w:fldChar w:fldCharType="begin"/>
        </w:r>
        <w:r w:rsidR="004E7C42" w:rsidRPr="004E7C42">
          <w:rPr>
            <w:rFonts w:ascii="Book Antiqua" w:hAnsi="Book Antiqua"/>
            <w:noProof/>
            <w:webHidden/>
          </w:rPr>
          <w:instrText xml:space="preserve"> PAGEREF _Toc14184513 \h </w:instrText>
        </w:r>
        <w:r w:rsidRPr="004E7C42">
          <w:rPr>
            <w:rFonts w:ascii="Book Antiqua" w:hAnsi="Book Antiqua"/>
            <w:noProof/>
            <w:webHidden/>
          </w:rPr>
        </w:r>
        <w:r w:rsidRPr="004E7C42">
          <w:rPr>
            <w:rFonts w:ascii="Book Antiqua" w:hAnsi="Book Antiqua"/>
            <w:noProof/>
            <w:webHidden/>
          </w:rPr>
          <w:fldChar w:fldCharType="separate"/>
        </w:r>
        <w:r w:rsidR="004E7C42">
          <w:rPr>
            <w:rFonts w:ascii="Book Antiqua" w:hAnsi="Book Antiqua"/>
            <w:noProof/>
            <w:webHidden/>
          </w:rPr>
          <w:t>10</w:t>
        </w:r>
        <w:r w:rsidRPr="004E7C42">
          <w:rPr>
            <w:rFonts w:ascii="Book Antiqua" w:hAnsi="Book Antiqua"/>
            <w:noProof/>
            <w:webHidden/>
          </w:rPr>
          <w:fldChar w:fldCharType="end"/>
        </w:r>
      </w:hyperlink>
    </w:p>
    <w:p w:rsidR="004E7C42" w:rsidRPr="004E7C42" w:rsidRDefault="003667C2" w:rsidP="004E7C42">
      <w:pPr>
        <w:pStyle w:val="TDC1"/>
        <w:tabs>
          <w:tab w:val="right" w:leader="dot" w:pos="8828"/>
        </w:tabs>
        <w:rPr>
          <w:rFonts w:ascii="Book Antiqua" w:eastAsiaTheme="minorEastAsia" w:hAnsi="Book Antiqua" w:cstheme="minorBidi"/>
          <w:noProof/>
          <w:lang w:val="es-CR" w:eastAsia="es-CR"/>
        </w:rPr>
      </w:pPr>
      <w:hyperlink w:anchor="_Toc14184515" w:history="1">
        <w:r w:rsidR="004E7C42" w:rsidRPr="004E7C42">
          <w:rPr>
            <w:rStyle w:val="Hipervnculo"/>
            <w:rFonts w:ascii="Book Antiqua" w:hAnsi="Book Antiqua" w:cs="Arial"/>
            <w:noProof/>
            <w:lang w:val="es-ES_tradnl"/>
          </w:rPr>
          <w:t>Apartado de Gestión</w:t>
        </w:r>
        <w:r w:rsidR="004E7C42" w:rsidRPr="004E7C42">
          <w:rPr>
            <w:rFonts w:ascii="Book Antiqua" w:hAnsi="Book Antiqua"/>
            <w:noProof/>
            <w:webHidden/>
          </w:rPr>
          <w:tab/>
        </w:r>
        <w:r w:rsidRPr="004E7C42">
          <w:rPr>
            <w:rFonts w:ascii="Book Antiqua" w:hAnsi="Book Antiqua"/>
            <w:noProof/>
            <w:webHidden/>
          </w:rPr>
          <w:fldChar w:fldCharType="begin"/>
        </w:r>
        <w:r w:rsidR="004E7C42" w:rsidRPr="004E7C42">
          <w:rPr>
            <w:rFonts w:ascii="Book Antiqua" w:hAnsi="Book Antiqua"/>
            <w:noProof/>
            <w:webHidden/>
          </w:rPr>
          <w:instrText xml:space="preserve"> PAGEREF _Toc14184515 \h </w:instrText>
        </w:r>
        <w:r w:rsidRPr="004E7C42">
          <w:rPr>
            <w:rFonts w:ascii="Book Antiqua" w:hAnsi="Book Antiqua"/>
            <w:noProof/>
            <w:webHidden/>
          </w:rPr>
        </w:r>
        <w:r w:rsidRPr="004E7C42">
          <w:rPr>
            <w:rFonts w:ascii="Book Antiqua" w:hAnsi="Book Antiqua"/>
            <w:noProof/>
            <w:webHidden/>
          </w:rPr>
          <w:fldChar w:fldCharType="separate"/>
        </w:r>
        <w:r w:rsidR="004E7C42">
          <w:rPr>
            <w:rFonts w:ascii="Book Antiqua" w:hAnsi="Book Antiqua"/>
            <w:noProof/>
            <w:webHidden/>
          </w:rPr>
          <w:t>51</w:t>
        </w:r>
        <w:r w:rsidRPr="004E7C42">
          <w:rPr>
            <w:rFonts w:ascii="Book Antiqua" w:hAnsi="Book Antiqua"/>
            <w:noProof/>
            <w:webHidden/>
          </w:rPr>
          <w:fldChar w:fldCharType="end"/>
        </w:r>
      </w:hyperlink>
    </w:p>
    <w:p w:rsidR="004E7C42" w:rsidRPr="004E7C42" w:rsidRDefault="003667C2" w:rsidP="004E7C42">
      <w:pPr>
        <w:rPr>
          <w:rFonts w:ascii="Book Antiqua" w:hAnsi="Book Antiqua"/>
          <w:sz w:val="24"/>
          <w:szCs w:val="24"/>
        </w:rPr>
      </w:pPr>
      <w:r w:rsidRPr="004E7C42">
        <w:rPr>
          <w:rFonts w:ascii="Book Antiqua" w:hAnsi="Book Antiqua" w:cs="Arial"/>
          <w:b/>
          <w:bCs/>
          <w:sz w:val="24"/>
          <w:szCs w:val="24"/>
          <w:lang w:val="es-ES"/>
        </w:rPr>
        <w:fldChar w:fldCharType="end"/>
      </w:r>
    </w:p>
    <w:p w:rsidR="004E7C42" w:rsidRPr="004E7C42" w:rsidRDefault="004E7C42" w:rsidP="004E7C42">
      <w:pPr>
        <w:pStyle w:val="Ttulo1"/>
        <w:jc w:val="center"/>
        <w:rPr>
          <w:rStyle w:val="Ttulodellibro"/>
          <w:rFonts w:ascii="Book Antiqua" w:hAnsi="Book Antiqua"/>
          <w:b/>
          <w:color w:val="000000" w:themeColor="text1"/>
          <w:lang w:val="es-CR"/>
        </w:rPr>
      </w:pPr>
    </w:p>
    <w:p w:rsidR="004E7C42" w:rsidRPr="004E7C42" w:rsidRDefault="004E7C42" w:rsidP="004E7C42">
      <w:pPr>
        <w:pStyle w:val="Ttulo1"/>
        <w:jc w:val="center"/>
        <w:rPr>
          <w:rStyle w:val="Ttulodellibro"/>
          <w:rFonts w:ascii="Book Antiqua" w:hAnsi="Book Antiqua"/>
          <w:b/>
          <w:color w:val="000000" w:themeColor="text1"/>
          <w:lang w:val="es-CR"/>
        </w:rPr>
      </w:pPr>
    </w:p>
    <w:p w:rsidR="004E7C42" w:rsidRPr="004E7C42" w:rsidRDefault="004E7C42" w:rsidP="004E7C42">
      <w:pPr>
        <w:pStyle w:val="Ttulo1"/>
        <w:jc w:val="center"/>
        <w:rPr>
          <w:rStyle w:val="Ttulodellibro"/>
          <w:rFonts w:ascii="Book Antiqua" w:hAnsi="Book Antiqua"/>
          <w:b/>
          <w:color w:val="000000" w:themeColor="text1"/>
          <w:lang w:val="es-CR"/>
        </w:rPr>
      </w:pPr>
    </w:p>
    <w:p w:rsidR="004E7C42" w:rsidRPr="004E7C42" w:rsidRDefault="004E7C42" w:rsidP="004E7C42">
      <w:pPr>
        <w:pStyle w:val="Ttulo1"/>
        <w:rPr>
          <w:rStyle w:val="Ttulodellibro"/>
          <w:rFonts w:ascii="Book Antiqua" w:hAnsi="Book Antiqua"/>
          <w:b/>
          <w:color w:val="000000" w:themeColor="text1"/>
          <w:lang w:val="es-CR"/>
        </w:rPr>
      </w:pPr>
    </w:p>
    <w:p w:rsidR="004E7C42" w:rsidRPr="004E7C42" w:rsidRDefault="004E7C42" w:rsidP="004E7C42">
      <w:pPr>
        <w:rPr>
          <w:rFonts w:ascii="Book Antiqua" w:hAnsi="Book Antiqua"/>
          <w:sz w:val="24"/>
          <w:szCs w:val="24"/>
        </w:rPr>
      </w:pPr>
      <w:r w:rsidRPr="004E7C42">
        <w:rPr>
          <w:rFonts w:ascii="Book Antiqua" w:hAnsi="Book Antiqua"/>
          <w:sz w:val="24"/>
          <w:szCs w:val="24"/>
        </w:rPr>
        <w:br w:type="page"/>
      </w:r>
    </w:p>
    <w:p w:rsidR="004E7C42" w:rsidRPr="004E7C42" w:rsidRDefault="004E7C42" w:rsidP="004E7C42">
      <w:pPr>
        <w:pStyle w:val="Ttulo1"/>
        <w:jc w:val="center"/>
        <w:rPr>
          <w:rFonts w:ascii="Book Antiqua" w:eastAsia="Cambria" w:hAnsi="Book Antiqua" w:cs="Arial"/>
          <w:b w:val="0"/>
          <w:bCs w:val="0"/>
          <w:smallCaps/>
          <w:color w:val="auto"/>
          <w:lang w:val="es-CR"/>
        </w:rPr>
      </w:pPr>
      <w:bookmarkStart w:id="3" w:name="_Toc14184510"/>
      <w:r w:rsidRPr="004E7C42">
        <w:rPr>
          <w:rStyle w:val="Ttulodellibro"/>
          <w:rFonts w:ascii="Book Antiqua" w:hAnsi="Book Antiqua"/>
          <w:b/>
          <w:spacing w:val="0"/>
          <w:lang w:val="es-CR"/>
        </w:rPr>
        <w:lastRenderedPageBreak/>
        <w:t>SEGUIMIENTO SEMESTRAL DE LOS RESULTADOS FÍSICOS Y FINANCIEROS 2019</w:t>
      </w:r>
      <w:bookmarkEnd w:id="1"/>
      <w:bookmarkEnd w:id="2"/>
      <w:bookmarkEnd w:id="3"/>
    </w:p>
    <w:p w:rsidR="004E7C42" w:rsidRPr="004E7C42" w:rsidRDefault="004E7C42" w:rsidP="004E7C42">
      <w:pPr>
        <w:rPr>
          <w:rFonts w:ascii="Book Antiqua" w:hAnsi="Book Antiqua" w:cs="Arial"/>
          <w:sz w:val="24"/>
          <w:szCs w:val="24"/>
          <w:u w:val="single"/>
          <w:lang w:val="es-MX"/>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Con fundamento en los artículos 55 y 56 de la Ley de Administración Financiera de la República y Presupuestos Públicos (LAFRPP), sobre la evaluación de los resultados de la gestión institucional para garantizar tanto el cumplimiento de objetivos y metas, así  como sobre el uso racional de los recursos públicos y la presentación de informes periódicos para tales fines, la Dirección General de Presupuesto Nacional (DGPN) presenta el siguiente instrumento con el que las entidades rendirán cuentas sobre los resultados correspondientes al primer semestre del 2019.</w:t>
      </w:r>
    </w:p>
    <w:p w:rsidR="004E7C42" w:rsidRPr="004E7C42" w:rsidRDefault="004E7C42" w:rsidP="004E7C42">
      <w:pPr>
        <w:pStyle w:val="Ttulo1"/>
        <w:rPr>
          <w:rStyle w:val="Ttulodellibro"/>
          <w:rFonts w:ascii="Book Antiqua" w:hAnsi="Book Antiqua" w:cs="Arial"/>
          <w:b/>
          <w:bCs/>
          <w:smallCaps w:val="0"/>
          <w:spacing w:val="0"/>
          <w:lang w:val="es-CR"/>
        </w:rPr>
      </w:pPr>
      <w:bookmarkStart w:id="4" w:name="_Toc14184511"/>
      <w:r w:rsidRPr="004E7C42">
        <w:rPr>
          <w:rStyle w:val="Ttulodellibro"/>
          <w:rFonts w:ascii="Book Antiqua" w:hAnsi="Book Antiqua" w:cs="Arial"/>
          <w:b/>
          <w:bCs/>
          <w:spacing w:val="0"/>
          <w:lang w:val="es-CR"/>
        </w:rPr>
        <w:t>Objetivo del informe de seguimiento</w:t>
      </w:r>
      <w:bookmarkEnd w:id="4"/>
    </w:p>
    <w:p w:rsidR="004E7C42" w:rsidRPr="004E7C42" w:rsidRDefault="004E7C42" w:rsidP="004E7C42">
      <w:pPr>
        <w:rPr>
          <w:rFonts w:ascii="Book Antiqua" w:hAnsi="Book Antiqua"/>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Conocer el avance de la gestión institucional de los programas o subprogramas de la Ley de Presupuesto Ordinario y Extraordinario de la República para el Ejercicio Económico del 2019 (Ley 9632), durante el primer semestre, de tal forma que permita identificar desviaciones y establecer en caso necesario las respectivas medidas correctivas, que permitan el logro de las metas propuestas al finalizar el año.</w:t>
      </w:r>
    </w:p>
    <w:p w:rsidR="004E7C42" w:rsidRPr="004E7C42" w:rsidRDefault="004E7C42" w:rsidP="004E7C42">
      <w:pPr>
        <w:pStyle w:val="Ttulo1"/>
        <w:rPr>
          <w:rFonts w:ascii="Book Antiqua" w:hAnsi="Book Antiqua" w:cs="Arial"/>
          <w:lang w:val="es-CR"/>
        </w:rPr>
      </w:pPr>
      <w:bookmarkStart w:id="5" w:name="_Toc14184512"/>
      <w:r w:rsidRPr="004E7C42">
        <w:rPr>
          <w:rFonts w:ascii="Book Antiqua" w:hAnsi="Book Antiqua" w:cs="Arial"/>
          <w:lang w:val="es-CR"/>
        </w:rPr>
        <w:t>Instrucciones generales</w:t>
      </w:r>
      <w:bookmarkEnd w:id="5"/>
    </w:p>
    <w:p w:rsidR="004E7C42" w:rsidRPr="004E7C42" w:rsidRDefault="004E7C42" w:rsidP="004E7C42">
      <w:pPr>
        <w:rPr>
          <w:rFonts w:ascii="Book Antiqua" w:hAnsi="Book Antiqua" w:cs="Arial"/>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 xml:space="preserve">Para la elaboración de este informe, el suministro de información tanto para el apartado financiero como para el apartado programático, debe mostrar los resultados a nivel de programa y/o subprograma. </w:t>
      </w:r>
    </w:p>
    <w:p w:rsidR="004E7C42" w:rsidRPr="004E7C42" w:rsidRDefault="004E7C42" w:rsidP="00570DA5">
      <w:pPr>
        <w:pStyle w:val="Prrafodelista"/>
        <w:numPr>
          <w:ilvl w:val="0"/>
          <w:numId w:val="1"/>
        </w:numPr>
        <w:spacing w:line="360" w:lineRule="auto"/>
        <w:contextualSpacing/>
        <w:jc w:val="both"/>
        <w:rPr>
          <w:rFonts w:ascii="Book Antiqua" w:hAnsi="Book Antiqua"/>
          <w:bCs/>
          <w:lang w:val="es-CR"/>
        </w:rPr>
      </w:pPr>
      <w:r w:rsidRPr="004E7C42">
        <w:rPr>
          <w:rFonts w:ascii="Book Antiqua" w:hAnsi="Book Antiqua"/>
          <w:bCs/>
          <w:lang w:val="es-CR"/>
        </w:rPr>
        <w:t xml:space="preserve">En los casos de los programas y/o subprogramas con </w:t>
      </w:r>
      <w:r w:rsidR="00C5213A" w:rsidRPr="004E7C42">
        <w:rPr>
          <w:rFonts w:ascii="Book Antiqua" w:hAnsi="Book Antiqua"/>
          <w:b/>
          <w:bCs/>
          <w:u w:val="single"/>
          <w:lang w:val="es-CR"/>
        </w:rPr>
        <w:t>producción no</w:t>
      </w:r>
      <w:r w:rsidRPr="004E7C42">
        <w:rPr>
          <w:rFonts w:ascii="Book Antiqua" w:hAnsi="Book Antiqua"/>
          <w:b/>
          <w:bCs/>
          <w:u w:val="single"/>
          <w:lang w:val="es-CR"/>
        </w:rPr>
        <w:t xml:space="preserve"> cuantificable</w:t>
      </w:r>
      <w:r w:rsidRPr="004E7C42">
        <w:rPr>
          <w:rFonts w:ascii="Book Antiqua" w:hAnsi="Book Antiqua"/>
          <w:bCs/>
          <w:lang w:val="es-CR"/>
        </w:rPr>
        <w:t xml:space="preserve">, deben presentar </w:t>
      </w:r>
      <w:r w:rsidRPr="004E7C42">
        <w:rPr>
          <w:rFonts w:ascii="Book Antiqua" w:hAnsi="Book Antiqua"/>
          <w:b/>
          <w:bCs/>
          <w:u w:val="single"/>
          <w:lang w:val="es-CR"/>
        </w:rPr>
        <w:t>sólo la información del apartado financiero</w:t>
      </w:r>
      <w:r w:rsidRPr="004E7C42">
        <w:rPr>
          <w:rFonts w:ascii="Book Antiqua" w:hAnsi="Book Antiqua"/>
          <w:bCs/>
          <w:lang w:val="es-CR"/>
        </w:rPr>
        <w:t>.</w:t>
      </w:r>
    </w:p>
    <w:p w:rsidR="004E7C42" w:rsidRPr="004E7C42" w:rsidRDefault="004E7C42" w:rsidP="00570DA5">
      <w:pPr>
        <w:pStyle w:val="Prrafodelista"/>
        <w:numPr>
          <w:ilvl w:val="0"/>
          <w:numId w:val="1"/>
        </w:numPr>
        <w:spacing w:line="360" w:lineRule="auto"/>
        <w:contextualSpacing/>
        <w:jc w:val="both"/>
        <w:rPr>
          <w:rFonts w:ascii="Book Antiqua" w:hAnsi="Book Antiqua"/>
          <w:bCs/>
          <w:lang w:val="es-CR"/>
        </w:rPr>
      </w:pPr>
      <w:r w:rsidRPr="004E7C42">
        <w:rPr>
          <w:rFonts w:ascii="Book Antiqua" w:hAnsi="Book Antiqua"/>
          <w:bCs/>
          <w:lang w:val="es-CR"/>
        </w:rPr>
        <w:t xml:space="preserve">En los casos de los programas y/o subprogramas con </w:t>
      </w:r>
      <w:r w:rsidRPr="004E7C42">
        <w:rPr>
          <w:rFonts w:ascii="Book Antiqua" w:hAnsi="Book Antiqua"/>
          <w:b/>
          <w:bCs/>
          <w:u w:val="single"/>
          <w:lang w:val="es-CR"/>
        </w:rPr>
        <w:t>producción cuantificable</w:t>
      </w:r>
      <w:r w:rsidRPr="004E7C42">
        <w:rPr>
          <w:rFonts w:ascii="Book Antiqua" w:hAnsi="Book Antiqua"/>
          <w:b/>
          <w:bCs/>
          <w:lang w:val="es-CR"/>
        </w:rPr>
        <w:t>,</w:t>
      </w:r>
      <w:r w:rsidRPr="004E7C42">
        <w:rPr>
          <w:rFonts w:ascii="Book Antiqua" w:hAnsi="Book Antiqua"/>
          <w:bCs/>
          <w:lang w:val="es-CR"/>
        </w:rPr>
        <w:t xml:space="preserve"> deben presentar tanto la información del apartado financiero como del apartado programático.</w:t>
      </w:r>
    </w:p>
    <w:p w:rsidR="004E7C42" w:rsidRPr="004E7C42" w:rsidRDefault="004E7C42" w:rsidP="004E7C42">
      <w:pPr>
        <w:spacing w:line="360" w:lineRule="auto"/>
        <w:jc w:val="both"/>
        <w:rPr>
          <w:rFonts w:ascii="Book Antiqua" w:hAnsi="Book Antiqua" w:cs="Arial"/>
          <w:bCs/>
          <w:sz w:val="24"/>
          <w:szCs w:val="24"/>
        </w:rPr>
      </w:pPr>
    </w:p>
    <w:p w:rsid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 xml:space="preserve">El informe semestral debe ser remitido por la Unidad Financiera Institucional de forma consolidada  mediante oficio de remisión firmado por el máximo jerarca, a más tardar el 31 de julio 2019, a la siguiente dirección de correo electrónico: </w:t>
      </w:r>
      <w:hyperlink r:id="rId22" w:history="1">
        <w:r w:rsidRPr="004E7C42">
          <w:rPr>
            <w:rStyle w:val="Hipervnculo"/>
            <w:rFonts w:ascii="Book Antiqua" w:hAnsi="Book Antiqua" w:cs="Arial"/>
            <w:sz w:val="24"/>
            <w:szCs w:val="24"/>
          </w:rPr>
          <w:t>notifica_presupuesto_nacional@hacienda.go.cr</w:t>
        </w:r>
      </w:hyperlink>
      <w:r w:rsidRPr="004E7C42">
        <w:rPr>
          <w:rFonts w:ascii="Book Antiqua" w:hAnsi="Book Antiqua" w:cs="Arial"/>
          <w:bCs/>
          <w:sz w:val="24"/>
          <w:szCs w:val="24"/>
        </w:rPr>
        <w:t xml:space="preserve">. </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pStyle w:val="Textoindependiente"/>
        <w:spacing w:after="0" w:line="360" w:lineRule="auto"/>
        <w:jc w:val="both"/>
        <w:rPr>
          <w:rFonts w:ascii="Book Antiqua" w:eastAsia="Cambria" w:hAnsi="Book Antiqua" w:cs="Arial"/>
          <w:bCs/>
          <w:sz w:val="24"/>
          <w:szCs w:val="24"/>
          <w:lang w:eastAsia="en-US"/>
        </w:rPr>
      </w:pPr>
      <w:r w:rsidRPr="004E7C42">
        <w:rPr>
          <w:rFonts w:ascii="Book Antiqua" w:eastAsia="Cambria" w:hAnsi="Book Antiqua" w:cs="Arial"/>
          <w:bCs/>
          <w:sz w:val="24"/>
          <w:szCs w:val="24"/>
          <w:lang w:eastAsia="en-US"/>
        </w:rPr>
        <w:t>El oficio de remisión que firma el máximo jerarca institucional puede enviarse de forma electrónica siempre y cuando cuente con firma digital certificada; caso contrario, los informes deben entregarse impresos en la ventanilla de recepción de la DGPN (los informes escaneados no se consideran como firmados digitalmente, ni es válido el documento firmado digitalmente que se presenta en forma impresa).</w:t>
      </w:r>
    </w:p>
    <w:p w:rsidR="004E7C42" w:rsidRPr="004E7C42" w:rsidRDefault="004E7C42" w:rsidP="004E7C42">
      <w:pPr>
        <w:pStyle w:val="Textoindependiente"/>
        <w:spacing w:after="0" w:line="360" w:lineRule="auto"/>
        <w:jc w:val="both"/>
        <w:rPr>
          <w:rFonts w:ascii="Book Antiqua" w:hAnsi="Book Antiqua" w:cs="Arial"/>
          <w:sz w:val="24"/>
          <w:szCs w:val="24"/>
        </w:rPr>
      </w:pPr>
    </w:p>
    <w:p w:rsidR="004E7C42" w:rsidRPr="004E7C42" w:rsidRDefault="004E7C42" w:rsidP="004E7C42">
      <w:pPr>
        <w:pStyle w:val="Textoindependiente"/>
        <w:spacing w:after="0" w:line="360" w:lineRule="auto"/>
        <w:jc w:val="both"/>
        <w:rPr>
          <w:rFonts w:ascii="Book Antiqua" w:hAnsi="Book Antiqua" w:cs="Arial"/>
          <w:sz w:val="24"/>
          <w:szCs w:val="24"/>
        </w:rPr>
      </w:pPr>
      <w:r w:rsidRPr="004E7C42">
        <w:rPr>
          <w:rFonts w:ascii="Book Antiqua" w:hAnsi="Book Antiqua" w:cs="Arial"/>
          <w:sz w:val="24"/>
          <w:szCs w:val="24"/>
        </w:rPr>
        <w:t xml:space="preserve">Es importante considerar que los informes de cada programa y/o subprograma deben contar con </w:t>
      </w:r>
      <w:r w:rsidRPr="004E7C42">
        <w:rPr>
          <w:rFonts w:ascii="Book Antiqua" w:hAnsi="Book Antiqua" w:cs="Arial"/>
          <w:b/>
          <w:sz w:val="24"/>
          <w:szCs w:val="24"/>
          <w:u w:val="single"/>
        </w:rPr>
        <w:t>la firma de los jefes de programa y/o subprograma</w:t>
      </w:r>
      <w:r w:rsidRPr="004E7C42">
        <w:rPr>
          <w:rFonts w:ascii="Book Antiqua" w:hAnsi="Book Antiqua" w:cs="Arial"/>
          <w:sz w:val="24"/>
          <w:szCs w:val="24"/>
        </w:rPr>
        <w:t>, según se indica en el espacio correspondiente al final del instructivo.</w:t>
      </w:r>
    </w:p>
    <w:p w:rsidR="004E7C42" w:rsidRPr="004E7C42" w:rsidRDefault="004E7C42" w:rsidP="004E7C42">
      <w:pPr>
        <w:pStyle w:val="Textoindependiente"/>
        <w:spacing w:after="0" w:line="360" w:lineRule="auto"/>
        <w:jc w:val="both"/>
        <w:rPr>
          <w:rFonts w:ascii="Book Antiqua" w:hAnsi="Book Antiqua" w:cs="Arial"/>
          <w:sz w:val="24"/>
          <w:szCs w:val="24"/>
        </w:rPr>
      </w:pPr>
    </w:p>
    <w:p w:rsidR="004E7C42" w:rsidRPr="004E7C42" w:rsidRDefault="004E7C42" w:rsidP="004E7C42">
      <w:pPr>
        <w:pStyle w:val="Textoindependiente"/>
        <w:spacing w:after="0" w:line="360" w:lineRule="auto"/>
        <w:jc w:val="both"/>
        <w:rPr>
          <w:rFonts w:ascii="Book Antiqua" w:hAnsi="Book Antiqua" w:cs="Arial"/>
          <w:bCs/>
          <w:sz w:val="24"/>
          <w:szCs w:val="24"/>
        </w:rPr>
      </w:pPr>
      <w:r w:rsidRPr="004E7C42">
        <w:rPr>
          <w:rFonts w:ascii="Book Antiqua" w:hAnsi="Book Antiqua" w:cs="Arial"/>
          <w:bCs/>
          <w:sz w:val="24"/>
          <w:szCs w:val="24"/>
        </w:rPr>
        <w:t>En todo el documento al hacer referencia a porcentajes y valores absolutos, se debe utilizar un decimal. Cuando se incorporen datos financieros en los cuadros y texto, se debe separar los miles con punto y los porcentajes con coma.</w:t>
      </w:r>
    </w:p>
    <w:p w:rsidR="004E7C42" w:rsidRPr="004E7C42" w:rsidRDefault="004E7C42" w:rsidP="004E7C42">
      <w:pPr>
        <w:pStyle w:val="Textoindependiente"/>
        <w:spacing w:after="0" w:line="360" w:lineRule="auto"/>
        <w:jc w:val="both"/>
        <w:rPr>
          <w:rFonts w:ascii="Book Antiqua" w:hAnsi="Book Antiqua" w:cs="Arial"/>
          <w:bCs/>
          <w:sz w:val="24"/>
          <w:szCs w:val="24"/>
        </w:rPr>
      </w:pPr>
    </w:p>
    <w:p w:rsidR="004E7C42" w:rsidRPr="004E7C42" w:rsidRDefault="004E7C42" w:rsidP="004E7C42">
      <w:pPr>
        <w:pStyle w:val="Textoindependiente"/>
        <w:spacing w:after="0" w:line="360" w:lineRule="auto"/>
        <w:jc w:val="both"/>
        <w:rPr>
          <w:rFonts w:ascii="Book Antiqua" w:hAnsi="Book Antiqua" w:cs="Arial"/>
          <w:bCs/>
          <w:sz w:val="24"/>
          <w:szCs w:val="24"/>
        </w:rPr>
      </w:pPr>
      <w:r w:rsidRPr="004E7C42">
        <w:rPr>
          <w:rFonts w:ascii="Book Antiqua" w:hAnsi="Book Antiqua" w:cs="Arial"/>
          <w:bCs/>
          <w:sz w:val="24"/>
          <w:szCs w:val="24"/>
        </w:rPr>
        <w:t xml:space="preserve">Al momento de incluir datos en cuadros o tablas, cuando no exista información se debe colocar un guion.  </w:t>
      </w:r>
    </w:p>
    <w:p w:rsidR="004E7C42" w:rsidRPr="004E7C42" w:rsidRDefault="004E7C42" w:rsidP="004E7C42">
      <w:pPr>
        <w:pStyle w:val="Textoindependiente"/>
        <w:spacing w:after="0" w:line="360" w:lineRule="auto"/>
        <w:jc w:val="both"/>
        <w:rPr>
          <w:rFonts w:ascii="Book Antiqua" w:hAnsi="Book Antiqua" w:cs="Arial"/>
          <w:bCs/>
          <w:sz w:val="24"/>
          <w:szCs w:val="24"/>
        </w:rPr>
      </w:pPr>
    </w:p>
    <w:p w:rsidR="004E7C42" w:rsidRPr="004E7C42" w:rsidRDefault="004E7C42" w:rsidP="004E7C42">
      <w:pPr>
        <w:pStyle w:val="Textoindependiente"/>
        <w:spacing w:after="0" w:line="360" w:lineRule="auto"/>
        <w:jc w:val="both"/>
        <w:rPr>
          <w:rFonts w:ascii="Book Antiqua" w:hAnsi="Book Antiqua" w:cs="Arial"/>
          <w:bCs/>
          <w:sz w:val="24"/>
          <w:szCs w:val="24"/>
        </w:rPr>
      </w:pPr>
      <w:r w:rsidRPr="004E7C42">
        <w:rPr>
          <w:rFonts w:ascii="Book Antiqua" w:hAnsi="Book Antiqua" w:cs="Arial"/>
          <w:bCs/>
          <w:sz w:val="24"/>
          <w:szCs w:val="24"/>
        </w:rPr>
        <w:t xml:space="preserve">Es importante señalar que a los centros de gestión que no suministren información de cualquier punto que se solicita, se les emitirá una disposición respecto al incumplimiento presentado. </w:t>
      </w:r>
    </w:p>
    <w:p w:rsidR="004E7C42" w:rsidRPr="004E7C42" w:rsidRDefault="004E7C42" w:rsidP="004E7C42">
      <w:pPr>
        <w:spacing w:line="360" w:lineRule="auto"/>
        <w:jc w:val="both"/>
        <w:rPr>
          <w:rFonts w:ascii="Book Antiqua" w:hAnsi="Book Antiqua" w:cs="Arial"/>
          <w:bCs/>
          <w:color w:val="FF0000"/>
          <w:sz w:val="24"/>
          <w:szCs w:val="24"/>
        </w:rPr>
      </w:pPr>
    </w:p>
    <w:p w:rsidR="004E7C42" w:rsidRPr="004E7C42" w:rsidRDefault="004E7C42" w:rsidP="004E7C42">
      <w:pPr>
        <w:spacing w:after="200" w:line="276" w:lineRule="auto"/>
        <w:rPr>
          <w:rFonts w:ascii="Book Antiqua" w:hAnsi="Book Antiqua" w:cs="Arial"/>
          <w:b/>
          <w:sz w:val="24"/>
          <w:szCs w:val="24"/>
        </w:rPr>
      </w:pPr>
    </w:p>
    <w:p w:rsidR="004E7C42" w:rsidRPr="004E7C42" w:rsidRDefault="004E7C42" w:rsidP="004E7C42">
      <w:pPr>
        <w:pStyle w:val="Ttulo1"/>
        <w:rPr>
          <w:rFonts w:ascii="Book Antiqua" w:hAnsi="Book Antiqua" w:cs="Arial"/>
          <w:lang w:val="es-CR"/>
        </w:rPr>
      </w:pPr>
      <w:bookmarkStart w:id="6" w:name="_Toc14184513"/>
      <w:r w:rsidRPr="004E7C42">
        <w:rPr>
          <w:rFonts w:ascii="Book Antiqua" w:hAnsi="Book Antiqua" w:cs="Arial"/>
          <w:lang w:val="es-CR"/>
        </w:rPr>
        <w:lastRenderedPageBreak/>
        <w:t>Apartado financiero</w:t>
      </w:r>
      <w:bookmarkEnd w:id="6"/>
    </w:p>
    <w:p w:rsidR="004E7C42" w:rsidRPr="004E7C42" w:rsidRDefault="004E7C42" w:rsidP="004E7C42">
      <w:pPr>
        <w:rPr>
          <w:rFonts w:ascii="Book Antiqua" w:hAnsi="Book Antiqua" w:cs="Arial"/>
          <w:sz w:val="24"/>
          <w:szCs w:val="24"/>
        </w:rPr>
      </w:pPr>
    </w:p>
    <w:p w:rsidR="004E7C42" w:rsidRPr="004E7C42" w:rsidRDefault="004E7C42" w:rsidP="004E7C42">
      <w:pPr>
        <w:spacing w:after="120" w:line="360" w:lineRule="auto"/>
        <w:jc w:val="both"/>
        <w:rPr>
          <w:rFonts w:ascii="Book Antiqua" w:hAnsi="Book Antiqua" w:cs="Arial"/>
          <w:b/>
          <w:sz w:val="24"/>
          <w:szCs w:val="24"/>
          <w:u w:val="single"/>
          <w:lang w:val="es-ES_tradnl"/>
        </w:rPr>
      </w:pPr>
      <w:r w:rsidRPr="004E7C42">
        <w:rPr>
          <w:rFonts w:ascii="Book Antiqua" w:hAnsi="Book Antiqua" w:cs="Arial"/>
          <w:b/>
          <w:sz w:val="24"/>
          <w:szCs w:val="24"/>
          <w:u w:val="single"/>
        </w:rPr>
        <w:t>El programa y/o subprograma</w:t>
      </w:r>
      <w:r w:rsidRPr="004E7C42">
        <w:rPr>
          <w:rFonts w:ascii="Book Antiqua" w:hAnsi="Book Antiqua" w:cs="Arial"/>
          <w:sz w:val="24"/>
          <w:szCs w:val="24"/>
        </w:rPr>
        <w:t xml:space="preserve"> debe</w:t>
      </w:r>
      <w:r w:rsidRPr="004E7C42">
        <w:rPr>
          <w:rFonts w:ascii="Book Antiqua" w:hAnsi="Book Antiqua" w:cs="Arial"/>
          <w:sz w:val="24"/>
          <w:szCs w:val="24"/>
          <w:lang w:val="es-ES_tradnl"/>
        </w:rPr>
        <w:t xml:space="preserve"> incluir en el siguiente cuadro los datos de los recursos autorizados y ejecutados al 30 de junio del año en curso con ingresos corrientes, de capital y de financiamiento (superávit). </w:t>
      </w:r>
      <w:r w:rsidRPr="004E7C42">
        <w:rPr>
          <w:rFonts w:ascii="Book Antiqua" w:hAnsi="Book Antiqua" w:cs="Arial"/>
          <w:b/>
          <w:sz w:val="24"/>
          <w:szCs w:val="24"/>
          <w:u w:val="single"/>
          <w:lang w:val="es-ES_tradnl"/>
        </w:rPr>
        <w:t>(No deben considerarse los recursos de crédito público externo, sólo los que corresponden a fuentes de financiamiento internas).</w:t>
      </w:r>
    </w:p>
    <w:p w:rsidR="004E7C42" w:rsidRPr="004E7C42" w:rsidRDefault="004E7C42" w:rsidP="004E7C42">
      <w:pPr>
        <w:spacing w:line="360" w:lineRule="auto"/>
        <w:jc w:val="both"/>
        <w:rPr>
          <w:rFonts w:ascii="Book Antiqua" w:hAnsi="Book Antiqua" w:cs="Arial"/>
          <w:sz w:val="24"/>
          <w:szCs w:val="24"/>
          <w:lang w:val="es-ES_tradnl"/>
        </w:rPr>
      </w:pPr>
      <w:r w:rsidRPr="004E7C42">
        <w:rPr>
          <w:rFonts w:ascii="Book Antiqua" w:hAnsi="Book Antiqua" w:cs="Arial"/>
          <w:sz w:val="24"/>
          <w:szCs w:val="24"/>
          <w:lang w:val="es-ES_tradnl"/>
        </w:rPr>
        <w:t xml:space="preserve">Los ministerios y el Tribunal Supremo de Elecciones, deben utilizar como insumo, los datos del “Presupuesto Actual” y el “Devengado” del Informe “ZINFORME42_NEW” del Sistema Integrado de Gestión de la Administración Financiera (SIGAF); en el caso de los otros poderes el insumo a utilizar es la “Apropiación Actual” y el “Devengado” del Sistema Módulo de Poderes. </w:t>
      </w:r>
    </w:p>
    <w:p w:rsidR="004E7C42" w:rsidRPr="004E7C42" w:rsidRDefault="004E7C42" w:rsidP="004E7C42">
      <w:pPr>
        <w:spacing w:line="360" w:lineRule="auto"/>
        <w:jc w:val="both"/>
        <w:rPr>
          <w:rFonts w:ascii="Book Antiqua" w:hAnsi="Book Antiqua" w:cs="Arial"/>
          <w:sz w:val="24"/>
          <w:szCs w:val="24"/>
          <w:lang w:val="es-ES_tradnl"/>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926 Dirección, administración y otros órganos de apoyo jurisdiccional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2802"/>
        <w:gridCol w:w="2268"/>
        <w:gridCol w:w="2126"/>
        <w:gridCol w:w="1701"/>
      </w:tblGrid>
      <w:tr w:rsidR="004E7C42" w:rsidRPr="004E7C42" w:rsidTr="004E7C42">
        <w:tc>
          <w:tcPr>
            <w:tcW w:w="2802"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Partida</w:t>
            </w:r>
          </w:p>
        </w:tc>
        <w:tc>
          <w:tcPr>
            <w:tcW w:w="2268"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Actual</w:t>
            </w:r>
          </w:p>
        </w:tc>
        <w:tc>
          <w:tcPr>
            <w:tcW w:w="2126"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Ejecutado</w:t>
            </w:r>
          </w:p>
        </w:tc>
        <w:tc>
          <w:tcPr>
            <w:tcW w:w="1701" w:type="dxa"/>
            <w:shd w:val="clear" w:color="auto" w:fill="4BACC6"/>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Porcentaje de Ejecución</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TOTAL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ind w:left="720" w:hanging="720"/>
              <w:jc w:val="right"/>
              <w:rPr>
                <w:rFonts w:ascii="Book Antiqua" w:hAnsi="Book Antiqua" w:cs="Arial"/>
                <w:b/>
                <w:color w:val="000000"/>
                <w:sz w:val="24"/>
                <w:szCs w:val="24"/>
                <w:lang w:eastAsia="es-CR"/>
              </w:rPr>
            </w:pPr>
            <w:r w:rsidRPr="004E7C42">
              <w:rPr>
                <w:rFonts w:ascii="Book Antiqua" w:hAnsi="Book Antiqua" w:cs="Arial"/>
                <w:b/>
                <w:color w:val="000000"/>
                <w:sz w:val="24"/>
                <w:szCs w:val="24"/>
              </w:rPr>
              <w:t xml:space="preserve">102.667,3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b/>
                <w:color w:val="000000"/>
                <w:sz w:val="24"/>
                <w:szCs w:val="24"/>
                <w:lang w:eastAsia="es-CR"/>
              </w:rPr>
            </w:pPr>
            <w:r w:rsidRPr="004E7C42">
              <w:rPr>
                <w:rFonts w:ascii="Book Antiqua" w:hAnsi="Book Antiqua" w:cs="Arial"/>
                <w:b/>
                <w:color w:val="000000"/>
                <w:sz w:val="24"/>
                <w:szCs w:val="24"/>
              </w:rPr>
              <w:t xml:space="preserve">42.373,7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41,3%</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Remuneraciones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lang w:eastAsia="es-CR"/>
              </w:rPr>
            </w:pPr>
            <w:r w:rsidRPr="004E7C42">
              <w:rPr>
                <w:rFonts w:ascii="Book Antiqua" w:hAnsi="Book Antiqua" w:cs="Arial"/>
                <w:sz w:val="24"/>
                <w:szCs w:val="24"/>
              </w:rPr>
              <w:t xml:space="preserve">62.220,7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29.856,0</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48,0%</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Servicios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lang w:eastAsia="es-CR"/>
              </w:rPr>
            </w:pPr>
            <w:r w:rsidRPr="004E7C42">
              <w:rPr>
                <w:rFonts w:ascii="Book Antiqua" w:hAnsi="Book Antiqua" w:cs="Arial"/>
                <w:sz w:val="24"/>
                <w:szCs w:val="24"/>
              </w:rPr>
              <w:t xml:space="preserve">17.820,1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5.182,2</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29,1%</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Materiales y Suministros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lang w:eastAsia="es-CR"/>
              </w:rPr>
            </w:pPr>
            <w:r w:rsidRPr="004E7C42">
              <w:rPr>
                <w:rFonts w:ascii="Book Antiqua" w:hAnsi="Book Antiqua" w:cs="Arial"/>
                <w:sz w:val="24"/>
                <w:szCs w:val="24"/>
              </w:rPr>
              <w:t xml:space="preserve">2.232,3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511,6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22,9%</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Intereses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Activos Financieros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Bienes Duraderos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15.840,7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3.117,8</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19,7%</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lastRenderedPageBreak/>
              <w:t>Transferencias Corrientes</w:t>
            </w:r>
          </w:p>
        </w:tc>
        <w:tc>
          <w:tcPr>
            <w:tcW w:w="2268"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4.553,5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3.706,1</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81,4%</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Transferencias de Capital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Amortización</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Cuentas Especiales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liquidación presupuestaria del módulo de poderes al 30 de junio del 2019.</w:t>
      </w:r>
    </w:p>
    <w:p w:rsidR="004E7C42" w:rsidRPr="004E7C42" w:rsidRDefault="004E7C42" w:rsidP="004E7C42">
      <w:pPr>
        <w:spacing w:line="360" w:lineRule="auto"/>
        <w:jc w:val="both"/>
        <w:rPr>
          <w:rFonts w:ascii="Book Antiqua" w:hAnsi="Book Antiqua" w:cs="Arial"/>
          <w:sz w:val="24"/>
          <w:szCs w:val="24"/>
          <w:lang w:val="es-ES_tradnl"/>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2.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927 Servicio jurisdiccional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p w:rsidR="004E7C42" w:rsidRPr="004E7C42" w:rsidRDefault="004E7C42" w:rsidP="004E7C42">
      <w:pPr>
        <w:pStyle w:val="Prrafodelista"/>
        <w:spacing w:line="360" w:lineRule="auto"/>
        <w:ind w:left="-142"/>
        <w:jc w:val="both"/>
        <w:rPr>
          <w:rFonts w:ascii="Book Antiqua" w:hAnsi="Book Antiqua"/>
          <w:bCs/>
          <w:lang w:val="es-CR"/>
        </w:rPr>
      </w:pP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2802"/>
        <w:gridCol w:w="2268"/>
        <w:gridCol w:w="2126"/>
        <w:gridCol w:w="1701"/>
      </w:tblGrid>
      <w:tr w:rsidR="004E7C42" w:rsidRPr="004E7C42" w:rsidTr="004E7C42">
        <w:tc>
          <w:tcPr>
            <w:tcW w:w="2802"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Partida</w:t>
            </w:r>
          </w:p>
        </w:tc>
        <w:tc>
          <w:tcPr>
            <w:tcW w:w="2268"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Actual</w:t>
            </w:r>
          </w:p>
        </w:tc>
        <w:tc>
          <w:tcPr>
            <w:tcW w:w="2126"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Ejecutado</w:t>
            </w:r>
          </w:p>
        </w:tc>
        <w:tc>
          <w:tcPr>
            <w:tcW w:w="1701" w:type="dxa"/>
            <w:shd w:val="clear" w:color="auto" w:fill="4BACC6"/>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Porcentaje de Ejecución</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TOTAL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b/>
                <w:color w:val="000000"/>
                <w:sz w:val="24"/>
                <w:szCs w:val="24"/>
                <w:lang w:eastAsia="es-CR"/>
              </w:rPr>
            </w:pPr>
            <w:r w:rsidRPr="004E7C42">
              <w:rPr>
                <w:rFonts w:ascii="Book Antiqua" w:hAnsi="Book Antiqua" w:cs="Arial"/>
                <w:b/>
                <w:color w:val="000000"/>
                <w:sz w:val="24"/>
                <w:szCs w:val="24"/>
              </w:rPr>
              <w:t xml:space="preserve">165.201,2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b/>
                <w:color w:val="000000"/>
                <w:sz w:val="24"/>
                <w:szCs w:val="24"/>
                <w:lang w:eastAsia="es-CR"/>
              </w:rPr>
            </w:pPr>
            <w:r w:rsidRPr="004E7C42">
              <w:rPr>
                <w:rFonts w:ascii="Book Antiqua" w:hAnsi="Book Antiqua" w:cs="Arial"/>
                <w:b/>
                <w:color w:val="000000"/>
                <w:sz w:val="24"/>
                <w:szCs w:val="24"/>
              </w:rPr>
              <w:t xml:space="preserve">77.019,4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46,6%</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Remuneraciones</w:t>
            </w:r>
          </w:p>
        </w:tc>
        <w:tc>
          <w:tcPr>
            <w:tcW w:w="2268"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149.452,7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72.141,8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48,3%</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Servicios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12.184,8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3.624,4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29,7%</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Materiales y Suministros</w:t>
            </w:r>
          </w:p>
        </w:tc>
        <w:tc>
          <w:tcPr>
            <w:tcW w:w="2268"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738,1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227,9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30,9%</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Intereses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Activos Financieros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Bienes Duraderos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1.076,9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242,1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22,5%</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Transferencias Corrientes</w:t>
            </w:r>
          </w:p>
        </w:tc>
        <w:tc>
          <w:tcPr>
            <w:tcW w:w="2268"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1.748,8 </w:t>
            </w:r>
          </w:p>
        </w:tc>
        <w:tc>
          <w:tcPr>
            <w:tcW w:w="2126" w:type="dxa"/>
            <w:shd w:val="clear" w:color="auto" w:fill="auto"/>
            <w:vAlign w:val="bottom"/>
          </w:tcPr>
          <w:p w:rsidR="004E7C42" w:rsidRPr="004E7C42" w:rsidRDefault="004E7C42" w:rsidP="004E7C42">
            <w:pPr>
              <w:jc w:val="right"/>
              <w:rPr>
                <w:rFonts w:ascii="Book Antiqua" w:hAnsi="Book Antiqua" w:cs="Arial"/>
                <w:color w:val="000000"/>
                <w:sz w:val="24"/>
                <w:szCs w:val="24"/>
                <w:lang w:eastAsia="es-CR"/>
              </w:rPr>
            </w:pPr>
            <w:r w:rsidRPr="004E7C42">
              <w:rPr>
                <w:rFonts w:ascii="Book Antiqua" w:hAnsi="Book Antiqua" w:cs="Arial"/>
                <w:color w:val="000000"/>
                <w:sz w:val="24"/>
                <w:szCs w:val="24"/>
              </w:rPr>
              <w:t xml:space="preserve">783,2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44,8%</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Transferencias de Capital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lastRenderedPageBreak/>
              <w:t>Amortización</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Cuentas Especiales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liquidación presupuestaria del módulo de poderes al 30 de junio del 2019.</w:t>
      </w:r>
    </w:p>
    <w:p w:rsidR="004E7C42" w:rsidRPr="004E7C42" w:rsidRDefault="004E7C42" w:rsidP="004E7C42">
      <w:pPr>
        <w:pStyle w:val="Prrafodelista"/>
        <w:spacing w:line="360" w:lineRule="auto"/>
        <w:ind w:left="-142"/>
        <w:jc w:val="both"/>
        <w:rPr>
          <w:rFonts w:ascii="Book Antiqua" w:hAnsi="Book Antiqua"/>
          <w:bCs/>
          <w:lang w:val="es-CR"/>
        </w:rPr>
      </w:pPr>
    </w:p>
    <w:p w:rsidR="004E7C42" w:rsidRPr="004E7C42" w:rsidRDefault="004E7C42" w:rsidP="004E7C42">
      <w:pPr>
        <w:pStyle w:val="Prrafodelista"/>
        <w:spacing w:line="360" w:lineRule="auto"/>
        <w:ind w:left="-142"/>
        <w:jc w:val="both"/>
        <w:rPr>
          <w:rFonts w:ascii="Book Antiqua" w:hAnsi="Book Antiqua"/>
          <w:bCs/>
          <w:color w:val="FF0000"/>
          <w:lang w:val="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3.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928 Organismo de Investigación Judicial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tbl>
      <w:tblPr>
        <w:tblW w:w="0" w:type="auto"/>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2802"/>
        <w:gridCol w:w="2268"/>
        <w:gridCol w:w="2126"/>
        <w:gridCol w:w="1701"/>
      </w:tblGrid>
      <w:tr w:rsidR="004E7C42" w:rsidRPr="004E7C42" w:rsidTr="004E7C42">
        <w:tc>
          <w:tcPr>
            <w:tcW w:w="2802"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Partida</w:t>
            </w:r>
          </w:p>
        </w:tc>
        <w:tc>
          <w:tcPr>
            <w:tcW w:w="2268"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Actual</w:t>
            </w:r>
          </w:p>
        </w:tc>
        <w:tc>
          <w:tcPr>
            <w:tcW w:w="2126" w:type="dxa"/>
            <w:shd w:val="clear" w:color="auto" w:fill="4BACC6"/>
            <w:vAlign w:val="center"/>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Presupuesto Ejecutado</w:t>
            </w:r>
          </w:p>
        </w:tc>
        <w:tc>
          <w:tcPr>
            <w:tcW w:w="1701" w:type="dxa"/>
            <w:shd w:val="clear" w:color="auto" w:fill="4BACC6"/>
          </w:tcPr>
          <w:p w:rsidR="004E7C42" w:rsidRPr="004E7C42" w:rsidRDefault="004E7C42" w:rsidP="004E7C42">
            <w:pPr>
              <w:pStyle w:val="Prrafodelista"/>
              <w:spacing w:line="360" w:lineRule="auto"/>
              <w:ind w:left="0"/>
              <w:jc w:val="center"/>
              <w:rPr>
                <w:rFonts w:ascii="Book Antiqua" w:hAnsi="Book Antiqua"/>
                <w:b/>
                <w:bCs/>
                <w:color w:val="FFFFFF"/>
                <w:lang w:val="es-CR"/>
              </w:rPr>
            </w:pPr>
            <w:r w:rsidRPr="004E7C42">
              <w:rPr>
                <w:rFonts w:ascii="Book Antiqua" w:hAnsi="Book Antiqua"/>
                <w:b/>
                <w:bCs/>
                <w:color w:val="FFFFFF"/>
                <w:lang w:val="es-CR"/>
              </w:rPr>
              <w:t>Porcentaje de Ejecución</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TOTAL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103.714,9</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42.512,9</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40,7%</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Remuneraciones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81.962,1</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37.057, 9</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45,2%</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Servicios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6.050,0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1.868,8</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30,8%</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Materiales y Suministros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4.897,4</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1.335,0</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27,2%</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Intereses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Activos Financieros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Bienes Duraderos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7.798,2</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669,6</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8,5%</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Transferencias Corrientes</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1.930, 0 </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557,6</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28,8%</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Transferencias de Capital</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987</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987</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100%</w:t>
            </w:r>
          </w:p>
        </w:tc>
      </w:tr>
      <w:tr w:rsidR="004E7C42" w:rsidRPr="004E7C42" w:rsidTr="004E7C42">
        <w:tc>
          <w:tcPr>
            <w:tcW w:w="2802" w:type="dxa"/>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Amortización</w:t>
            </w:r>
          </w:p>
        </w:tc>
        <w:tc>
          <w:tcPr>
            <w:tcW w:w="2268"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b/>
                <w:bCs/>
                <w:lang w:val="es-CR"/>
              </w:rPr>
              <w:t>Cuentas Especiales</w:t>
            </w:r>
          </w:p>
        </w:tc>
        <w:tc>
          <w:tcPr>
            <w:tcW w:w="2268"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90 </w:t>
            </w:r>
          </w:p>
        </w:tc>
        <w:tc>
          <w:tcPr>
            <w:tcW w:w="2126" w:type="dxa"/>
            <w:tcBorders>
              <w:top w:val="single" w:sz="8" w:space="0" w:color="4BACC6"/>
              <w:bottom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35,9</w:t>
            </w:r>
          </w:p>
        </w:tc>
        <w:tc>
          <w:tcPr>
            <w:tcW w:w="1701" w:type="dxa"/>
            <w:tcBorders>
              <w:top w:val="single" w:sz="8" w:space="0" w:color="4BACC6"/>
              <w:bottom w:val="single" w:sz="8" w:space="0" w:color="4BACC6"/>
              <w:right w:val="single" w:sz="8" w:space="0" w:color="4BACC6"/>
            </w:tcBorders>
            <w:shd w:val="clear" w:color="auto" w:fill="auto"/>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40,04%</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Liquidación Módulo de Poderes</w:t>
      </w:r>
    </w:p>
    <w:p w:rsidR="004E7C42" w:rsidRPr="004E7C42" w:rsidRDefault="004E7C42" w:rsidP="004E7C42">
      <w:pPr>
        <w:pStyle w:val="Prrafodelista"/>
        <w:spacing w:line="360" w:lineRule="auto"/>
        <w:ind w:left="-142"/>
        <w:jc w:val="both"/>
        <w:rPr>
          <w:rFonts w:ascii="Book Antiqua" w:hAnsi="Book Antiqua"/>
          <w:bCs/>
          <w:color w:val="FF0000"/>
          <w:lang w:val="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lastRenderedPageBreak/>
        <w:t>Cuadro 4.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929 Ministerio Público</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tbl>
      <w:tblPr>
        <w:tblW w:w="946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2981"/>
        <w:gridCol w:w="2413"/>
        <w:gridCol w:w="2262"/>
        <w:gridCol w:w="1809"/>
      </w:tblGrid>
      <w:tr w:rsidR="004E7C42" w:rsidRPr="004E7C42" w:rsidTr="004E7C42">
        <w:trPr>
          <w:trHeight w:val="683"/>
        </w:trPr>
        <w:tc>
          <w:tcPr>
            <w:tcW w:w="2981"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Partida</w:t>
            </w:r>
          </w:p>
        </w:tc>
        <w:tc>
          <w:tcPr>
            <w:tcW w:w="2413"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Actual</w:t>
            </w:r>
          </w:p>
        </w:tc>
        <w:tc>
          <w:tcPr>
            <w:tcW w:w="2262"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Ejecutado</w:t>
            </w:r>
          </w:p>
        </w:tc>
        <w:tc>
          <w:tcPr>
            <w:tcW w:w="1809" w:type="dxa"/>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Porcentaje de Ejecución</w:t>
            </w:r>
          </w:p>
        </w:tc>
      </w:tr>
      <w:tr w:rsidR="004E7C42" w:rsidRPr="004E7C42" w:rsidTr="004E7C42">
        <w:trPr>
          <w:trHeight w:val="356"/>
        </w:trPr>
        <w:tc>
          <w:tcPr>
            <w:tcW w:w="2981" w:type="dxa"/>
          </w:tcPr>
          <w:p w:rsidR="004E7C42" w:rsidRPr="004E7C42" w:rsidRDefault="004E7C42" w:rsidP="004E7C42">
            <w:pPr>
              <w:pStyle w:val="Prrafodelista"/>
              <w:spacing w:line="360" w:lineRule="auto"/>
              <w:ind w:left="0"/>
              <w:jc w:val="both"/>
              <w:rPr>
                <w:rFonts w:ascii="Book Antiqua" w:hAnsi="Book Antiqua"/>
                <w:bCs/>
                <w:lang w:val="es-CR"/>
              </w:rPr>
            </w:pPr>
            <w:r w:rsidRPr="004E7C42">
              <w:rPr>
                <w:rFonts w:ascii="Book Antiqua" w:hAnsi="Book Antiqua"/>
                <w:lang w:val="es-CR"/>
              </w:rPr>
              <w:t>TOTAL</w:t>
            </w:r>
          </w:p>
        </w:tc>
        <w:tc>
          <w:tcPr>
            <w:tcW w:w="2413"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 xml:space="preserve">52.436,4 </w:t>
            </w:r>
          </w:p>
        </w:tc>
        <w:tc>
          <w:tcPr>
            <w:tcW w:w="2262"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25.095,7</w:t>
            </w:r>
          </w:p>
        </w:tc>
        <w:tc>
          <w:tcPr>
            <w:tcW w:w="1809"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47,9%</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Remuneraciones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48.533,3</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23.948,1</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49,3%</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Servicios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2.695,0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812,7</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30,2%</w:t>
            </w:r>
          </w:p>
        </w:tc>
      </w:tr>
      <w:tr w:rsidR="004E7C42" w:rsidRPr="004E7C42" w:rsidTr="004E7C42">
        <w:trPr>
          <w:trHeight w:val="356"/>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Materiales y Suministros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238,6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51,4</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21,5%</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Intereses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Activos Financieros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rPr>
          <w:trHeight w:val="356"/>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Bienes Duraderos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426,5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8,1</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1,9%</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Corrientes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542,8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275,3</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50,7%</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de Capital</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rPr>
          <w:trHeight w:val="356"/>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Amortización</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rPr>
          <w:trHeight w:val="341"/>
        </w:trPr>
        <w:tc>
          <w:tcPr>
            <w:tcW w:w="2981"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Cuentas Especiales</w:t>
            </w:r>
          </w:p>
        </w:tc>
        <w:tc>
          <w:tcPr>
            <w:tcW w:w="2413"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262"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809"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Fuente: Liquidación presupuestaria, Sistema Integrado de Gestión </w:t>
      </w:r>
      <w:r w:rsidR="00C5213A">
        <w:rPr>
          <w:rFonts w:ascii="Book Antiqua" w:hAnsi="Book Antiqua"/>
          <w:bCs/>
          <w:lang w:val="es-CR"/>
        </w:rPr>
        <w:t>Administrativ</w:t>
      </w:r>
      <w:r w:rsidR="00C5213A" w:rsidRPr="004E7C42">
        <w:rPr>
          <w:rFonts w:ascii="Book Antiqua" w:hAnsi="Book Antiqua"/>
          <w:bCs/>
          <w:lang w:val="es-CR"/>
        </w:rPr>
        <w:t>a</w:t>
      </w:r>
      <w:r w:rsidRPr="004E7C42">
        <w:rPr>
          <w:rFonts w:ascii="Book Antiqua" w:hAnsi="Book Antiqua"/>
          <w:bCs/>
          <w:lang w:val="es-CR"/>
        </w:rPr>
        <w:t xml:space="preserve"> del Poder Judicial</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5.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Programa 930 Servicio Defensa Pública</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tbl>
      <w:tblPr>
        <w:tblW w:w="0" w:type="auto"/>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2802"/>
        <w:gridCol w:w="2268"/>
        <w:gridCol w:w="2126"/>
        <w:gridCol w:w="1701"/>
      </w:tblGrid>
      <w:tr w:rsidR="004E7C42" w:rsidRPr="004E7C42" w:rsidTr="004E7C42">
        <w:tc>
          <w:tcPr>
            <w:tcW w:w="2802"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Partida</w:t>
            </w:r>
          </w:p>
        </w:tc>
        <w:tc>
          <w:tcPr>
            <w:tcW w:w="2268"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Actual</w:t>
            </w:r>
          </w:p>
        </w:tc>
        <w:tc>
          <w:tcPr>
            <w:tcW w:w="2126"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Ejecutado</w:t>
            </w:r>
          </w:p>
        </w:tc>
        <w:tc>
          <w:tcPr>
            <w:tcW w:w="1701" w:type="dxa"/>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Porcentaje de Ejecución</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Cs/>
                <w:lang w:val="es-CR"/>
              </w:rPr>
            </w:pPr>
            <w:r w:rsidRPr="004E7C42">
              <w:rPr>
                <w:rFonts w:ascii="Book Antiqua" w:hAnsi="Book Antiqua"/>
                <w:lang w:val="es-CR"/>
              </w:rPr>
              <w:t>TOTAL</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39.614,3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19.007,8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48,0%</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lastRenderedPageBreak/>
              <w:t>Remuneraciones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36.724,3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18.154,4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49,4%</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Servicios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2.064,5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592,9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28,7%</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Materiales y Suministros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109,9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37,9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34,5%</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Intereses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Activos Financieros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Bienes Duraderos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285,7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12,2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4,3%</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Corrientes</w:t>
            </w:r>
          </w:p>
        </w:tc>
        <w:tc>
          <w:tcPr>
            <w:tcW w:w="2268"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430,0 </w:t>
            </w:r>
          </w:p>
        </w:tc>
        <w:tc>
          <w:tcPr>
            <w:tcW w:w="2126"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210,5 </w:t>
            </w:r>
          </w:p>
        </w:tc>
        <w:tc>
          <w:tcPr>
            <w:tcW w:w="1701" w:type="dxa"/>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49,0%</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de Capital</w:t>
            </w:r>
          </w:p>
        </w:tc>
        <w:tc>
          <w:tcPr>
            <w:tcW w:w="2268"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 xml:space="preserve">-   </w:t>
            </w:r>
          </w:p>
        </w:tc>
        <w:tc>
          <w:tcPr>
            <w:tcW w:w="2126"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 xml:space="preserve">- </w:t>
            </w:r>
          </w:p>
        </w:tc>
        <w:tc>
          <w:tcPr>
            <w:tcW w:w="1701"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Amortización</w:t>
            </w:r>
          </w:p>
        </w:tc>
        <w:tc>
          <w:tcPr>
            <w:tcW w:w="2268"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 xml:space="preserve">-   </w:t>
            </w:r>
          </w:p>
        </w:tc>
        <w:tc>
          <w:tcPr>
            <w:tcW w:w="2126"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 xml:space="preserve">- </w:t>
            </w:r>
          </w:p>
        </w:tc>
        <w:tc>
          <w:tcPr>
            <w:tcW w:w="1701"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Cuentas Especiales</w:t>
            </w:r>
          </w:p>
        </w:tc>
        <w:tc>
          <w:tcPr>
            <w:tcW w:w="2268"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w:t>
            </w:r>
          </w:p>
        </w:tc>
        <w:tc>
          <w:tcPr>
            <w:tcW w:w="2126"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w:t>
            </w:r>
          </w:p>
        </w:tc>
        <w:tc>
          <w:tcPr>
            <w:tcW w:w="1701" w:type="dxa"/>
            <w:vAlign w:val="bottom"/>
          </w:tcPr>
          <w:p w:rsidR="004E7C42" w:rsidRPr="004E7C42" w:rsidRDefault="004E7C42" w:rsidP="004E7C42">
            <w:pPr>
              <w:jc w:val="right"/>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Fuente: SIGA-PJ. </w:t>
      </w:r>
      <w:r w:rsidR="00C5213A">
        <w:rPr>
          <w:rFonts w:ascii="Book Antiqua" w:hAnsi="Book Antiqua"/>
          <w:bCs/>
          <w:lang w:val="es-CR"/>
        </w:rPr>
        <w:t>Sistema de Formulación y Ejecu</w:t>
      </w:r>
      <w:r w:rsidRPr="004E7C42">
        <w:rPr>
          <w:rFonts w:ascii="Book Antiqua" w:hAnsi="Book Antiqua"/>
          <w:bCs/>
          <w:lang w:val="es-CR"/>
        </w:rPr>
        <w:t>ción Presupuestaria</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6.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Ejecución financiera del presupuesto por clasificación objeto del gasto</w:t>
      </w:r>
    </w:p>
    <w:p w:rsidR="004E7C42" w:rsidRPr="004E7C42" w:rsidRDefault="004E7C42" w:rsidP="004E7C42">
      <w:pPr>
        <w:ind w:left="55"/>
        <w:jc w:val="center"/>
        <w:rPr>
          <w:rFonts w:ascii="Book Antiqua" w:hAnsi="Book Antiqua" w:cs="Arial"/>
          <w:b/>
          <w:sz w:val="24"/>
          <w:szCs w:val="24"/>
          <w:lang w:eastAsia="es-CR"/>
        </w:rPr>
      </w:pPr>
      <w:r w:rsidRPr="004E7C42">
        <w:rPr>
          <w:rFonts w:ascii="Book Antiqua" w:hAnsi="Book Antiqua" w:cs="Arial"/>
          <w:b/>
          <w:sz w:val="24"/>
          <w:szCs w:val="24"/>
          <w:lang w:eastAsia="es-CR"/>
        </w:rPr>
        <w:t>Programa 950 “Servicio de Atención y Protección a Víctimas y Testigos”</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i/>
          <w:iCs/>
          <w:color w:val="000000"/>
          <w:sz w:val="24"/>
          <w:szCs w:val="24"/>
          <w:lang w:eastAsia="es-CR"/>
        </w:rPr>
      </w:pPr>
      <w:r w:rsidRPr="004E7C42">
        <w:rPr>
          <w:rFonts w:ascii="Book Antiqua" w:hAnsi="Book Antiqua" w:cs="Arial"/>
          <w:i/>
          <w:iCs/>
          <w:color w:val="000000"/>
          <w:sz w:val="24"/>
          <w:szCs w:val="24"/>
          <w:lang w:eastAsia="es-CR"/>
        </w:rPr>
        <w:t>(datos en millones de colones)</w:t>
      </w:r>
    </w:p>
    <w:tbl>
      <w:tblPr>
        <w:tblW w:w="0" w:type="auto"/>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2802"/>
        <w:gridCol w:w="2268"/>
        <w:gridCol w:w="2126"/>
        <w:gridCol w:w="1701"/>
      </w:tblGrid>
      <w:tr w:rsidR="004E7C42" w:rsidRPr="004E7C42" w:rsidTr="004E7C42">
        <w:tc>
          <w:tcPr>
            <w:tcW w:w="2802"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Partida</w:t>
            </w:r>
          </w:p>
        </w:tc>
        <w:tc>
          <w:tcPr>
            <w:tcW w:w="2268"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Actual</w:t>
            </w:r>
          </w:p>
        </w:tc>
        <w:tc>
          <w:tcPr>
            <w:tcW w:w="2126" w:type="dxa"/>
            <w:vAlign w:val="center"/>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Presupuesto Ejecutado</w:t>
            </w:r>
          </w:p>
        </w:tc>
        <w:tc>
          <w:tcPr>
            <w:tcW w:w="1701" w:type="dxa"/>
          </w:tcPr>
          <w:p w:rsidR="004E7C42" w:rsidRPr="004E7C42" w:rsidRDefault="004E7C42" w:rsidP="004E7C42">
            <w:pPr>
              <w:pStyle w:val="Prrafodelista"/>
              <w:spacing w:line="360" w:lineRule="auto"/>
              <w:ind w:left="0"/>
              <w:jc w:val="center"/>
              <w:rPr>
                <w:rFonts w:ascii="Book Antiqua" w:hAnsi="Book Antiqua"/>
                <w:bCs/>
                <w:lang w:val="es-CR"/>
              </w:rPr>
            </w:pPr>
            <w:r w:rsidRPr="004E7C42">
              <w:rPr>
                <w:rFonts w:ascii="Book Antiqua" w:hAnsi="Book Antiqua"/>
                <w:lang w:val="es-CR"/>
              </w:rPr>
              <w:t>Porcentaje de Ejecución</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Cs/>
                <w:lang w:val="es-CR"/>
              </w:rPr>
            </w:pPr>
            <w:r w:rsidRPr="004E7C42">
              <w:rPr>
                <w:rFonts w:ascii="Book Antiqua" w:hAnsi="Book Antiqua"/>
                <w:lang w:val="es-CR"/>
              </w:rPr>
              <w:t>TOTAL</w:t>
            </w:r>
          </w:p>
        </w:tc>
        <w:tc>
          <w:tcPr>
            <w:tcW w:w="2268"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9.768,0</w:t>
            </w:r>
          </w:p>
        </w:tc>
        <w:tc>
          <w:tcPr>
            <w:tcW w:w="2126"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4.142,1</w:t>
            </w:r>
          </w:p>
        </w:tc>
        <w:tc>
          <w:tcPr>
            <w:tcW w:w="1701" w:type="dxa"/>
            <w:vAlign w:val="bottom"/>
          </w:tcPr>
          <w:p w:rsidR="004E7C42" w:rsidRPr="004E7C42" w:rsidRDefault="004E7C42" w:rsidP="004E7C42">
            <w:pPr>
              <w:jc w:val="right"/>
              <w:rPr>
                <w:rFonts w:ascii="Book Antiqua" w:hAnsi="Book Antiqua" w:cs="Arial"/>
                <w:b/>
                <w:bCs/>
                <w:sz w:val="24"/>
                <w:szCs w:val="24"/>
              </w:rPr>
            </w:pPr>
            <w:r w:rsidRPr="004E7C42">
              <w:rPr>
                <w:rFonts w:ascii="Book Antiqua" w:hAnsi="Book Antiqua" w:cs="Arial"/>
                <w:b/>
                <w:bCs/>
                <w:sz w:val="24"/>
                <w:szCs w:val="24"/>
              </w:rPr>
              <w:t>42,3%</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Remuneraciones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8.188,6</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3.781,9</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46,2%</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Servicios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890,2</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230,7</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25.9%</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Materiales y Suministros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191,4</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59,4</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31,0%</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lastRenderedPageBreak/>
              <w:t>Intereses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Activos Financieros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Bienes Duraderos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68,8</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5,6</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8.2%</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Corrientes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333,8</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41,6</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12.5%</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Transferencias de Capital</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Amortización</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 xml:space="preserve">- </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w:t>
            </w:r>
          </w:p>
        </w:tc>
      </w:tr>
      <w:tr w:rsidR="004E7C42" w:rsidRPr="004E7C42" w:rsidTr="004E7C42">
        <w:tc>
          <w:tcPr>
            <w:tcW w:w="2802" w:type="dxa"/>
          </w:tcPr>
          <w:p w:rsidR="004E7C42" w:rsidRPr="004E7C42" w:rsidRDefault="004E7C42" w:rsidP="004E7C42">
            <w:pPr>
              <w:pStyle w:val="Prrafodelista"/>
              <w:spacing w:line="360" w:lineRule="auto"/>
              <w:ind w:left="0"/>
              <w:jc w:val="both"/>
              <w:rPr>
                <w:rFonts w:ascii="Book Antiqua" w:hAnsi="Book Antiqua"/>
                <w:b/>
                <w:bCs/>
                <w:lang w:val="es-CR"/>
              </w:rPr>
            </w:pPr>
            <w:r w:rsidRPr="004E7C42">
              <w:rPr>
                <w:rFonts w:ascii="Book Antiqua" w:hAnsi="Book Antiqua"/>
                <w:lang w:val="es-CR"/>
              </w:rPr>
              <w:t>Cuentas Especiales</w:t>
            </w:r>
          </w:p>
        </w:tc>
        <w:tc>
          <w:tcPr>
            <w:tcW w:w="2268"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95,0</w:t>
            </w:r>
          </w:p>
        </w:tc>
        <w:tc>
          <w:tcPr>
            <w:tcW w:w="2126"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22,7</w:t>
            </w:r>
          </w:p>
        </w:tc>
        <w:tc>
          <w:tcPr>
            <w:tcW w:w="1701" w:type="dxa"/>
            <w:vAlign w:val="bottom"/>
          </w:tcPr>
          <w:p w:rsidR="004E7C42" w:rsidRPr="004E7C42" w:rsidRDefault="004E7C42" w:rsidP="004E7C42">
            <w:pPr>
              <w:jc w:val="right"/>
              <w:rPr>
                <w:rFonts w:ascii="Book Antiqua" w:hAnsi="Book Antiqua" w:cs="Arial"/>
                <w:sz w:val="24"/>
                <w:szCs w:val="24"/>
              </w:rPr>
            </w:pPr>
            <w:r w:rsidRPr="004E7C42">
              <w:rPr>
                <w:rFonts w:ascii="Book Antiqua" w:hAnsi="Book Antiqua" w:cs="Arial"/>
                <w:sz w:val="24"/>
                <w:szCs w:val="24"/>
              </w:rPr>
              <w:t>23,9%</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Fuente: SIGA PJ </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 xml:space="preserve">Cuando el resultado sea menor a 45,0%, se debe completar el siguiente cuadro correspondiente a los </w:t>
      </w:r>
      <w:r w:rsidRPr="004E7C42">
        <w:rPr>
          <w:rFonts w:ascii="Book Antiqua" w:hAnsi="Book Antiqua" w:cs="Arial"/>
          <w:b/>
          <w:bCs/>
          <w:sz w:val="24"/>
          <w:szCs w:val="24"/>
          <w:u w:val="single"/>
        </w:rPr>
        <w:t>“factores”</w:t>
      </w:r>
      <w:r w:rsidRPr="004E7C42">
        <w:rPr>
          <w:rFonts w:ascii="Book Antiqua" w:hAnsi="Book Antiqua" w:cs="Arial"/>
          <w:bCs/>
          <w:sz w:val="24"/>
          <w:szCs w:val="24"/>
        </w:rPr>
        <w:t xml:space="preserve"> que incidieron en el resultado obtenido, y se deben indicar las “</w:t>
      </w:r>
      <w:r w:rsidRPr="004E7C42">
        <w:rPr>
          <w:rFonts w:ascii="Book Antiqua" w:hAnsi="Book Antiqua" w:cs="Arial"/>
          <w:b/>
          <w:bCs/>
          <w:sz w:val="24"/>
          <w:szCs w:val="24"/>
          <w:u w:val="single"/>
        </w:rPr>
        <w:t>acciones”</w:t>
      </w:r>
      <w:r w:rsidRPr="004E7C42">
        <w:rPr>
          <w:rFonts w:ascii="Book Antiqua" w:hAnsi="Book Antiqua" w:cs="Arial"/>
          <w:bCs/>
          <w:sz w:val="24"/>
          <w:szCs w:val="24"/>
        </w:rPr>
        <w:t xml:space="preserve"> que llevará a cabo </w:t>
      </w:r>
      <w:r w:rsidRPr="004E7C42">
        <w:rPr>
          <w:rFonts w:ascii="Book Antiqua" w:hAnsi="Book Antiqua" w:cs="Arial"/>
          <w:b/>
          <w:bCs/>
          <w:sz w:val="24"/>
          <w:szCs w:val="24"/>
          <w:u w:val="single"/>
        </w:rPr>
        <w:t>el programa y/o subprograma</w:t>
      </w:r>
      <w:r w:rsidRPr="004E7C42">
        <w:rPr>
          <w:rFonts w:ascii="Book Antiqua" w:hAnsi="Book Antiqua" w:cs="Arial"/>
          <w:bCs/>
          <w:sz w:val="24"/>
          <w:szCs w:val="24"/>
        </w:rPr>
        <w:t xml:space="preserve"> para mejorar el nivel de ejecución durante el segundo semestre, con el objetivo de cumplir con una gestión financiera eficiente que apoye el cumplimiento de metas. En el caso de la partida </w:t>
      </w:r>
      <w:r w:rsidRPr="004E7C42">
        <w:rPr>
          <w:rFonts w:ascii="Book Antiqua" w:hAnsi="Book Antiqua" w:cs="Arial"/>
          <w:b/>
          <w:bCs/>
          <w:sz w:val="24"/>
          <w:szCs w:val="24"/>
          <w:u w:val="single"/>
        </w:rPr>
        <w:t>“Cuentas Especiales”</w:t>
      </w:r>
      <w:r w:rsidRPr="004E7C42">
        <w:rPr>
          <w:rFonts w:ascii="Book Antiqua" w:hAnsi="Book Antiqua" w:cs="Arial"/>
          <w:bCs/>
          <w:sz w:val="24"/>
          <w:szCs w:val="24"/>
        </w:rPr>
        <w:t>, sólo se debe hacer referencia a los factores que explican la ejecución</w:t>
      </w:r>
      <w:r w:rsidRPr="004E7C42">
        <w:rPr>
          <w:rFonts w:ascii="Book Antiqua" w:hAnsi="Book Antiqua" w:cs="Arial"/>
          <w:bCs/>
          <w:color w:val="FF0000"/>
          <w:sz w:val="24"/>
          <w:szCs w:val="24"/>
        </w:rPr>
        <w:t>.</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Para el llenado del cuadro, utilice como referencia los siguientes factores (puede mencionar más de un factor).</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Se debe indicar solamente el número correspondiente al factor y/o factores en la columna denominada “Factores”, (en los casos que se indique el número “10” correspondiente a la categoría “otros”, si se debe especificar el factor que influyó)</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rPr>
      </w:pPr>
      <w:r w:rsidRPr="004E7C42">
        <w:rPr>
          <w:rFonts w:ascii="Book Antiqua" w:hAnsi="Book Antiqua"/>
          <w:bCs/>
        </w:rPr>
        <w:lastRenderedPageBreak/>
        <w:t>Aplicación de directrices presidenciales.</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Lineamientos de los entes rectores de la Administración Financiera.</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Gestión administrativa institucional (que generen ahorro o mayor gasto)</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Variación en la estimación de recursos.</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Problemas relacionados con los procesos de Contratación Administrativa.</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rPr>
      </w:pPr>
      <w:r w:rsidRPr="004E7C42">
        <w:rPr>
          <w:rFonts w:ascii="Book Antiqua" w:hAnsi="Book Antiqua"/>
          <w:bCs/>
        </w:rPr>
        <w:t>Liberación de cuota</w:t>
      </w:r>
      <w:r w:rsidR="00C5213A">
        <w:rPr>
          <w:rFonts w:ascii="Book Antiqua" w:hAnsi="Book Antiqua"/>
          <w:bCs/>
        </w:rPr>
        <w:t xml:space="preserve"> </w:t>
      </w:r>
      <w:r w:rsidRPr="004E7C42">
        <w:rPr>
          <w:rFonts w:ascii="Book Antiqua" w:hAnsi="Book Antiqua"/>
          <w:bCs/>
        </w:rPr>
        <w:t>insuficiente.</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Desviaciones entre lo planificado y lo ejecutado.</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Normas de ejecución para el ejercicio presupuestario 2019.</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lang w:val="es-CR"/>
        </w:rPr>
      </w:pPr>
      <w:r w:rsidRPr="004E7C42">
        <w:rPr>
          <w:rFonts w:ascii="Book Antiqua" w:hAnsi="Book Antiqua"/>
          <w:bCs/>
          <w:lang w:val="es-CR"/>
        </w:rPr>
        <w:t>Problemas con las gestiones relacionadas con convenios marco.</w:t>
      </w:r>
    </w:p>
    <w:p w:rsidR="004E7C42" w:rsidRPr="004E7C42" w:rsidRDefault="004E7C42" w:rsidP="00570DA5">
      <w:pPr>
        <w:pStyle w:val="Prrafodelista"/>
        <w:numPr>
          <w:ilvl w:val="1"/>
          <w:numId w:val="2"/>
        </w:numPr>
        <w:spacing w:line="360" w:lineRule="auto"/>
        <w:ind w:left="709" w:hanging="567"/>
        <w:contextualSpacing/>
        <w:jc w:val="both"/>
        <w:rPr>
          <w:rFonts w:ascii="Book Antiqua" w:hAnsi="Book Antiqua"/>
          <w:bCs/>
        </w:rPr>
      </w:pPr>
      <w:r w:rsidRPr="004E7C42">
        <w:rPr>
          <w:rFonts w:ascii="Book Antiqua" w:hAnsi="Book Antiqua"/>
          <w:bCs/>
        </w:rPr>
        <w:t>Otros (Especifique).</w:t>
      </w:r>
    </w:p>
    <w:p w:rsidR="004E7C42" w:rsidRPr="004E7C42" w:rsidRDefault="004E7C42" w:rsidP="004E7C42">
      <w:pPr>
        <w:pStyle w:val="Prrafodelista"/>
        <w:spacing w:line="360" w:lineRule="auto"/>
        <w:ind w:left="709"/>
        <w:jc w:val="both"/>
        <w:rPr>
          <w:rFonts w:ascii="Book Antiqua" w:hAnsi="Book Antiqua"/>
          <w:bCs/>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7.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926 Dirección, administrac</w:t>
      </w:r>
      <w:r w:rsidR="00C5213A">
        <w:rPr>
          <w:rFonts w:ascii="Book Antiqua" w:hAnsi="Book Antiqua" w:cs="Arial"/>
          <w:sz w:val="24"/>
          <w:szCs w:val="24"/>
          <w:lang w:eastAsia="es-CR"/>
        </w:rPr>
        <w:t>ión y otros órganos apoyo juris</w:t>
      </w:r>
      <w:r w:rsidRPr="004E7C42">
        <w:rPr>
          <w:rFonts w:ascii="Book Antiqua" w:hAnsi="Book Antiqua" w:cs="Arial"/>
          <w:sz w:val="24"/>
          <w:szCs w:val="24"/>
          <w:lang w:eastAsia="es-CR"/>
        </w:rPr>
        <w:t>diccional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0" w:type="auto"/>
        <w:jc w:val="center"/>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1796"/>
        <w:gridCol w:w="3076"/>
        <w:gridCol w:w="2532"/>
        <w:gridCol w:w="2025"/>
      </w:tblGrid>
      <w:tr w:rsidR="004E7C42" w:rsidRPr="004E7C42" w:rsidTr="004E7C42">
        <w:trPr>
          <w:trHeight w:val="625"/>
          <w:jc w:val="center"/>
        </w:trPr>
        <w:tc>
          <w:tcPr>
            <w:tcW w:w="1959"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Nombre de la partida</w:t>
            </w:r>
          </w:p>
        </w:tc>
        <w:tc>
          <w:tcPr>
            <w:tcW w:w="2570"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Factores</w:t>
            </w:r>
          </w:p>
        </w:tc>
        <w:tc>
          <w:tcPr>
            <w:tcW w:w="2856" w:type="dxa"/>
            <w:shd w:val="clear" w:color="auto" w:fill="4BACC6"/>
            <w:vAlign w:val="center"/>
          </w:tcPr>
          <w:p w:rsidR="004E7C42" w:rsidRPr="004E7C42" w:rsidRDefault="00C5213A"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Acciones Correctivas</w:t>
            </w:r>
          </w:p>
        </w:tc>
        <w:tc>
          <w:tcPr>
            <w:tcW w:w="1684"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Responsable</w:t>
            </w:r>
            <w:r w:rsidRPr="004E7C42">
              <w:rPr>
                <w:rFonts w:ascii="Book Antiqua" w:hAnsi="Book Antiqua" w:cs="Arial"/>
                <w:b/>
                <w:bCs/>
                <w:color w:val="FFFFFF"/>
                <w:sz w:val="24"/>
                <w:szCs w:val="24"/>
                <w:vertAlign w:val="superscript"/>
              </w:rPr>
              <w:t>1/</w:t>
            </w:r>
          </w:p>
        </w:tc>
      </w:tr>
      <w:tr w:rsidR="004E7C42" w:rsidRPr="004E7C42" w:rsidTr="004E7C42">
        <w:trPr>
          <w:trHeight w:val="312"/>
          <w:jc w:val="center"/>
        </w:trPr>
        <w:tc>
          <w:tcPr>
            <w:tcW w:w="1959"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t>Servicios</w:t>
            </w:r>
          </w:p>
        </w:tc>
        <w:tc>
          <w:tcPr>
            <w:tcW w:w="2570"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4, 5, 7,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Servicios que se cancelan mes vencido como por ejemplo los servicios públicos, alquileres, limpieza y seguridad, entre otros.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 xml:space="preserve">Facturas de servicios ya recibidos por el Poder Judicial y que al 30 de junio no habían sido </w:t>
            </w:r>
            <w:r w:rsidRPr="004E7C42">
              <w:rPr>
                <w:rFonts w:ascii="Book Antiqua" w:hAnsi="Book Antiqua" w:cs="Arial"/>
                <w:bCs/>
                <w:sz w:val="24"/>
                <w:szCs w:val="24"/>
              </w:rPr>
              <w:lastRenderedPageBreak/>
              <w:t>canceladas.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Atrasos en la presentación de facturas por parte de los proveedores de servicios ya recibidos por el Poder Judicial.</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Imprevisibilidad en servicios de peritajes y mantenimiento de los diferentes equipos de la Institución.</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Pago de servicios que se ejecutan en un solo tracto al final del período como por ejemplo el pago de marchamos.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Servicios que están sujetos a fechas de ejecución según cronogramas externos a la institución como las capacitaciones.</w:t>
            </w:r>
          </w:p>
        </w:tc>
        <w:tc>
          <w:tcPr>
            <w:tcW w:w="2856" w:type="dxa"/>
            <w:tcBorders>
              <w:top w:val="single" w:sz="8" w:space="0" w:color="4BACC6"/>
              <w:bottom w:val="single" w:sz="8" w:space="0" w:color="4BACC6"/>
            </w:tcBorders>
            <w:shd w:val="clear" w:color="auto" w:fill="auto"/>
          </w:tcPr>
          <w:p w:rsidR="004E7C42" w:rsidRPr="004E7C42" w:rsidRDefault="004E7C42" w:rsidP="004E7C42">
            <w:pPr>
              <w:pStyle w:val="Textonotapie"/>
              <w:ind w:firstLine="709"/>
              <w:jc w:val="both"/>
              <w:rPr>
                <w:rFonts w:ascii="Book Antiqua" w:hAnsi="Book Antiqua" w:cs="Arial"/>
                <w:bCs/>
                <w:sz w:val="24"/>
                <w:szCs w:val="24"/>
                <w:lang w:val="es-CR"/>
              </w:rPr>
            </w:pPr>
            <w:r w:rsidRPr="004E7C42">
              <w:rPr>
                <w:rFonts w:ascii="Book Antiqua" w:hAnsi="Book Antiqua" w:cs="Arial"/>
                <w:bCs/>
                <w:sz w:val="24"/>
                <w:szCs w:val="24"/>
                <w:lang w:val="es-CR"/>
              </w:rPr>
              <w:lastRenderedPageBreak/>
              <w:t xml:space="preserve">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w:t>
            </w:r>
            <w:r w:rsidRPr="004E7C42">
              <w:rPr>
                <w:rFonts w:ascii="Book Antiqua" w:hAnsi="Book Antiqua" w:cs="Arial"/>
                <w:bCs/>
                <w:sz w:val="24"/>
                <w:szCs w:val="24"/>
                <w:lang w:val="es-CR"/>
              </w:rPr>
              <w:lastRenderedPageBreak/>
              <w:t xml:space="preserve">procesos de compra y pago a los proveedores para minimizar los compromisos no devengados al cierre del año. Durante el 2016, como parte del seguimiento presupuestario, se emitió la Circular No.76-2016, según acuerdo de Corte Plena en sesión No.12-16 celebrada el 25 de abril 2016, artículo VIII, mediante el cual se establece con carácter obligatorio la propuesta de Política y de Contenido de Informes de Gestión durante el Proceso de Ejecución Presupuestaria, por parte de los centros gestores del Poder Judicial. Mediante esta Circular se solicita a los centros gestores un seguimiento trimestral de los recursos con que se cuenta para su ejecución. Se implementó, como parte de las medidas de control para </w:t>
            </w:r>
            <w:r w:rsidRPr="004E7C42">
              <w:rPr>
                <w:rFonts w:ascii="Book Antiqua" w:hAnsi="Book Antiqua" w:cs="Arial"/>
                <w:bCs/>
                <w:sz w:val="24"/>
                <w:szCs w:val="24"/>
                <w:lang w:val="es-CR"/>
              </w:rPr>
              <w:lastRenderedPageBreak/>
              <w:t xml:space="preserve">mejorar la ejecución, que el Subproceso de Presupuesto y/o la Dirección Ejecutiva realice comunicados periódicos a las diferentes oficinas Judiciales del país, de saldos relevantes en sus presupuestos, o bien, montos sin ejecutar, para que brinden información oportuna sobre el avance en los procesos de contratación y a la vez se determinen aquellos procesos que no sean posible realizar (infructuosos, desiertos, etc.), para procurar su reutilización en proyectos y necesidades de este Poder de la República, en aras de mejorar cada día más el servicio al usuario y maximizar el uso de los recursos. </w:t>
            </w:r>
            <w:r w:rsidRPr="004E7C42">
              <w:rPr>
                <w:rFonts w:ascii="Book Antiqua" w:hAnsi="Book Antiqua" w:cs="Arial"/>
                <w:bCs/>
                <w:sz w:val="24"/>
                <w:szCs w:val="24"/>
                <w:lang w:val="es-CR"/>
              </w:rPr>
              <w:br/>
              <w:t xml:space="preserve">En sesión N° 87-16 de 20 de setiembre del 2016, artículo LXXVI, el Consejo Superior, concede permiso con goce de salario a partir del 20 de </w:t>
            </w:r>
            <w:r w:rsidRPr="004E7C42">
              <w:rPr>
                <w:rFonts w:ascii="Book Antiqua" w:hAnsi="Book Antiqua" w:cs="Arial"/>
                <w:bCs/>
                <w:sz w:val="24"/>
                <w:szCs w:val="24"/>
                <w:lang w:val="es-CR"/>
              </w:rPr>
              <w:lastRenderedPageBreak/>
              <w:t>setiembre 2016 y hasta el último día laboral del 2016, a un grupo de profesionales en las diferentes oficinas que intervienen  en el proyecto institucional para dar sostenibilidad a la mejora del proceso de contratación administrativa para la ejecución presupuestaria 2017 y que se extiende al período presupuestario 2018.Mediante acuerdo del Consejo Superior No.110-18 del 19 de diciembre del 2018, artículo I se prorrogaron dichos permisos hasta el 31 de marzo del 2019. Posteriormente en sesión del Consejo Superior No.28-19 del 28 de marzo del 2019, artículo VI, se extiende el período de dichos permisos hasta el 30 de junio del 2019.</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br/>
              <w:t xml:space="preserve">A su vez, en sesión N° 113-16 del 20 de diciembre del 2016, artículo XL, el </w:t>
            </w:r>
            <w:r w:rsidRPr="004E7C42">
              <w:rPr>
                <w:rFonts w:ascii="Book Antiqua" w:hAnsi="Book Antiqua" w:cs="Arial"/>
                <w:bCs/>
                <w:sz w:val="24"/>
                <w:szCs w:val="24"/>
              </w:rPr>
              <w:lastRenderedPageBreak/>
              <w:t>Consejo Superior,  toma nota del primer informe referente al avance del proyecto y mediante oficio No.4133-DE-2017 del 30 de Agosto del 2017, la Dirección Ejecutiva hace del conocimiento del Consejo Superior el informe de avance del Proyecto institucional para dar sostenibilidad a la mejora del proceso de contratación administrativa en materia de infraestructura, informática (recurso tecnológico estratégico) y equipos y servicios especiales del OIJ, para la ejecución presupuestaria, aprobado mediante acuerdo del Consejo Superior No.82-2017, del 7 de Setiembre del 2017, artículo XL.</w:t>
            </w:r>
          </w:p>
          <w:p w:rsidR="004E7C42" w:rsidRPr="004E7C42" w:rsidRDefault="004E7C42" w:rsidP="004E7C42">
            <w:pPr>
              <w:jc w:val="both"/>
              <w:rPr>
                <w:rFonts w:ascii="Book Antiqua" w:hAnsi="Book Antiqua" w:cs="Arial"/>
                <w:bCs/>
                <w:sz w:val="24"/>
                <w:szCs w:val="24"/>
              </w:rPr>
            </w:pP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Mediante la Circular No.136-2017 remitida por la Dirección Ejecutiva, se establecen las medidas para la contención del gasto </w:t>
            </w:r>
            <w:r w:rsidRPr="004E7C42">
              <w:rPr>
                <w:rFonts w:ascii="Book Antiqua" w:hAnsi="Book Antiqua" w:cs="Arial"/>
                <w:bCs/>
                <w:sz w:val="24"/>
                <w:szCs w:val="24"/>
              </w:rPr>
              <w:lastRenderedPageBreak/>
              <w:t xml:space="preserve">para el Poder Judicial, especificando para cada subpartida las acciones a seguir y en la que se comunica que la Corte Plena en sesiones N° 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w:t>
            </w:r>
            <w:r w:rsidRPr="004E7C42">
              <w:rPr>
                <w:rFonts w:ascii="Book Antiqua" w:hAnsi="Book Antiqua" w:cs="Arial"/>
                <w:bCs/>
                <w:sz w:val="24"/>
                <w:szCs w:val="24"/>
              </w:rPr>
              <w:lastRenderedPageBreak/>
              <w:t>resulta imperativo adoptar medidas inmediatas que permitan la sujeción del gasto y obtener ahorros en el uso de los recursos públicos, así como otras de carácter estructural de ejecución a mediano y largo plazo.</w:t>
            </w:r>
          </w:p>
          <w:p w:rsidR="004E7C42" w:rsidRPr="004E7C42" w:rsidRDefault="004E7C42" w:rsidP="004E7C42">
            <w:pPr>
              <w:jc w:val="both"/>
              <w:rPr>
                <w:rFonts w:ascii="Book Antiqua" w:hAnsi="Book Antiqua" w:cs="Arial"/>
                <w:bCs/>
                <w:sz w:val="24"/>
                <w:szCs w:val="24"/>
              </w:rPr>
            </w:pP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Con la puesta en marcha del Sistema Integrado de Gestión Administrativa SIGA-PJ, todas las oficinas tienen acceso a los diferentes reportes que genera el sistema, herramientas con los que tienen la posibilidad de monitorear todos los trámites que realizan y el avance de los mismos hasta su aprobación final, así como los disponibles de las subpartidas y de los documentos presupuestarios que se encuentran aprobados finalmente, para hacerle frente al pago de las obligaciones adquiridas por los </w:t>
            </w:r>
            <w:r w:rsidRPr="004E7C42">
              <w:rPr>
                <w:rFonts w:ascii="Book Antiqua" w:hAnsi="Book Antiqua" w:cs="Arial"/>
                <w:bCs/>
                <w:sz w:val="24"/>
                <w:szCs w:val="24"/>
              </w:rPr>
              <w:lastRenderedPageBreak/>
              <w:t>diferentes centros gestores, permitiendo de esta manera solicitar nuevos trámites o traslados de recursos de forma oportuna y sin que se vea afectado el curso normal de las oficinas.</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Seguimientos y consultas periódicas al Departamento de Proveeduría y demás Departamentos y centros gestores involucrados, hasta que se materialicen los contratos de arriendo, por lo que se realizan reuniones mensuales para dar el seguimiento apropiado, de forma conjunta con la Dirección Ejecutiva y los Departamentos de Proveeduría, Financiero Contable y Servicios Generales.</w:t>
            </w:r>
          </w:p>
          <w:p w:rsidR="004E7C42" w:rsidRPr="004E7C42" w:rsidRDefault="004E7C42" w:rsidP="004E7C42">
            <w:pPr>
              <w:jc w:val="both"/>
              <w:rPr>
                <w:rFonts w:ascii="Book Antiqua" w:hAnsi="Book Antiqua" w:cs="Arial"/>
                <w:bCs/>
                <w:sz w:val="24"/>
                <w:szCs w:val="24"/>
              </w:rPr>
            </w:pP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Administradores de centros gestores, incluyendo el Departamento de Proveeduría, Departamento de Servicios Generales y el Macroproceso Financiero Contable.</w:t>
            </w:r>
          </w:p>
        </w:tc>
      </w:tr>
      <w:tr w:rsidR="004E7C42" w:rsidRPr="004E7C42" w:rsidTr="004E7C42">
        <w:trPr>
          <w:trHeight w:val="312"/>
          <w:jc w:val="center"/>
        </w:trPr>
        <w:tc>
          <w:tcPr>
            <w:tcW w:w="1959" w:type="dxa"/>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Materiales y suministros</w:t>
            </w:r>
          </w:p>
        </w:tc>
        <w:tc>
          <w:tcPr>
            <w:tcW w:w="2570"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5, 7,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 xml:space="preserve">Contratos según demanda de compra de repuestos, llantas, baterías, </w:t>
            </w:r>
            <w:r w:rsidRPr="004E7C42">
              <w:rPr>
                <w:rFonts w:ascii="Book Antiqua" w:hAnsi="Book Antiqua" w:cs="Arial"/>
                <w:bCs/>
                <w:sz w:val="24"/>
                <w:szCs w:val="24"/>
              </w:rPr>
              <w:lastRenderedPageBreak/>
              <w:t>suministros de oficina, papelería y uniformes, entre otros, que se ejecutan de acuerdo con las necesidades de las oficinas y que son totalmente imprevisibles.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Compras variables como combustible.</w:t>
            </w:r>
          </w:p>
          <w:p w:rsidR="004E7C42" w:rsidRPr="004E7C42" w:rsidRDefault="004E7C42" w:rsidP="004E7C42">
            <w:pPr>
              <w:ind w:left="720"/>
              <w:jc w:val="both"/>
              <w:rPr>
                <w:rFonts w:ascii="Book Antiqua" w:hAnsi="Book Antiqua" w:cs="Arial"/>
                <w:bCs/>
                <w:sz w:val="24"/>
                <w:szCs w:val="24"/>
              </w:rPr>
            </w:pPr>
          </w:p>
        </w:tc>
        <w:tc>
          <w:tcPr>
            <w:tcW w:w="2856"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Las acciones correctivas aplican igual que la partida 1.</w:t>
            </w:r>
          </w:p>
        </w:tc>
        <w:tc>
          <w:tcPr>
            <w:tcW w:w="1684"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Administradores de centros gestores, incluyendo el Departamento de Proveeduría, Departamento de Servicios </w:t>
            </w:r>
            <w:r w:rsidRPr="004E7C42">
              <w:rPr>
                <w:rFonts w:ascii="Book Antiqua" w:hAnsi="Book Antiqua" w:cs="Arial"/>
                <w:bCs/>
                <w:sz w:val="24"/>
                <w:szCs w:val="24"/>
              </w:rPr>
              <w:lastRenderedPageBreak/>
              <w:t>Generales y el Macroproceso Financiero Contable</w:t>
            </w:r>
          </w:p>
        </w:tc>
      </w:tr>
      <w:tr w:rsidR="004E7C42" w:rsidRPr="004E7C42" w:rsidTr="004E7C42">
        <w:trPr>
          <w:trHeight w:val="312"/>
          <w:jc w:val="center"/>
        </w:trPr>
        <w:tc>
          <w:tcPr>
            <w:tcW w:w="1959"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Bienes duraderos</w:t>
            </w:r>
          </w:p>
        </w:tc>
        <w:tc>
          <w:tcPr>
            <w:tcW w:w="2570"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5,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Obras que requieren de un porcentaje de avance para ejecutar los recursos.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Cambios en las necesidades de las oficinas de proyectos que se tenían inicialmente.</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Duración del trámite y aprobación de modificaciones externas.</w:t>
            </w:r>
          </w:p>
        </w:tc>
        <w:tc>
          <w:tcPr>
            <w:tcW w:w="2856"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Las acciones correctivas aplican igual que las partidas 1.</w:t>
            </w:r>
          </w:p>
          <w:p w:rsidR="004E7C42" w:rsidRPr="004E7C42" w:rsidRDefault="004E7C42" w:rsidP="004E7C42">
            <w:pPr>
              <w:jc w:val="both"/>
              <w:rPr>
                <w:rFonts w:ascii="Book Antiqua" w:hAnsi="Book Antiqua" w:cs="Arial"/>
                <w:bCs/>
                <w:sz w:val="24"/>
                <w:szCs w:val="24"/>
              </w:rPr>
            </w:pP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Administradores de centros gestores, incluyendo el Departamento de Proveeduría, Departamento de Servicios Generales y el Macroproceso Financiero Contable.</w:t>
            </w:r>
          </w:p>
          <w:p w:rsidR="004E7C42" w:rsidRPr="004E7C42" w:rsidRDefault="004E7C42" w:rsidP="004E7C42">
            <w:pPr>
              <w:jc w:val="both"/>
              <w:rPr>
                <w:rFonts w:ascii="Book Antiqua" w:hAnsi="Book Antiqua" w:cs="Arial"/>
                <w:bCs/>
                <w:sz w:val="24"/>
                <w:szCs w:val="24"/>
              </w:rPr>
            </w:pP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diligencias con las justificaciones remitidas por las oficinas que no alcanzaron el nivel de ejecución correspondiente para el primer semestre del 2019 que es del 45%.</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Dentro de la ejecución presupuestaria del Programa 926 se encuentran diluidas una serie de compromisos que apoyan el funcionamiento de otros programas, siendo este </w:t>
      </w:r>
      <w:r w:rsidRPr="004E7C42">
        <w:rPr>
          <w:rFonts w:ascii="Book Antiqua" w:hAnsi="Book Antiqua"/>
          <w:bCs/>
          <w:lang w:val="es-CR"/>
        </w:rPr>
        <w:lastRenderedPageBreak/>
        <w:t>el encargado de gerenciar el apoyo a nivel material y de recurso humano para el cumplimiento de las labores sustantivas del Poder Judicial, por esta razón partidas como la de servicios y bienes duraderos tiene un mayor peso porcentual en relación con los otros programas. En términos generales el 65% del presupuesto (remuneraciones y transferencias corrientes) programado tiene un nivel de ejecución por encima del 45%</w:t>
      </w:r>
    </w:p>
    <w:p w:rsidR="004E7C42" w:rsidRPr="004E7C42" w:rsidRDefault="004E7C42" w:rsidP="004E7C42">
      <w:pPr>
        <w:pStyle w:val="Prrafodelista"/>
        <w:spacing w:line="360" w:lineRule="auto"/>
        <w:ind w:left="142"/>
        <w:jc w:val="both"/>
        <w:rPr>
          <w:rFonts w:ascii="Book Antiqua" w:hAnsi="Book Antiqua"/>
          <w:bCs/>
          <w:lang w:val="es-CR"/>
        </w:rPr>
      </w:pPr>
    </w:p>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Con respecto a las acciones correctivas de las partidas con ejecución menores a 45% al primer semestre (que representan un 35% del presupuesto actual), que corresponden a “Servicios”, “Materiales y Suministros” y “Bienes Duraderos” son las que reportan menor nivel de cumplimiento en la ejecución semestral tomando en cuenta que existen proyectos de inversión que se encuentran en trámite de ejecución, por los procesos que conllevan, además, varios servicios se cancelan luego del cierre de mes cuando presentan las facturas, como es el caso de contratos de servicios continuados y servicios públicos, los cuales se cancelan por mes vencido. A su vez, los bienes duraderos debido a la naturaleza y a los procesos de contratación administrativa a través de licitaciones, es que la mayoría de recursos se encuentran en el disponible, en espera de concretar los procesos de adjudicación, principalmente porque se encuentran en definición de especificaciones técnicas y la búsqueda de bienes que se ajusten a las necesidades de la institución. </w:t>
      </w: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8.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927 Servicio Jurisdiccional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0" w:type="auto"/>
        <w:jc w:val="center"/>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1912"/>
        <w:gridCol w:w="3076"/>
        <w:gridCol w:w="2416"/>
        <w:gridCol w:w="2025"/>
      </w:tblGrid>
      <w:tr w:rsidR="004E7C42" w:rsidRPr="004E7C42" w:rsidTr="004E7C42">
        <w:trPr>
          <w:trHeight w:val="625"/>
          <w:jc w:val="center"/>
        </w:trPr>
        <w:tc>
          <w:tcPr>
            <w:tcW w:w="1992"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Nombre de la partida</w:t>
            </w:r>
          </w:p>
        </w:tc>
        <w:tc>
          <w:tcPr>
            <w:tcW w:w="2537"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Factores</w:t>
            </w:r>
          </w:p>
        </w:tc>
        <w:tc>
          <w:tcPr>
            <w:tcW w:w="2856" w:type="dxa"/>
            <w:shd w:val="clear" w:color="auto" w:fill="4BACC6"/>
            <w:vAlign w:val="center"/>
          </w:tcPr>
          <w:p w:rsidR="004E7C42" w:rsidRPr="004E7C42" w:rsidRDefault="00C5213A"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Acciones Correctivas</w:t>
            </w:r>
          </w:p>
        </w:tc>
        <w:tc>
          <w:tcPr>
            <w:tcW w:w="1684"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Responsable</w:t>
            </w:r>
            <w:r w:rsidRPr="004E7C42">
              <w:rPr>
                <w:rFonts w:ascii="Book Antiqua" w:hAnsi="Book Antiqua" w:cs="Arial"/>
                <w:b/>
                <w:bCs/>
                <w:color w:val="FFFFFF"/>
                <w:sz w:val="24"/>
                <w:szCs w:val="24"/>
                <w:vertAlign w:val="superscript"/>
              </w:rPr>
              <w:t>1/</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Servicios</w:t>
            </w:r>
          </w:p>
        </w:tc>
        <w:tc>
          <w:tcPr>
            <w:tcW w:w="2537"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4, 5, 7,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Servicios que se cancelan mes vencido como por ejemplo los servicios públicos, alquileres, limpieza y seguridad, entre otros.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Facturas de servicios ya recibidos por el Poder Judicial y que al 30 de junio no habían sido canceladas.</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Atrasos en la presentación de facturas por parte de los proveedores de servicios ya recibidos por el Poder Judicial.</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Imprevisibilidad en viáticos, publicaciones de edictos y mantenimiento de los diferentes equipos de la Institución.</w:t>
            </w:r>
          </w:p>
          <w:p w:rsidR="004E7C42" w:rsidRPr="004E7C42" w:rsidRDefault="004E7C42" w:rsidP="00570DA5">
            <w:pPr>
              <w:numPr>
                <w:ilvl w:val="0"/>
                <w:numId w:val="5"/>
              </w:numPr>
              <w:jc w:val="both"/>
              <w:rPr>
                <w:rFonts w:ascii="Book Antiqua" w:hAnsi="Book Antiqua" w:cs="Arial"/>
                <w:bCs/>
                <w:sz w:val="24"/>
                <w:szCs w:val="24"/>
              </w:rPr>
            </w:pPr>
            <w:r w:rsidRPr="004E7C42">
              <w:rPr>
                <w:rFonts w:ascii="Book Antiqua" w:hAnsi="Book Antiqua" w:cs="Arial"/>
                <w:bCs/>
                <w:sz w:val="24"/>
                <w:szCs w:val="24"/>
              </w:rPr>
              <w:t>Servicios que están sujetos a fechas de ejecución según cronogramas externos a la institución como las capacitaciones.</w:t>
            </w:r>
          </w:p>
        </w:tc>
        <w:tc>
          <w:tcPr>
            <w:tcW w:w="2856" w:type="dxa"/>
            <w:tcBorders>
              <w:top w:val="single" w:sz="8" w:space="0" w:color="4BACC6"/>
              <w:bottom w:val="single" w:sz="8" w:space="0" w:color="4BACC6"/>
            </w:tcBorders>
            <w:shd w:val="clear" w:color="auto" w:fill="auto"/>
          </w:tcPr>
          <w:p w:rsidR="004E7C42" w:rsidRPr="004E7C42" w:rsidRDefault="004E7C42" w:rsidP="004E7C42">
            <w:pPr>
              <w:pStyle w:val="Textonotapie"/>
              <w:ind w:firstLine="709"/>
              <w:jc w:val="both"/>
              <w:rPr>
                <w:rFonts w:ascii="Book Antiqua" w:hAnsi="Book Antiqua" w:cs="Arial"/>
                <w:bCs/>
                <w:sz w:val="24"/>
                <w:szCs w:val="24"/>
                <w:lang w:val="es-CR"/>
              </w:rPr>
            </w:pPr>
            <w:r w:rsidRPr="004E7C42">
              <w:rPr>
                <w:rFonts w:ascii="Book Antiqua" w:hAnsi="Book Antiqua" w:cs="Arial"/>
                <w:bCs/>
                <w:sz w:val="24"/>
                <w:szCs w:val="24"/>
                <w:lang w:val="es-CR"/>
              </w:rPr>
              <w:t xml:space="preserve">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 Durante el 2016, como parte del seguimiento presupuestario, se emitió la Circular No.76-2016, según acuerdo de Corte Plena en sesión No.12-16 celebrada el 25 de abril 2016, artículo VIII, mediante el cual se establece con carácter obligatorio la propuesta de Política y de Contenido de </w:t>
            </w:r>
            <w:r w:rsidRPr="004E7C42">
              <w:rPr>
                <w:rFonts w:ascii="Book Antiqua" w:hAnsi="Book Antiqua" w:cs="Arial"/>
                <w:bCs/>
                <w:sz w:val="24"/>
                <w:szCs w:val="24"/>
                <w:lang w:val="es-CR"/>
              </w:rPr>
              <w:lastRenderedPageBreak/>
              <w:t xml:space="preserve">Informes de Gestión durante el Proceso de Ejecución Presupuestaria, por parte de los centros gestores del Poder Judicial. Mediante esta Circular se solicita a los centros gestores un seguimiento trimestral de los recursos con que se cuenta para su ejecución. Se implementó, como parte de las medidas de control para mejorar la ejecución, que el Subproceso de Presupuesto y/o la Dirección Ejecutiva realice comunicados periódicos a las diferentes oficinas Judiciales del país, de saldos relevantes en sus presupuestos, o bien, montos sin ejecutar, para que brinden información oportuna sobre el avance en los procesos de contratación y a la vez se determinen aquellos procesos que no sean posible realizar </w:t>
            </w:r>
            <w:r w:rsidRPr="004E7C42">
              <w:rPr>
                <w:rFonts w:ascii="Book Antiqua" w:hAnsi="Book Antiqua" w:cs="Arial"/>
                <w:bCs/>
                <w:sz w:val="24"/>
                <w:szCs w:val="24"/>
                <w:lang w:val="es-CR"/>
              </w:rPr>
              <w:lastRenderedPageBreak/>
              <w:t xml:space="preserve">(infructuosos, desiertos, etc.), para procurar su reutilización en proyectos y necesidades de este Poder de la República, en aras de mejorar cada día más el servicio al usuario y maximizar el uso de los recursos. </w:t>
            </w:r>
            <w:r w:rsidRPr="004E7C42">
              <w:rPr>
                <w:rFonts w:ascii="Book Antiqua" w:hAnsi="Book Antiqua" w:cs="Arial"/>
                <w:bCs/>
                <w:sz w:val="24"/>
                <w:szCs w:val="24"/>
                <w:lang w:val="es-CR"/>
              </w:rPr>
              <w:br/>
            </w:r>
          </w:p>
          <w:p w:rsidR="004E7C42" w:rsidRPr="004E7C42" w:rsidRDefault="004E7C42" w:rsidP="004E7C42">
            <w:pPr>
              <w:pStyle w:val="Textonotapie"/>
              <w:ind w:firstLine="709"/>
              <w:jc w:val="both"/>
              <w:rPr>
                <w:rFonts w:ascii="Book Antiqua" w:hAnsi="Book Antiqua" w:cs="Arial"/>
                <w:bCs/>
                <w:sz w:val="24"/>
                <w:szCs w:val="24"/>
                <w:lang w:val="es-CR"/>
              </w:rPr>
            </w:pPr>
            <w:r w:rsidRPr="004E7C42">
              <w:rPr>
                <w:rFonts w:ascii="Book Antiqua" w:hAnsi="Book Antiqua" w:cs="Arial"/>
                <w:bCs/>
                <w:sz w:val="24"/>
                <w:szCs w:val="24"/>
                <w:lang w:val="es-CR"/>
              </w:rPr>
              <w:t xml:space="preserve">En sesión N° 87-16 de 20 de setiembre del 2016, artículo LXXVI, el Consejo Superior, concede permiso con goce de salario a partir del 20 de setiembre 2016 y hasta el último día laboral del 2016, a un grupo de profesionales en las diferentes oficinas que intervienen  en el proyecto institucional para dar sostenibilidad a la mejora del proceso de contratación administrativa para la ejecución presupuestaria 2017 y que se extiende al período </w:t>
            </w:r>
            <w:r w:rsidRPr="004E7C42">
              <w:rPr>
                <w:rFonts w:ascii="Book Antiqua" w:hAnsi="Book Antiqua" w:cs="Arial"/>
                <w:bCs/>
                <w:sz w:val="24"/>
                <w:szCs w:val="24"/>
                <w:lang w:val="es-CR"/>
              </w:rPr>
              <w:lastRenderedPageBreak/>
              <w:t>presupuestario 2018. Mediante acuerdo del Consejo Superior No.110-18 del 19 de diciembre del 2018, artículo I se prorrogaron dichos permisos hasta el 31 de marzo del 2019. Posteriormente en sesión del Consejo Superior No.28-19 del 28 de marzo del 2019, artículo VI, se extiende el período de dichos permisos hasta el 30 de junio del 2019.</w:t>
            </w:r>
          </w:p>
          <w:p w:rsidR="004E7C42" w:rsidRPr="004E7C42" w:rsidRDefault="004E7C42" w:rsidP="004E7C42">
            <w:pPr>
              <w:jc w:val="both"/>
              <w:rPr>
                <w:rFonts w:ascii="Book Antiqua" w:hAnsi="Book Antiqua" w:cs="Arial"/>
                <w:bCs/>
                <w:sz w:val="24"/>
                <w:szCs w:val="24"/>
                <w:lang w:val="es-ES_tradnl"/>
              </w:rPr>
            </w:pP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 su vez, en sesión N° 113-16 del 20 de diciembre del 2016, artículo XL, el Consejo Superior,  toma nota del primer informe referente al avance del proyecto y mediante oficio No.4133-DE-2017 del 30 de Agosto del 2017, la Dirección Ejecutiva hace del conocimiento del Consejo Superior el informe de avance del Proyecto institucional para dar sostenibilidad a </w:t>
            </w:r>
            <w:r w:rsidRPr="004E7C42">
              <w:rPr>
                <w:rFonts w:ascii="Book Antiqua" w:hAnsi="Book Antiqua" w:cs="Arial"/>
                <w:bCs/>
                <w:sz w:val="24"/>
                <w:szCs w:val="24"/>
              </w:rPr>
              <w:lastRenderedPageBreak/>
              <w:t>la mejora del proceso de contratación administrativa en materia de infraestructura, informática (recurso tecnológico estratégico) y equipos y servicios especiales del OIJ, para la ejecución presupuestaria, aprobado mediante acuerdo del Consejo Superior No.82-2017, del 7 de Setiembre del 2017, artículo XL.</w:t>
            </w:r>
          </w:p>
          <w:p w:rsidR="004E7C42" w:rsidRPr="004E7C42" w:rsidRDefault="004E7C42" w:rsidP="004E7C42">
            <w:pPr>
              <w:jc w:val="both"/>
              <w:rPr>
                <w:rFonts w:ascii="Book Antiqua" w:hAnsi="Book Antiqua" w:cs="Arial"/>
                <w:bCs/>
                <w:sz w:val="24"/>
                <w:szCs w:val="24"/>
              </w:rPr>
            </w:pP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Mediante la Circular No.136-2017 remitida por la Dirección Ejecutiva, se establecen las medidas para la contención del gasto para el Poder Judicial, especificando para cada subpartida las acciones a seguir y en la que se comunica que la Corte Plena en sesiones N° 27-2017 de 21 de agosto de 2017, artículo XVI, N° 28-2017 de 28 de agosto de 2017, </w:t>
            </w:r>
            <w:r w:rsidRPr="004E7C42">
              <w:rPr>
                <w:rFonts w:ascii="Book Antiqua" w:hAnsi="Book Antiqua" w:cs="Arial"/>
                <w:bCs/>
                <w:sz w:val="24"/>
                <w:szCs w:val="24"/>
              </w:rPr>
              <w:lastRenderedPageBreak/>
              <w:t xml:space="preserve">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adoptar medidas inmediatas que permitan la sujeción del gasto y obtener ahorros en el uso de los recursos públicos, así como </w:t>
            </w:r>
            <w:r w:rsidRPr="004E7C42">
              <w:rPr>
                <w:rFonts w:ascii="Book Antiqua" w:hAnsi="Book Antiqua" w:cs="Arial"/>
                <w:bCs/>
                <w:sz w:val="24"/>
                <w:szCs w:val="24"/>
              </w:rPr>
              <w:lastRenderedPageBreak/>
              <w:t>otras de carácter estructural de ejecución a mediano y largo plazo.</w:t>
            </w:r>
          </w:p>
          <w:p w:rsidR="004E7C42" w:rsidRPr="004E7C42" w:rsidRDefault="004E7C42" w:rsidP="004E7C42">
            <w:pPr>
              <w:jc w:val="both"/>
              <w:rPr>
                <w:rFonts w:ascii="Book Antiqua" w:hAnsi="Book Antiqua" w:cs="Arial"/>
                <w:bCs/>
                <w:sz w:val="24"/>
                <w:szCs w:val="24"/>
              </w:rPr>
            </w:pP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Con la puesta en marcha del Sistema Integrado de Gestión Administrativa SIGA-PJ, todas las oficinas tienen acceso a los diferentes reportes que genera el sistema, herramientas con los que tienen la posibilidad de monitorear todos los trámites que realizan y el avance de los mismos hasta su aprobación final, así como los disponibles de las subpartidas y de los documentos presupuestarios que se encuentran aprobados finalmente, para hacerle frente al pago de las obligaciones adquiridas por los diferentes centros gestores, permitiendo de esta manera solicitar </w:t>
            </w:r>
            <w:r w:rsidRPr="004E7C42">
              <w:rPr>
                <w:rFonts w:ascii="Book Antiqua" w:hAnsi="Book Antiqua" w:cs="Arial"/>
                <w:bCs/>
                <w:sz w:val="24"/>
                <w:szCs w:val="24"/>
              </w:rPr>
              <w:lastRenderedPageBreak/>
              <w:t>nuevos trámites o traslados de recursos de forma oportuna y sin que se vea afectado el curso normal de las oficinas.</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Seguimientos y consultas periódicas al Departamento de Proveeduría y demás Departamentos y centros gestores involucrados, hasta que se materialicen los contratos de arriendo, por lo que se realizan reuniones mensuales para dar el seguimiento apropiado, de forma conjunta con la Dirección Ejecutiva y los Departamentos de Proveeduría, Financiero Contable y Servicios Generales.</w:t>
            </w:r>
          </w:p>
          <w:p w:rsidR="004E7C42" w:rsidRPr="004E7C42" w:rsidRDefault="004E7C42" w:rsidP="004E7C42">
            <w:pPr>
              <w:jc w:val="both"/>
              <w:rPr>
                <w:rFonts w:ascii="Book Antiqua" w:hAnsi="Book Antiqua" w:cs="Arial"/>
                <w:bCs/>
                <w:sz w:val="24"/>
                <w:szCs w:val="24"/>
              </w:rPr>
            </w:pP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Administradores de centros gestores, incluyendo el Departamento de Proveeduría, Departamento de Servicios Generales y el Macroproceso Financiero Contable.</w:t>
            </w:r>
          </w:p>
        </w:tc>
      </w:tr>
      <w:tr w:rsidR="004E7C42" w:rsidRPr="004E7C42" w:rsidTr="004E7C42">
        <w:trPr>
          <w:trHeight w:val="312"/>
          <w:jc w:val="center"/>
        </w:trPr>
        <w:tc>
          <w:tcPr>
            <w:tcW w:w="1992" w:type="dxa"/>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Materiales y suministros</w:t>
            </w:r>
          </w:p>
        </w:tc>
        <w:tc>
          <w:tcPr>
            <w:tcW w:w="2537"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5, 7,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 xml:space="preserve">Contratos según demanda de compra de repuestos, llantas, baterías, suministros de </w:t>
            </w:r>
            <w:r w:rsidRPr="004E7C42">
              <w:rPr>
                <w:rFonts w:ascii="Book Antiqua" w:hAnsi="Book Antiqua" w:cs="Arial"/>
                <w:bCs/>
                <w:sz w:val="24"/>
                <w:szCs w:val="24"/>
              </w:rPr>
              <w:lastRenderedPageBreak/>
              <w:t>oficina, papelería y uniformes, entre otros, que se ejecutan de acuerdo con las necesidades de las oficinas y que son totalmente imprevisibles.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Compras variables como combustible.</w:t>
            </w:r>
          </w:p>
          <w:p w:rsidR="004E7C42" w:rsidRPr="004E7C42" w:rsidRDefault="004E7C42" w:rsidP="004E7C42">
            <w:pPr>
              <w:ind w:left="720"/>
              <w:jc w:val="both"/>
              <w:rPr>
                <w:rFonts w:ascii="Book Antiqua" w:hAnsi="Book Antiqua" w:cs="Arial"/>
                <w:bCs/>
                <w:sz w:val="24"/>
                <w:szCs w:val="24"/>
              </w:rPr>
            </w:pPr>
          </w:p>
        </w:tc>
        <w:tc>
          <w:tcPr>
            <w:tcW w:w="2856"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Las acciones correctivas aplican igual que la partida 1.</w:t>
            </w:r>
          </w:p>
        </w:tc>
        <w:tc>
          <w:tcPr>
            <w:tcW w:w="1684"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Administradores de centros gestores, incluyendo el Departamento de Proveeduría, Departamento de Servicios Generales y el </w:t>
            </w:r>
            <w:r w:rsidRPr="004E7C42">
              <w:rPr>
                <w:rFonts w:ascii="Book Antiqua" w:hAnsi="Book Antiqua" w:cs="Arial"/>
                <w:bCs/>
                <w:sz w:val="24"/>
                <w:szCs w:val="24"/>
              </w:rPr>
              <w:lastRenderedPageBreak/>
              <w:t>Macroproceso Financiero Contable.</w:t>
            </w:r>
          </w:p>
        </w:tc>
      </w:tr>
      <w:tr w:rsidR="004E7C42" w:rsidRPr="004E7C42" w:rsidTr="004E7C42">
        <w:trPr>
          <w:trHeight w:val="312"/>
          <w:jc w:val="center"/>
        </w:trPr>
        <w:tc>
          <w:tcPr>
            <w:tcW w:w="1992" w:type="dxa"/>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Bienes duraderos</w:t>
            </w:r>
          </w:p>
        </w:tc>
        <w:tc>
          <w:tcPr>
            <w:tcW w:w="2537"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5, 8 y 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Cambios en las necesidades de las oficinas de proyectos que se tenían inicialmente.</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Compras según demanda con entregas parciales.</w:t>
            </w:r>
          </w:p>
        </w:tc>
        <w:tc>
          <w:tcPr>
            <w:tcW w:w="2856"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Las acciones correctivas aplican igual que la partida 1.</w:t>
            </w:r>
          </w:p>
        </w:tc>
        <w:tc>
          <w:tcPr>
            <w:tcW w:w="1684"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Administradores de centros gestores, incluyendo el Departamento de Proveeduría, Departamento de Servicios Generales y el Macroproceso Financiero Contable.</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t>Transferencias corrientes</w:t>
            </w:r>
          </w:p>
        </w:tc>
        <w:tc>
          <w:tcPr>
            <w:tcW w:w="2537"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10</w:t>
            </w:r>
          </w:p>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Otros:</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Pagos en trámite que no estaban finalizados a la fecha de corte como es el caso e de la cuota del aporta estatal al Fondo de Jubilaciones y Pensiones del Poder Judicial de la segunda quincena de junio 2019.</w:t>
            </w:r>
          </w:p>
          <w:p w:rsidR="004E7C42" w:rsidRPr="004E7C42" w:rsidRDefault="004E7C42" w:rsidP="00570DA5">
            <w:pPr>
              <w:numPr>
                <w:ilvl w:val="0"/>
                <w:numId w:val="6"/>
              </w:numPr>
              <w:jc w:val="both"/>
              <w:rPr>
                <w:rFonts w:ascii="Book Antiqua" w:hAnsi="Book Antiqua" w:cs="Arial"/>
                <w:bCs/>
                <w:sz w:val="24"/>
                <w:szCs w:val="24"/>
              </w:rPr>
            </w:pPr>
            <w:r w:rsidRPr="004E7C42">
              <w:rPr>
                <w:rFonts w:ascii="Book Antiqua" w:hAnsi="Book Antiqua" w:cs="Arial"/>
                <w:bCs/>
                <w:sz w:val="24"/>
                <w:szCs w:val="24"/>
              </w:rPr>
              <w:t xml:space="preserve">Recursos que dependen del </w:t>
            </w:r>
            <w:r w:rsidRPr="004E7C42">
              <w:rPr>
                <w:rFonts w:ascii="Book Antiqua" w:hAnsi="Book Antiqua" w:cs="Arial"/>
                <w:bCs/>
                <w:sz w:val="24"/>
                <w:szCs w:val="24"/>
              </w:rPr>
              <w:lastRenderedPageBreak/>
              <w:t>estudio para el pago de las prestaciones legales de las personas que se van acogiendo a su derecho de jubilación.</w:t>
            </w:r>
          </w:p>
        </w:tc>
        <w:tc>
          <w:tcPr>
            <w:tcW w:w="2856"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Seguimiento y monitoreo de las subpartidas por parte del Departamento Financiero Contable, coordinación y sesiones de trabajo con la Dirección de Gestión Humana.</w:t>
            </w: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Departamento Financiero Contable y Dirección de Gestión Humana.</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lastRenderedPageBreak/>
        <w:t xml:space="preserve">Fuente: justificaciones remitidas por las diferentes oficinas del Poder Judicial </w:t>
      </w:r>
      <w:r w:rsidR="00C5213A" w:rsidRPr="004E7C42">
        <w:rPr>
          <w:rFonts w:ascii="Book Antiqua" w:hAnsi="Book Antiqua"/>
          <w:bCs/>
          <w:lang w:val="es-CR"/>
        </w:rPr>
        <w:t>respecto</w:t>
      </w:r>
      <w:r w:rsidRPr="004E7C42">
        <w:rPr>
          <w:rFonts w:ascii="Book Antiqua" w:hAnsi="Book Antiqua"/>
          <w:bCs/>
          <w:lang w:val="es-CR"/>
        </w:rPr>
        <w:t xml:space="preserve"> a la no ejecución de los recursos.</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pStyle w:val="Prrafodelista"/>
        <w:spacing w:line="360" w:lineRule="auto"/>
        <w:ind w:left="709"/>
        <w:jc w:val="both"/>
        <w:rPr>
          <w:rFonts w:ascii="Book Antiqua" w:hAnsi="Book Antiqua"/>
          <w:bCs/>
          <w:lang w:val="es-CR"/>
        </w:rPr>
      </w:pPr>
      <w:r w:rsidRPr="004E7C42">
        <w:rPr>
          <w:rFonts w:ascii="Book Antiqua" w:hAnsi="Book Antiqua"/>
          <w:bCs/>
          <w:lang w:val="es-CR"/>
        </w:rPr>
        <w:t>Con respecto al Programa 927 Servicio Jurisdiccional, la partida de Remuneraciones corresponde a un peso porcentual de 90% de todo el monto destinado a ese Programa, y el porcentaje de ejecución es de un 48,3% siendo la partida más alta.  Cabe destacar que la partida de Servicios tiene un peso porcentual de 7,4% y un nivel de ejecución prespuestaria de 29,7% por lo que se realizarán los esfuerzos como se indica en el cuadro anterior con el fin de mejorar la ejecución por medio de seguimientos a los departamentos y centros gestores, así como la coordinación con los administradores encargados para llevar a cabo los procesos de pago a los proveedores, entre otros.</w:t>
      </w: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9.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Programa 928 Organismo de Investigación Judicial</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0" w:type="auto"/>
        <w:jc w:val="center"/>
        <w:tblBorders>
          <w:top w:val="single" w:sz="8" w:space="0" w:color="4BACC6"/>
          <w:left w:val="single" w:sz="8" w:space="0" w:color="4BACC6"/>
          <w:bottom w:val="single" w:sz="8" w:space="0" w:color="4BACC6"/>
          <w:right w:val="single" w:sz="8" w:space="0" w:color="4BACC6"/>
          <w:insideH w:val="single" w:sz="6" w:space="0" w:color="4BACC6"/>
          <w:insideV w:val="single" w:sz="6" w:space="0" w:color="4BACC6"/>
        </w:tblBorders>
        <w:tblLook w:val="04A0"/>
      </w:tblPr>
      <w:tblGrid>
        <w:gridCol w:w="1992"/>
        <w:gridCol w:w="1999"/>
        <w:gridCol w:w="2856"/>
        <w:gridCol w:w="1883"/>
      </w:tblGrid>
      <w:tr w:rsidR="004E7C42" w:rsidRPr="004E7C42" w:rsidTr="004E7C42">
        <w:trPr>
          <w:trHeight w:val="625"/>
          <w:jc w:val="center"/>
        </w:trPr>
        <w:tc>
          <w:tcPr>
            <w:tcW w:w="1992"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Nombre de la partida</w:t>
            </w:r>
          </w:p>
        </w:tc>
        <w:tc>
          <w:tcPr>
            <w:tcW w:w="1999"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Factores</w:t>
            </w:r>
          </w:p>
        </w:tc>
        <w:tc>
          <w:tcPr>
            <w:tcW w:w="2856" w:type="dxa"/>
            <w:shd w:val="clear" w:color="auto" w:fill="4BACC6"/>
            <w:vAlign w:val="center"/>
          </w:tcPr>
          <w:p w:rsidR="004E7C42" w:rsidRPr="004E7C42" w:rsidRDefault="00C5213A"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Acciones Correctivas</w:t>
            </w:r>
          </w:p>
        </w:tc>
        <w:tc>
          <w:tcPr>
            <w:tcW w:w="1684" w:type="dxa"/>
            <w:shd w:val="clear" w:color="auto" w:fill="4BACC6"/>
            <w:vAlign w:val="center"/>
          </w:tcPr>
          <w:p w:rsidR="004E7C42" w:rsidRPr="004E7C42" w:rsidRDefault="004E7C42" w:rsidP="004E7C42">
            <w:pPr>
              <w:jc w:val="center"/>
              <w:rPr>
                <w:rFonts w:ascii="Book Antiqua" w:hAnsi="Book Antiqua" w:cs="Arial"/>
                <w:b/>
                <w:bCs/>
                <w:color w:val="FFFFFF"/>
                <w:sz w:val="24"/>
                <w:szCs w:val="24"/>
              </w:rPr>
            </w:pPr>
            <w:r w:rsidRPr="004E7C42">
              <w:rPr>
                <w:rFonts w:ascii="Book Antiqua" w:hAnsi="Book Antiqua" w:cs="Arial"/>
                <w:b/>
                <w:bCs/>
                <w:color w:val="FFFFFF"/>
                <w:sz w:val="24"/>
                <w:szCs w:val="24"/>
              </w:rPr>
              <w:t>Responsable</w:t>
            </w:r>
            <w:r w:rsidRPr="004E7C42">
              <w:rPr>
                <w:rFonts w:ascii="Book Antiqua" w:hAnsi="Book Antiqua" w:cs="Arial"/>
                <w:b/>
                <w:bCs/>
                <w:color w:val="FFFFFF"/>
                <w:sz w:val="24"/>
                <w:szCs w:val="24"/>
                <w:vertAlign w:val="superscript"/>
              </w:rPr>
              <w:t>1/</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t>1. Servicios</w:t>
            </w:r>
          </w:p>
        </w:tc>
        <w:tc>
          <w:tcPr>
            <w:tcW w:w="1999"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10                                             Dentro de los servicios imprevisibles </w:t>
            </w:r>
            <w:r w:rsidRPr="004E7C42">
              <w:rPr>
                <w:rFonts w:ascii="Book Antiqua" w:hAnsi="Book Antiqua" w:cs="Arial"/>
                <w:bCs/>
                <w:sz w:val="24"/>
                <w:szCs w:val="24"/>
              </w:rPr>
              <w:lastRenderedPageBreak/>
              <w:t xml:space="preserve">están, pago de viáticos, mantenimiento y reparación de vehículos, pago de mantenimientos y calibraciones de equipos de Ciencias Forenses, Servicios </w:t>
            </w:r>
            <w:r w:rsidR="00C5213A" w:rsidRPr="004E7C42">
              <w:rPr>
                <w:rFonts w:ascii="Book Antiqua" w:hAnsi="Book Antiqua" w:cs="Arial"/>
                <w:bCs/>
                <w:sz w:val="24"/>
                <w:szCs w:val="24"/>
              </w:rPr>
              <w:t>médicos</w:t>
            </w:r>
            <w:r w:rsidRPr="004E7C42">
              <w:rPr>
                <w:rFonts w:ascii="Book Antiqua" w:hAnsi="Book Antiqua" w:cs="Arial"/>
                <w:bCs/>
                <w:sz w:val="24"/>
                <w:szCs w:val="24"/>
              </w:rPr>
              <w:t xml:space="preserve"> de Medicina Legal, entre otros.</w:t>
            </w:r>
          </w:p>
        </w:tc>
        <w:tc>
          <w:tcPr>
            <w:tcW w:w="2856"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 xml:space="preserve">Para este tipo de Servicios es </w:t>
            </w:r>
            <w:r w:rsidR="00C5213A" w:rsidRPr="004E7C42">
              <w:rPr>
                <w:rFonts w:ascii="Book Antiqua" w:hAnsi="Book Antiqua" w:cs="Arial"/>
                <w:bCs/>
                <w:sz w:val="24"/>
                <w:szCs w:val="24"/>
              </w:rPr>
              <w:t>difícil</w:t>
            </w:r>
            <w:r w:rsidRPr="004E7C42">
              <w:rPr>
                <w:rFonts w:ascii="Book Antiqua" w:hAnsi="Book Antiqua" w:cs="Arial"/>
                <w:bCs/>
                <w:sz w:val="24"/>
                <w:szCs w:val="24"/>
              </w:rPr>
              <w:t xml:space="preserve"> plantear acciones correctivas, ya que el </w:t>
            </w:r>
            <w:r w:rsidRPr="004E7C42">
              <w:rPr>
                <w:rFonts w:ascii="Book Antiqua" w:hAnsi="Book Antiqua" w:cs="Arial"/>
                <w:bCs/>
                <w:sz w:val="24"/>
                <w:szCs w:val="24"/>
              </w:rPr>
              <w:lastRenderedPageBreak/>
              <w:t>gasto es imprevisible, no obstante, se hará un seguimiento  más exhaustivo en las partidas que mayor porcentaje de subejecución presenten al final del período Presupuestario, para hacer replanteamientos a la hora de formular y tratar en la medida de lo posible lograr una mejor ejecución de estos recursos.</w:t>
            </w: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Administración OIJ</w:t>
            </w:r>
          </w:p>
        </w:tc>
      </w:tr>
      <w:tr w:rsidR="004E7C42" w:rsidRPr="004E7C42" w:rsidTr="004E7C42">
        <w:trPr>
          <w:trHeight w:val="312"/>
          <w:jc w:val="center"/>
        </w:trPr>
        <w:tc>
          <w:tcPr>
            <w:tcW w:w="1992" w:type="dxa"/>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 xml:space="preserve">2. </w:t>
            </w:r>
            <w:r w:rsidR="00C5213A" w:rsidRPr="004E7C42">
              <w:rPr>
                <w:rFonts w:ascii="Book Antiqua" w:hAnsi="Book Antiqua" w:cs="Arial"/>
                <w:b/>
                <w:bCs/>
                <w:sz w:val="24"/>
                <w:szCs w:val="24"/>
              </w:rPr>
              <w:t>Materiales</w:t>
            </w:r>
            <w:r w:rsidRPr="004E7C42">
              <w:rPr>
                <w:rFonts w:ascii="Book Antiqua" w:hAnsi="Book Antiqua" w:cs="Arial"/>
                <w:b/>
                <w:bCs/>
                <w:sz w:val="24"/>
                <w:szCs w:val="24"/>
              </w:rPr>
              <w:t xml:space="preserve"> y Suministros</w:t>
            </w:r>
          </w:p>
        </w:tc>
        <w:tc>
          <w:tcPr>
            <w:tcW w:w="1999"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10                                            Dentro de los </w:t>
            </w:r>
            <w:r w:rsidR="00C5213A" w:rsidRPr="004E7C42">
              <w:rPr>
                <w:rFonts w:ascii="Book Antiqua" w:hAnsi="Book Antiqua" w:cs="Arial"/>
                <w:bCs/>
                <w:color w:val="000000" w:themeColor="text1"/>
                <w:sz w:val="24"/>
                <w:szCs w:val="24"/>
              </w:rPr>
              <w:t>productos</w:t>
            </w:r>
            <w:r w:rsidR="00C5213A" w:rsidRPr="004E7C42">
              <w:rPr>
                <w:rFonts w:ascii="Book Antiqua" w:hAnsi="Book Antiqua" w:cs="Arial"/>
                <w:bCs/>
                <w:sz w:val="24"/>
                <w:szCs w:val="24"/>
              </w:rPr>
              <w:t xml:space="preserve"> que</w:t>
            </w:r>
            <w:r w:rsidRPr="004E7C42">
              <w:rPr>
                <w:rFonts w:ascii="Book Antiqua" w:hAnsi="Book Antiqua" w:cs="Arial"/>
                <w:bCs/>
                <w:sz w:val="24"/>
                <w:szCs w:val="24"/>
              </w:rPr>
              <w:t xml:space="preserve"> se tienen en esta partida, están los repuestos, trajes descartables, reactivos químicos, combustible entre otros, los cuales se van ejecutando en el año.</w:t>
            </w:r>
          </w:p>
        </w:tc>
        <w:tc>
          <w:tcPr>
            <w:tcW w:w="2856"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Las acciones correctivas que ha tomado la Administración son enviar recordatorios mensuales a las oficinas, con las líneas pendientes de ejecutar, además se revisan sobrantes que se puedan redireccionar para ejecutar en la misma subpartida.</w:t>
            </w:r>
          </w:p>
        </w:tc>
        <w:tc>
          <w:tcPr>
            <w:tcW w:w="1684" w:type="dxa"/>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Administración OIJ</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t xml:space="preserve">5. </w:t>
            </w:r>
            <w:r w:rsidR="00C5213A" w:rsidRPr="004E7C42">
              <w:rPr>
                <w:rFonts w:ascii="Book Antiqua" w:hAnsi="Book Antiqua" w:cs="Arial"/>
                <w:b/>
                <w:bCs/>
                <w:sz w:val="24"/>
                <w:szCs w:val="24"/>
              </w:rPr>
              <w:t>Bienes duraderos</w:t>
            </w:r>
          </w:p>
        </w:tc>
        <w:tc>
          <w:tcPr>
            <w:tcW w:w="1999"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5 y 10                                        Al ser equipos complejos, los tiempos de entrega son muy extensos.</w:t>
            </w:r>
          </w:p>
        </w:tc>
        <w:tc>
          <w:tcPr>
            <w:tcW w:w="2856"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Las acciones correctivas que se están dando son enviar recordatorios mensuales a las oficinas, con las líneas pendientes de ejecutar, además se trata en lo posible que una vez que salga el pedido, coordinar con el </w:t>
            </w:r>
            <w:r w:rsidRPr="004E7C42">
              <w:rPr>
                <w:rFonts w:ascii="Book Antiqua" w:hAnsi="Book Antiqua" w:cs="Arial"/>
                <w:bCs/>
                <w:sz w:val="24"/>
                <w:szCs w:val="24"/>
              </w:rPr>
              <w:lastRenderedPageBreak/>
              <w:t>proveedor si es posible acortar los tiempos de entrega, así como recordar  a los proveedores la importancia de enviar la factura en el menor tiempo posible, para hacer efectivos los pagos.</w:t>
            </w: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lastRenderedPageBreak/>
              <w:t>Administración OIJ</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lastRenderedPageBreak/>
              <w:t xml:space="preserve">6. </w:t>
            </w:r>
            <w:r w:rsidR="00C5213A" w:rsidRPr="004E7C42">
              <w:rPr>
                <w:rFonts w:ascii="Book Antiqua" w:hAnsi="Book Antiqua" w:cs="Arial"/>
                <w:b/>
                <w:bCs/>
                <w:sz w:val="24"/>
                <w:szCs w:val="24"/>
              </w:rPr>
              <w:t>Transferencias</w:t>
            </w:r>
            <w:r w:rsidRPr="004E7C42">
              <w:rPr>
                <w:rFonts w:ascii="Book Antiqua" w:hAnsi="Book Antiqua" w:cs="Arial"/>
                <w:b/>
                <w:bCs/>
                <w:sz w:val="24"/>
                <w:szCs w:val="24"/>
              </w:rPr>
              <w:t xml:space="preserve"> Corrientes</w:t>
            </w:r>
          </w:p>
        </w:tc>
        <w:tc>
          <w:tcPr>
            <w:tcW w:w="1999"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10                                  El mayor porcentaje corresponde a la parida de prestaciones legales, la cual se va ejecutando conforme los empleados posean el derecho a la pensión.</w:t>
            </w:r>
          </w:p>
        </w:tc>
        <w:tc>
          <w:tcPr>
            <w:tcW w:w="2856"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Estas proyecciones las lleva a cabo el Departamento Financiero Contable, por lo que esta Administración dará como acción correctiva el seguimiento ante dicha instancia, para conocer el dato de la cantidad de personal que se está acogiendo al derecho de pensión y llevar estimados.</w:t>
            </w: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Administración OIJ</w:t>
            </w:r>
          </w:p>
        </w:tc>
      </w:tr>
      <w:tr w:rsidR="004E7C42" w:rsidRPr="004E7C42" w:rsidTr="004E7C42">
        <w:trPr>
          <w:trHeight w:val="312"/>
          <w:jc w:val="center"/>
        </w:trPr>
        <w:tc>
          <w:tcPr>
            <w:tcW w:w="1992" w:type="dxa"/>
            <w:tcBorders>
              <w:top w:val="single" w:sz="8" w:space="0" w:color="4BACC6"/>
              <w:left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
                <w:bCs/>
                <w:sz w:val="24"/>
                <w:szCs w:val="24"/>
              </w:rPr>
            </w:pPr>
            <w:r w:rsidRPr="004E7C42">
              <w:rPr>
                <w:rFonts w:ascii="Book Antiqua" w:hAnsi="Book Antiqua" w:cs="Arial"/>
                <w:b/>
                <w:bCs/>
                <w:sz w:val="24"/>
                <w:szCs w:val="24"/>
              </w:rPr>
              <w:t xml:space="preserve">9. </w:t>
            </w:r>
            <w:r w:rsidR="00C5213A" w:rsidRPr="004E7C42">
              <w:rPr>
                <w:rFonts w:ascii="Book Antiqua" w:hAnsi="Book Antiqua" w:cs="Arial"/>
                <w:b/>
                <w:bCs/>
                <w:sz w:val="24"/>
                <w:szCs w:val="24"/>
              </w:rPr>
              <w:t>Cuentas Especiales</w:t>
            </w:r>
          </w:p>
        </w:tc>
        <w:tc>
          <w:tcPr>
            <w:tcW w:w="1999" w:type="dxa"/>
            <w:tcBorders>
              <w:top w:val="single" w:sz="8" w:space="0" w:color="4BACC6"/>
              <w:bottom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10                                                  Gastos imprevisibles en trabajos especiales que requiera la Policía</w:t>
            </w:r>
          </w:p>
        </w:tc>
        <w:tc>
          <w:tcPr>
            <w:tcW w:w="2856" w:type="dxa"/>
            <w:tcBorders>
              <w:top w:val="single" w:sz="8" w:space="0" w:color="4BACC6"/>
              <w:bottom w:val="single" w:sz="8" w:space="0" w:color="4BACC6"/>
            </w:tcBorders>
            <w:shd w:val="clear" w:color="auto" w:fill="auto"/>
          </w:tcPr>
          <w:p w:rsidR="004E7C42" w:rsidRPr="004E7C42" w:rsidRDefault="00C5213A" w:rsidP="004E7C42">
            <w:pPr>
              <w:jc w:val="both"/>
              <w:rPr>
                <w:rFonts w:ascii="Book Antiqua" w:hAnsi="Book Antiqua" w:cs="Arial"/>
                <w:bCs/>
                <w:sz w:val="24"/>
                <w:szCs w:val="24"/>
              </w:rPr>
            </w:pPr>
            <w:r w:rsidRPr="004E7C42">
              <w:rPr>
                <w:rFonts w:ascii="Book Antiqua" w:hAnsi="Book Antiqua" w:cs="Arial"/>
                <w:bCs/>
                <w:sz w:val="24"/>
                <w:szCs w:val="24"/>
              </w:rPr>
              <w:t>Para este tipo de Cuentas especiales, que corresponden a diferentes tipos de Investigación, es difícil</w:t>
            </w:r>
            <w:r>
              <w:rPr>
                <w:rFonts w:ascii="Book Antiqua" w:hAnsi="Book Antiqua" w:cs="Arial"/>
                <w:bCs/>
                <w:sz w:val="24"/>
                <w:szCs w:val="24"/>
              </w:rPr>
              <w:t xml:space="preserve"> </w:t>
            </w:r>
            <w:r w:rsidRPr="004E7C42">
              <w:rPr>
                <w:rFonts w:ascii="Book Antiqua" w:hAnsi="Book Antiqua" w:cs="Arial"/>
                <w:bCs/>
                <w:sz w:val="24"/>
                <w:szCs w:val="24"/>
              </w:rPr>
              <w:t>prever el gasto, sin embargo se hará un seguimiento en este semestre, para determinar proyecciones de presupuestos futuros más acordes con el gasto real.</w:t>
            </w:r>
          </w:p>
        </w:tc>
        <w:tc>
          <w:tcPr>
            <w:tcW w:w="1684" w:type="dxa"/>
            <w:tcBorders>
              <w:top w:val="single" w:sz="8" w:space="0" w:color="4BACC6"/>
              <w:bottom w:val="single" w:sz="8" w:space="0" w:color="4BACC6"/>
              <w:right w:val="single" w:sz="8" w:space="0" w:color="4BACC6"/>
            </w:tcBorders>
            <w:shd w:val="clear" w:color="auto" w:fill="auto"/>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Administración OIJ</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Sistema Integrado de Gestión Administrativa.</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lastRenderedPageBreak/>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pStyle w:val="Prrafodelista"/>
        <w:spacing w:line="360" w:lineRule="auto"/>
        <w:ind w:left="709"/>
        <w:jc w:val="both"/>
        <w:rPr>
          <w:rFonts w:ascii="Book Antiqua" w:hAnsi="Book Antiqua"/>
          <w:bCs/>
          <w:lang w:val="es-CR"/>
        </w:rPr>
      </w:pPr>
    </w:p>
    <w:p w:rsidR="004E7C42" w:rsidRPr="004E7C42" w:rsidRDefault="004E7C42" w:rsidP="004E7C42">
      <w:pPr>
        <w:pStyle w:val="Prrafodelista"/>
        <w:spacing w:line="360" w:lineRule="auto"/>
        <w:ind w:left="709"/>
        <w:jc w:val="both"/>
        <w:rPr>
          <w:rFonts w:ascii="Book Antiqua" w:hAnsi="Book Antiqua"/>
          <w:bCs/>
          <w:lang w:val="es-CR"/>
        </w:rPr>
      </w:pPr>
      <w:r w:rsidRPr="004E7C42">
        <w:rPr>
          <w:rFonts w:ascii="Book Antiqua" w:hAnsi="Book Antiqua"/>
          <w:bCs/>
          <w:lang w:val="es-CR"/>
        </w:rPr>
        <w:t xml:space="preserve">Con respecto al Programa 928 la </w:t>
      </w:r>
      <w:r w:rsidR="00C5213A" w:rsidRPr="004E7C42">
        <w:rPr>
          <w:rFonts w:ascii="Book Antiqua" w:hAnsi="Book Antiqua"/>
          <w:bCs/>
          <w:lang w:val="es-CR"/>
        </w:rPr>
        <w:t>partida</w:t>
      </w:r>
      <w:r w:rsidRPr="004E7C42">
        <w:rPr>
          <w:rFonts w:ascii="Book Antiqua" w:hAnsi="Book Antiqua"/>
          <w:bCs/>
          <w:lang w:val="es-CR"/>
        </w:rPr>
        <w:t xml:space="preserve"> de remuneraciones tiene un peso porcentual dentro del presupuesto total de un  79% y un nivel de ejecución de 45,2% sobrepasando lo estipulado para el primer semestre, sin embargo, las partidas con ejecución menores a 45% al mismo período (que representan un 21% del presupuesto total del Programa) y que corresponden a “Servicios”, “Materiales y Suministros” y “Bienes Duraderos”, “Transferencias Corrientes”, así como “Cuentas especiales” se plasman las </w:t>
      </w:r>
      <w:r w:rsidR="00C5213A" w:rsidRPr="004E7C42">
        <w:rPr>
          <w:rFonts w:ascii="Book Antiqua" w:hAnsi="Book Antiqua"/>
          <w:bCs/>
          <w:lang w:val="es-CR"/>
        </w:rPr>
        <w:t>acciones de</w:t>
      </w:r>
      <w:r w:rsidRPr="004E7C42">
        <w:rPr>
          <w:rFonts w:ascii="Book Antiqua" w:hAnsi="Book Antiqua"/>
          <w:bCs/>
          <w:lang w:val="es-CR"/>
        </w:rPr>
        <w:t xml:space="preserve"> mejora como lo son recordatorios mensuales a las oficinas, con las líneas pendientes de ejecutar, además se revisan sobrantes que se puedan redireccionar para ejecutar en la misma subpartida, por lo que este Programa debe aplicar las acciones definidas para lograr una ejecución efectiva y óptima en el segundo semestre.</w:t>
      </w: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10.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color w:val="FF0000"/>
          <w:sz w:val="24"/>
          <w:szCs w:val="24"/>
          <w:lang w:eastAsia="es-CR"/>
        </w:rPr>
      </w:pPr>
      <w:r w:rsidRPr="004E7C42">
        <w:rPr>
          <w:rFonts w:ascii="Book Antiqua" w:hAnsi="Book Antiqua" w:cs="Arial"/>
          <w:sz w:val="24"/>
          <w:szCs w:val="24"/>
          <w:lang w:eastAsia="es-CR"/>
        </w:rPr>
        <w:t xml:space="preserve">Programa 929 Ministerio Público </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sz w:val="24"/>
          <w:szCs w:val="24"/>
          <w:lang w:eastAsia="es-CR"/>
        </w:rPr>
      </w:pPr>
    </w:p>
    <w:tbl>
      <w:tblPr>
        <w:tblW w:w="9803"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2112"/>
        <w:gridCol w:w="1909"/>
        <w:gridCol w:w="3858"/>
        <w:gridCol w:w="1924"/>
      </w:tblGrid>
      <w:tr w:rsidR="004E7C42" w:rsidRPr="004E7C42" w:rsidTr="004E7C42">
        <w:trPr>
          <w:trHeight w:val="630"/>
          <w:jc w:val="center"/>
        </w:trPr>
        <w:tc>
          <w:tcPr>
            <w:tcW w:w="2289"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Nombre de la partida</w:t>
            </w:r>
          </w:p>
        </w:tc>
        <w:tc>
          <w:tcPr>
            <w:tcW w:w="1171"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Factores</w:t>
            </w:r>
          </w:p>
        </w:tc>
        <w:tc>
          <w:tcPr>
            <w:tcW w:w="4408" w:type="dxa"/>
            <w:vAlign w:val="center"/>
          </w:tcPr>
          <w:p w:rsidR="004E7C42" w:rsidRPr="004E7C42" w:rsidRDefault="00C5213A" w:rsidP="004E7C42">
            <w:pPr>
              <w:spacing w:line="360" w:lineRule="auto"/>
              <w:jc w:val="center"/>
              <w:rPr>
                <w:rFonts w:ascii="Book Antiqua" w:hAnsi="Book Antiqua" w:cs="Arial"/>
                <w:bCs/>
                <w:sz w:val="24"/>
                <w:szCs w:val="24"/>
              </w:rPr>
            </w:pPr>
            <w:r w:rsidRPr="004E7C42">
              <w:rPr>
                <w:rFonts w:ascii="Book Antiqua" w:hAnsi="Book Antiqua" w:cs="Arial"/>
                <w:sz w:val="24"/>
                <w:szCs w:val="24"/>
              </w:rPr>
              <w:t>Acciones Correctivas</w:t>
            </w:r>
          </w:p>
        </w:tc>
        <w:tc>
          <w:tcPr>
            <w:tcW w:w="1935"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Responsable</w:t>
            </w:r>
            <w:r w:rsidRPr="004E7C42">
              <w:rPr>
                <w:rFonts w:ascii="Book Antiqua" w:hAnsi="Book Antiqua" w:cs="Arial"/>
                <w:sz w:val="24"/>
                <w:szCs w:val="24"/>
                <w:vertAlign w:val="superscript"/>
              </w:rPr>
              <w:t>1/</w:t>
            </w:r>
          </w:p>
        </w:tc>
      </w:tr>
      <w:tr w:rsidR="004E7C42" w:rsidRPr="004E7C42" w:rsidTr="004E7C42">
        <w:trPr>
          <w:trHeight w:val="314"/>
          <w:jc w:val="center"/>
        </w:trPr>
        <w:tc>
          <w:tcPr>
            <w:tcW w:w="2289"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sz w:val="24"/>
                <w:szCs w:val="24"/>
              </w:rPr>
              <w:t>Servicios</w:t>
            </w:r>
          </w:p>
        </w:tc>
        <w:tc>
          <w:tcPr>
            <w:tcW w:w="117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 xml:space="preserve">10 (Demora en los  procesos de liquidación de Gastos y en la elaboración de </w:t>
            </w:r>
            <w:r w:rsidRPr="004E7C42">
              <w:rPr>
                <w:rFonts w:ascii="Book Antiqua" w:hAnsi="Book Antiqua" w:cs="Arial"/>
                <w:bCs/>
                <w:sz w:val="24"/>
                <w:szCs w:val="24"/>
              </w:rPr>
              <w:lastRenderedPageBreak/>
              <w:t>especificaciones técnicas)</w:t>
            </w:r>
          </w:p>
        </w:tc>
        <w:tc>
          <w:tcPr>
            <w:tcW w:w="4408"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 xml:space="preserve">Coordinación con Proveedores para la presentación expedita de las facturas para la liquidación del gasto. </w:t>
            </w: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 xml:space="preserve">Coordinación con las oficinas del </w:t>
            </w:r>
            <w:r w:rsidRPr="004E7C42">
              <w:rPr>
                <w:rFonts w:ascii="Book Antiqua" w:hAnsi="Book Antiqua" w:cs="Arial"/>
                <w:bCs/>
                <w:sz w:val="24"/>
                <w:szCs w:val="24"/>
              </w:rPr>
              <w:lastRenderedPageBreak/>
              <w:t xml:space="preserve">Poder Judicial para la pronta elaboración de especificaciones técnicas requeridas para dar inicio a los procedimientos de contratación. </w:t>
            </w:r>
          </w:p>
        </w:tc>
        <w:tc>
          <w:tcPr>
            <w:tcW w:w="1935"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Administración del Ministerio Público</w:t>
            </w:r>
          </w:p>
        </w:tc>
      </w:tr>
      <w:tr w:rsidR="004E7C42" w:rsidRPr="004E7C42" w:rsidTr="004E7C42">
        <w:trPr>
          <w:trHeight w:val="314"/>
          <w:jc w:val="center"/>
        </w:trPr>
        <w:tc>
          <w:tcPr>
            <w:tcW w:w="2289"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sz w:val="24"/>
                <w:szCs w:val="24"/>
              </w:rPr>
              <w:lastRenderedPageBreak/>
              <w:t>Materiales y Suministros</w:t>
            </w:r>
          </w:p>
        </w:tc>
        <w:tc>
          <w:tcPr>
            <w:tcW w:w="117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5</w:t>
            </w:r>
          </w:p>
        </w:tc>
        <w:tc>
          <w:tcPr>
            <w:tcW w:w="4408"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 xml:space="preserve">Brindar mayor seguimiento a los comunicados de las órdenes de compra y pedido, para la pronta recepción de los bienes y servicios, de manera que se puede ejecutar en menor plazo el pago de las facturas.   </w:t>
            </w:r>
          </w:p>
        </w:tc>
        <w:tc>
          <w:tcPr>
            <w:tcW w:w="1935"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Administración del Ministerio Público</w:t>
            </w:r>
          </w:p>
        </w:tc>
      </w:tr>
      <w:tr w:rsidR="004E7C42" w:rsidRPr="004E7C42" w:rsidTr="004E7C42">
        <w:trPr>
          <w:trHeight w:val="314"/>
          <w:jc w:val="center"/>
        </w:trPr>
        <w:tc>
          <w:tcPr>
            <w:tcW w:w="2289" w:type="dxa"/>
          </w:tcPr>
          <w:p w:rsidR="004E7C42" w:rsidRPr="004E7C42" w:rsidRDefault="00C5213A" w:rsidP="004E7C42">
            <w:pPr>
              <w:spacing w:line="360" w:lineRule="auto"/>
              <w:jc w:val="both"/>
              <w:rPr>
                <w:rFonts w:ascii="Book Antiqua" w:hAnsi="Book Antiqua" w:cs="Arial"/>
                <w:bCs/>
                <w:sz w:val="24"/>
                <w:szCs w:val="24"/>
              </w:rPr>
            </w:pPr>
            <w:r w:rsidRPr="004E7C42">
              <w:rPr>
                <w:rFonts w:ascii="Book Antiqua" w:hAnsi="Book Antiqua" w:cs="Arial"/>
                <w:sz w:val="24"/>
                <w:szCs w:val="24"/>
              </w:rPr>
              <w:t>Bienes Duraderos</w:t>
            </w:r>
          </w:p>
        </w:tc>
        <w:tc>
          <w:tcPr>
            <w:tcW w:w="117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5</w:t>
            </w:r>
          </w:p>
        </w:tc>
        <w:tc>
          <w:tcPr>
            <w:tcW w:w="4408"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Coordinar con las oficinas del Poder Judicial para la pronta elaboración de especificaciones técnicas requeridas para dar inicio a los procedimientos de contratación.</w:t>
            </w:r>
          </w:p>
        </w:tc>
        <w:tc>
          <w:tcPr>
            <w:tcW w:w="1935"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Administración del Ministerio Público</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Fuente: Unidad Administrativa del Ministerio Público</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ind w:left="142" w:right="335"/>
        <w:jc w:val="both"/>
        <w:rPr>
          <w:rFonts w:ascii="Book Antiqua" w:hAnsi="Book Antiqua" w:cs="Arial"/>
          <w:color w:val="000000"/>
          <w:sz w:val="24"/>
          <w:szCs w:val="24"/>
        </w:rPr>
      </w:pP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pStyle w:val="Prrafodelista"/>
        <w:spacing w:line="360" w:lineRule="auto"/>
        <w:ind w:left="142"/>
        <w:jc w:val="both"/>
        <w:rPr>
          <w:rFonts w:ascii="Book Antiqua" w:hAnsi="Book Antiqua"/>
          <w:b/>
          <w:bCs/>
          <w:color w:val="000000"/>
          <w:lang w:val="es-CR" w:eastAsia="es-CR"/>
        </w:rPr>
      </w:pPr>
      <w:r w:rsidRPr="004E7C42">
        <w:rPr>
          <w:rFonts w:ascii="Book Antiqua" w:hAnsi="Book Antiqua"/>
          <w:bCs/>
          <w:lang w:val="es-CR"/>
        </w:rPr>
        <w:t xml:space="preserve">En términos generales para este Programa 929, el 92,6% del </w:t>
      </w:r>
      <w:r w:rsidR="00C5213A" w:rsidRPr="004E7C42">
        <w:rPr>
          <w:rFonts w:ascii="Book Antiqua" w:hAnsi="Book Antiqua"/>
          <w:bCs/>
          <w:lang w:val="es-CR"/>
        </w:rPr>
        <w:t>presupuesto corresponde</w:t>
      </w:r>
      <w:r w:rsidRPr="004E7C42">
        <w:rPr>
          <w:rFonts w:ascii="Book Antiqua" w:hAnsi="Book Antiqua"/>
          <w:bCs/>
          <w:lang w:val="es-CR"/>
        </w:rPr>
        <w:t xml:space="preserve"> a remuneraciones y esta partida tiene una ejecución presupuestaria de 49,3% de cumplimiento, de seguido las cuatro partidas restantes que equivalen a un 7,4% de peso porcentual tienen un bajo nivel de cumplimiento en su ejecución presupuestaria, sin embargo el impacto en el monto monetario no es tan elevado y </w:t>
      </w:r>
      <w:r w:rsidRPr="004E7C42">
        <w:rPr>
          <w:rFonts w:ascii="Book Antiqua" w:hAnsi="Book Antiqua"/>
          <w:bCs/>
          <w:lang w:val="es-CR"/>
        </w:rPr>
        <w:lastRenderedPageBreak/>
        <w:t>las acciones plasmadas implican dar seguimiento y coordinar con anticipación con las oficinas involucradas.</w:t>
      </w: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br w:type="page"/>
      </w: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lastRenderedPageBreak/>
        <w:t>Cuadro 11.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Servicio Defensa Pública</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p w:rsidR="004E7C42" w:rsidRPr="004E7C42" w:rsidRDefault="004E7C42" w:rsidP="004E7C42">
      <w:pPr>
        <w:ind w:left="55"/>
        <w:jc w:val="center"/>
        <w:rPr>
          <w:rFonts w:ascii="Book Antiqua" w:hAnsi="Book Antiqua" w:cs="Arial"/>
          <w:sz w:val="24"/>
          <w:szCs w:val="24"/>
          <w:lang w:eastAsia="es-CR"/>
        </w:rPr>
      </w:pPr>
    </w:p>
    <w:tbl>
      <w:tblPr>
        <w:tblW w:w="0" w:type="auto"/>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1548"/>
        <w:gridCol w:w="2443"/>
        <w:gridCol w:w="2856"/>
        <w:gridCol w:w="1883"/>
      </w:tblGrid>
      <w:tr w:rsidR="004E7C42" w:rsidRPr="004E7C42" w:rsidTr="004E7C42">
        <w:trPr>
          <w:trHeight w:val="625"/>
          <w:jc w:val="center"/>
        </w:trPr>
        <w:tc>
          <w:tcPr>
            <w:tcW w:w="1548" w:type="dxa"/>
            <w:vAlign w:val="center"/>
          </w:tcPr>
          <w:p w:rsidR="004E7C42" w:rsidRPr="004E7C42" w:rsidRDefault="004E7C42" w:rsidP="004E7C42">
            <w:pPr>
              <w:jc w:val="center"/>
              <w:rPr>
                <w:rFonts w:ascii="Book Antiqua" w:hAnsi="Book Antiqua" w:cs="Arial"/>
                <w:bCs/>
                <w:sz w:val="24"/>
                <w:szCs w:val="24"/>
              </w:rPr>
            </w:pPr>
            <w:r w:rsidRPr="004E7C42">
              <w:rPr>
                <w:rFonts w:ascii="Book Antiqua" w:hAnsi="Book Antiqua" w:cs="Arial"/>
                <w:sz w:val="24"/>
                <w:szCs w:val="24"/>
              </w:rPr>
              <w:t>Nombre de la partida</w:t>
            </w:r>
          </w:p>
        </w:tc>
        <w:tc>
          <w:tcPr>
            <w:tcW w:w="2443" w:type="dxa"/>
            <w:vAlign w:val="center"/>
          </w:tcPr>
          <w:p w:rsidR="004E7C42" w:rsidRPr="004E7C42" w:rsidRDefault="004E7C42" w:rsidP="004E7C42">
            <w:pPr>
              <w:jc w:val="center"/>
              <w:rPr>
                <w:rFonts w:ascii="Book Antiqua" w:hAnsi="Book Antiqua" w:cs="Arial"/>
                <w:bCs/>
                <w:sz w:val="24"/>
                <w:szCs w:val="24"/>
              </w:rPr>
            </w:pPr>
            <w:r w:rsidRPr="004E7C42">
              <w:rPr>
                <w:rFonts w:ascii="Book Antiqua" w:hAnsi="Book Antiqua" w:cs="Arial"/>
                <w:sz w:val="24"/>
                <w:szCs w:val="24"/>
              </w:rPr>
              <w:t>Factores</w:t>
            </w:r>
          </w:p>
        </w:tc>
        <w:tc>
          <w:tcPr>
            <w:tcW w:w="2856" w:type="dxa"/>
            <w:vAlign w:val="center"/>
          </w:tcPr>
          <w:p w:rsidR="004E7C42" w:rsidRPr="004E7C42" w:rsidRDefault="00C5213A" w:rsidP="004E7C42">
            <w:pPr>
              <w:jc w:val="center"/>
              <w:rPr>
                <w:rFonts w:ascii="Book Antiqua" w:hAnsi="Book Antiqua" w:cs="Arial"/>
                <w:bCs/>
                <w:sz w:val="24"/>
                <w:szCs w:val="24"/>
              </w:rPr>
            </w:pPr>
            <w:r w:rsidRPr="004E7C42">
              <w:rPr>
                <w:rFonts w:ascii="Book Antiqua" w:hAnsi="Book Antiqua" w:cs="Arial"/>
                <w:sz w:val="24"/>
                <w:szCs w:val="24"/>
              </w:rPr>
              <w:t>Acciones Correctivas</w:t>
            </w:r>
          </w:p>
        </w:tc>
        <w:tc>
          <w:tcPr>
            <w:tcW w:w="1684" w:type="dxa"/>
            <w:vAlign w:val="center"/>
          </w:tcPr>
          <w:p w:rsidR="004E7C42" w:rsidRPr="004E7C42" w:rsidRDefault="004E7C42" w:rsidP="004E7C42">
            <w:pPr>
              <w:jc w:val="center"/>
              <w:rPr>
                <w:rFonts w:ascii="Book Antiqua" w:hAnsi="Book Antiqua" w:cs="Arial"/>
                <w:bCs/>
                <w:sz w:val="24"/>
                <w:szCs w:val="24"/>
              </w:rPr>
            </w:pPr>
            <w:r w:rsidRPr="004E7C42">
              <w:rPr>
                <w:rFonts w:ascii="Book Antiqua" w:hAnsi="Book Antiqua" w:cs="Arial"/>
                <w:sz w:val="24"/>
                <w:szCs w:val="24"/>
              </w:rPr>
              <w:t>Responsable</w:t>
            </w:r>
            <w:r w:rsidRPr="004E7C42">
              <w:rPr>
                <w:rFonts w:ascii="Book Antiqua" w:hAnsi="Book Antiqua" w:cs="Arial"/>
                <w:sz w:val="24"/>
                <w:szCs w:val="24"/>
                <w:vertAlign w:val="superscript"/>
              </w:rPr>
              <w:t>1/</w:t>
            </w:r>
          </w:p>
        </w:tc>
      </w:tr>
      <w:tr w:rsidR="004E7C42" w:rsidRPr="004E7C42" w:rsidTr="004E7C42">
        <w:trPr>
          <w:trHeight w:val="312"/>
          <w:jc w:val="center"/>
        </w:trPr>
        <w:tc>
          <w:tcPr>
            <w:tcW w:w="1548"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sz w:val="24"/>
                <w:szCs w:val="24"/>
              </w:rPr>
              <w:t>Servicios</w:t>
            </w:r>
          </w:p>
        </w:tc>
        <w:tc>
          <w:tcPr>
            <w:tcW w:w="2443" w:type="dxa"/>
          </w:tcPr>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10</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Tiempo prolongado en confección de especificaciones técnicas.</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Procesos de contratación administrativa en trámite.</w:t>
            </w:r>
          </w:p>
        </w:tc>
        <w:tc>
          <w:tcPr>
            <w:tcW w:w="2856"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Acelerar procesos de conformación de especificaciones técnicas para las contrataciones.</w:t>
            </w:r>
          </w:p>
        </w:tc>
        <w:tc>
          <w:tcPr>
            <w:tcW w:w="1684"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Administración Defensa Pública</w:t>
            </w:r>
          </w:p>
        </w:tc>
      </w:tr>
      <w:tr w:rsidR="004E7C42" w:rsidRPr="004E7C42" w:rsidTr="004E7C42">
        <w:trPr>
          <w:trHeight w:val="312"/>
          <w:jc w:val="center"/>
        </w:trPr>
        <w:tc>
          <w:tcPr>
            <w:tcW w:w="1548"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sz w:val="24"/>
                <w:szCs w:val="24"/>
              </w:rPr>
              <w:t>Materiales y Suministros</w:t>
            </w:r>
          </w:p>
        </w:tc>
        <w:tc>
          <w:tcPr>
            <w:tcW w:w="2443" w:type="dxa"/>
          </w:tcPr>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10</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Tiempo prolongado en confección de especificaciones técnicas.</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Procesos de contratación administrativa en trámite.</w:t>
            </w:r>
          </w:p>
        </w:tc>
        <w:tc>
          <w:tcPr>
            <w:tcW w:w="2856"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Acelerar procesos de conformación de especificaciones técnicas para las contrataciones. </w:t>
            </w:r>
          </w:p>
        </w:tc>
        <w:tc>
          <w:tcPr>
            <w:tcW w:w="1684"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Administración Defensa Pública y </w:t>
            </w:r>
            <w:r w:rsidR="00C5213A" w:rsidRPr="004E7C42">
              <w:rPr>
                <w:rFonts w:ascii="Book Antiqua" w:hAnsi="Book Antiqua" w:cs="Arial"/>
                <w:bCs/>
                <w:sz w:val="24"/>
                <w:szCs w:val="24"/>
              </w:rPr>
              <w:t>Entes Técnicos</w:t>
            </w:r>
            <w:r w:rsidRPr="004E7C42">
              <w:rPr>
                <w:rFonts w:ascii="Book Antiqua" w:hAnsi="Book Antiqua" w:cs="Arial"/>
                <w:bCs/>
                <w:sz w:val="24"/>
                <w:szCs w:val="24"/>
              </w:rPr>
              <w:t xml:space="preserve">: Servicios Generales y Departamento de </w:t>
            </w:r>
            <w:r w:rsidR="00C5213A" w:rsidRPr="004E7C42">
              <w:rPr>
                <w:rFonts w:ascii="Book Antiqua" w:hAnsi="Book Antiqua" w:cs="Arial"/>
                <w:bCs/>
                <w:sz w:val="24"/>
                <w:szCs w:val="24"/>
              </w:rPr>
              <w:t>Proveeduría</w:t>
            </w:r>
            <w:r w:rsidRPr="004E7C42">
              <w:rPr>
                <w:rFonts w:ascii="Book Antiqua" w:hAnsi="Book Antiqua" w:cs="Arial"/>
                <w:bCs/>
                <w:sz w:val="24"/>
                <w:szCs w:val="24"/>
              </w:rPr>
              <w:t>.</w:t>
            </w:r>
          </w:p>
        </w:tc>
      </w:tr>
      <w:tr w:rsidR="004E7C42" w:rsidRPr="004E7C42" w:rsidTr="004E7C42">
        <w:trPr>
          <w:trHeight w:val="312"/>
          <w:jc w:val="center"/>
        </w:trPr>
        <w:tc>
          <w:tcPr>
            <w:tcW w:w="1548"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sz w:val="24"/>
                <w:szCs w:val="24"/>
              </w:rPr>
              <w:t>Bienes Duraderos</w:t>
            </w:r>
          </w:p>
        </w:tc>
        <w:tc>
          <w:tcPr>
            <w:tcW w:w="2443" w:type="dxa"/>
          </w:tcPr>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10</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Tiempo prolongado en confección de especificaciones técnicas.</w:t>
            </w:r>
          </w:p>
          <w:p w:rsidR="004E7C42" w:rsidRPr="004E7C42" w:rsidRDefault="004E7C42" w:rsidP="004E7C42">
            <w:pPr>
              <w:jc w:val="center"/>
              <w:rPr>
                <w:rFonts w:ascii="Book Antiqua" w:hAnsi="Book Antiqua" w:cs="Arial"/>
                <w:bCs/>
                <w:sz w:val="24"/>
                <w:szCs w:val="24"/>
              </w:rPr>
            </w:pPr>
            <w:r w:rsidRPr="004E7C42">
              <w:rPr>
                <w:rFonts w:ascii="Book Antiqua" w:hAnsi="Book Antiqua" w:cs="Arial"/>
                <w:bCs/>
                <w:sz w:val="24"/>
                <w:szCs w:val="24"/>
              </w:rPr>
              <w:t>Procesos de contratación administrativa en trámite.</w:t>
            </w:r>
          </w:p>
        </w:tc>
        <w:tc>
          <w:tcPr>
            <w:tcW w:w="2856"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Acelerar procesos de conformación de especificaciones técnicas para las contrataciones. </w:t>
            </w:r>
          </w:p>
        </w:tc>
        <w:tc>
          <w:tcPr>
            <w:tcW w:w="1684" w:type="dxa"/>
          </w:tcPr>
          <w:p w:rsidR="004E7C42" w:rsidRPr="004E7C42" w:rsidRDefault="004E7C42" w:rsidP="004E7C42">
            <w:pPr>
              <w:jc w:val="both"/>
              <w:rPr>
                <w:rFonts w:ascii="Book Antiqua" w:hAnsi="Book Antiqua" w:cs="Arial"/>
                <w:bCs/>
                <w:sz w:val="24"/>
                <w:szCs w:val="24"/>
              </w:rPr>
            </w:pPr>
            <w:r w:rsidRPr="004E7C42">
              <w:rPr>
                <w:rFonts w:ascii="Book Antiqua" w:hAnsi="Book Antiqua" w:cs="Arial"/>
                <w:bCs/>
                <w:sz w:val="24"/>
                <w:szCs w:val="24"/>
              </w:rPr>
              <w:t xml:space="preserve">Administración Defensa Pública y </w:t>
            </w:r>
            <w:r w:rsidR="00C5213A" w:rsidRPr="004E7C42">
              <w:rPr>
                <w:rFonts w:ascii="Book Antiqua" w:hAnsi="Book Antiqua" w:cs="Arial"/>
                <w:bCs/>
                <w:sz w:val="24"/>
                <w:szCs w:val="24"/>
              </w:rPr>
              <w:t>Entes Técnicos</w:t>
            </w:r>
            <w:r w:rsidRPr="004E7C42">
              <w:rPr>
                <w:rFonts w:ascii="Book Antiqua" w:hAnsi="Book Antiqua" w:cs="Arial"/>
                <w:bCs/>
                <w:sz w:val="24"/>
                <w:szCs w:val="24"/>
              </w:rPr>
              <w:t>: Servicios Generales, Tecnología de la Información y Departamento de Proveeduría.</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lastRenderedPageBreak/>
        <w:t>Fuente: SIGA-PJ. Sistema de Formulación y Ejecución Presupuestaria e Informes Internos de Ejecución Presupuestaria.</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Con respecto al Programa 930, el 92,7% del presupuesto corresponde a remuneraciones y esta partida tiene una ejecución presupuestaria de 49,4% de cumplimiento, siendo el Programa con la </w:t>
      </w:r>
      <w:r w:rsidR="00C5213A" w:rsidRPr="004E7C42">
        <w:rPr>
          <w:rFonts w:ascii="Book Antiqua" w:hAnsi="Book Antiqua"/>
          <w:bCs/>
          <w:lang w:val="es-CR"/>
        </w:rPr>
        <w:t>partida más</w:t>
      </w:r>
      <w:r w:rsidRPr="004E7C42">
        <w:rPr>
          <w:rFonts w:ascii="Book Antiqua" w:hAnsi="Book Antiqua"/>
          <w:bCs/>
          <w:lang w:val="es-CR"/>
        </w:rPr>
        <w:t xml:space="preserve"> alta en la ejecución presupuestaria para el primer semestre. A su vez, las partidas de servicios, materiales y suministros y bienes duraderos tiene un peso porcentual del6</w:t>
      </w:r>
      <w:r w:rsidR="00C5213A" w:rsidRPr="004E7C42">
        <w:rPr>
          <w:rFonts w:ascii="Book Antiqua" w:hAnsi="Book Antiqua"/>
          <w:bCs/>
          <w:lang w:val="es-CR"/>
        </w:rPr>
        <w:t>, 2</w:t>
      </w:r>
      <w:r w:rsidRPr="004E7C42">
        <w:rPr>
          <w:rFonts w:ascii="Book Antiqua" w:hAnsi="Book Antiqua"/>
          <w:bCs/>
          <w:lang w:val="es-CR"/>
        </w:rPr>
        <w:t xml:space="preserve">%, pero presentan  un bajo nivel de cumplimiento en su ejecución presupuestaria respecto a los parámetros del Ministerio de </w:t>
      </w:r>
      <w:r w:rsidR="00C5213A" w:rsidRPr="004E7C42">
        <w:rPr>
          <w:rFonts w:ascii="Book Antiqua" w:hAnsi="Book Antiqua"/>
          <w:bCs/>
          <w:lang w:val="es-CR"/>
        </w:rPr>
        <w:t>Hacienda, por</w:t>
      </w:r>
      <w:r w:rsidRPr="004E7C42">
        <w:rPr>
          <w:rFonts w:ascii="Book Antiqua" w:hAnsi="Book Antiqua"/>
          <w:bCs/>
          <w:lang w:val="es-CR"/>
        </w:rPr>
        <w:t xml:space="preserve"> que se proponen acciones por parte del respo</w:t>
      </w:r>
      <w:r w:rsidR="00C5213A">
        <w:rPr>
          <w:rFonts w:ascii="Book Antiqua" w:hAnsi="Book Antiqua"/>
          <w:bCs/>
          <w:lang w:val="es-CR"/>
        </w:rPr>
        <w:t>ns</w:t>
      </w:r>
      <w:r w:rsidRPr="004E7C42">
        <w:rPr>
          <w:rFonts w:ascii="Book Antiqua" w:hAnsi="Book Antiqua"/>
          <w:bCs/>
          <w:lang w:val="es-CR"/>
        </w:rPr>
        <w:t xml:space="preserve">able del programa </w:t>
      </w:r>
      <w:r w:rsidR="00C5213A" w:rsidRPr="004E7C42">
        <w:rPr>
          <w:rFonts w:ascii="Book Antiqua" w:hAnsi="Book Antiqua"/>
          <w:bCs/>
          <w:lang w:val="es-CR"/>
        </w:rPr>
        <w:t>dirigidas</w:t>
      </w:r>
      <w:r w:rsidRPr="004E7C42">
        <w:rPr>
          <w:rFonts w:ascii="Book Antiqua" w:hAnsi="Book Antiqua"/>
          <w:bCs/>
          <w:lang w:val="es-CR"/>
        </w:rPr>
        <w:t xml:space="preserve"> </w:t>
      </w:r>
      <w:r w:rsidR="00C5213A" w:rsidRPr="004E7C42">
        <w:rPr>
          <w:rFonts w:ascii="Book Antiqua" w:hAnsi="Book Antiqua"/>
          <w:bCs/>
          <w:lang w:val="es-CR"/>
        </w:rPr>
        <w:t>acelerarlos</w:t>
      </w:r>
      <w:r w:rsidRPr="004E7C42">
        <w:rPr>
          <w:rFonts w:ascii="Book Antiqua" w:hAnsi="Book Antiqua"/>
          <w:bCs/>
          <w:lang w:val="es-CR"/>
        </w:rPr>
        <w:t xml:space="preserve"> procesos de conformación de especificaciones técnicas para las contrataciones.</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570DA5">
      <w:pPr>
        <w:pStyle w:val="Prrafodelista"/>
        <w:numPr>
          <w:ilvl w:val="1"/>
          <w:numId w:val="8"/>
        </w:numPr>
        <w:spacing w:line="360" w:lineRule="auto"/>
        <w:contextualSpacing/>
        <w:jc w:val="both"/>
        <w:rPr>
          <w:rFonts w:ascii="Book Antiqua" w:hAnsi="Book Antiqua"/>
          <w:bCs/>
        </w:rPr>
      </w:pPr>
      <w:r w:rsidRPr="004E7C42">
        <w:rPr>
          <w:rFonts w:ascii="Book Antiqua" w:hAnsi="Book Antiqua"/>
          <w:bCs/>
        </w:rPr>
        <w:t>Aplicación de directrices presidenciales.</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Lineamientos de los entes rectores de la Administración Financiera.</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Gestión administrativa institucional (que generen ahorro o mayor gasto)</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 xml:space="preserve">Variación en la estimación de recursos. </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Problemas relacionados con los procesos de Contratación Administrativa.</w:t>
      </w:r>
    </w:p>
    <w:p w:rsidR="004E7C42" w:rsidRPr="004E7C42" w:rsidRDefault="004E7C42" w:rsidP="00570DA5">
      <w:pPr>
        <w:pStyle w:val="Prrafodelista"/>
        <w:numPr>
          <w:ilvl w:val="1"/>
          <w:numId w:val="8"/>
        </w:numPr>
        <w:spacing w:line="360" w:lineRule="auto"/>
        <w:contextualSpacing/>
        <w:jc w:val="both"/>
        <w:rPr>
          <w:rFonts w:ascii="Book Antiqua" w:hAnsi="Book Antiqua"/>
          <w:bCs/>
        </w:rPr>
      </w:pPr>
      <w:r w:rsidRPr="004E7C42">
        <w:rPr>
          <w:rFonts w:ascii="Book Antiqua" w:hAnsi="Book Antiqua"/>
          <w:bCs/>
        </w:rPr>
        <w:t xml:space="preserve">Liberación de </w:t>
      </w:r>
      <w:r w:rsidR="00C5213A" w:rsidRPr="004E7C42">
        <w:rPr>
          <w:rFonts w:ascii="Book Antiqua" w:hAnsi="Book Antiqua"/>
          <w:bCs/>
        </w:rPr>
        <w:t>cuota insuficiente</w:t>
      </w:r>
      <w:r w:rsidRPr="004E7C42">
        <w:rPr>
          <w:rFonts w:ascii="Book Antiqua" w:hAnsi="Book Antiqua"/>
          <w:bCs/>
        </w:rPr>
        <w:t>.</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Desviaciones entre lo planificado y lo ejecutado.</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Normas de ejecución para el ejercicio presupuestario 2019.</w:t>
      </w:r>
    </w:p>
    <w:p w:rsidR="004E7C42" w:rsidRPr="004E7C42" w:rsidRDefault="004E7C42" w:rsidP="00570DA5">
      <w:pPr>
        <w:pStyle w:val="Prrafodelista"/>
        <w:numPr>
          <w:ilvl w:val="1"/>
          <w:numId w:val="8"/>
        </w:numPr>
        <w:spacing w:line="360" w:lineRule="auto"/>
        <w:contextualSpacing/>
        <w:jc w:val="both"/>
        <w:rPr>
          <w:rFonts w:ascii="Book Antiqua" w:hAnsi="Book Antiqua"/>
          <w:bCs/>
          <w:lang w:val="es-CR"/>
        </w:rPr>
      </w:pPr>
      <w:r w:rsidRPr="004E7C42">
        <w:rPr>
          <w:rFonts w:ascii="Book Antiqua" w:hAnsi="Book Antiqua"/>
          <w:bCs/>
          <w:lang w:val="es-CR"/>
        </w:rPr>
        <w:t>Problemas con las gestiones relacionadas con convenios marco.</w:t>
      </w: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lastRenderedPageBreak/>
        <w:br w:type="page"/>
      </w: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lastRenderedPageBreak/>
        <w:t>Cuadro 12.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incidieron en la ejecución y acciones correctivas en partidas con ejecución menores a 45,0%</w:t>
      </w:r>
    </w:p>
    <w:p w:rsidR="004E7C42" w:rsidRPr="004E7C42" w:rsidRDefault="004E7C42" w:rsidP="004E7C42">
      <w:pPr>
        <w:ind w:left="55"/>
        <w:jc w:val="center"/>
        <w:rPr>
          <w:rFonts w:ascii="Book Antiqua" w:hAnsi="Book Antiqua" w:cs="Arial"/>
          <w:b/>
          <w:sz w:val="24"/>
          <w:szCs w:val="24"/>
          <w:lang w:eastAsia="es-CR"/>
        </w:rPr>
      </w:pPr>
      <w:r w:rsidRPr="004E7C42">
        <w:rPr>
          <w:rFonts w:ascii="Book Antiqua" w:hAnsi="Book Antiqua" w:cs="Arial"/>
          <w:b/>
          <w:sz w:val="24"/>
          <w:szCs w:val="24"/>
          <w:lang w:eastAsia="es-CR"/>
        </w:rPr>
        <w:t>Programa 950 “Servicio de Atención y Protección a Víctimas y Testigos”</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 xml:space="preserve"> 30 de junio  de 2019</w:t>
      </w:r>
    </w:p>
    <w:tbl>
      <w:tblPr>
        <w:tblW w:w="0" w:type="auto"/>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1992"/>
        <w:gridCol w:w="1999"/>
        <w:gridCol w:w="2856"/>
        <w:gridCol w:w="1883"/>
      </w:tblGrid>
      <w:tr w:rsidR="004E7C42" w:rsidRPr="004E7C42" w:rsidTr="004E7C42">
        <w:trPr>
          <w:trHeight w:val="625"/>
          <w:jc w:val="center"/>
        </w:trPr>
        <w:tc>
          <w:tcPr>
            <w:tcW w:w="1992" w:type="dxa"/>
            <w:vAlign w:val="center"/>
          </w:tcPr>
          <w:p w:rsidR="004E7C42" w:rsidRPr="004E7C42" w:rsidRDefault="004E7C42" w:rsidP="00E31D80">
            <w:pPr>
              <w:jc w:val="center"/>
              <w:rPr>
                <w:rFonts w:ascii="Book Antiqua" w:hAnsi="Book Antiqua" w:cs="Arial"/>
                <w:bCs/>
                <w:sz w:val="24"/>
                <w:szCs w:val="24"/>
              </w:rPr>
            </w:pPr>
            <w:r w:rsidRPr="004E7C42">
              <w:rPr>
                <w:rFonts w:ascii="Book Antiqua" w:hAnsi="Book Antiqua" w:cs="Arial"/>
                <w:sz w:val="24"/>
                <w:szCs w:val="24"/>
              </w:rPr>
              <w:t>Nombre de la partida</w:t>
            </w:r>
          </w:p>
        </w:tc>
        <w:tc>
          <w:tcPr>
            <w:tcW w:w="1999" w:type="dxa"/>
            <w:vAlign w:val="center"/>
          </w:tcPr>
          <w:p w:rsidR="004E7C42" w:rsidRPr="004E7C42" w:rsidRDefault="004E7C42" w:rsidP="00E31D80">
            <w:pPr>
              <w:jc w:val="center"/>
              <w:rPr>
                <w:rFonts w:ascii="Book Antiqua" w:hAnsi="Book Antiqua" w:cs="Arial"/>
                <w:bCs/>
                <w:sz w:val="24"/>
                <w:szCs w:val="24"/>
              </w:rPr>
            </w:pPr>
            <w:r w:rsidRPr="004E7C42">
              <w:rPr>
                <w:rFonts w:ascii="Book Antiqua" w:hAnsi="Book Antiqua" w:cs="Arial"/>
                <w:sz w:val="24"/>
                <w:szCs w:val="24"/>
              </w:rPr>
              <w:t>Factores</w:t>
            </w:r>
          </w:p>
        </w:tc>
        <w:tc>
          <w:tcPr>
            <w:tcW w:w="2856" w:type="dxa"/>
            <w:vAlign w:val="center"/>
          </w:tcPr>
          <w:p w:rsidR="004E7C42" w:rsidRPr="004E7C42" w:rsidRDefault="00C5213A" w:rsidP="00E31D80">
            <w:pPr>
              <w:jc w:val="center"/>
              <w:rPr>
                <w:rFonts w:ascii="Book Antiqua" w:hAnsi="Book Antiqua" w:cs="Arial"/>
                <w:bCs/>
                <w:sz w:val="24"/>
                <w:szCs w:val="24"/>
              </w:rPr>
            </w:pPr>
            <w:r w:rsidRPr="004E7C42">
              <w:rPr>
                <w:rFonts w:ascii="Book Antiqua" w:hAnsi="Book Antiqua" w:cs="Arial"/>
                <w:sz w:val="24"/>
                <w:szCs w:val="24"/>
              </w:rPr>
              <w:t>Acciones Correctivas</w:t>
            </w:r>
          </w:p>
        </w:tc>
        <w:tc>
          <w:tcPr>
            <w:tcW w:w="1684" w:type="dxa"/>
            <w:vAlign w:val="center"/>
          </w:tcPr>
          <w:p w:rsidR="004E7C42" w:rsidRPr="004E7C42" w:rsidRDefault="004E7C42" w:rsidP="00E31D80">
            <w:pPr>
              <w:jc w:val="center"/>
              <w:rPr>
                <w:rFonts w:ascii="Book Antiqua" w:hAnsi="Book Antiqua" w:cs="Arial"/>
                <w:bCs/>
                <w:sz w:val="24"/>
                <w:szCs w:val="24"/>
              </w:rPr>
            </w:pPr>
            <w:r w:rsidRPr="004E7C42">
              <w:rPr>
                <w:rFonts w:ascii="Book Antiqua" w:hAnsi="Book Antiqua" w:cs="Arial"/>
                <w:sz w:val="24"/>
                <w:szCs w:val="24"/>
              </w:rPr>
              <w:t>Responsable</w:t>
            </w:r>
            <w:r w:rsidRPr="004E7C42">
              <w:rPr>
                <w:rFonts w:ascii="Book Antiqua" w:hAnsi="Book Antiqua" w:cs="Arial"/>
                <w:sz w:val="24"/>
                <w:szCs w:val="24"/>
                <w:vertAlign w:val="superscript"/>
              </w:rPr>
              <w:t>1/</w:t>
            </w:r>
          </w:p>
        </w:tc>
      </w:tr>
      <w:tr w:rsidR="004E7C42" w:rsidRPr="004E7C42" w:rsidTr="004E7C42">
        <w:trPr>
          <w:trHeight w:val="312"/>
          <w:jc w:val="center"/>
        </w:trPr>
        <w:tc>
          <w:tcPr>
            <w:tcW w:w="1992" w:type="dxa"/>
          </w:tcPr>
          <w:p w:rsidR="004E7C42" w:rsidRPr="004E7C42" w:rsidRDefault="004E7C42" w:rsidP="00E31D80">
            <w:pPr>
              <w:jc w:val="both"/>
              <w:rPr>
                <w:rFonts w:ascii="Book Antiqua" w:hAnsi="Book Antiqua" w:cs="Arial"/>
                <w:bCs/>
                <w:sz w:val="24"/>
                <w:szCs w:val="24"/>
              </w:rPr>
            </w:pPr>
            <w:r w:rsidRPr="004E7C42">
              <w:rPr>
                <w:rFonts w:ascii="Book Antiqua" w:hAnsi="Book Antiqua" w:cs="Arial"/>
                <w:sz w:val="24"/>
                <w:szCs w:val="24"/>
              </w:rPr>
              <w:t>Servicios</w:t>
            </w:r>
          </w:p>
        </w:tc>
        <w:tc>
          <w:tcPr>
            <w:tcW w:w="1999" w:type="dxa"/>
          </w:tcPr>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2</w:t>
            </w: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5</w:t>
            </w: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4</w:t>
            </w: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tc>
        <w:tc>
          <w:tcPr>
            <w:tcW w:w="2856"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lastRenderedPageBreak/>
              <w:t>-Brindar mayor seguimiento a aquellos  pagos  que no han sido tramitados, debido al problema que se ha generado con el sistema de  factura electrónica   y  del IVA.</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Dar seguimiento bimensual  al pago por  servicios públicos, contratos de arriendo, limpieza  y seguridad.</w:t>
            </w:r>
          </w:p>
          <w:p w:rsidR="004E7C42" w:rsidRPr="004E7C42" w:rsidRDefault="004E7C42" w:rsidP="00E31D80">
            <w:pPr>
              <w:jc w:val="both"/>
              <w:rPr>
                <w:rFonts w:ascii="Book Antiqua" w:hAnsi="Book Antiqua" w:cs="Arial"/>
                <w:bCs/>
                <w:sz w:val="24"/>
                <w:szCs w:val="24"/>
                <w:lang w:val="es-ES"/>
              </w:rPr>
            </w:pP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-Gestionar nuevamente la publicación de carteles licitatorios por concepto de arriendo de locales para Heredia, Santa Cruz y San José.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-Dar seguimiento al nuevo contrato de vigilancia según demanda, así como el ajuste  en el contrato de limpieza de las sedes regionales de la OAPVD.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-Revisar junto con la Unidad de Protección lo referente al porcentaje de ejecución en </w:t>
            </w:r>
            <w:r w:rsidR="00C5213A" w:rsidRPr="004E7C42">
              <w:rPr>
                <w:rFonts w:ascii="Book Antiqua" w:hAnsi="Book Antiqua" w:cs="Arial"/>
                <w:bCs/>
                <w:sz w:val="24"/>
                <w:szCs w:val="24"/>
                <w:lang w:val="es-ES"/>
              </w:rPr>
              <w:t xml:space="preserve">la </w:t>
            </w:r>
            <w:r w:rsidR="00C5213A" w:rsidRPr="004E7C42">
              <w:rPr>
                <w:rFonts w:ascii="Book Antiqua" w:hAnsi="Book Antiqua" w:cs="Arial"/>
                <w:bCs/>
                <w:sz w:val="24"/>
                <w:szCs w:val="24"/>
                <w:lang w:val="es-ES"/>
              </w:rPr>
              <w:lastRenderedPageBreak/>
              <w:t>partida</w:t>
            </w:r>
            <w:r w:rsidRPr="004E7C42">
              <w:rPr>
                <w:rFonts w:ascii="Book Antiqua" w:hAnsi="Book Antiqua" w:cs="Arial"/>
                <w:bCs/>
                <w:sz w:val="24"/>
                <w:szCs w:val="24"/>
                <w:lang w:val="es-ES"/>
              </w:rPr>
              <w:t xml:space="preserve"> de viáticos y ayudas económicas.</w:t>
            </w:r>
          </w:p>
          <w:p w:rsidR="004E7C42" w:rsidRPr="004E7C42" w:rsidRDefault="004E7C42" w:rsidP="00E31D80">
            <w:pPr>
              <w:jc w:val="both"/>
              <w:rPr>
                <w:rFonts w:ascii="Book Antiqua" w:hAnsi="Book Antiqua" w:cs="Arial"/>
                <w:bCs/>
                <w:sz w:val="24"/>
                <w:szCs w:val="24"/>
                <w:lang w:val="es-ES"/>
              </w:rPr>
            </w:pP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-Revisar y analizar con la Jefatura  y coordinadores/as del despacho el ingreso de casos al despacho y  el pago en ayudas económicas, a fin de detectar las razones que están generando una disminución en los pagos de ayudas con respecto a la proyección de gasto para 2019.</w:t>
            </w:r>
          </w:p>
        </w:tc>
        <w:tc>
          <w:tcPr>
            <w:tcW w:w="1684"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lastRenderedPageBreak/>
              <w:t xml:space="preserve">-Oficina de Atención y Protección a la Víctima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-Unidad de Protección</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Macroproceso de Financiero Contable </w:t>
            </w:r>
          </w:p>
        </w:tc>
      </w:tr>
      <w:tr w:rsidR="004E7C42" w:rsidRPr="004E7C42" w:rsidTr="004E7C42">
        <w:trPr>
          <w:trHeight w:val="312"/>
          <w:jc w:val="center"/>
        </w:trPr>
        <w:tc>
          <w:tcPr>
            <w:tcW w:w="1992" w:type="dxa"/>
          </w:tcPr>
          <w:p w:rsidR="004E7C42" w:rsidRPr="004E7C42" w:rsidRDefault="004E7C42" w:rsidP="00E31D80">
            <w:pPr>
              <w:pStyle w:val="Prrafodelista"/>
              <w:ind w:left="0"/>
              <w:jc w:val="both"/>
              <w:rPr>
                <w:rFonts w:ascii="Book Antiqua" w:hAnsi="Book Antiqua"/>
                <w:b/>
                <w:bCs/>
                <w:lang w:val="es-CR"/>
              </w:rPr>
            </w:pPr>
            <w:r w:rsidRPr="004E7C42">
              <w:rPr>
                <w:rFonts w:ascii="Book Antiqua" w:hAnsi="Book Antiqua"/>
                <w:lang w:val="es-CR"/>
              </w:rPr>
              <w:lastRenderedPageBreak/>
              <w:t>Materiales y Suministros</w:t>
            </w:r>
          </w:p>
        </w:tc>
        <w:tc>
          <w:tcPr>
            <w:tcW w:w="1999" w:type="dxa"/>
            <w:shd w:val="clear" w:color="auto" w:fill="auto"/>
          </w:tcPr>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2</w:t>
            </w: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4</w:t>
            </w: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p>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 xml:space="preserve">5 </w:t>
            </w:r>
          </w:p>
        </w:tc>
        <w:tc>
          <w:tcPr>
            <w:tcW w:w="2856"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-Brindar mayor seguimiento aquellos pagos  que no han sido tramitadas, debido a los  problemas que se ha generado con la emisión de facturas electrónicas  y lo referente al IVA.</w:t>
            </w:r>
          </w:p>
          <w:p w:rsidR="004E7C42" w:rsidRPr="004E7C42" w:rsidRDefault="004E7C42" w:rsidP="00E31D80">
            <w:pPr>
              <w:jc w:val="both"/>
              <w:rPr>
                <w:rFonts w:ascii="Book Antiqua" w:hAnsi="Book Antiqua" w:cs="Arial"/>
                <w:bCs/>
                <w:sz w:val="24"/>
                <w:szCs w:val="24"/>
                <w:lang w:val="es-ES"/>
              </w:rPr>
            </w:pP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-Revisar y analizar con la Jefatura  y coordinadores/as del despacho el ingreso de casos al despacho y  el pago en ayudas económicas, a fin de detectar las razones que están generando una disminución en los pagos de ayudas con respecto a la proyección de gasto para 2019.</w:t>
            </w:r>
          </w:p>
          <w:p w:rsidR="004E7C42" w:rsidRPr="004E7C42" w:rsidRDefault="004E7C42" w:rsidP="00E31D80">
            <w:pPr>
              <w:jc w:val="both"/>
              <w:rPr>
                <w:rFonts w:ascii="Book Antiqua" w:hAnsi="Book Antiqua" w:cs="Arial"/>
                <w:bCs/>
                <w:sz w:val="24"/>
                <w:szCs w:val="24"/>
                <w:lang w:val="es-ES"/>
              </w:rPr>
            </w:pP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-Analizar conjuntamente </w:t>
            </w:r>
            <w:r w:rsidRPr="004E7C42">
              <w:rPr>
                <w:rFonts w:ascii="Book Antiqua" w:hAnsi="Book Antiqua" w:cs="Arial"/>
                <w:bCs/>
                <w:sz w:val="24"/>
                <w:szCs w:val="24"/>
                <w:lang w:val="es-ES"/>
              </w:rPr>
              <w:lastRenderedPageBreak/>
              <w:t>con la Unidad de Protección a Víctimas, las compras en proceso y dar seguimiento a la ejecución de los pagos derivados de dichas compras.</w:t>
            </w:r>
          </w:p>
        </w:tc>
        <w:tc>
          <w:tcPr>
            <w:tcW w:w="1684"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lastRenderedPageBreak/>
              <w:t xml:space="preserve">-Oficina de Atención y Protección a la Víctima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-Unidad de Protección</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Macroproceso de Financiero Contable</w:t>
            </w:r>
          </w:p>
        </w:tc>
      </w:tr>
      <w:tr w:rsidR="004E7C42" w:rsidRPr="004E7C42" w:rsidTr="004E7C42">
        <w:trPr>
          <w:trHeight w:val="312"/>
          <w:jc w:val="center"/>
        </w:trPr>
        <w:tc>
          <w:tcPr>
            <w:tcW w:w="1992" w:type="dxa"/>
          </w:tcPr>
          <w:p w:rsidR="004E7C42" w:rsidRPr="004E7C42" w:rsidRDefault="004E7C42" w:rsidP="00E31D80">
            <w:pPr>
              <w:pStyle w:val="Prrafodelista"/>
              <w:ind w:left="0"/>
              <w:jc w:val="both"/>
              <w:rPr>
                <w:rFonts w:ascii="Book Antiqua" w:hAnsi="Book Antiqua"/>
                <w:b/>
                <w:bCs/>
                <w:lang w:val="es-CR"/>
              </w:rPr>
            </w:pPr>
            <w:r w:rsidRPr="004E7C42">
              <w:rPr>
                <w:rFonts w:ascii="Book Antiqua" w:hAnsi="Book Antiqua"/>
                <w:lang w:val="es-CR"/>
              </w:rPr>
              <w:lastRenderedPageBreak/>
              <w:t>Bienes Duraderos</w:t>
            </w:r>
          </w:p>
        </w:tc>
        <w:tc>
          <w:tcPr>
            <w:tcW w:w="1999" w:type="dxa"/>
          </w:tcPr>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2</w:t>
            </w:r>
          </w:p>
        </w:tc>
        <w:tc>
          <w:tcPr>
            <w:tcW w:w="2856"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-Brindar mayor seguimiento a aquellos pagos  que no han sido tramitadas, debido a los  problemas que se ha generado con la emisión de facturas electrónicas  y lo referente al IVA</w:t>
            </w:r>
          </w:p>
          <w:p w:rsidR="004E7C42" w:rsidRPr="004E7C42" w:rsidRDefault="004E7C42" w:rsidP="00E31D80">
            <w:pPr>
              <w:jc w:val="both"/>
              <w:rPr>
                <w:rFonts w:ascii="Book Antiqua" w:hAnsi="Book Antiqua" w:cs="Arial"/>
                <w:bCs/>
                <w:sz w:val="24"/>
                <w:szCs w:val="24"/>
                <w:lang w:val="es-ES"/>
              </w:rPr>
            </w:pPr>
          </w:p>
        </w:tc>
        <w:tc>
          <w:tcPr>
            <w:tcW w:w="1684"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Oficina de Atención y Protección a la Víctima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-Unidad de Protección</w:t>
            </w:r>
          </w:p>
          <w:p w:rsidR="004E7C42" w:rsidRPr="004E7C42" w:rsidRDefault="004E7C42" w:rsidP="00E31D80">
            <w:pPr>
              <w:jc w:val="both"/>
              <w:rPr>
                <w:rFonts w:ascii="Book Antiqua" w:hAnsi="Book Antiqua" w:cs="Arial"/>
                <w:bCs/>
                <w:sz w:val="24"/>
                <w:szCs w:val="24"/>
                <w:lang w:val="es-ES"/>
              </w:rPr>
            </w:pPr>
          </w:p>
        </w:tc>
      </w:tr>
      <w:tr w:rsidR="004E7C42" w:rsidRPr="004E7C42" w:rsidTr="004E7C42">
        <w:trPr>
          <w:trHeight w:val="312"/>
          <w:jc w:val="center"/>
        </w:trPr>
        <w:tc>
          <w:tcPr>
            <w:tcW w:w="1992" w:type="dxa"/>
          </w:tcPr>
          <w:p w:rsidR="004E7C42" w:rsidRPr="004E7C42" w:rsidRDefault="004E7C42" w:rsidP="00E31D80">
            <w:pPr>
              <w:pStyle w:val="Prrafodelista"/>
              <w:ind w:left="0"/>
              <w:jc w:val="both"/>
              <w:rPr>
                <w:rFonts w:ascii="Book Antiqua" w:hAnsi="Book Antiqua"/>
                <w:b/>
                <w:bCs/>
                <w:lang w:val="es-CR"/>
              </w:rPr>
            </w:pPr>
            <w:r w:rsidRPr="004E7C42">
              <w:rPr>
                <w:rFonts w:ascii="Book Antiqua" w:hAnsi="Book Antiqua"/>
                <w:lang w:val="es-CR"/>
              </w:rPr>
              <w:t>Transferencias Corrientes</w:t>
            </w:r>
          </w:p>
        </w:tc>
        <w:tc>
          <w:tcPr>
            <w:tcW w:w="1999" w:type="dxa"/>
          </w:tcPr>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7</w:t>
            </w:r>
          </w:p>
        </w:tc>
        <w:tc>
          <w:tcPr>
            <w:tcW w:w="2856"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Coordinar con el Depto de Financiero Contable  la ejecución de los recursos y </w:t>
            </w:r>
            <w:r w:rsidR="00C5213A" w:rsidRPr="004E7C42">
              <w:rPr>
                <w:rFonts w:ascii="Book Antiqua" w:hAnsi="Book Antiqua" w:cs="Arial"/>
                <w:bCs/>
                <w:sz w:val="24"/>
                <w:szCs w:val="24"/>
                <w:lang w:val="es-ES"/>
              </w:rPr>
              <w:t>realizar</w:t>
            </w:r>
            <w:r w:rsidR="00C5213A">
              <w:rPr>
                <w:rFonts w:ascii="Book Antiqua" w:hAnsi="Book Antiqua" w:cs="Arial"/>
                <w:bCs/>
                <w:sz w:val="24"/>
                <w:szCs w:val="24"/>
                <w:lang w:val="es-ES"/>
              </w:rPr>
              <w:t xml:space="preserve"> </w:t>
            </w:r>
            <w:r w:rsidR="00C5213A" w:rsidRPr="004E7C42">
              <w:rPr>
                <w:rFonts w:ascii="Book Antiqua" w:hAnsi="Book Antiqua" w:cs="Arial"/>
                <w:bCs/>
                <w:sz w:val="24"/>
                <w:szCs w:val="24"/>
                <w:lang w:val="es-ES"/>
              </w:rPr>
              <w:t>un</w:t>
            </w:r>
            <w:r w:rsidRPr="004E7C42">
              <w:rPr>
                <w:rFonts w:ascii="Book Antiqua" w:hAnsi="Book Antiqua" w:cs="Arial"/>
                <w:bCs/>
                <w:sz w:val="24"/>
                <w:szCs w:val="24"/>
                <w:lang w:val="es-ES"/>
              </w:rPr>
              <w:t xml:space="preserve"> análisis de la formulación vs el gasto realizado.</w:t>
            </w:r>
          </w:p>
        </w:tc>
        <w:tc>
          <w:tcPr>
            <w:tcW w:w="1684"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Administración OAPVD </w:t>
            </w:r>
          </w:p>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Macroproceso de Financiero Contable </w:t>
            </w:r>
          </w:p>
        </w:tc>
      </w:tr>
      <w:tr w:rsidR="004E7C42" w:rsidRPr="004E7C42" w:rsidTr="004E7C42">
        <w:trPr>
          <w:trHeight w:val="312"/>
          <w:jc w:val="center"/>
        </w:trPr>
        <w:tc>
          <w:tcPr>
            <w:tcW w:w="1992" w:type="dxa"/>
          </w:tcPr>
          <w:p w:rsidR="004E7C42" w:rsidRPr="004E7C42" w:rsidRDefault="004E7C42" w:rsidP="00E31D80">
            <w:pPr>
              <w:pStyle w:val="Prrafodelista"/>
              <w:ind w:left="0"/>
              <w:jc w:val="both"/>
              <w:rPr>
                <w:rFonts w:ascii="Book Antiqua" w:hAnsi="Book Antiqua"/>
                <w:b/>
                <w:bCs/>
                <w:lang w:val="es-CR"/>
              </w:rPr>
            </w:pPr>
            <w:r w:rsidRPr="004E7C42">
              <w:rPr>
                <w:rFonts w:ascii="Book Antiqua" w:hAnsi="Book Antiqua"/>
                <w:lang w:val="es-CR"/>
              </w:rPr>
              <w:t>Cuentas Especiales</w:t>
            </w:r>
          </w:p>
        </w:tc>
        <w:tc>
          <w:tcPr>
            <w:tcW w:w="1999" w:type="dxa"/>
          </w:tcPr>
          <w:p w:rsidR="004E7C42" w:rsidRPr="004E7C42" w:rsidRDefault="004E7C42" w:rsidP="00E31D80">
            <w:pPr>
              <w:jc w:val="center"/>
              <w:rPr>
                <w:rFonts w:ascii="Book Antiqua" w:hAnsi="Book Antiqua" w:cs="Arial"/>
                <w:bCs/>
                <w:sz w:val="24"/>
                <w:szCs w:val="24"/>
              </w:rPr>
            </w:pPr>
            <w:r w:rsidRPr="004E7C42">
              <w:rPr>
                <w:rFonts w:ascii="Book Antiqua" w:hAnsi="Book Antiqua" w:cs="Arial"/>
                <w:bCs/>
                <w:sz w:val="24"/>
                <w:szCs w:val="24"/>
              </w:rPr>
              <w:t>7</w:t>
            </w:r>
          </w:p>
        </w:tc>
        <w:tc>
          <w:tcPr>
            <w:tcW w:w="2856"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Seguimiento a las necesidades  y ejecución de recursos en la partida de gastos confidenciales, respecto lo formulado vs lo ejecutado  </w:t>
            </w:r>
          </w:p>
        </w:tc>
        <w:tc>
          <w:tcPr>
            <w:tcW w:w="1684" w:type="dxa"/>
          </w:tcPr>
          <w:p w:rsidR="004E7C42" w:rsidRPr="004E7C42" w:rsidRDefault="004E7C42" w:rsidP="00E31D80">
            <w:pPr>
              <w:jc w:val="both"/>
              <w:rPr>
                <w:rFonts w:ascii="Book Antiqua" w:hAnsi="Book Antiqua" w:cs="Arial"/>
                <w:bCs/>
                <w:sz w:val="24"/>
                <w:szCs w:val="24"/>
                <w:lang w:val="es-ES"/>
              </w:rPr>
            </w:pPr>
            <w:r w:rsidRPr="004E7C42">
              <w:rPr>
                <w:rFonts w:ascii="Book Antiqua" w:hAnsi="Book Antiqua" w:cs="Arial"/>
                <w:bCs/>
                <w:sz w:val="24"/>
                <w:szCs w:val="24"/>
                <w:lang w:val="es-ES"/>
              </w:rPr>
              <w:t xml:space="preserve">Unidad  de Protección a Victimas </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Fuente: SIGA PJ </w:t>
      </w:r>
    </w:p>
    <w:p w:rsidR="004E7C42" w:rsidRPr="004E7C42" w:rsidRDefault="004E7C42" w:rsidP="004E7C42">
      <w:pPr>
        <w:pStyle w:val="Ttulo1"/>
        <w:rPr>
          <w:rFonts w:ascii="Book Antiqua" w:hAnsi="Book Antiqua" w:cs="Arial"/>
          <w:lang w:val="es-ES_tradnl"/>
        </w:rPr>
      </w:pPr>
      <w:bookmarkStart w:id="7" w:name="_Toc14077391"/>
      <w:bookmarkStart w:id="8" w:name="_Toc14157286"/>
      <w:bookmarkStart w:id="9" w:name="_Toc14184514"/>
      <w:r w:rsidRPr="004E7C42">
        <w:rPr>
          <w:rFonts w:ascii="Book Antiqua" w:hAnsi="Book Antiqua" w:cs="Arial"/>
          <w:lang w:val="es-CR"/>
        </w:rPr>
        <w:t>1/ Se refiere a la persona responsable directa de ejecutar la acción, no necesariamente debe ser el (la) Director (a) del Programa o Subprograma.</w:t>
      </w:r>
      <w:bookmarkEnd w:id="7"/>
      <w:bookmarkEnd w:id="8"/>
      <w:bookmarkEnd w:id="9"/>
    </w:p>
    <w:p w:rsidR="004E7C42" w:rsidRPr="004E7C42" w:rsidRDefault="004E7C42" w:rsidP="004E7C42">
      <w:pPr>
        <w:rPr>
          <w:rFonts w:ascii="Book Antiqua" w:hAnsi="Book Antiqua"/>
          <w:sz w:val="24"/>
          <w:szCs w:val="24"/>
          <w:lang w:val="es-ES_tradnl"/>
        </w:rPr>
      </w:pPr>
    </w:p>
    <w:p w:rsidR="004E7C42" w:rsidRPr="004E7C42" w:rsidRDefault="004E7C42" w:rsidP="004E7C42">
      <w:pPr>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lang w:val="es-ES"/>
        </w:rPr>
      </w:pPr>
      <w:r w:rsidRPr="004E7C42">
        <w:rPr>
          <w:rFonts w:ascii="Book Antiqua" w:hAnsi="Book Antiqua" w:cs="Arial"/>
          <w:bCs/>
          <w:sz w:val="24"/>
          <w:szCs w:val="24"/>
        </w:rPr>
        <w:t xml:space="preserve">Con respecto al Programa 950 se tiene la partida de remuneraciones con un 83% del peso porcentual de todo el presupuesto del Programa y una ejecución que sobrepasa el 45%.Por su parte la partida de Servicios tiene un 9% de peso porcentual, pero con una </w:t>
      </w:r>
      <w:r w:rsidRPr="004E7C42">
        <w:rPr>
          <w:rFonts w:ascii="Book Antiqua" w:hAnsi="Book Antiqua" w:cs="Arial"/>
          <w:bCs/>
          <w:sz w:val="24"/>
          <w:szCs w:val="24"/>
        </w:rPr>
        <w:lastRenderedPageBreak/>
        <w:t>ejecución presupuestaria de 25,9%, dada la naturaleza del programa en el que se destina recursos para atender a las víctimas y testigos que está supeditado al ingreso de casos a partir de los riesgos de</w:t>
      </w:r>
      <w:r w:rsidR="00C5213A">
        <w:rPr>
          <w:rFonts w:ascii="Book Antiqua" w:hAnsi="Book Antiqua" w:cs="Arial"/>
          <w:bCs/>
          <w:sz w:val="24"/>
          <w:szCs w:val="24"/>
        </w:rPr>
        <w:t>te</w:t>
      </w:r>
      <w:r w:rsidRPr="004E7C42">
        <w:rPr>
          <w:rFonts w:ascii="Book Antiqua" w:hAnsi="Book Antiqua" w:cs="Arial"/>
          <w:bCs/>
          <w:sz w:val="24"/>
          <w:szCs w:val="24"/>
        </w:rPr>
        <w:t>ctados en los procesos judiciales, por lo que se plantea como acción correctiva</w:t>
      </w:r>
      <w:r w:rsidRPr="004E7C42">
        <w:rPr>
          <w:rFonts w:ascii="Book Antiqua" w:hAnsi="Book Antiqua" w:cs="Arial"/>
          <w:bCs/>
          <w:sz w:val="24"/>
          <w:szCs w:val="24"/>
          <w:lang w:val="es-ES"/>
        </w:rPr>
        <w:t>analizar el ingreso de casos a la oficina y  el pago en ayudas económicas, a fin de detectar las razones que están generando una disminución en los pagos de ayudas con respecto a la proyección de gasto para 2019.</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lang w:val="es-ES"/>
        </w:rPr>
      </w:pPr>
      <w:r w:rsidRPr="004E7C42">
        <w:rPr>
          <w:rFonts w:ascii="Book Antiqua" w:hAnsi="Book Antiqua" w:cs="Arial"/>
          <w:bCs/>
          <w:sz w:val="24"/>
          <w:szCs w:val="24"/>
        </w:rPr>
        <w:t xml:space="preserve">En conclusión el comportamiento de ejecución de las partidas de “Servicios”, “Materiales y Suministros” y “Bienes Duraderos”, mantienen el mismo patrón que en todos los programas presupuestarios del Poder Judicial con una ejecución inferior al 45% para el primer semestre del 2019 (esas tres partidas representan un 16% como peso porcentual del presupuesto total). Resulta necesario destacar los esfuerzos que se realizan al inicio del año para ir organizando la manera de ejecutar los montos presupuestados, sin embargo, se reiteran ciertas acciones de mejora como realizar seguimientos a las instancias ejecutoras de las partidas en todo el país, determinar proyecciones de presupuestos futuros más aterrizados al gasto real, coordinación con proveedores para la presentación expedita de las facturas para la liquidación del gasto, acelerar procesos de conformación de especificaciones técnicas para las contrataciones, </w:t>
      </w:r>
      <w:r w:rsidRPr="004E7C42">
        <w:rPr>
          <w:rFonts w:ascii="Book Antiqua" w:hAnsi="Book Antiqua" w:cs="Arial"/>
          <w:bCs/>
          <w:sz w:val="24"/>
          <w:szCs w:val="24"/>
          <w:lang w:val="es-ES"/>
        </w:rPr>
        <w:t xml:space="preserve">dar seguimiento bimensual al pago por servicios públicos, contratos de arriendo, limpieza  y seguridad, entre otros. </w:t>
      </w:r>
    </w:p>
    <w:p w:rsidR="004E7C42" w:rsidRPr="004E7C42" w:rsidRDefault="004E7C42" w:rsidP="004E7C42">
      <w:pPr>
        <w:spacing w:line="360" w:lineRule="auto"/>
        <w:jc w:val="both"/>
        <w:rPr>
          <w:rFonts w:ascii="Book Antiqua" w:hAnsi="Book Antiqua" w:cs="Arial"/>
          <w:bCs/>
          <w:sz w:val="24"/>
          <w:szCs w:val="24"/>
          <w:lang w:val="es-ES"/>
        </w:rPr>
      </w:pPr>
    </w:p>
    <w:p w:rsidR="004E7C42" w:rsidRPr="004E7C42" w:rsidRDefault="004E7C42" w:rsidP="004E7C42">
      <w:pPr>
        <w:spacing w:line="360" w:lineRule="auto"/>
        <w:jc w:val="both"/>
        <w:rPr>
          <w:rFonts w:ascii="Book Antiqua" w:hAnsi="Book Antiqua" w:cs="Arial"/>
          <w:b/>
          <w:sz w:val="24"/>
          <w:szCs w:val="24"/>
          <w:lang w:val="es-ES"/>
        </w:rPr>
      </w:pPr>
      <w:r w:rsidRPr="004E7C42">
        <w:rPr>
          <w:rFonts w:ascii="Book Antiqua" w:hAnsi="Book Antiqua" w:cs="Arial"/>
          <w:b/>
          <w:sz w:val="24"/>
          <w:szCs w:val="24"/>
          <w:lang w:val="es-ES"/>
        </w:rPr>
        <w:t>Recomendaciones del Apartado Financiero</w:t>
      </w:r>
    </w:p>
    <w:p w:rsidR="004E7C42" w:rsidRPr="004E7C42" w:rsidRDefault="004E7C42" w:rsidP="004E7C42">
      <w:pPr>
        <w:spacing w:line="360" w:lineRule="auto"/>
        <w:jc w:val="both"/>
        <w:rPr>
          <w:rFonts w:ascii="Book Antiqua" w:hAnsi="Book Antiqua" w:cs="Arial"/>
          <w:b/>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Derivado del análisis del comportamiento de la ejecución de las partidas presupuestarias, la Dirección de Planificación recomienda:</w:t>
      </w:r>
    </w:p>
    <w:p w:rsidR="004E7C42" w:rsidRPr="004E7C42" w:rsidRDefault="004E7C42" w:rsidP="004E7C42">
      <w:pPr>
        <w:spacing w:line="360" w:lineRule="auto"/>
        <w:jc w:val="both"/>
        <w:rPr>
          <w:rFonts w:ascii="Book Antiqua" w:hAnsi="Book Antiqua"/>
          <w:sz w:val="24"/>
          <w:szCs w:val="24"/>
          <w:lang w:val="es-ES_tradnl"/>
        </w:rPr>
      </w:pPr>
    </w:p>
    <w:p w:rsidR="004E7C42" w:rsidRPr="004E7C42" w:rsidRDefault="004E7C42" w:rsidP="00570DA5">
      <w:pPr>
        <w:pStyle w:val="Prrafodelista"/>
        <w:numPr>
          <w:ilvl w:val="0"/>
          <w:numId w:val="7"/>
        </w:numPr>
        <w:spacing w:line="360" w:lineRule="auto"/>
        <w:contextualSpacing/>
        <w:jc w:val="both"/>
        <w:rPr>
          <w:rFonts w:ascii="Book Antiqua" w:hAnsi="Book Antiqua"/>
          <w:bCs/>
          <w:lang w:val="es-CR"/>
        </w:rPr>
      </w:pPr>
      <w:r w:rsidRPr="004E7C42">
        <w:rPr>
          <w:rFonts w:ascii="Book Antiqua" w:hAnsi="Book Antiqua"/>
          <w:bCs/>
          <w:lang w:val="es-CR"/>
        </w:rPr>
        <w:lastRenderedPageBreak/>
        <w:t xml:space="preserve">Instar a los responsables de los Programas Presupuestarios a mejorar la ejecución presupuestaria en el </w:t>
      </w:r>
      <w:r w:rsidR="00C5213A" w:rsidRPr="004E7C42">
        <w:rPr>
          <w:rFonts w:ascii="Book Antiqua" w:hAnsi="Book Antiqua"/>
          <w:bCs/>
          <w:lang w:val="es-CR"/>
        </w:rPr>
        <w:t>segundo semestre</w:t>
      </w:r>
      <w:r w:rsidRPr="004E7C42">
        <w:rPr>
          <w:rFonts w:ascii="Book Antiqua" w:hAnsi="Book Antiqua"/>
          <w:bCs/>
          <w:lang w:val="es-CR"/>
        </w:rPr>
        <w:t xml:space="preserve"> 2019 en cumplimiento con la</w:t>
      </w:r>
      <w:r w:rsidR="00C5213A">
        <w:rPr>
          <w:rFonts w:ascii="Book Antiqua" w:hAnsi="Book Antiqua"/>
          <w:bCs/>
          <w:lang w:val="es-CR"/>
        </w:rPr>
        <w:t xml:space="preserve"> normativa </w:t>
      </w:r>
      <w:r w:rsidRPr="004E7C42">
        <w:rPr>
          <w:rFonts w:ascii="Book Antiqua" w:hAnsi="Book Antiqua"/>
          <w:bCs/>
          <w:lang w:val="es-CR"/>
        </w:rPr>
        <w:t>y  directrices</w:t>
      </w:r>
      <w:r w:rsidR="00C5213A">
        <w:rPr>
          <w:rFonts w:ascii="Book Antiqua" w:hAnsi="Book Antiqua"/>
          <w:bCs/>
          <w:lang w:val="es-CR"/>
        </w:rPr>
        <w:t xml:space="preserve"> </w:t>
      </w:r>
      <w:r w:rsidRPr="004E7C42">
        <w:rPr>
          <w:rFonts w:ascii="Book Antiqua" w:hAnsi="Book Antiqua"/>
          <w:bCs/>
          <w:lang w:val="es-CR"/>
        </w:rPr>
        <w:t>de ejecución presupuestaria, así como aplicar de manera efectiva las acciones de mejora para incrementar el porcentaje de ejecución.</w:t>
      </w:r>
    </w:p>
    <w:p w:rsidR="004E7C42" w:rsidRPr="004E7C42" w:rsidRDefault="004E7C42" w:rsidP="00570DA5">
      <w:pPr>
        <w:pStyle w:val="Prrafodelista"/>
        <w:numPr>
          <w:ilvl w:val="0"/>
          <w:numId w:val="7"/>
        </w:numPr>
        <w:spacing w:line="360" w:lineRule="auto"/>
        <w:contextualSpacing/>
        <w:jc w:val="both"/>
        <w:rPr>
          <w:rFonts w:ascii="Book Antiqua" w:hAnsi="Book Antiqua"/>
          <w:bCs/>
          <w:lang w:val="es-CR"/>
        </w:rPr>
      </w:pPr>
      <w:r w:rsidRPr="004E7C42">
        <w:rPr>
          <w:rFonts w:ascii="Book Antiqua" w:hAnsi="Book Antiqua"/>
          <w:bCs/>
          <w:lang w:val="es-CR"/>
        </w:rPr>
        <w:t xml:space="preserve">El Subproceso de Evaluación de la Dirección de Planificación llevará a cabo un seguimiento a todos los Programas Presupuestarios en el mes de octubre (con corte de los datos al 30 de setiembre del 2019) con el fin de determinar si se han ejecutado las acciones de mejora plasmadas en el presente informe y a su vez, se informará a la Dirección General de Presupuesto Nacional sobre los resultados obtenidos de este ejercicio </w:t>
      </w:r>
      <w:r w:rsidR="00C5213A" w:rsidRPr="004E7C42">
        <w:rPr>
          <w:rFonts w:ascii="Book Antiqua" w:hAnsi="Book Antiqua"/>
          <w:bCs/>
          <w:lang w:val="es-CR"/>
        </w:rPr>
        <w:t>dentro del</w:t>
      </w:r>
      <w:r w:rsidRPr="004E7C42">
        <w:rPr>
          <w:rFonts w:ascii="Book Antiqua" w:hAnsi="Book Antiqua"/>
          <w:bCs/>
          <w:lang w:val="es-CR"/>
        </w:rPr>
        <w:t xml:space="preserve"> informe de evaluación anual de la ejecución presupuestaria para el 2019.</w:t>
      </w:r>
    </w:p>
    <w:p w:rsidR="004E7C42" w:rsidRPr="004E7C42" w:rsidRDefault="004E7C42" w:rsidP="004E7C42">
      <w:pPr>
        <w:rPr>
          <w:rFonts w:ascii="Book Antiqua" w:hAnsi="Book Antiqua"/>
          <w:sz w:val="24"/>
          <w:szCs w:val="24"/>
          <w:lang w:val="es-ES_tradnl"/>
        </w:rPr>
      </w:pPr>
    </w:p>
    <w:p w:rsidR="004E7C42" w:rsidRPr="004E7C42" w:rsidRDefault="004E7C42" w:rsidP="004E7C42">
      <w:pPr>
        <w:rPr>
          <w:rFonts w:ascii="Book Antiqua" w:hAnsi="Book Antiqua"/>
          <w:sz w:val="24"/>
          <w:szCs w:val="24"/>
          <w:lang w:val="es-ES_tradnl"/>
        </w:rPr>
      </w:pPr>
    </w:p>
    <w:p w:rsidR="004E7C42" w:rsidRPr="004E7C42" w:rsidRDefault="004E7C42" w:rsidP="004E7C42">
      <w:pPr>
        <w:pStyle w:val="Ttulo1"/>
        <w:rPr>
          <w:rFonts w:ascii="Book Antiqua" w:hAnsi="Book Antiqua" w:cs="Arial"/>
          <w:lang w:val="es-ES_tradnl"/>
        </w:rPr>
      </w:pPr>
      <w:bookmarkStart w:id="10" w:name="_Toc14184515"/>
      <w:r w:rsidRPr="004E7C42">
        <w:rPr>
          <w:rFonts w:ascii="Book Antiqua" w:hAnsi="Book Antiqua" w:cs="Arial"/>
          <w:lang w:val="es-ES_tradnl"/>
        </w:rPr>
        <w:t>Apartado de Gestión</w:t>
      </w:r>
      <w:bookmarkEnd w:id="10"/>
    </w:p>
    <w:p w:rsidR="004E7C42" w:rsidRPr="004E7C42" w:rsidRDefault="004E7C42" w:rsidP="004E7C42">
      <w:pPr>
        <w:jc w:val="both"/>
        <w:rPr>
          <w:rFonts w:ascii="Book Antiqua" w:hAnsi="Book Antiqua" w:cs="Arial"/>
          <w:b/>
          <w:bCs/>
          <w:sz w:val="24"/>
          <w:szCs w:val="24"/>
        </w:rPr>
      </w:pPr>
    </w:p>
    <w:p w:rsidR="004E7C42" w:rsidRPr="004E7C42" w:rsidRDefault="004E7C42" w:rsidP="004E7C42">
      <w:pPr>
        <w:jc w:val="both"/>
        <w:rPr>
          <w:rFonts w:ascii="Book Antiqua" w:hAnsi="Book Antiqua" w:cs="Arial"/>
          <w:sz w:val="24"/>
          <w:szCs w:val="24"/>
          <w:u w:val="single"/>
        </w:rPr>
      </w:pPr>
      <w:r w:rsidRPr="004E7C42">
        <w:rPr>
          <w:rFonts w:ascii="Book Antiqua" w:hAnsi="Book Antiqua" w:cs="Arial"/>
          <w:bCs/>
          <w:sz w:val="24"/>
          <w:szCs w:val="24"/>
          <w:u w:val="single"/>
        </w:rPr>
        <w:t>Avances obtenidos</w:t>
      </w:r>
    </w:p>
    <w:p w:rsidR="004E7C42" w:rsidRPr="004E7C42" w:rsidRDefault="004E7C42" w:rsidP="004E7C42">
      <w:pPr>
        <w:jc w:val="both"/>
        <w:rPr>
          <w:rFonts w:ascii="Book Antiqua" w:hAnsi="Book Antiqua" w:cs="Arial"/>
          <w:b/>
          <w:sz w:val="24"/>
          <w:szCs w:val="24"/>
        </w:rPr>
      </w:pPr>
    </w:p>
    <w:p w:rsidR="004E7C42" w:rsidRPr="004E7C42" w:rsidRDefault="004E7C42" w:rsidP="004E7C42">
      <w:pPr>
        <w:spacing w:line="360" w:lineRule="auto"/>
        <w:jc w:val="both"/>
        <w:rPr>
          <w:rFonts w:ascii="Book Antiqua" w:hAnsi="Book Antiqua" w:cs="Arial"/>
          <w:sz w:val="24"/>
          <w:szCs w:val="24"/>
          <w:lang w:val="es-MX"/>
        </w:rPr>
      </w:pPr>
      <w:r w:rsidRPr="004E7C42">
        <w:rPr>
          <w:rFonts w:ascii="Book Antiqua" w:hAnsi="Book Antiqua" w:cs="Arial"/>
          <w:sz w:val="24"/>
          <w:szCs w:val="24"/>
          <w:lang w:val="es-MX"/>
        </w:rPr>
        <w:t xml:space="preserve">Con base en el criterio de los responsables de llevar a cabo las acciones del programa y/o subprograma y de acuerdo a la planificación y programación interna, complete los siguientes cuadros con la información de las metas de producción y de los indicadores del programa y/o subprograma.  </w:t>
      </w: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13.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metas de producción</w:t>
      </w:r>
    </w:p>
    <w:p w:rsidR="004E7C42" w:rsidRPr="004E7C42" w:rsidRDefault="004E7C42" w:rsidP="004E7C42">
      <w:pPr>
        <w:ind w:left="55"/>
        <w:jc w:val="center"/>
        <w:rPr>
          <w:rFonts w:ascii="Book Antiqua" w:hAnsi="Book Antiqua" w:cs="Arial"/>
          <w:color w:val="000000" w:themeColor="text1"/>
          <w:sz w:val="24"/>
          <w:szCs w:val="24"/>
          <w:lang w:eastAsia="es-CR"/>
        </w:rPr>
      </w:pPr>
      <w:r w:rsidRPr="004E7C42">
        <w:rPr>
          <w:rFonts w:ascii="Book Antiqua" w:hAnsi="Book Antiqua" w:cs="Arial"/>
          <w:color w:val="000000" w:themeColor="text1"/>
          <w:sz w:val="24"/>
          <w:szCs w:val="24"/>
          <w:lang w:eastAsia="es-CR"/>
        </w:rPr>
        <w:t>Programa 927</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Descripción unidad de medida</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 xml:space="preserve">Casos judiciales terminados </w:t>
            </w:r>
            <w:r w:rsidRPr="004E7C42">
              <w:rPr>
                <w:rFonts w:ascii="Book Antiqua" w:hAnsi="Book Antiqua" w:cs="Arial"/>
                <w:sz w:val="24"/>
                <w:szCs w:val="24"/>
                <w:lang w:val="es-MX"/>
              </w:rPr>
              <w:lastRenderedPageBreak/>
              <w:t>(expedientes que tramita cada juzgado o tribunal y finaliza conforme a su competencia jurisdiccional con alguna resolución de acuerdo a la Ley que lo regula.</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lastRenderedPageBreak/>
              <w:t>511.855</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321.552</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62,8%</w:t>
            </w:r>
          </w:p>
        </w:tc>
      </w:tr>
    </w:tbl>
    <w:p w:rsidR="004E7C42" w:rsidRPr="00E31D80" w:rsidRDefault="004E7C42" w:rsidP="00E31D80">
      <w:pPr>
        <w:pStyle w:val="Prrafodelista"/>
        <w:spacing w:line="360" w:lineRule="auto"/>
        <w:ind w:left="284"/>
        <w:jc w:val="both"/>
        <w:rPr>
          <w:rFonts w:ascii="Book Antiqua" w:hAnsi="Book Antiqua"/>
          <w:bCs/>
          <w:lang w:val="es-CR"/>
        </w:rPr>
      </w:pPr>
      <w:r w:rsidRPr="004E7C42">
        <w:rPr>
          <w:rFonts w:ascii="Book Antiqua" w:hAnsi="Book Antiqua"/>
          <w:bCs/>
          <w:lang w:val="es-CR"/>
        </w:rPr>
        <w:lastRenderedPageBreak/>
        <w:t>Fuente: Subproceso Estadística, Dirección de Planificación.</w:t>
      </w: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14.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indicadores de desempeño</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Programa 927</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Descripción del indicador</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1-Porcentaje de expedientes judiciales finalizados respecto al total de asuntos ingresados al Programa de Justicia Restaurativa</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91,5%</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118%</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129%</w:t>
            </w:r>
          </w:p>
        </w:tc>
      </w:tr>
      <w:tr w:rsidR="004E7C42" w:rsidRPr="004E7C42" w:rsidTr="004E7C42">
        <w:trPr>
          <w:trHeight w:val="399"/>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2-Porcentaje de expedientes judiciales resueltos mediante medida alterna, respecto al total de asuntos ingresados al Programa de Justicia Restaurativa.</w:t>
            </w:r>
          </w:p>
        </w:tc>
        <w:tc>
          <w:tcPr>
            <w:tcW w:w="1701" w:type="dxa"/>
            <w:vAlign w:val="center"/>
          </w:tcPr>
          <w:p w:rsidR="004E7C42" w:rsidRPr="004E7C42" w:rsidRDefault="004E7C42" w:rsidP="00E31D80">
            <w:pPr>
              <w:jc w:val="center"/>
              <w:rPr>
                <w:rFonts w:ascii="Book Antiqua" w:hAnsi="Book Antiqua" w:cs="Arial"/>
                <w:sz w:val="24"/>
                <w:szCs w:val="24"/>
                <w:lang w:val="es-MX"/>
              </w:rPr>
            </w:pPr>
          </w:p>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48,8%</w:t>
            </w:r>
          </w:p>
          <w:p w:rsidR="004E7C42" w:rsidRPr="004E7C42" w:rsidRDefault="004E7C42" w:rsidP="00E31D80">
            <w:pPr>
              <w:jc w:val="center"/>
              <w:rPr>
                <w:rFonts w:ascii="Book Antiqua" w:hAnsi="Book Antiqua" w:cs="Arial"/>
                <w:sz w:val="24"/>
                <w:szCs w:val="24"/>
                <w:lang w:val="es-MX"/>
              </w:rPr>
            </w:pP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64,2%</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131,6%</w:t>
            </w:r>
          </w:p>
        </w:tc>
      </w:tr>
      <w:tr w:rsidR="004E7C42" w:rsidRPr="004E7C42" w:rsidTr="004E7C42">
        <w:trPr>
          <w:trHeight w:val="405"/>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3-Tasa de resolución</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35%</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26,7%</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76,3%</w:t>
            </w:r>
          </w:p>
        </w:tc>
      </w:tr>
      <w:tr w:rsidR="004E7C42" w:rsidRPr="004E7C42" w:rsidTr="004E7C42">
        <w:trPr>
          <w:trHeight w:val="405"/>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 xml:space="preserve">4-Tasa de pendencia </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45,6%</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69%</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48,7%</w:t>
            </w:r>
          </w:p>
        </w:tc>
      </w:tr>
      <w:tr w:rsidR="004E7C42" w:rsidRPr="004E7C42" w:rsidTr="004E7C42">
        <w:trPr>
          <w:trHeight w:val="405"/>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5-Cantidad de asuntos resueltos por conciliación.</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31.776</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14.086</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44,3%</w:t>
            </w:r>
          </w:p>
        </w:tc>
      </w:tr>
      <w:tr w:rsidR="004E7C42" w:rsidRPr="004E7C42" w:rsidTr="004E7C42">
        <w:trPr>
          <w:trHeight w:val="798"/>
          <w:jc w:val="center"/>
        </w:trPr>
        <w:tc>
          <w:tcPr>
            <w:tcW w:w="3276" w:type="dxa"/>
            <w:vAlign w:val="center"/>
          </w:tcPr>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MX"/>
              </w:rPr>
              <w:t>6-Porcentaje de asuntos judiciales de la materia penal resueltos por el procedimiento de flagrancia.</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43%</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36,9%</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85,8%</w:t>
            </w:r>
          </w:p>
        </w:tc>
      </w:tr>
    </w:tbl>
    <w:p w:rsidR="004E7C42" w:rsidRPr="004E7C42" w:rsidRDefault="00C5213A" w:rsidP="004E7C42">
      <w:pPr>
        <w:pStyle w:val="Prrafodelista"/>
        <w:spacing w:line="360" w:lineRule="auto"/>
        <w:ind w:left="284"/>
        <w:jc w:val="both"/>
        <w:rPr>
          <w:rFonts w:ascii="Book Antiqua" w:hAnsi="Book Antiqua"/>
          <w:bCs/>
          <w:lang w:val="es-CR"/>
        </w:rPr>
      </w:pPr>
      <w:r w:rsidRPr="004E7C42">
        <w:rPr>
          <w:rFonts w:ascii="Book Antiqua" w:hAnsi="Book Antiqua"/>
          <w:bCs/>
          <w:lang w:val="es-CR"/>
        </w:rPr>
        <w:t>Fuente: Subproceso</w:t>
      </w:r>
      <w:r w:rsidR="004E7C42" w:rsidRPr="004E7C42">
        <w:rPr>
          <w:rFonts w:ascii="Book Antiqua" w:hAnsi="Book Antiqua"/>
          <w:bCs/>
          <w:lang w:val="es-CR"/>
        </w:rPr>
        <w:t xml:space="preserve"> Estadística, Dirección de Planificación.</w:t>
      </w:r>
    </w:p>
    <w:p w:rsidR="004E7C42" w:rsidRDefault="004E7C42" w:rsidP="004E7C42">
      <w:pPr>
        <w:ind w:left="55"/>
        <w:jc w:val="center"/>
        <w:rPr>
          <w:rFonts w:ascii="Book Antiqua" w:hAnsi="Book Antiqua" w:cs="Arial"/>
          <w:sz w:val="24"/>
          <w:szCs w:val="24"/>
          <w:lang w:eastAsia="es-CR"/>
        </w:rPr>
      </w:pPr>
    </w:p>
    <w:p w:rsidR="00E31D80" w:rsidRDefault="00E31D80" w:rsidP="004E7C42">
      <w:pPr>
        <w:ind w:left="55"/>
        <w:jc w:val="center"/>
        <w:rPr>
          <w:rFonts w:ascii="Book Antiqua" w:hAnsi="Book Antiqua" w:cs="Arial"/>
          <w:sz w:val="24"/>
          <w:szCs w:val="24"/>
          <w:lang w:eastAsia="es-CR"/>
        </w:rPr>
      </w:pPr>
    </w:p>
    <w:p w:rsidR="00E31D80" w:rsidRPr="004E7C42" w:rsidRDefault="00E31D80"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lastRenderedPageBreak/>
        <w:t>Cuadro 15.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metas de producción</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Servicio Defensa Pública</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Descripción unidad de medida</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tcPr>
          <w:p w:rsidR="004E7C42" w:rsidRPr="004E7C42" w:rsidRDefault="004E7C42" w:rsidP="004E7C42">
            <w:pPr>
              <w:spacing w:line="360" w:lineRule="auto"/>
              <w:jc w:val="both"/>
              <w:rPr>
                <w:rFonts w:ascii="Book Antiqua" w:hAnsi="Book Antiqua" w:cs="Arial"/>
                <w:sz w:val="24"/>
                <w:szCs w:val="24"/>
                <w:lang w:val="es-MX"/>
              </w:rPr>
            </w:pPr>
            <w:r w:rsidRPr="004E7C42">
              <w:rPr>
                <w:rFonts w:ascii="Book Antiqua" w:hAnsi="Book Antiqua" w:cs="Arial"/>
                <w:sz w:val="24"/>
                <w:szCs w:val="24"/>
                <w:lang w:val="es-MX"/>
              </w:rPr>
              <w:t>Persona Asistida Legalmente</w:t>
            </w:r>
          </w:p>
        </w:tc>
        <w:tc>
          <w:tcPr>
            <w:tcW w:w="1701" w:type="dxa"/>
          </w:tcPr>
          <w:p w:rsidR="004E7C42" w:rsidRPr="004E7C42" w:rsidRDefault="004E7C42" w:rsidP="004E7C42">
            <w:pPr>
              <w:spacing w:line="360" w:lineRule="auto"/>
              <w:jc w:val="both"/>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116.725</w:t>
            </w:r>
          </w:p>
        </w:tc>
        <w:tc>
          <w:tcPr>
            <w:tcW w:w="1701" w:type="dxa"/>
          </w:tcPr>
          <w:p w:rsidR="004E7C42" w:rsidRPr="004E7C42" w:rsidRDefault="004E7C42" w:rsidP="004E7C42">
            <w:pPr>
              <w:spacing w:line="360" w:lineRule="auto"/>
              <w:jc w:val="both"/>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54.899</w:t>
            </w:r>
          </w:p>
        </w:tc>
        <w:tc>
          <w:tcPr>
            <w:tcW w:w="1623" w:type="dxa"/>
          </w:tcPr>
          <w:p w:rsidR="004E7C42" w:rsidRPr="004E7C42" w:rsidRDefault="004E7C42" w:rsidP="004E7C42">
            <w:pPr>
              <w:spacing w:line="360" w:lineRule="auto"/>
              <w:jc w:val="both"/>
              <w:rPr>
                <w:rFonts w:ascii="Book Antiqua" w:eastAsia="Cambria" w:hAnsi="Book Antiqua" w:cs="Arial"/>
                <w:color w:val="000000"/>
                <w:sz w:val="24"/>
                <w:szCs w:val="24"/>
                <w:lang w:eastAsia="es-CR"/>
              </w:rPr>
            </w:pPr>
            <w:r w:rsidRPr="004E7C42">
              <w:rPr>
                <w:rFonts w:ascii="Book Antiqua" w:eastAsia="Cambria" w:hAnsi="Book Antiqua" w:cs="Arial"/>
                <w:color w:val="000000"/>
                <w:sz w:val="24"/>
                <w:szCs w:val="24"/>
                <w:lang w:eastAsia="es-CR"/>
              </w:rPr>
              <w:t>47,3%</w:t>
            </w:r>
          </w:p>
        </w:tc>
      </w:tr>
    </w:tbl>
    <w:p w:rsidR="004E7C42" w:rsidRPr="004E7C42" w:rsidRDefault="004E7C42" w:rsidP="004E7C42">
      <w:pPr>
        <w:spacing w:line="360" w:lineRule="auto"/>
        <w:jc w:val="both"/>
        <w:rPr>
          <w:rFonts w:ascii="Book Antiqua" w:hAnsi="Book Antiqua" w:cs="Arial"/>
          <w:sz w:val="24"/>
          <w:szCs w:val="24"/>
          <w:lang w:val="es-MX"/>
        </w:rPr>
      </w:pPr>
      <w:r w:rsidRPr="004E7C42">
        <w:rPr>
          <w:rFonts w:ascii="Book Antiqua" w:hAnsi="Book Antiqua" w:cs="Arial"/>
          <w:bCs/>
          <w:sz w:val="24"/>
          <w:szCs w:val="24"/>
        </w:rPr>
        <w:t xml:space="preserve">Fuente: </w:t>
      </w:r>
      <w:r w:rsidRPr="004E7C42">
        <w:rPr>
          <w:rFonts w:ascii="Book Antiqua" w:hAnsi="Book Antiqua" w:cs="Arial"/>
          <w:sz w:val="24"/>
          <w:szCs w:val="24"/>
          <w:lang w:val="es-MX"/>
        </w:rPr>
        <w:t>Libros de Registro General, Informe Mensual SIGMA Defensa Pública</w:t>
      </w: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16.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indicadores de desempeño</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Programa 930 Servicio Defensa Pública</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Descripción del indicador</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tcPr>
          <w:p w:rsidR="004E7C42" w:rsidRPr="004E7C42" w:rsidRDefault="004E7C42" w:rsidP="00E31D80">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Porcentaje de satisfacción de las personas usuarias que se</w:t>
            </w:r>
          </w:p>
          <w:p w:rsidR="004E7C42" w:rsidRPr="004E7C42" w:rsidRDefault="004E7C42" w:rsidP="00E31D80">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encuentran en libertad respecto al tiempo que le dedica la</w:t>
            </w:r>
          </w:p>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ES"/>
              </w:rPr>
              <w:t>Defensora o Defensor Público</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75%</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0%</w:t>
            </w:r>
          </w:p>
        </w:tc>
        <w:tc>
          <w:tcPr>
            <w:tcW w:w="1623"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0%</w:t>
            </w:r>
          </w:p>
        </w:tc>
      </w:tr>
      <w:tr w:rsidR="004E7C42" w:rsidRPr="004E7C42" w:rsidTr="004E7C42">
        <w:trPr>
          <w:trHeight w:val="399"/>
          <w:jc w:val="center"/>
        </w:trPr>
        <w:tc>
          <w:tcPr>
            <w:tcW w:w="3276" w:type="dxa"/>
          </w:tcPr>
          <w:p w:rsidR="004E7C42" w:rsidRPr="004E7C42" w:rsidRDefault="004E7C42" w:rsidP="00E31D80">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Porcentaje de satisfacción de las personas usuarias que se</w:t>
            </w:r>
          </w:p>
          <w:p w:rsidR="004E7C42" w:rsidRPr="004E7C42" w:rsidRDefault="004E7C42" w:rsidP="00E31D80">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encuentran en libertad respecto al tiempo de espera antes de</w:t>
            </w:r>
          </w:p>
          <w:p w:rsidR="004E7C42" w:rsidRPr="004E7C42" w:rsidRDefault="004E7C42" w:rsidP="00E31D80">
            <w:pPr>
              <w:jc w:val="both"/>
              <w:rPr>
                <w:rFonts w:ascii="Book Antiqua" w:hAnsi="Book Antiqua" w:cs="Arial"/>
                <w:sz w:val="24"/>
                <w:szCs w:val="24"/>
                <w:lang w:val="es-MX"/>
              </w:rPr>
            </w:pPr>
            <w:r w:rsidRPr="004E7C42">
              <w:rPr>
                <w:rFonts w:ascii="Book Antiqua" w:hAnsi="Book Antiqua" w:cs="Arial"/>
                <w:sz w:val="24"/>
                <w:szCs w:val="24"/>
                <w:lang w:val="es-ES"/>
              </w:rPr>
              <w:t>ser atendido por la Defensora o el Defensor Público.</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73%</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0%</w:t>
            </w:r>
          </w:p>
        </w:tc>
        <w:tc>
          <w:tcPr>
            <w:tcW w:w="1623"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0%</w:t>
            </w:r>
          </w:p>
        </w:tc>
      </w:tr>
      <w:tr w:rsidR="004E7C42" w:rsidRPr="004E7C42" w:rsidTr="004E7C42">
        <w:trPr>
          <w:trHeight w:val="405"/>
          <w:jc w:val="center"/>
        </w:trPr>
        <w:tc>
          <w:tcPr>
            <w:tcW w:w="3276"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623"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r>
      <w:tr w:rsidR="004E7C42" w:rsidRPr="004E7C42" w:rsidTr="004E7C42">
        <w:trPr>
          <w:trHeight w:val="405"/>
          <w:jc w:val="center"/>
        </w:trPr>
        <w:tc>
          <w:tcPr>
            <w:tcW w:w="3276"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701"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c>
          <w:tcPr>
            <w:tcW w:w="1623" w:type="dxa"/>
          </w:tcPr>
          <w:p w:rsidR="004E7C42" w:rsidRPr="004E7C42" w:rsidRDefault="004E7C42" w:rsidP="00E31D80">
            <w:pPr>
              <w:jc w:val="center"/>
              <w:rPr>
                <w:rFonts w:ascii="Book Antiqua" w:hAnsi="Book Antiqua" w:cs="Arial"/>
                <w:sz w:val="24"/>
                <w:szCs w:val="24"/>
                <w:lang w:val="es-MX"/>
              </w:rPr>
            </w:pPr>
            <w:r w:rsidRPr="004E7C42">
              <w:rPr>
                <w:rFonts w:ascii="Book Antiqua" w:hAnsi="Book Antiqua" w:cs="Arial"/>
                <w:sz w:val="24"/>
                <w:szCs w:val="24"/>
                <w:lang w:val="es-MX"/>
              </w:rPr>
              <w:t>-</w:t>
            </w:r>
          </w:p>
        </w:tc>
      </w:tr>
    </w:tbl>
    <w:p w:rsidR="004E7C42" w:rsidRPr="004E7C42" w:rsidRDefault="004E7C42" w:rsidP="004E7C42">
      <w:pPr>
        <w:pStyle w:val="Prrafodelista"/>
        <w:spacing w:line="360" w:lineRule="auto"/>
        <w:ind w:left="284"/>
        <w:jc w:val="both"/>
        <w:rPr>
          <w:rFonts w:ascii="Book Antiqua" w:hAnsi="Book Antiqua"/>
          <w:bCs/>
          <w:lang w:val="es-CR"/>
        </w:rPr>
      </w:pPr>
      <w:r w:rsidRPr="004E7C42">
        <w:rPr>
          <w:rFonts w:ascii="Book Antiqua" w:hAnsi="Book Antiqua"/>
          <w:bCs/>
          <w:lang w:val="es-CR"/>
        </w:rPr>
        <w:t xml:space="preserve">Fuente: </w:t>
      </w:r>
      <w:r w:rsidRPr="004E7C42">
        <w:rPr>
          <w:rFonts w:ascii="Book Antiqua" w:hAnsi="Book Antiqua"/>
          <w:bCs/>
          <w:color w:val="000000" w:themeColor="text1"/>
          <w:lang w:val="es-CR"/>
        </w:rPr>
        <w:t>Encuesta anual de personas usuarias</w:t>
      </w: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17.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metas de producción</w:t>
      </w:r>
    </w:p>
    <w:p w:rsidR="004E7C42" w:rsidRPr="004E7C42" w:rsidRDefault="004E7C42" w:rsidP="004E7C42">
      <w:pPr>
        <w:ind w:left="55"/>
        <w:jc w:val="center"/>
        <w:rPr>
          <w:rFonts w:ascii="Book Antiqua" w:hAnsi="Book Antiqua" w:cs="Arial"/>
          <w:b/>
          <w:sz w:val="24"/>
          <w:szCs w:val="24"/>
          <w:lang w:eastAsia="es-CR"/>
        </w:rPr>
      </w:pPr>
      <w:r w:rsidRPr="004E7C42">
        <w:rPr>
          <w:rFonts w:ascii="Book Antiqua" w:hAnsi="Book Antiqua" w:cs="Arial"/>
          <w:b/>
          <w:sz w:val="24"/>
          <w:szCs w:val="24"/>
          <w:lang w:eastAsia="es-CR"/>
        </w:rPr>
        <w:t>Programa 950 “Servicio de Atención y Protección a Víctimas y Testigos”</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Descripción unidad de medida</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tcPr>
          <w:p w:rsidR="004E7C42" w:rsidRPr="004E7C42" w:rsidRDefault="004E7C42" w:rsidP="004E7C42">
            <w:pPr>
              <w:autoSpaceDE w:val="0"/>
              <w:autoSpaceDN w:val="0"/>
              <w:adjustRightInd w:val="0"/>
              <w:jc w:val="both"/>
              <w:rPr>
                <w:rFonts w:ascii="Book Antiqua" w:hAnsi="Book Antiqua" w:cs="Arial"/>
                <w:b/>
                <w:sz w:val="24"/>
                <w:szCs w:val="24"/>
                <w:lang w:val="es-MX"/>
              </w:rPr>
            </w:pPr>
            <w:r w:rsidRPr="004E7C42">
              <w:rPr>
                <w:rFonts w:ascii="Book Antiqua" w:hAnsi="Book Antiqua" w:cs="Arial"/>
                <w:sz w:val="24"/>
                <w:szCs w:val="24"/>
                <w:lang w:val="es-ES"/>
              </w:rPr>
              <w:t>Solicitud atendida de protección ó de atención.</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20.500</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12.250</w:t>
            </w:r>
          </w:p>
        </w:tc>
        <w:tc>
          <w:tcPr>
            <w:tcW w:w="1623"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59,75%</w:t>
            </w:r>
          </w:p>
        </w:tc>
      </w:tr>
      <w:tr w:rsidR="004E7C42" w:rsidRPr="004E7C42" w:rsidTr="004E7C42">
        <w:trPr>
          <w:trHeight w:val="399"/>
          <w:jc w:val="center"/>
        </w:trPr>
        <w:tc>
          <w:tcPr>
            <w:tcW w:w="3276"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623"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r>
      <w:tr w:rsidR="004E7C42" w:rsidRPr="004E7C42" w:rsidTr="004E7C42">
        <w:trPr>
          <w:trHeight w:val="405"/>
          <w:jc w:val="center"/>
        </w:trPr>
        <w:tc>
          <w:tcPr>
            <w:tcW w:w="3276"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623"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r>
      <w:tr w:rsidR="004E7C42" w:rsidRPr="004E7C42" w:rsidTr="004E7C42">
        <w:trPr>
          <w:trHeight w:val="405"/>
          <w:jc w:val="center"/>
        </w:trPr>
        <w:tc>
          <w:tcPr>
            <w:tcW w:w="3276"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701"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623"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r>
    </w:tbl>
    <w:p w:rsidR="004E7C42" w:rsidRPr="004E7C42" w:rsidRDefault="004E7C42" w:rsidP="004E7C42">
      <w:pPr>
        <w:pStyle w:val="Prrafodelista"/>
        <w:spacing w:line="360" w:lineRule="auto"/>
        <w:ind w:left="284"/>
        <w:jc w:val="both"/>
        <w:rPr>
          <w:rFonts w:ascii="Book Antiqua" w:hAnsi="Book Antiqua"/>
          <w:bCs/>
          <w:lang w:val="es-CR"/>
        </w:rPr>
      </w:pPr>
      <w:r w:rsidRPr="004E7C42">
        <w:rPr>
          <w:rFonts w:ascii="Book Antiqua" w:hAnsi="Book Antiqua"/>
          <w:bCs/>
          <w:lang w:val="es-CR"/>
        </w:rPr>
        <w:t xml:space="preserve">Fuente: </w:t>
      </w:r>
      <w:r w:rsidR="00C5213A" w:rsidRPr="004E7C42">
        <w:rPr>
          <w:rFonts w:ascii="Book Antiqua" w:hAnsi="Book Antiqua"/>
          <w:bCs/>
          <w:lang w:val="es-CR"/>
        </w:rPr>
        <w:t>Estadística</w:t>
      </w:r>
      <w:r w:rsidRPr="004E7C42">
        <w:rPr>
          <w:rFonts w:ascii="Book Antiqua" w:hAnsi="Book Antiqua"/>
          <w:bCs/>
          <w:lang w:val="es-CR"/>
        </w:rPr>
        <w:t xml:space="preserve"> Oficina de Atención y Protección a Víctimas </w:t>
      </w: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18. Informe de Seguimiento Semestral 2019</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Avance de indicadores de desempeño</w:t>
      </w:r>
    </w:p>
    <w:p w:rsidR="004E7C42" w:rsidRPr="004E7C42" w:rsidRDefault="004E7C42" w:rsidP="004E7C42">
      <w:pPr>
        <w:ind w:left="55"/>
        <w:jc w:val="center"/>
        <w:rPr>
          <w:rFonts w:ascii="Book Antiqua" w:hAnsi="Book Antiqua" w:cs="Arial"/>
          <w:b/>
          <w:sz w:val="24"/>
          <w:szCs w:val="24"/>
          <w:lang w:eastAsia="es-CR"/>
        </w:rPr>
      </w:pPr>
      <w:r w:rsidRPr="004E7C42">
        <w:rPr>
          <w:rFonts w:ascii="Book Antiqua" w:hAnsi="Book Antiqua" w:cs="Arial"/>
          <w:b/>
          <w:sz w:val="24"/>
          <w:szCs w:val="24"/>
          <w:lang w:eastAsia="es-CR"/>
        </w:rPr>
        <w:t>Programa 950 “Servicio de Atención y Protección a Víctimas y Testigos”</w:t>
      </w:r>
    </w:p>
    <w:p w:rsidR="004E7C42" w:rsidRPr="004E7C42" w:rsidRDefault="004E7C42" w:rsidP="004E7C42">
      <w:pPr>
        <w:ind w:left="55"/>
        <w:jc w:val="center"/>
        <w:rPr>
          <w:rFonts w:ascii="Book Antiqua" w:hAnsi="Book Antiqua" w:cs="Arial"/>
          <w:sz w:val="24"/>
          <w:szCs w:val="24"/>
          <w:lang w:eastAsia="es-CR"/>
        </w:rPr>
      </w:pPr>
      <w:r w:rsidRPr="004E7C42">
        <w:rPr>
          <w:rFonts w:ascii="Book Antiqua" w:hAnsi="Book Antiqua" w:cs="Arial"/>
          <w:sz w:val="24"/>
          <w:szCs w:val="24"/>
          <w:lang w:eastAsia="es-CR"/>
        </w:rPr>
        <w:t>Al 30 de junio  de 2019</w:t>
      </w:r>
    </w:p>
    <w:tbl>
      <w:tblPr>
        <w:tblW w:w="830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ayout w:type="fixed"/>
        <w:tblLook w:val="04A0"/>
      </w:tblPr>
      <w:tblGrid>
        <w:gridCol w:w="3276"/>
        <w:gridCol w:w="1701"/>
        <w:gridCol w:w="1701"/>
        <w:gridCol w:w="1623"/>
      </w:tblGrid>
      <w:tr w:rsidR="004E7C42" w:rsidRPr="004E7C42" w:rsidTr="004E7C42">
        <w:trPr>
          <w:trHeight w:val="717"/>
          <w:jc w:val="center"/>
        </w:trPr>
        <w:tc>
          <w:tcPr>
            <w:tcW w:w="3276"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Descripción del indicador</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Programado</w:t>
            </w:r>
          </w:p>
        </w:tc>
        <w:tc>
          <w:tcPr>
            <w:tcW w:w="1701"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Alcanzado al 30/06/2019</w:t>
            </w:r>
          </w:p>
        </w:tc>
        <w:tc>
          <w:tcPr>
            <w:tcW w:w="1623" w:type="dxa"/>
            <w:vAlign w:val="center"/>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Porcentaje de avance</w:t>
            </w:r>
          </w:p>
        </w:tc>
      </w:tr>
      <w:tr w:rsidR="004E7C42" w:rsidRPr="004E7C42" w:rsidTr="004E7C42">
        <w:trPr>
          <w:trHeight w:val="432"/>
          <w:jc w:val="center"/>
        </w:trPr>
        <w:tc>
          <w:tcPr>
            <w:tcW w:w="3276" w:type="dxa"/>
          </w:tcPr>
          <w:p w:rsidR="004E7C42" w:rsidRPr="004E7C42" w:rsidRDefault="004E7C42" w:rsidP="004E7C42">
            <w:pPr>
              <w:autoSpaceDE w:val="0"/>
              <w:autoSpaceDN w:val="0"/>
              <w:adjustRightInd w:val="0"/>
              <w:jc w:val="both"/>
              <w:rPr>
                <w:rFonts w:ascii="Book Antiqua" w:hAnsi="Book Antiqua" w:cs="Arial"/>
                <w:b/>
                <w:sz w:val="24"/>
                <w:szCs w:val="24"/>
                <w:lang w:val="es-MX"/>
              </w:rPr>
            </w:pPr>
            <w:r w:rsidRPr="004E7C42">
              <w:rPr>
                <w:rFonts w:ascii="Book Antiqua" w:hAnsi="Book Antiqua" w:cs="Arial"/>
                <w:sz w:val="24"/>
                <w:szCs w:val="24"/>
                <w:lang w:val="es-ES"/>
              </w:rPr>
              <w:t>Porcentaje de casos concluidos por disminución del riesgo respecto al total de casos concluidos por terminación del proceso en el Programa de Protección</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11%</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11%</w:t>
            </w:r>
          </w:p>
        </w:tc>
        <w:tc>
          <w:tcPr>
            <w:tcW w:w="1623"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100%</w:t>
            </w:r>
          </w:p>
        </w:tc>
      </w:tr>
      <w:tr w:rsidR="004E7C42" w:rsidRPr="004E7C42" w:rsidTr="004E7C42">
        <w:trPr>
          <w:trHeight w:val="399"/>
          <w:jc w:val="center"/>
        </w:trPr>
        <w:tc>
          <w:tcPr>
            <w:tcW w:w="3276" w:type="dxa"/>
          </w:tcPr>
          <w:p w:rsidR="004E7C42" w:rsidRPr="004E7C42" w:rsidRDefault="004E7C42" w:rsidP="004E7C42">
            <w:pPr>
              <w:autoSpaceDE w:val="0"/>
              <w:autoSpaceDN w:val="0"/>
              <w:adjustRightInd w:val="0"/>
              <w:jc w:val="both"/>
              <w:rPr>
                <w:rFonts w:ascii="Book Antiqua" w:hAnsi="Book Antiqua" w:cs="Arial"/>
                <w:b/>
                <w:sz w:val="24"/>
                <w:szCs w:val="24"/>
                <w:lang w:val="es-ES"/>
              </w:rPr>
            </w:pPr>
            <w:r w:rsidRPr="004E7C42">
              <w:rPr>
                <w:rFonts w:ascii="Book Antiqua" w:hAnsi="Book Antiqua" w:cs="Arial"/>
                <w:sz w:val="24"/>
                <w:szCs w:val="24"/>
                <w:lang w:val="es-ES"/>
              </w:rPr>
              <w:t>Porcentaje de casos concluidos por finalización del plan de  intervención individualizado respecto al total de casos</w:t>
            </w:r>
          </w:p>
          <w:p w:rsidR="004E7C42" w:rsidRPr="004E7C42" w:rsidRDefault="004E7C42" w:rsidP="004E7C42">
            <w:pPr>
              <w:spacing w:line="360" w:lineRule="auto"/>
              <w:jc w:val="both"/>
              <w:rPr>
                <w:rFonts w:ascii="Book Antiqua" w:hAnsi="Book Antiqua" w:cs="Arial"/>
                <w:sz w:val="24"/>
                <w:szCs w:val="24"/>
                <w:lang w:val="es-MX"/>
              </w:rPr>
            </w:pPr>
            <w:r w:rsidRPr="004E7C42">
              <w:rPr>
                <w:rFonts w:ascii="Book Antiqua" w:hAnsi="Book Antiqua" w:cs="Arial"/>
                <w:sz w:val="24"/>
                <w:szCs w:val="24"/>
                <w:lang w:val="es-ES"/>
              </w:rPr>
              <w:t>concluidos por terminación del proceso de atención.</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42,5%</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40,8%</w:t>
            </w:r>
          </w:p>
        </w:tc>
        <w:tc>
          <w:tcPr>
            <w:tcW w:w="1623"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96%</w:t>
            </w:r>
          </w:p>
        </w:tc>
      </w:tr>
      <w:tr w:rsidR="004E7C42" w:rsidRPr="004E7C42" w:rsidTr="004E7C42">
        <w:trPr>
          <w:trHeight w:val="405"/>
          <w:jc w:val="center"/>
        </w:trPr>
        <w:tc>
          <w:tcPr>
            <w:tcW w:w="3276" w:type="dxa"/>
          </w:tcPr>
          <w:p w:rsidR="004E7C42" w:rsidRPr="004E7C42" w:rsidRDefault="004E7C42" w:rsidP="004E7C42">
            <w:pPr>
              <w:autoSpaceDE w:val="0"/>
              <w:autoSpaceDN w:val="0"/>
              <w:adjustRightInd w:val="0"/>
              <w:jc w:val="both"/>
              <w:rPr>
                <w:rFonts w:ascii="Book Antiqua" w:hAnsi="Book Antiqua" w:cs="Arial"/>
                <w:b/>
                <w:sz w:val="24"/>
                <w:szCs w:val="24"/>
                <w:lang w:val="es-MX"/>
              </w:rPr>
            </w:pPr>
            <w:r w:rsidRPr="004E7C42">
              <w:rPr>
                <w:rFonts w:ascii="Book Antiqua" w:hAnsi="Book Antiqua" w:cs="Arial"/>
                <w:sz w:val="24"/>
                <w:szCs w:val="24"/>
                <w:lang w:val="es-ES"/>
              </w:rPr>
              <w:lastRenderedPageBreak/>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701" w:type="dxa"/>
          </w:tcPr>
          <w:p w:rsidR="004E7C42" w:rsidRPr="004E7C42" w:rsidRDefault="004E7C42" w:rsidP="004E7C42">
            <w:pPr>
              <w:spacing w:line="360" w:lineRule="auto"/>
              <w:jc w:val="both"/>
              <w:rPr>
                <w:rFonts w:ascii="Book Antiqua" w:hAnsi="Book Antiqua" w:cs="Arial"/>
                <w:sz w:val="24"/>
                <w:szCs w:val="24"/>
                <w:lang w:val="es-MX"/>
              </w:rPr>
            </w:pPr>
            <w:r w:rsidRPr="004E7C42">
              <w:rPr>
                <w:rFonts w:ascii="Book Antiqua" w:hAnsi="Book Antiqua" w:cs="Arial"/>
                <w:sz w:val="24"/>
                <w:szCs w:val="24"/>
                <w:lang w:val="es-MX"/>
              </w:rPr>
              <w:t xml:space="preserve">           9,5%</w:t>
            </w:r>
          </w:p>
        </w:tc>
        <w:tc>
          <w:tcPr>
            <w:tcW w:w="1701"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14%</w:t>
            </w:r>
          </w:p>
        </w:tc>
        <w:tc>
          <w:tcPr>
            <w:tcW w:w="1623" w:type="dxa"/>
          </w:tcPr>
          <w:p w:rsidR="004E7C42" w:rsidRPr="004E7C42" w:rsidRDefault="004E7C42" w:rsidP="004E7C42">
            <w:pPr>
              <w:spacing w:line="360" w:lineRule="auto"/>
              <w:jc w:val="center"/>
              <w:rPr>
                <w:rFonts w:ascii="Book Antiqua" w:hAnsi="Book Antiqua" w:cs="Arial"/>
                <w:sz w:val="24"/>
                <w:szCs w:val="24"/>
                <w:lang w:val="es-MX"/>
              </w:rPr>
            </w:pPr>
            <w:r w:rsidRPr="004E7C42">
              <w:rPr>
                <w:rFonts w:ascii="Book Antiqua" w:hAnsi="Book Antiqua" w:cs="Arial"/>
                <w:sz w:val="24"/>
                <w:szCs w:val="24"/>
                <w:lang w:val="es-MX"/>
              </w:rPr>
              <w:t>147%</w:t>
            </w:r>
          </w:p>
        </w:tc>
      </w:tr>
    </w:tbl>
    <w:p w:rsidR="004E7C42" w:rsidRPr="004E7C42" w:rsidRDefault="004E7C42" w:rsidP="004E7C42">
      <w:pPr>
        <w:pStyle w:val="Prrafodelista"/>
        <w:spacing w:line="360" w:lineRule="auto"/>
        <w:ind w:left="284"/>
        <w:jc w:val="both"/>
        <w:rPr>
          <w:rFonts w:ascii="Book Antiqua" w:hAnsi="Book Antiqua"/>
          <w:bCs/>
          <w:lang w:val="es-CR"/>
        </w:rPr>
      </w:pPr>
      <w:r w:rsidRPr="004E7C42">
        <w:rPr>
          <w:rFonts w:ascii="Book Antiqua" w:hAnsi="Book Antiqua"/>
          <w:bCs/>
          <w:lang w:val="es-CR"/>
        </w:rPr>
        <w:t xml:space="preserve">Fuente: </w:t>
      </w:r>
      <w:r w:rsidR="00C5213A" w:rsidRPr="004E7C42">
        <w:rPr>
          <w:rFonts w:ascii="Book Antiqua" w:hAnsi="Book Antiqua"/>
          <w:bCs/>
          <w:lang w:val="es-CR"/>
        </w:rPr>
        <w:t>Estadística</w:t>
      </w:r>
      <w:r w:rsidRPr="004E7C42">
        <w:rPr>
          <w:rFonts w:ascii="Book Antiqua" w:hAnsi="Book Antiqua"/>
          <w:bCs/>
          <w:lang w:val="es-CR"/>
        </w:rPr>
        <w:t xml:space="preserve"> Oficina de Atención y Protección a Víctimas</w:t>
      </w: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ind w:left="55"/>
        <w:jc w:val="center"/>
        <w:rPr>
          <w:rFonts w:ascii="Book Antiqua" w:hAnsi="Book Antiqua" w:cs="Arial"/>
          <w:sz w:val="24"/>
          <w:szCs w:val="24"/>
          <w:lang w:eastAsia="es-CR"/>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sz w:val="24"/>
          <w:szCs w:val="24"/>
        </w:rPr>
        <w:t>De acuerdo con los cuadros anteriores (3 y 4), en los casos que el grado de avance sea menor a 25,0%</w:t>
      </w:r>
      <w:r w:rsidR="00C5213A" w:rsidRPr="004E7C42">
        <w:rPr>
          <w:rFonts w:ascii="Book Antiqua" w:hAnsi="Book Antiqua" w:cs="Arial"/>
          <w:sz w:val="24"/>
          <w:szCs w:val="24"/>
        </w:rPr>
        <w:t>, en</w:t>
      </w:r>
      <w:r w:rsidRPr="004E7C42">
        <w:rPr>
          <w:rFonts w:ascii="Book Antiqua" w:hAnsi="Book Antiqua" w:cs="Arial"/>
          <w:sz w:val="24"/>
          <w:szCs w:val="24"/>
        </w:rPr>
        <w:t xml:space="preserve"> el cuadro 5, indique los factores que inciden en el porcentaje de avance al primer semestre y </w:t>
      </w:r>
      <w:r w:rsidRPr="004E7C42">
        <w:rPr>
          <w:rFonts w:ascii="Book Antiqua" w:hAnsi="Book Antiqua" w:cs="Arial"/>
          <w:bCs/>
          <w:sz w:val="24"/>
          <w:szCs w:val="24"/>
        </w:rPr>
        <w:t>las acciones correctivas que se implementarán en el segundo semestre, con el fin de cumplir con las metas e indicadores programados para el año.</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Para el llenado del cuadro, utilice como referencia los siguientes factores (puede mencionar más de un factor).</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570DA5">
      <w:pPr>
        <w:pStyle w:val="Prrafodelista"/>
        <w:numPr>
          <w:ilvl w:val="0"/>
          <w:numId w:val="3"/>
        </w:numPr>
        <w:spacing w:line="360" w:lineRule="auto"/>
        <w:contextualSpacing/>
        <w:jc w:val="both"/>
        <w:rPr>
          <w:rFonts w:ascii="Book Antiqua" w:hAnsi="Book Antiqua"/>
          <w:bCs/>
        </w:rPr>
      </w:pPr>
      <w:r w:rsidRPr="004E7C42">
        <w:rPr>
          <w:rFonts w:ascii="Book Antiqua" w:hAnsi="Book Antiqua"/>
          <w:bCs/>
        </w:rPr>
        <w:t>Aplicación de directrices presidenciales.</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Lineamientos de los entes rectores de la Administración Financiera.</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Gestión administrativa institucional (que generen ahorro o mayor gasto)</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 xml:space="preserve">Variación en la estimación de recursos. </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Problemas relacionados con los procesos de Contratación Administrativa.</w:t>
      </w:r>
    </w:p>
    <w:p w:rsidR="004E7C42" w:rsidRPr="004E7C42" w:rsidRDefault="004E7C42" w:rsidP="00570DA5">
      <w:pPr>
        <w:pStyle w:val="Prrafodelista"/>
        <w:numPr>
          <w:ilvl w:val="0"/>
          <w:numId w:val="3"/>
        </w:numPr>
        <w:spacing w:line="360" w:lineRule="auto"/>
        <w:contextualSpacing/>
        <w:jc w:val="both"/>
        <w:rPr>
          <w:rFonts w:ascii="Book Antiqua" w:hAnsi="Book Antiqua"/>
          <w:bCs/>
        </w:rPr>
      </w:pPr>
      <w:r w:rsidRPr="004E7C42">
        <w:rPr>
          <w:rFonts w:ascii="Book Antiqua" w:hAnsi="Book Antiqua"/>
          <w:bCs/>
        </w:rPr>
        <w:t xml:space="preserve">Liberación de </w:t>
      </w:r>
      <w:r w:rsidR="00C5213A" w:rsidRPr="004E7C42">
        <w:rPr>
          <w:rFonts w:ascii="Book Antiqua" w:hAnsi="Book Antiqua"/>
          <w:bCs/>
        </w:rPr>
        <w:t>cuota insuficiente</w:t>
      </w:r>
      <w:r w:rsidRPr="004E7C42">
        <w:rPr>
          <w:rFonts w:ascii="Book Antiqua" w:hAnsi="Book Antiqua"/>
          <w:bCs/>
        </w:rPr>
        <w:t>.</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Desviaciones entre lo planificado y lo ejecutado.</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lastRenderedPageBreak/>
        <w:t>Normas de ejecución para el ejercicio presupuestario 2019.</w:t>
      </w:r>
    </w:p>
    <w:p w:rsidR="004E7C42" w:rsidRPr="004E7C42" w:rsidRDefault="004E7C42" w:rsidP="00570DA5">
      <w:pPr>
        <w:pStyle w:val="Prrafodelista"/>
        <w:numPr>
          <w:ilvl w:val="0"/>
          <w:numId w:val="3"/>
        </w:numPr>
        <w:spacing w:line="360" w:lineRule="auto"/>
        <w:contextualSpacing/>
        <w:jc w:val="both"/>
        <w:rPr>
          <w:rFonts w:ascii="Book Antiqua" w:hAnsi="Book Antiqua"/>
          <w:bCs/>
          <w:lang w:val="es-CR"/>
        </w:rPr>
      </w:pPr>
      <w:r w:rsidRPr="004E7C42">
        <w:rPr>
          <w:rFonts w:ascii="Book Antiqua" w:hAnsi="Book Antiqua"/>
          <w:bCs/>
          <w:lang w:val="es-CR"/>
        </w:rPr>
        <w:t>Problemas con las gestiones relacionadas con convenios marco.</w:t>
      </w:r>
    </w:p>
    <w:p w:rsidR="004E7C42" w:rsidRPr="004E7C42" w:rsidRDefault="004E7C42" w:rsidP="00570DA5">
      <w:pPr>
        <w:pStyle w:val="Prrafodelista"/>
        <w:numPr>
          <w:ilvl w:val="0"/>
          <w:numId w:val="3"/>
        </w:numPr>
        <w:spacing w:line="360" w:lineRule="auto"/>
        <w:contextualSpacing/>
        <w:jc w:val="both"/>
        <w:rPr>
          <w:rFonts w:ascii="Book Antiqua" w:hAnsi="Book Antiqua"/>
          <w:bCs/>
        </w:rPr>
      </w:pPr>
      <w:r w:rsidRPr="004E7C42">
        <w:rPr>
          <w:rFonts w:ascii="Book Antiqua" w:hAnsi="Book Antiqua"/>
          <w:bCs/>
        </w:rPr>
        <w:t>Otros (Especifique).</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Se debe indicar solamente el número correspondiente al factor y/o factores en la columna denominada “Factores”, (en los casos que se indique el número “10” correspondiente a la categoría “otros”, si se debe especificar el factor que influyó). Adicionalmente, colocar (</w:t>
      </w:r>
      <w:r w:rsidR="00C5213A" w:rsidRPr="004E7C42">
        <w:rPr>
          <w:rFonts w:ascii="Book Antiqua" w:hAnsi="Book Antiqua" w:cs="Arial"/>
          <w:bCs/>
          <w:sz w:val="24"/>
          <w:szCs w:val="24"/>
        </w:rPr>
        <w:t>u</w:t>
      </w:r>
      <w:r w:rsidRPr="004E7C42">
        <w:rPr>
          <w:rFonts w:ascii="Book Antiqua" w:hAnsi="Book Antiqua" w:cs="Arial"/>
          <w:bCs/>
          <w:sz w:val="24"/>
          <w:szCs w:val="24"/>
        </w:rPr>
        <w:t>) si corresponde  a unidad de Medida o (i) si corresponde a un indicador.</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after="200" w:line="276" w:lineRule="auto"/>
        <w:contextualSpacing/>
        <w:jc w:val="center"/>
        <w:rPr>
          <w:rFonts w:ascii="Book Antiqua" w:hAnsi="Book Antiqua" w:cs="Arial"/>
          <w:b/>
          <w:bCs/>
          <w:color w:val="000000"/>
          <w:sz w:val="24"/>
          <w:szCs w:val="24"/>
          <w:lang w:eastAsia="es-CR"/>
        </w:rPr>
      </w:pPr>
      <w:r w:rsidRPr="004E7C42">
        <w:rPr>
          <w:rFonts w:ascii="Book Antiqua" w:hAnsi="Book Antiqua" w:cs="Arial"/>
          <w:b/>
          <w:bCs/>
          <w:color w:val="000000"/>
          <w:sz w:val="24"/>
          <w:szCs w:val="24"/>
          <w:lang w:eastAsia="es-CR"/>
        </w:rPr>
        <w:t>Cuadro 19. Informe de Seguimiento Semestral 2019</w:t>
      </w:r>
    </w:p>
    <w:p w:rsidR="004E7C42" w:rsidRPr="004E7C42" w:rsidRDefault="004E7C42" w:rsidP="004E7C42">
      <w:pPr>
        <w:ind w:left="55"/>
        <w:contextualSpacing/>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Factores que inciden en el cumplimiento de metas e indicadores, y acciones correctivas</w:t>
      </w:r>
    </w:p>
    <w:p w:rsidR="004E7C42" w:rsidRPr="004E7C42" w:rsidRDefault="004E7C42" w:rsidP="004E7C42">
      <w:pPr>
        <w:ind w:left="55"/>
        <w:jc w:val="center"/>
        <w:rPr>
          <w:rFonts w:ascii="Book Antiqua" w:hAnsi="Book Antiqua" w:cs="Arial"/>
          <w:color w:val="000000"/>
          <w:sz w:val="24"/>
          <w:szCs w:val="24"/>
          <w:lang w:eastAsia="es-CR"/>
        </w:rPr>
      </w:pPr>
      <w:r w:rsidRPr="004E7C42">
        <w:rPr>
          <w:rFonts w:ascii="Book Antiqua" w:hAnsi="Book Antiqua" w:cs="Arial"/>
          <w:color w:val="000000"/>
          <w:sz w:val="24"/>
          <w:szCs w:val="24"/>
          <w:lang w:eastAsia="es-CR"/>
        </w:rPr>
        <w:t>Programa 930 Servicio Defensa Pública</w:t>
      </w:r>
    </w:p>
    <w:p w:rsidR="004E7C42" w:rsidRPr="004E7C42" w:rsidRDefault="004E7C42" w:rsidP="004E7C42">
      <w:pPr>
        <w:tabs>
          <w:tab w:val="center" w:pos="4446"/>
          <w:tab w:val="left" w:pos="6144"/>
        </w:tabs>
        <w:ind w:left="55"/>
        <w:contextualSpacing/>
        <w:rPr>
          <w:rFonts w:ascii="Book Antiqua" w:hAnsi="Book Antiqua" w:cs="Arial"/>
          <w:sz w:val="24"/>
          <w:szCs w:val="24"/>
          <w:lang w:eastAsia="es-CR"/>
        </w:rPr>
      </w:pPr>
      <w:r w:rsidRPr="004E7C42">
        <w:rPr>
          <w:rFonts w:ascii="Book Antiqua" w:hAnsi="Book Antiqua" w:cs="Arial"/>
          <w:sz w:val="24"/>
          <w:szCs w:val="24"/>
          <w:lang w:eastAsia="es-CR"/>
        </w:rPr>
        <w:tab/>
        <w:t>Al 30 de junio  de 2019</w:t>
      </w:r>
      <w:r w:rsidRPr="004E7C42">
        <w:rPr>
          <w:rFonts w:ascii="Book Antiqua" w:hAnsi="Book Antiqua" w:cs="Arial"/>
          <w:sz w:val="24"/>
          <w:szCs w:val="24"/>
          <w:lang w:eastAsia="es-CR"/>
        </w:rPr>
        <w:tab/>
      </w:r>
    </w:p>
    <w:p w:rsidR="004E7C42" w:rsidRPr="004E7C42" w:rsidRDefault="004E7C42" w:rsidP="004E7C42">
      <w:pPr>
        <w:tabs>
          <w:tab w:val="center" w:pos="4446"/>
          <w:tab w:val="left" w:pos="6144"/>
        </w:tabs>
        <w:ind w:left="55"/>
        <w:contextualSpacing/>
        <w:rPr>
          <w:rFonts w:ascii="Book Antiqua" w:hAnsi="Book Antiqua" w:cs="Arial"/>
          <w:sz w:val="24"/>
          <w:szCs w:val="24"/>
          <w:lang w:eastAsia="es-CR"/>
        </w:rPr>
      </w:pPr>
    </w:p>
    <w:tbl>
      <w:tblPr>
        <w:tblW w:w="0" w:type="auto"/>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tblPr>
      <w:tblGrid>
        <w:gridCol w:w="2313"/>
        <w:gridCol w:w="2152"/>
        <w:gridCol w:w="2409"/>
        <w:gridCol w:w="1883"/>
      </w:tblGrid>
      <w:tr w:rsidR="004E7C42" w:rsidRPr="004E7C42" w:rsidTr="004E7C42">
        <w:trPr>
          <w:jc w:val="center"/>
        </w:trPr>
        <w:tc>
          <w:tcPr>
            <w:tcW w:w="2313"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Unidad de medida (UM) o Indicador (i)</w:t>
            </w:r>
          </w:p>
        </w:tc>
        <w:tc>
          <w:tcPr>
            <w:tcW w:w="2152"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Factores</w:t>
            </w:r>
          </w:p>
        </w:tc>
        <w:tc>
          <w:tcPr>
            <w:tcW w:w="2409" w:type="dxa"/>
            <w:vAlign w:val="center"/>
          </w:tcPr>
          <w:p w:rsidR="004E7C42" w:rsidRPr="004E7C42" w:rsidRDefault="00C5213A" w:rsidP="004E7C42">
            <w:pPr>
              <w:spacing w:line="360" w:lineRule="auto"/>
              <w:jc w:val="center"/>
              <w:rPr>
                <w:rFonts w:ascii="Book Antiqua" w:hAnsi="Book Antiqua" w:cs="Arial"/>
                <w:bCs/>
                <w:sz w:val="24"/>
                <w:szCs w:val="24"/>
              </w:rPr>
            </w:pPr>
            <w:r w:rsidRPr="004E7C42">
              <w:rPr>
                <w:rFonts w:ascii="Book Antiqua" w:hAnsi="Book Antiqua" w:cs="Arial"/>
                <w:sz w:val="24"/>
                <w:szCs w:val="24"/>
              </w:rPr>
              <w:t>Acciones Correctivas</w:t>
            </w:r>
          </w:p>
        </w:tc>
        <w:tc>
          <w:tcPr>
            <w:tcW w:w="1770" w:type="dxa"/>
            <w:vAlign w:val="center"/>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Responsable</w:t>
            </w:r>
            <w:r w:rsidRPr="004E7C42">
              <w:rPr>
                <w:rFonts w:ascii="Book Antiqua" w:hAnsi="Book Antiqua" w:cs="Arial"/>
                <w:sz w:val="24"/>
                <w:szCs w:val="24"/>
                <w:vertAlign w:val="superscript"/>
              </w:rPr>
              <w:t>1/</w:t>
            </w:r>
          </w:p>
        </w:tc>
      </w:tr>
      <w:tr w:rsidR="004E7C42" w:rsidRPr="004E7C42" w:rsidTr="004E7C42">
        <w:trPr>
          <w:jc w:val="center"/>
        </w:trPr>
        <w:tc>
          <w:tcPr>
            <w:tcW w:w="2313" w:type="dxa"/>
          </w:tcPr>
          <w:p w:rsidR="004E7C42" w:rsidRPr="004E7C42" w:rsidRDefault="004E7C42" w:rsidP="004E7C42">
            <w:pPr>
              <w:autoSpaceDE w:val="0"/>
              <w:autoSpaceDN w:val="0"/>
              <w:adjustRightInd w:val="0"/>
              <w:jc w:val="center"/>
              <w:rPr>
                <w:rFonts w:ascii="Book Antiqua" w:hAnsi="Book Antiqua" w:cs="Arial"/>
                <w:b/>
                <w:bCs/>
                <w:sz w:val="24"/>
                <w:szCs w:val="24"/>
                <w:lang w:val="es-ES"/>
              </w:rPr>
            </w:pPr>
            <w:r w:rsidRPr="004E7C42">
              <w:rPr>
                <w:rFonts w:ascii="Book Antiqua" w:hAnsi="Book Antiqua" w:cs="Arial"/>
                <w:sz w:val="24"/>
                <w:szCs w:val="24"/>
                <w:lang w:val="es-ES"/>
              </w:rPr>
              <w:t>(i)</w:t>
            </w:r>
          </w:p>
          <w:p w:rsidR="004E7C42" w:rsidRPr="004E7C42" w:rsidRDefault="004E7C42" w:rsidP="004E7C42">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Porcentaje de satisfacción de las personas usuarias que se</w:t>
            </w:r>
          </w:p>
          <w:p w:rsidR="004E7C42" w:rsidRPr="004E7C42" w:rsidRDefault="004E7C42" w:rsidP="004E7C42">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encuentran en libertad respecto al tiempo que le dedica la</w:t>
            </w: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sz w:val="24"/>
                <w:szCs w:val="24"/>
                <w:lang w:val="es-ES"/>
              </w:rPr>
              <w:t>Defensora o Defensor Público</w:t>
            </w:r>
          </w:p>
        </w:tc>
        <w:tc>
          <w:tcPr>
            <w:tcW w:w="2152"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10</w:t>
            </w: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color w:val="212121"/>
                <w:sz w:val="24"/>
                <w:szCs w:val="24"/>
                <w:shd w:val="clear" w:color="auto" w:fill="FFFFFF"/>
              </w:rPr>
              <w:t>El indicador se construye a partir de la encuesta de satisfacción que se realiza anualmente</w:t>
            </w:r>
          </w:p>
        </w:tc>
        <w:tc>
          <w:tcPr>
            <w:tcW w:w="2409"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La encuesta se realizará entre los meses de octubre y noviembre 2019</w:t>
            </w:r>
          </w:p>
        </w:tc>
        <w:tc>
          <w:tcPr>
            <w:tcW w:w="1770"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t>Administración de la Defensa Pública</w:t>
            </w:r>
          </w:p>
        </w:tc>
      </w:tr>
      <w:tr w:rsidR="004E7C42" w:rsidRPr="004E7C42" w:rsidTr="004E7C42">
        <w:trPr>
          <w:jc w:val="center"/>
        </w:trPr>
        <w:tc>
          <w:tcPr>
            <w:tcW w:w="2313" w:type="dxa"/>
          </w:tcPr>
          <w:p w:rsidR="004E7C42" w:rsidRPr="004E7C42" w:rsidRDefault="004E7C42" w:rsidP="004E7C42">
            <w:pPr>
              <w:autoSpaceDE w:val="0"/>
              <w:autoSpaceDN w:val="0"/>
              <w:adjustRightInd w:val="0"/>
              <w:jc w:val="center"/>
              <w:rPr>
                <w:rFonts w:ascii="Book Antiqua" w:hAnsi="Book Antiqua" w:cs="Arial"/>
                <w:b/>
                <w:bCs/>
                <w:sz w:val="24"/>
                <w:szCs w:val="24"/>
                <w:lang w:val="es-ES"/>
              </w:rPr>
            </w:pPr>
            <w:r w:rsidRPr="004E7C42">
              <w:rPr>
                <w:rFonts w:ascii="Book Antiqua" w:hAnsi="Book Antiqua" w:cs="Arial"/>
                <w:sz w:val="24"/>
                <w:szCs w:val="24"/>
                <w:lang w:val="es-ES"/>
              </w:rPr>
              <w:t>(i)</w:t>
            </w:r>
          </w:p>
          <w:p w:rsidR="004E7C42" w:rsidRPr="004E7C42" w:rsidRDefault="004E7C42" w:rsidP="004E7C42">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 xml:space="preserve">Porcentaje de </w:t>
            </w:r>
            <w:r w:rsidRPr="004E7C42">
              <w:rPr>
                <w:rFonts w:ascii="Book Antiqua" w:hAnsi="Book Antiqua" w:cs="Arial"/>
                <w:sz w:val="24"/>
                <w:szCs w:val="24"/>
                <w:lang w:val="es-ES"/>
              </w:rPr>
              <w:lastRenderedPageBreak/>
              <w:t>satisfacción de las personas usuarias que se</w:t>
            </w:r>
          </w:p>
          <w:p w:rsidR="004E7C42" w:rsidRPr="004E7C42" w:rsidRDefault="004E7C42" w:rsidP="004E7C42">
            <w:pPr>
              <w:autoSpaceDE w:val="0"/>
              <w:autoSpaceDN w:val="0"/>
              <w:adjustRightInd w:val="0"/>
              <w:jc w:val="both"/>
              <w:rPr>
                <w:rFonts w:ascii="Book Antiqua" w:hAnsi="Book Antiqua" w:cs="Arial"/>
                <w:sz w:val="24"/>
                <w:szCs w:val="24"/>
                <w:lang w:val="es-ES"/>
              </w:rPr>
            </w:pPr>
            <w:r w:rsidRPr="004E7C42">
              <w:rPr>
                <w:rFonts w:ascii="Book Antiqua" w:hAnsi="Book Antiqua" w:cs="Arial"/>
                <w:sz w:val="24"/>
                <w:szCs w:val="24"/>
                <w:lang w:val="es-ES"/>
              </w:rPr>
              <w:t>encuentran en libertad respecto al tiempo de espera antes de</w:t>
            </w: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sz w:val="24"/>
                <w:szCs w:val="24"/>
                <w:lang w:val="es-ES"/>
              </w:rPr>
              <w:t>ser atendido por la Defensora o el Defensor Público.</w:t>
            </w:r>
          </w:p>
        </w:tc>
        <w:tc>
          <w:tcPr>
            <w:tcW w:w="2152"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10</w:t>
            </w:r>
          </w:p>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color w:val="212121"/>
                <w:sz w:val="24"/>
                <w:szCs w:val="24"/>
                <w:shd w:val="clear" w:color="auto" w:fill="FFFFFF"/>
              </w:rPr>
              <w:lastRenderedPageBreak/>
              <w:t>El indicador se construye a partir de la encuesta de satisfacción que se realiza anualmente</w:t>
            </w:r>
          </w:p>
        </w:tc>
        <w:tc>
          <w:tcPr>
            <w:tcW w:w="2409"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 xml:space="preserve">La encuesta se </w:t>
            </w:r>
            <w:r w:rsidRPr="004E7C42">
              <w:rPr>
                <w:rFonts w:ascii="Book Antiqua" w:hAnsi="Book Antiqua" w:cs="Arial"/>
                <w:bCs/>
                <w:sz w:val="24"/>
                <w:szCs w:val="24"/>
              </w:rPr>
              <w:lastRenderedPageBreak/>
              <w:t>realizará entre los meses de octubre y noviembre 2019</w:t>
            </w:r>
          </w:p>
        </w:tc>
        <w:tc>
          <w:tcPr>
            <w:tcW w:w="1770" w:type="dxa"/>
          </w:tcPr>
          <w:p w:rsidR="004E7C42" w:rsidRPr="004E7C42" w:rsidRDefault="004E7C42" w:rsidP="004E7C42">
            <w:pPr>
              <w:spacing w:line="360" w:lineRule="auto"/>
              <w:jc w:val="both"/>
              <w:rPr>
                <w:rFonts w:ascii="Book Antiqua" w:hAnsi="Book Antiqua" w:cs="Arial"/>
                <w:bCs/>
                <w:sz w:val="24"/>
                <w:szCs w:val="24"/>
              </w:rPr>
            </w:pPr>
            <w:r w:rsidRPr="004E7C42">
              <w:rPr>
                <w:rFonts w:ascii="Book Antiqua" w:hAnsi="Book Antiqua" w:cs="Arial"/>
                <w:bCs/>
                <w:sz w:val="24"/>
                <w:szCs w:val="24"/>
              </w:rPr>
              <w:lastRenderedPageBreak/>
              <w:t xml:space="preserve">Administración </w:t>
            </w:r>
            <w:r w:rsidRPr="004E7C42">
              <w:rPr>
                <w:rFonts w:ascii="Book Antiqua" w:hAnsi="Book Antiqua" w:cs="Arial"/>
                <w:bCs/>
                <w:sz w:val="24"/>
                <w:szCs w:val="24"/>
              </w:rPr>
              <w:lastRenderedPageBreak/>
              <w:t>de la Defensa Pública</w:t>
            </w:r>
          </w:p>
        </w:tc>
      </w:tr>
      <w:tr w:rsidR="004E7C42" w:rsidRPr="004E7C42" w:rsidTr="004E7C42">
        <w:trPr>
          <w:jc w:val="center"/>
        </w:trPr>
        <w:tc>
          <w:tcPr>
            <w:tcW w:w="2313"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lastRenderedPageBreak/>
              <w:t>-</w:t>
            </w:r>
          </w:p>
        </w:tc>
        <w:tc>
          <w:tcPr>
            <w:tcW w:w="2152"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2409"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770"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r>
      <w:tr w:rsidR="004E7C42" w:rsidRPr="004E7C42" w:rsidTr="004E7C42">
        <w:trPr>
          <w:jc w:val="center"/>
        </w:trPr>
        <w:tc>
          <w:tcPr>
            <w:tcW w:w="2313"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sz w:val="24"/>
                <w:szCs w:val="24"/>
              </w:rPr>
              <w:t>-</w:t>
            </w:r>
          </w:p>
        </w:tc>
        <w:tc>
          <w:tcPr>
            <w:tcW w:w="2152"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2409"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c>
          <w:tcPr>
            <w:tcW w:w="1770" w:type="dxa"/>
          </w:tcPr>
          <w:p w:rsidR="004E7C42" w:rsidRPr="004E7C42" w:rsidRDefault="004E7C42" w:rsidP="004E7C42">
            <w:pPr>
              <w:spacing w:line="360" w:lineRule="auto"/>
              <w:jc w:val="center"/>
              <w:rPr>
                <w:rFonts w:ascii="Book Antiqua" w:hAnsi="Book Antiqua" w:cs="Arial"/>
                <w:bCs/>
                <w:sz w:val="24"/>
                <w:szCs w:val="24"/>
              </w:rPr>
            </w:pPr>
            <w:r w:rsidRPr="004E7C42">
              <w:rPr>
                <w:rFonts w:ascii="Book Antiqua" w:hAnsi="Book Antiqua" w:cs="Arial"/>
                <w:bCs/>
                <w:sz w:val="24"/>
                <w:szCs w:val="24"/>
              </w:rPr>
              <w:t>-</w:t>
            </w:r>
          </w:p>
        </w:tc>
      </w:tr>
    </w:tbl>
    <w:p w:rsidR="004E7C42" w:rsidRPr="004E7C42" w:rsidRDefault="004E7C42" w:rsidP="004E7C42">
      <w:pPr>
        <w:pStyle w:val="Prrafodelista"/>
        <w:spacing w:line="360" w:lineRule="auto"/>
        <w:ind w:left="142"/>
        <w:jc w:val="both"/>
        <w:rPr>
          <w:rFonts w:ascii="Book Antiqua" w:hAnsi="Book Antiqua"/>
          <w:bCs/>
          <w:lang w:val="es-CR"/>
        </w:rPr>
      </w:pPr>
      <w:r w:rsidRPr="004E7C42">
        <w:rPr>
          <w:rFonts w:ascii="Book Antiqua" w:hAnsi="Book Antiqua"/>
          <w:bCs/>
          <w:lang w:val="es-CR"/>
        </w:rPr>
        <w:t xml:space="preserve">Fuente: </w:t>
      </w:r>
      <w:r w:rsidRPr="004E7C42">
        <w:rPr>
          <w:rFonts w:ascii="Book Antiqua" w:hAnsi="Book Antiqua"/>
          <w:bCs/>
          <w:color w:val="000000" w:themeColor="text1"/>
          <w:lang w:val="es-CR"/>
        </w:rPr>
        <w:t>Encuesta anual de personas usuarias</w:t>
      </w:r>
    </w:p>
    <w:p w:rsidR="004E7C42" w:rsidRPr="004E7C42" w:rsidRDefault="004E7C42" w:rsidP="004E7C42">
      <w:pPr>
        <w:ind w:left="142" w:right="335"/>
        <w:jc w:val="both"/>
        <w:rPr>
          <w:rFonts w:ascii="Book Antiqua" w:hAnsi="Book Antiqua" w:cs="Arial"/>
          <w:color w:val="000000"/>
          <w:sz w:val="24"/>
          <w:szCs w:val="24"/>
        </w:rPr>
      </w:pPr>
      <w:r w:rsidRPr="004E7C42">
        <w:rPr>
          <w:rFonts w:ascii="Book Antiqua" w:hAnsi="Book Antiqua" w:cs="Arial"/>
          <w:b/>
          <w:color w:val="000000"/>
          <w:sz w:val="24"/>
          <w:szCs w:val="24"/>
        </w:rPr>
        <w:t>1/</w:t>
      </w:r>
      <w:r w:rsidRPr="004E7C42">
        <w:rPr>
          <w:rFonts w:ascii="Book Antiqua" w:hAnsi="Book Antiqua" w:cs="Arial"/>
          <w:color w:val="000000"/>
          <w:sz w:val="24"/>
          <w:szCs w:val="24"/>
        </w:rPr>
        <w:t xml:space="preserve"> Se refiere a la persona responsable directa de ejecutar la acción, no necesariamente debe ser el (la) Director (a) del Programa o Subprograma.</w:t>
      </w:r>
    </w:p>
    <w:p w:rsidR="004E7C42" w:rsidRPr="004E7C42" w:rsidRDefault="004E7C42" w:rsidP="004E7C42">
      <w:pPr>
        <w:spacing w:line="360" w:lineRule="auto"/>
        <w:jc w:val="both"/>
        <w:rPr>
          <w:rFonts w:ascii="Book Antiqua" w:hAnsi="Book Antiqua" w:cs="Arial"/>
          <w:bCs/>
          <w:sz w:val="24"/>
          <w:szCs w:val="24"/>
        </w:rPr>
      </w:pPr>
    </w:p>
    <w:p w:rsidR="004E7C42" w:rsidRPr="004E7C42" w:rsidRDefault="004E7C42" w:rsidP="004E7C42">
      <w:pPr>
        <w:spacing w:after="120"/>
        <w:jc w:val="both"/>
        <w:rPr>
          <w:rFonts w:ascii="Book Antiqua" w:hAnsi="Book Antiqua"/>
          <w:sz w:val="24"/>
          <w:szCs w:val="24"/>
        </w:rPr>
      </w:pPr>
    </w:p>
    <w:p w:rsidR="008F3027" w:rsidRPr="004E7C42" w:rsidRDefault="008F3027" w:rsidP="00C10B6E">
      <w:pPr>
        <w:pStyle w:val="Textoindependiente2"/>
        <w:rPr>
          <w:rFonts w:ascii="Book Antiqua" w:hAnsi="Book Antiqua"/>
          <w:lang w:val="es-CR"/>
        </w:rPr>
      </w:pPr>
    </w:p>
    <w:sectPr w:rsidR="008F3027" w:rsidRPr="004E7C42" w:rsidSect="004362EA">
      <w:headerReference w:type="default" r:id="rId23"/>
      <w:footerReference w:type="default" r:id="rId24"/>
      <w:pgSz w:w="12242" w:h="15842" w:code="1"/>
      <w:pgMar w:top="719" w:right="1469" w:bottom="719"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AB6" w:rsidRDefault="006C4AB6">
      <w:r>
        <w:separator/>
      </w:r>
    </w:p>
  </w:endnote>
  <w:endnote w:type="continuationSeparator" w:id="0">
    <w:p w:rsidR="006C4AB6" w:rsidRDefault="006C4AB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Batang, 바탕">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C42" w:rsidRDefault="003667C2" w:rsidP="008729A2">
    <w:pPr>
      <w:pStyle w:val="Piedepgina"/>
      <w:framePr w:wrap="auto" w:vAnchor="text" w:hAnchor="page" w:x="10702" w:y="49"/>
      <w:rPr>
        <w:rStyle w:val="Nmerodepgina"/>
      </w:rPr>
    </w:pPr>
    <w:r>
      <w:rPr>
        <w:rStyle w:val="Nmerodepgina"/>
      </w:rPr>
      <w:fldChar w:fldCharType="begin"/>
    </w:r>
    <w:r w:rsidR="004E7C42">
      <w:rPr>
        <w:rStyle w:val="Nmerodepgina"/>
      </w:rPr>
      <w:instrText xml:space="preserve">PAGE  </w:instrText>
    </w:r>
    <w:r>
      <w:rPr>
        <w:rStyle w:val="Nmerodepgina"/>
      </w:rPr>
      <w:fldChar w:fldCharType="separate"/>
    </w:r>
    <w:r w:rsidR="002D505A">
      <w:rPr>
        <w:rStyle w:val="Nmerodepgina"/>
        <w:noProof/>
      </w:rPr>
      <w:t>1</w:t>
    </w:r>
    <w:r>
      <w:rPr>
        <w:rStyle w:val="Nmerodepgina"/>
      </w:rPr>
      <w:fldChar w:fldCharType="end"/>
    </w:r>
  </w:p>
  <w:p w:rsidR="004E7C42" w:rsidRPr="0036463A" w:rsidRDefault="004E7C42"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AB6" w:rsidRDefault="006C4AB6">
      <w:r>
        <w:separator/>
      </w:r>
    </w:p>
  </w:footnote>
  <w:footnote w:type="continuationSeparator" w:id="0">
    <w:p w:rsidR="006C4AB6" w:rsidRDefault="006C4A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C42" w:rsidRDefault="004E7C42" w:rsidP="008729A2">
    <w:pPr>
      <w:framePr w:w="640" w:hSpace="141" w:wrap="auto" w:vAnchor="text" w:hAnchor="margin" w:x="8456" w:y="-91"/>
    </w:pPr>
  </w:p>
  <w:p w:rsidR="004E7C42" w:rsidRDefault="004E7C42" w:rsidP="00261B26">
    <w:pPr>
      <w:pStyle w:val="Encabezado"/>
    </w:pPr>
  </w:p>
  <w:p w:rsidR="004E7C42" w:rsidRDefault="004E7C42"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05pt;height:31.85pt" o:ole="">
          <v:imagedata r:id="rId1" o:title=""/>
        </v:shape>
        <o:OLEObject Type="Embed" ProgID="PBrush" ShapeID="_x0000_i1032" DrawAspect="Content" ObjectID="_1624874657" r:id="rId2"/>
      </w:object>
    </w:r>
  </w:p>
  <w:p w:rsidR="004E7C42" w:rsidRDefault="004E7C42"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4E7C42" w:rsidRPr="005B3B0C" w:rsidRDefault="004E7C42" w:rsidP="0083174F">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rsidR="004E7C42" w:rsidRPr="005B3B0C" w:rsidRDefault="004E7C42" w:rsidP="0083174F">
    <w:pPr>
      <w:pBdr>
        <w:bottom w:val="single" w:sz="6" w:space="0" w:color="auto"/>
      </w:pBdr>
      <w:spacing w:after="20"/>
      <w:jc w:val="center"/>
      <w:rPr>
        <w:lang w:val="en-US"/>
      </w:rPr>
    </w:pPr>
  </w:p>
  <w:p w:rsidR="004E7C42" w:rsidRPr="00190583" w:rsidRDefault="004E7C42" w:rsidP="0083174F">
    <w:pPr>
      <w:pStyle w:val="Encabezado"/>
      <w:jc w:val="center"/>
      <w:rPr>
        <w:sz w:val="18"/>
        <w:szCs w:val="1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10B05369"/>
    <w:multiLevelType w:val="hybridMultilevel"/>
    <w:tmpl w:val="688C1A40"/>
    <w:lvl w:ilvl="0" w:tplc="140A000F">
      <w:start w:val="1"/>
      <w:numFmt w:val="decimal"/>
      <w:lvlText w:val="%1."/>
      <w:lvlJc w:val="left"/>
      <w:pPr>
        <w:ind w:left="720" w:hanging="360"/>
      </w:pPr>
    </w:lvl>
    <w:lvl w:ilvl="1" w:tplc="140A000F">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3355E6A"/>
    <w:multiLevelType w:val="hybridMultilevel"/>
    <w:tmpl w:val="86DE93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4EFA0101"/>
    <w:multiLevelType w:val="hybridMultilevel"/>
    <w:tmpl w:val="783E63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6A685F36"/>
    <w:multiLevelType w:val="hybridMultilevel"/>
    <w:tmpl w:val="724C39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6F4916AB"/>
    <w:multiLevelType w:val="hybridMultilevel"/>
    <w:tmpl w:val="54AE2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6F8A3F37"/>
    <w:multiLevelType w:val="hybridMultilevel"/>
    <w:tmpl w:val="C6E4CABA"/>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nsid w:val="74F40DC5"/>
    <w:multiLevelType w:val="hybridMultilevel"/>
    <w:tmpl w:val="E4620F42"/>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8"/>
  </w:num>
  <w:num w:numId="5">
    <w:abstractNumId w:val="4"/>
  </w:num>
  <w:num w:numId="6">
    <w:abstractNumId w:val="7"/>
  </w:num>
  <w:num w:numId="7">
    <w:abstractNumId w:val="5"/>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hideSpellingErrors/>
  <w:hideGrammaticalErrors/>
  <w:stylePaneFormatFilter w:val="3F01"/>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rsids>
    <w:rsidRoot w:val="00BF0EE8"/>
    <w:rsid w:val="000131C6"/>
    <w:rsid w:val="00030A80"/>
    <w:rsid w:val="0003358A"/>
    <w:rsid w:val="00044B65"/>
    <w:rsid w:val="00054A79"/>
    <w:rsid w:val="00057F01"/>
    <w:rsid w:val="000732C6"/>
    <w:rsid w:val="000745D1"/>
    <w:rsid w:val="00077A41"/>
    <w:rsid w:val="00083A70"/>
    <w:rsid w:val="000920EF"/>
    <w:rsid w:val="0009367A"/>
    <w:rsid w:val="000A326D"/>
    <w:rsid w:val="000A5E79"/>
    <w:rsid w:val="000B1F7E"/>
    <w:rsid w:val="000D5362"/>
    <w:rsid w:val="000E0040"/>
    <w:rsid w:val="000E03F5"/>
    <w:rsid w:val="000E1624"/>
    <w:rsid w:val="001018BE"/>
    <w:rsid w:val="001020D5"/>
    <w:rsid w:val="00113A3E"/>
    <w:rsid w:val="00132550"/>
    <w:rsid w:val="00134B6F"/>
    <w:rsid w:val="00135450"/>
    <w:rsid w:val="00140C56"/>
    <w:rsid w:val="00145106"/>
    <w:rsid w:val="001453F5"/>
    <w:rsid w:val="001458F9"/>
    <w:rsid w:val="0014657C"/>
    <w:rsid w:val="00170E9E"/>
    <w:rsid w:val="001739BF"/>
    <w:rsid w:val="00175B3A"/>
    <w:rsid w:val="001874A4"/>
    <w:rsid w:val="00190583"/>
    <w:rsid w:val="00190FCD"/>
    <w:rsid w:val="001920E2"/>
    <w:rsid w:val="0019575A"/>
    <w:rsid w:val="001A13CC"/>
    <w:rsid w:val="001A233B"/>
    <w:rsid w:val="001B4042"/>
    <w:rsid w:val="001B66CA"/>
    <w:rsid w:val="001C21DB"/>
    <w:rsid w:val="001D4433"/>
    <w:rsid w:val="001E0BF7"/>
    <w:rsid w:val="001E3252"/>
    <w:rsid w:val="001E517B"/>
    <w:rsid w:val="001F1A91"/>
    <w:rsid w:val="001F3D1C"/>
    <w:rsid w:val="001F561E"/>
    <w:rsid w:val="0022401C"/>
    <w:rsid w:val="00227F17"/>
    <w:rsid w:val="00246C9D"/>
    <w:rsid w:val="00247DE8"/>
    <w:rsid w:val="002557CB"/>
    <w:rsid w:val="00261B26"/>
    <w:rsid w:val="002727AA"/>
    <w:rsid w:val="00273333"/>
    <w:rsid w:val="00282497"/>
    <w:rsid w:val="00283912"/>
    <w:rsid w:val="00283B2B"/>
    <w:rsid w:val="00297FE4"/>
    <w:rsid w:val="002A4E48"/>
    <w:rsid w:val="002A5233"/>
    <w:rsid w:val="002B0442"/>
    <w:rsid w:val="002B047F"/>
    <w:rsid w:val="002B5857"/>
    <w:rsid w:val="002C4CD7"/>
    <w:rsid w:val="002C7CA1"/>
    <w:rsid w:val="002D0E26"/>
    <w:rsid w:val="002D505A"/>
    <w:rsid w:val="002D5A56"/>
    <w:rsid w:val="002D61DE"/>
    <w:rsid w:val="002E000C"/>
    <w:rsid w:val="002E35AC"/>
    <w:rsid w:val="002F108C"/>
    <w:rsid w:val="002F6410"/>
    <w:rsid w:val="00300509"/>
    <w:rsid w:val="003014A8"/>
    <w:rsid w:val="00303845"/>
    <w:rsid w:val="00323785"/>
    <w:rsid w:val="00331034"/>
    <w:rsid w:val="00331C96"/>
    <w:rsid w:val="00340465"/>
    <w:rsid w:val="003414E3"/>
    <w:rsid w:val="00342A61"/>
    <w:rsid w:val="00344AEA"/>
    <w:rsid w:val="00345068"/>
    <w:rsid w:val="00351B14"/>
    <w:rsid w:val="00362450"/>
    <w:rsid w:val="00364509"/>
    <w:rsid w:val="0036463A"/>
    <w:rsid w:val="00364898"/>
    <w:rsid w:val="00364FAE"/>
    <w:rsid w:val="00366170"/>
    <w:rsid w:val="003667C2"/>
    <w:rsid w:val="00367714"/>
    <w:rsid w:val="003722A7"/>
    <w:rsid w:val="00372DAA"/>
    <w:rsid w:val="00376A3B"/>
    <w:rsid w:val="0038346A"/>
    <w:rsid w:val="00396285"/>
    <w:rsid w:val="003A12B4"/>
    <w:rsid w:val="003A35DE"/>
    <w:rsid w:val="003A43CF"/>
    <w:rsid w:val="003B219A"/>
    <w:rsid w:val="003C7148"/>
    <w:rsid w:val="003D2F3D"/>
    <w:rsid w:val="003E3D38"/>
    <w:rsid w:val="003E724E"/>
    <w:rsid w:val="003F1345"/>
    <w:rsid w:val="004129F5"/>
    <w:rsid w:val="00423ED4"/>
    <w:rsid w:val="00430D8E"/>
    <w:rsid w:val="0043490C"/>
    <w:rsid w:val="004362EA"/>
    <w:rsid w:val="004428D3"/>
    <w:rsid w:val="00443FBA"/>
    <w:rsid w:val="00444803"/>
    <w:rsid w:val="00447FE6"/>
    <w:rsid w:val="00455F7B"/>
    <w:rsid w:val="00464DF8"/>
    <w:rsid w:val="00466E9A"/>
    <w:rsid w:val="0047499A"/>
    <w:rsid w:val="004758F7"/>
    <w:rsid w:val="00491C9F"/>
    <w:rsid w:val="00492E68"/>
    <w:rsid w:val="00493F2D"/>
    <w:rsid w:val="00497441"/>
    <w:rsid w:val="004B5CE0"/>
    <w:rsid w:val="004B616A"/>
    <w:rsid w:val="004D1BCF"/>
    <w:rsid w:val="004D75FB"/>
    <w:rsid w:val="004E17AE"/>
    <w:rsid w:val="004E301B"/>
    <w:rsid w:val="004E343C"/>
    <w:rsid w:val="004E5867"/>
    <w:rsid w:val="004E7C42"/>
    <w:rsid w:val="0051312B"/>
    <w:rsid w:val="005212AB"/>
    <w:rsid w:val="00526C96"/>
    <w:rsid w:val="00527220"/>
    <w:rsid w:val="0053236D"/>
    <w:rsid w:val="00534174"/>
    <w:rsid w:val="005354B5"/>
    <w:rsid w:val="00540814"/>
    <w:rsid w:val="00544065"/>
    <w:rsid w:val="005442E3"/>
    <w:rsid w:val="005523FD"/>
    <w:rsid w:val="00554FC2"/>
    <w:rsid w:val="00555F52"/>
    <w:rsid w:val="005610EB"/>
    <w:rsid w:val="00570DA5"/>
    <w:rsid w:val="005729BE"/>
    <w:rsid w:val="00577912"/>
    <w:rsid w:val="005832D0"/>
    <w:rsid w:val="00583731"/>
    <w:rsid w:val="00587A31"/>
    <w:rsid w:val="00592114"/>
    <w:rsid w:val="005B3B0C"/>
    <w:rsid w:val="005C095F"/>
    <w:rsid w:val="005C5173"/>
    <w:rsid w:val="005C5393"/>
    <w:rsid w:val="005C7E81"/>
    <w:rsid w:val="005D215B"/>
    <w:rsid w:val="005E0D5D"/>
    <w:rsid w:val="005E5F8F"/>
    <w:rsid w:val="0060020A"/>
    <w:rsid w:val="00605A61"/>
    <w:rsid w:val="00616FEC"/>
    <w:rsid w:val="00617990"/>
    <w:rsid w:val="0062351B"/>
    <w:rsid w:val="00626C2B"/>
    <w:rsid w:val="00641214"/>
    <w:rsid w:val="00664C3B"/>
    <w:rsid w:val="00670589"/>
    <w:rsid w:val="006756E4"/>
    <w:rsid w:val="00677280"/>
    <w:rsid w:val="00677737"/>
    <w:rsid w:val="00693F61"/>
    <w:rsid w:val="006968D2"/>
    <w:rsid w:val="006A6643"/>
    <w:rsid w:val="006A7461"/>
    <w:rsid w:val="006B3982"/>
    <w:rsid w:val="006B7CEA"/>
    <w:rsid w:val="006C42AF"/>
    <w:rsid w:val="006C4AB6"/>
    <w:rsid w:val="006D0A49"/>
    <w:rsid w:val="006D2D82"/>
    <w:rsid w:val="006D6954"/>
    <w:rsid w:val="006E0146"/>
    <w:rsid w:val="006E3B1A"/>
    <w:rsid w:val="007021B0"/>
    <w:rsid w:val="007043ED"/>
    <w:rsid w:val="00707EB6"/>
    <w:rsid w:val="00710209"/>
    <w:rsid w:val="00711C75"/>
    <w:rsid w:val="00714F74"/>
    <w:rsid w:val="007323A3"/>
    <w:rsid w:val="00752F2E"/>
    <w:rsid w:val="007530F7"/>
    <w:rsid w:val="007552C6"/>
    <w:rsid w:val="00755CBC"/>
    <w:rsid w:val="007614EF"/>
    <w:rsid w:val="0076603E"/>
    <w:rsid w:val="0077233C"/>
    <w:rsid w:val="007751F4"/>
    <w:rsid w:val="00776526"/>
    <w:rsid w:val="00784BB9"/>
    <w:rsid w:val="00794407"/>
    <w:rsid w:val="007967E2"/>
    <w:rsid w:val="007A6357"/>
    <w:rsid w:val="007B15C6"/>
    <w:rsid w:val="007C3294"/>
    <w:rsid w:val="007C6C79"/>
    <w:rsid w:val="007D24FD"/>
    <w:rsid w:val="007E300C"/>
    <w:rsid w:val="007E6D1B"/>
    <w:rsid w:val="007F5EB7"/>
    <w:rsid w:val="007F79C9"/>
    <w:rsid w:val="00802F46"/>
    <w:rsid w:val="0082045C"/>
    <w:rsid w:val="00822EE0"/>
    <w:rsid w:val="0083174F"/>
    <w:rsid w:val="00841DD1"/>
    <w:rsid w:val="00844B08"/>
    <w:rsid w:val="00845711"/>
    <w:rsid w:val="0086065C"/>
    <w:rsid w:val="0086628A"/>
    <w:rsid w:val="008729A2"/>
    <w:rsid w:val="008737C7"/>
    <w:rsid w:val="00887A92"/>
    <w:rsid w:val="008944DC"/>
    <w:rsid w:val="008A14A0"/>
    <w:rsid w:val="008A3B13"/>
    <w:rsid w:val="008A3EE3"/>
    <w:rsid w:val="008A634E"/>
    <w:rsid w:val="008B200E"/>
    <w:rsid w:val="008B7460"/>
    <w:rsid w:val="008C143A"/>
    <w:rsid w:val="008C650B"/>
    <w:rsid w:val="008D1C7C"/>
    <w:rsid w:val="008D3E5C"/>
    <w:rsid w:val="008D49CF"/>
    <w:rsid w:val="008D7A18"/>
    <w:rsid w:val="008F3027"/>
    <w:rsid w:val="00904E5A"/>
    <w:rsid w:val="009102F7"/>
    <w:rsid w:val="00912E19"/>
    <w:rsid w:val="00913C2E"/>
    <w:rsid w:val="00914A07"/>
    <w:rsid w:val="009229C7"/>
    <w:rsid w:val="00924666"/>
    <w:rsid w:val="00927A8A"/>
    <w:rsid w:val="00934B32"/>
    <w:rsid w:val="00941EF1"/>
    <w:rsid w:val="00945D2C"/>
    <w:rsid w:val="009501E0"/>
    <w:rsid w:val="00951321"/>
    <w:rsid w:val="009533E7"/>
    <w:rsid w:val="00954BF3"/>
    <w:rsid w:val="00964019"/>
    <w:rsid w:val="00972E96"/>
    <w:rsid w:val="009772DD"/>
    <w:rsid w:val="0098211B"/>
    <w:rsid w:val="00986BBA"/>
    <w:rsid w:val="009B25B8"/>
    <w:rsid w:val="009B5351"/>
    <w:rsid w:val="009B6E83"/>
    <w:rsid w:val="009C0A09"/>
    <w:rsid w:val="009C3901"/>
    <w:rsid w:val="009C47CB"/>
    <w:rsid w:val="009E3573"/>
    <w:rsid w:val="009E4A9B"/>
    <w:rsid w:val="009E798F"/>
    <w:rsid w:val="009F5F27"/>
    <w:rsid w:val="00A108DA"/>
    <w:rsid w:val="00A1099D"/>
    <w:rsid w:val="00A1430C"/>
    <w:rsid w:val="00A36EF8"/>
    <w:rsid w:val="00A37E82"/>
    <w:rsid w:val="00A40452"/>
    <w:rsid w:val="00A57D85"/>
    <w:rsid w:val="00A603DF"/>
    <w:rsid w:val="00A6538A"/>
    <w:rsid w:val="00A65F70"/>
    <w:rsid w:val="00A66265"/>
    <w:rsid w:val="00A82381"/>
    <w:rsid w:val="00A94274"/>
    <w:rsid w:val="00AA53CF"/>
    <w:rsid w:val="00AB61B4"/>
    <w:rsid w:val="00AD2C48"/>
    <w:rsid w:val="00AD72B7"/>
    <w:rsid w:val="00AE2928"/>
    <w:rsid w:val="00AF32D3"/>
    <w:rsid w:val="00AF6104"/>
    <w:rsid w:val="00B00DDF"/>
    <w:rsid w:val="00B05C4A"/>
    <w:rsid w:val="00B06D58"/>
    <w:rsid w:val="00B15CB4"/>
    <w:rsid w:val="00B216DB"/>
    <w:rsid w:val="00B32783"/>
    <w:rsid w:val="00B32FA5"/>
    <w:rsid w:val="00B33526"/>
    <w:rsid w:val="00B4039C"/>
    <w:rsid w:val="00B44293"/>
    <w:rsid w:val="00B45C44"/>
    <w:rsid w:val="00B5157C"/>
    <w:rsid w:val="00B53F3E"/>
    <w:rsid w:val="00B54D5A"/>
    <w:rsid w:val="00B65838"/>
    <w:rsid w:val="00B7674C"/>
    <w:rsid w:val="00BA30AA"/>
    <w:rsid w:val="00BC1B05"/>
    <w:rsid w:val="00BC2295"/>
    <w:rsid w:val="00BD2A83"/>
    <w:rsid w:val="00BE1066"/>
    <w:rsid w:val="00BE10B9"/>
    <w:rsid w:val="00BE2106"/>
    <w:rsid w:val="00BE3811"/>
    <w:rsid w:val="00BE43F8"/>
    <w:rsid w:val="00BF0EE8"/>
    <w:rsid w:val="00BF2297"/>
    <w:rsid w:val="00BF7474"/>
    <w:rsid w:val="00C03413"/>
    <w:rsid w:val="00C10B6E"/>
    <w:rsid w:val="00C148F1"/>
    <w:rsid w:val="00C16670"/>
    <w:rsid w:val="00C22C27"/>
    <w:rsid w:val="00C24077"/>
    <w:rsid w:val="00C30095"/>
    <w:rsid w:val="00C340AA"/>
    <w:rsid w:val="00C34357"/>
    <w:rsid w:val="00C519ED"/>
    <w:rsid w:val="00C5213A"/>
    <w:rsid w:val="00C62E25"/>
    <w:rsid w:val="00C64453"/>
    <w:rsid w:val="00C644CA"/>
    <w:rsid w:val="00C6557F"/>
    <w:rsid w:val="00C65CC2"/>
    <w:rsid w:val="00C6653B"/>
    <w:rsid w:val="00C7629D"/>
    <w:rsid w:val="00CA5CA6"/>
    <w:rsid w:val="00CA6DFA"/>
    <w:rsid w:val="00CB292B"/>
    <w:rsid w:val="00CB33F0"/>
    <w:rsid w:val="00CC695F"/>
    <w:rsid w:val="00CD1CC6"/>
    <w:rsid w:val="00CD54BF"/>
    <w:rsid w:val="00CD5D96"/>
    <w:rsid w:val="00CE28FF"/>
    <w:rsid w:val="00CE6E5F"/>
    <w:rsid w:val="00D02B1B"/>
    <w:rsid w:val="00D140B7"/>
    <w:rsid w:val="00D32651"/>
    <w:rsid w:val="00D33031"/>
    <w:rsid w:val="00D4010F"/>
    <w:rsid w:val="00D434E4"/>
    <w:rsid w:val="00D51E66"/>
    <w:rsid w:val="00D61566"/>
    <w:rsid w:val="00D62B06"/>
    <w:rsid w:val="00D64A23"/>
    <w:rsid w:val="00D676F3"/>
    <w:rsid w:val="00D733DB"/>
    <w:rsid w:val="00D84911"/>
    <w:rsid w:val="00D9337B"/>
    <w:rsid w:val="00D9736B"/>
    <w:rsid w:val="00DB48C2"/>
    <w:rsid w:val="00DC3AD4"/>
    <w:rsid w:val="00DE7517"/>
    <w:rsid w:val="00E043DC"/>
    <w:rsid w:val="00E05FBA"/>
    <w:rsid w:val="00E108B2"/>
    <w:rsid w:val="00E12B71"/>
    <w:rsid w:val="00E148E1"/>
    <w:rsid w:val="00E2682D"/>
    <w:rsid w:val="00E31D80"/>
    <w:rsid w:val="00E32CA8"/>
    <w:rsid w:val="00E34864"/>
    <w:rsid w:val="00E406C9"/>
    <w:rsid w:val="00E417C5"/>
    <w:rsid w:val="00E43E6D"/>
    <w:rsid w:val="00E53537"/>
    <w:rsid w:val="00E5739D"/>
    <w:rsid w:val="00E649D5"/>
    <w:rsid w:val="00E67A54"/>
    <w:rsid w:val="00E70C34"/>
    <w:rsid w:val="00E713E7"/>
    <w:rsid w:val="00E751CA"/>
    <w:rsid w:val="00E800B5"/>
    <w:rsid w:val="00E806CF"/>
    <w:rsid w:val="00E8142E"/>
    <w:rsid w:val="00E814A8"/>
    <w:rsid w:val="00E8247C"/>
    <w:rsid w:val="00E848F3"/>
    <w:rsid w:val="00E962FE"/>
    <w:rsid w:val="00EA2654"/>
    <w:rsid w:val="00EA295C"/>
    <w:rsid w:val="00EA4E61"/>
    <w:rsid w:val="00EA6263"/>
    <w:rsid w:val="00EA76D0"/>
    <w:rsid w:val="00EB1DCE"/>
    <w:rsid w:val="00EB5E80"/>
    <w:rsid w:val="00EB7D9B"/>
    <w:rsid w:val="00EC4E5E"/>
    <w:rsid w:val="00EE28E2"/>
    <w:rsid w:val="00EE3D9D"/>
    <w:rsid w:val="00EE514F"/>
    <w:rsid w:val="00EE6E61"/>
    <w:rsid w:val="00EF7391"/>
    <w:rsid w:val="00EF793E"/>
    <w:rsid w:val="00F10B98"/>
    <w:rsid w:val="00F26504"/>
    <w:rsid w:val="00F310CE"/>
    <w:rsid w:val="00F337F2"/>
    <w:rsid w:val="00F3381F"/>
    <w:rsid w:val="00F36916"/>
    <w:rsid w:val="00F40A2F"/>
    <w:rsid w:val="00F42F3A"/>
    <w:rsid w:val="00F464F4"/>
    <w:rsid w:val="00F47EE8"/>
    <w:rsid w:val="00F51758"/>
    <w:rsid w:val="00F55EF4"/>
    <w:rsid w:val="00F64821"/>
    <w:rsid w:val="00F64BF1"/>
    <w:rsid w:val="00F73192"/>
    <w:rsid w:val="00F75A7A"/>
    <w:rsid w:val="00F823F7"/>
    <w:rsid w:val="00FA717C"/>
    <w:rsid w:val="00FB221F"/>
    <w:rsid w:val="00FC0FF2"/>
    <w:rsid w:val="00FD64DA"/>
    <w:rsid w:val="00FF52A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010F"/>
    <w:rPr>
      <w:lang w:eastAsia="es-ES"/>
    </w:rPr>
  </w:style>
  <w:style w:type="paragraph" w:styleId="Ttulo1">
    <w:name w:val="heading 1"/>
    <w:aliases w:val="Título Principal"/>
    <w:basedOn w:val="Normal"/>
    <w:next w:val="Normal"/>
    <w:link w:val="Ttulo1Car"/>
    <w:uiPriority w:val="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uiPriority w:val="99"/>
    <w:rsid w:val="003667C2"/>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uiPriority w:val="99"/>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59"/>
    <w:rsid w:val="00977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15CB4"/>
    <w:pPr>
      <w:spacing w:after="120"/>
    </w:pPr>
  </w:style>
  <w:style w:type="character" w:customStyle="1" w:styleId="TextoindependienteCar">
    <w:name w:val="Texto independiente Car"/>
    <w:link w:val="Textoindependiente"/>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B06D58"/>
    <w:rPr>
      <w:rFonts w:ascii="Book Antiqua" w:hAnsi="Book Antiqua" w:cs="Book Antiqua"/>
      <w:sz w:val="24"/>
      <w:szCs w:val="24"/>
      <w:lang w:val="es-ES" w:eastAsia="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uiPriority w:val="99"/>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aliases w:val="formato,peque"/>
    <w:basedOn w:val="Normal"/>
    <w:link w:val="TtuloCar"/>
    <w:qFormat/>
    <w:rsid w:val="006E3B1A"/>
    <w:pPr>
      <w:jc w:val="center"/>
    </w:pPr>
    <w:rPr>
      <w:rFonts w:ascii="Arial" w:hAnsi="Arial"/>
      <w:b/>
      <w:bCs/>
      <w:sz w:val="36"/>
      <w:szCs w:val="36"/>
    </w:rPr>
  </w:style>
  <w:style w:type="character" w:customStyle="1" w:styleId="TtuloCar">
    <w:name w:val="Título Car"/>
    <w:aliases w:val="formato Car,peque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Epgrafe">
    <w:name w:val="caption"/>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uiPriority w:val="99"/>
    <w:rsid w:val="002F108C"/>
    <w:rPr>
      <w:sz w:val="16"/>
      <w:szCs w:val="16"/>
    </w:rPr>
  </w:style>
  <w:style w:type="paragraph" w:styleId="Textocomentario">
    <w:name w:val="annotation text"/>
    <w:basedOn w:val="Normal"/>
    <w:link w:val="TextocomentarioCar"/>
    <w:uiPriority w:val="99"/>
    <w:rsid w:val="002F108C"/>
    <w:pPr>
      <w:spacing w:after="120" w:line="360" w:lineRule="auto"/>
      <w:jc w:val="both"/>
    </w:pPr>
    <w:rPr>
      <w:rFonts w:ascii="Arial" w:hAnsi="Arial"/>
      <w:lang w:val="es-ES"/>
    </w:rPr>
  </w:style>
  <w:style w:type="character" w:customStyle="1" w:styleId="TextocomentarioCar">
    <w:name w:val="Texto comentario Car"/>
    <w:basedOn w:val="Fuentedeprrafopredeter"/>
    <w:link w:val="Textocomentario"/>
    <w:uiPriority w:val="99"/>
    <w:rsid w:val="002F108C"/>
    <w:rPr>
      <w:rFonts w:ascii="Arial" w:hAnsi="Arial"/>
      <w:lang w:val="es-ES" w:eastAsia="es-ES"/>
    </w:rPr>
  </w:style>
  <w:style w:type="paragraph" w:styleId="Asuntodelcomentario">
    <w:name w:val="annotation subject"/>
    <w:basedOn w:val="Textocomentario"/>
    <w:next w:val="Textocomentario"/>
    <w:link w:val="AsuntodelcomentarioCar"/>
    <w:uiPriority w:val="99"/>
    <w:rsid w:val="002F108C"/>
    <w:rPr>
      <w:b/>
      <w:bCs/>
    </w:rPr>
  </w:style>
  <w:style w:type="character" w:customStyle="1" w:styleId="AsuntodelcomentarioCar">
    <w:name w:val="Asunto del comentario Car"/>
    <w:basedOn w:val="TextocomentarioCar"/>
    <w:link w:val="Asuntodelcomentario"/>
    <w:uiPriority w:val="99"/>
    <w:rsid w:val="002F108C"/>
    <w:rPr>
      <w:b/>
      <w:bC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basedOn w:val="Fuentedeprrafopredete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basedOn w:val="Fuentedeprrafopredete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table" w:styleId="Listaclara-nfasis5">
    <w:name w:val="Light List Accent 5"/>
    <w:basedOn w:val="Tablanormal"/>
    <w:uiPriority w:val="61"/>
    <w:rsid w:val="004E7C42"/>
    <w:rPr>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4E7C4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tulodellibro">
    <w:name w:val="Book Title"/>
    <w:basedOn w:val="Fuentedeprrafopredeter"/>
    <w:uiPriority w:val="33"/>
    <w:qFormat/>
    <w:rsid w:val="004E7C42"/>
    <w:rPr>
      <w:rFonts w:ascii="Arial" w:hAnsi="Arial"/>
      <w:b/>
      <w:bCs/>
      <w:smallCaps/>
      <w:spacing w:val="5"/>
    </w:rPr>
  </w:style>
  <w:style w:type="character" w:customStyle="1" w:styleId="Sangra2detindependienteCar">
    <w:name w:val="Sangría 2 de t. independiente Car"/>
    <w:basedOn w:val="Fuentedeprrafopredeter"/>
    <w:link w:val="Sangra2detindependiente"/>
    <w:uiPriority w:val="99"/>
    <w:rsid w:val="004E7C42"/>
    <w:rPr>
      <w:rFonts w:ascii="Arial" w:hAnsi="Arial" w:cs="Arial"/>
      <w:color w:val="000000"/>
      <w:spacing w:val="-10"/>
      <w:sz w:val="28"/>
      <w:szCs w:val="28"/>
      <w:u w:color="000000"/>
      <w:lang w:val="es-ES" w:eastAsia="es-ES"/>
    </w:rPr>
  </w:style>
  <w:style w:type="paragraph" w:styleId="TtulodeTDC">
    <w:name w:val="TOC Heading"/>
    <w:basedOn w:val="Ttulo1"/>
    <w:next w:val="Normal"/>
    <w:uiPriority w:val="39"/>
    <w:semiHidden/>
    <w:unhideWhenUsed/>
    <w:qFormat/>
    <w:rsid w:val="004E7C42"/>
    <w:pPr>
      <w:keepLines/>
      <w:widowControl/>
      <w:tabs>
        <w:tab w:val="clear" w:pos="4680"/>
      </w:tabs>
      <w:autoSpaceDE/>
      <w:autoSpaceDN/>
      <w:adjustRightInd/>
      <w:spacing w:before="480" w:line="276" w:lineRule="auto"/>
      <w:jc w:val="left"/>
      <w:outlineLvl w:val="9"/>
    </w:pPr>
    <w:rPr>
      <w:rFonts w:asciiTheme="majorHAnsi" w:eastAsiaTheme="majorEastAsia" w:hAnsiTheme="majorHAnsi" w:cstheme="majorBidi"/>
      <w:i w:val="0"/>
      <w:iCs w:val="0"/>
      <w:color w:val="365F91" w:themeColor="accent1" w:themeShade="BF"/>
      <w:spacing w:val="0"/>
      <w:sz w:val="28"/>
      <w:szCs w:val="28"/>
      <w:lang w:val="es-CR" w:eastAsia="es-CR"/>
    </w:rPr>
  </w:style>
  <w:style w:type="paragraph" w:styleId="TDC1">
    <w:name w:val="toc 1"/>
    <w:basedOn w:val="Normal"/>
    <w:next w:val="Normal"/>
    <w:autoRedefine/>
    <w:uiPriority w:val="39"/>
    <w:unhideWhenUsed/>
    <w:rsid w:val="004E7C42"/>
    <w:pPr>
      <w:spacing w:after="100"/>
    </w:pPr>
    <w:rPr>
      <w:rFonts w:ascii="Cambria" w:eastAsia="Cambria" w:hAnsi="Cambria"/>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mailto:notifica_presupuesto_nacional@hacienda.go.c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8115</Words>
  <Characters>44636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52646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amenac</cp:lastModifiedBy>
  <cp:revision>2</cp:revision>
  <dcterms:created xsi:type="dcterms:W3CDTF">2019-07-17T19:17:00Z</dcterms:created>
  <dcterms:modified xsi:type="dcterms:W3CDTF">2019-07-17T19:17:00Z</dcterms:modified>
</cp:coreProperties>
</file>