
<file path=[Content_Types].xml><?xml version="1.0" encoding="utf-8"?>
<Types xmlns="http://schemas.openxmlformats.org/package/2006/content-types">
  <Override PartName="/word/charts/chart10.xml" ContentType="application/vnd.openxmlformats-officedocument.drawingml.chart+xml"/>
  <Override PartName="/word/theme/themeOverride5.xml" ContentType="application/vnd.openxmlformats-officedocument.themeOverride+xml"/>
  <Override PartName="/word/theme/themeOverride15.xml" ContentType="application/vnd.openxmlformats-officedocument.themeOverride+xml"/>
  <Override PartName="/word/theme/themeOverride26.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drawings/drawing6.xml" ContentType="application/vnd.openxmlformats-officedocument.drawingml.chartshapes+xml"/>
  <Override PartName="/word/theme/themeOverride1.xml" ContentType="application/vnd.openxmlformats-officedocument.themeOverride+xml"/>
  <Override PartName="/word/theme/themeOverride11.xml" ContentType="application/vnd.openxmlformats-officedocument.themeOverride+xml"/>
  <Override PartName="/word/drawings/drawing18.xml" ContentType="application/vnd.openxmlformats-officedocument.drawingml.chartshapes+xml"/>
  <Override PartName="/word/drawings/drawing29.xml" ContentType="application/vnd.openxmlformats-officedocument.drawingml.chartshapes+xml"/>
  <Override PartName="/word/theme/themeOverride40.xml" ContentType="application/vnd.openxmlformats-officedocument.themeOverride+xml"/>
  <Override PartName="/word/charts/chart59.xml" ContentType="application/vnd.openxmlformats-officedocument.drawingml.chart+xml"/>
  <Override PartName="/word/drawings/drawing47.xml" ContentType="application/vnd.openxmlformats-officedocument.drawingml.chartshapes+xml"/>
  <Override PartName="/word/footer7.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drawings/drawing25.xml" ContentType="application/vnd.openxmlformats-officedocument.drawingml.chartshapes+xml"/>
  <Override PartName="/word/charts/chart48.xml" ContentType="application/vnd.openxmlformats-officedocument.drawingml.chart+xml"/>
  <Override PartName="/word/drawings/drawing36.xml" ContentType="application/vnd.openxmlformats-officedocument.drawingml.chartshapes+xml"/>
  <Override PartName="/word/charts/chart66.xml" ContentType="application/vnd.openxmlformats-officedocument.drawingml.chart+xml"/>
  <Override PartName="/word/footer3.xml" ContentType="application/vnd.openxmlformats-officedocument.wordprocessingml.footer+xml"/>
  <Override PartName="/word/drawings/drawing2.xml" ContentType="application/vnd.openxmlformats-officedocument.drawingml.chartshapes+xml"/>
  <Override PartName="/word/charts/chart26.xml" ContentType="application/vnd.openxmlformats-officedocument.drawingml.chart+xml"/>
  <Override PartName="/word/drawings/drawing14.xml" ContentType="application/vnd.openxmlformats-officedocument.drawingml.chartshapes+xml"/>
  <Override PartName="/word/charts/chart37.xml" ContentType="application/vnd.openxmlformats-officedocument.drawingml.chart+xml"/>
  <Override PartName="/word/charts/chart55.xml" ContentType="application/vnd.openxmlformats-officedocument.drawingml.chart+xml"/>
  <Override PartName="/word/drawings/drawing43.xml" ContentType="application/vnd.openxmlformats-officedocument.drawingml.chartshapes+xml"/>
  <Override PartName="/word/header4.xml" ContentType="application/vnd.openxmlformats-officedocument.wordprocessingml.header+xml"/>
  <Override PartName="/word/charts/chart5.xml" ContentType="application/vnd.openxmlformats-officedocument.drawingml.chart+xml"/>
  <Override PartName="/word/charts/chart15.xml" ContentType="application/vnd.openxmlformats-officedocument.drawingml.chart+xml"/>
  <Override PartName="/word/drawings/drawing21.xml" ContentType="application/vnd.openxmlformats-officedocument.drawingml.chartshapes+xml"/>
  <Override PartName="/word/charts/chart44.xml" ContentType="application/vnd.openxmlformats-officedocument.drawingml.chart+xml"/>
  <Override PartName="/word/drawings/drawing32.xml" ContentType="application/vnd.openxmlformats-officedocument.drawingml.chartshapes+xml"/>
  <Override PartName="/word/charts/chart62.xml" ContentType="application/vnd.openxmlformats-officedocument.drawingml.chart+xml"/>
  <Default Extension="xlsx" ContentType="application/vnd.openxmlformats-officedocument.spreadsheetml.sheet"/>
  <Override PartName="/word/drawings/drawing10.xml" ContentType="application/vnd.openxmlformats-officedocument.drawingml.chartshapes+xml"/>
  <Override PartName="/word/charts/chart22.xml" ContentType="application/vnd.openxmlformats-officedocument.drawingml.chart+xml"/>
  <Override PartName="/word/charts/chart33.xml" ContentType="application/vnd.openxmlformats-officedocument.drawingml.chart+xml"/>
  <Override PartName="/word/charts/chart51.xml" ContentType="application/vnd.openxmlformats-officedocument.drawingml.chart+xml"/>
  <Override PartName="/word/theme/themeOverride38.xml" ContentType="application/vnd.openxmlformats-officedocument.themeOverride+xml"/>
  <Override PartName="/word/charts/chart1.xml" ContentType="application/vnd.openxmlformats-officedocument.drawingml.chart+xml"/>
  <Override PartName="/word/charts/chart11.xml" ContentType="application/vnd.openxmlformats-officedocument.drawingml.chart+xml"/>
  <Override PartName="/word/theme/themeOverride6.xml" ContentType="application/vnd.openxmlformats-officedocument.themeOverride+xml"/>
  <Override PartName="/word/theme/themeOverride27.xml" ContentType="application/vnd.openxmlformats-officedocument.themeOverride+xml"/>
  <Override PartName="/word/charts/chart40.xml" ContentType="application/vnd.openxmlformats-officedocument.drawingml.chart+xml"/>
  <Default Extension="png" ContentType="image/png"/>
  <Default Extension="bin" ContentType="application/vnd.openxmlformats-officedocument.oleObject"/>
  <Override PartName="/word/theme/themeOverride16.xml" ContentType="application/vnd.openxmlformats-officedocument.themeOverride+xml"/>
  <Override PartName="/word/theme/themeOverride34.xml" ContentType="application/vnd.openxmlformats-officedocument.themeOverride+xml"/>
  <Override PartName="/word/theme/themeOverride2.xml" ContentType="application/vnd.openxmlformats-officedocument.themeOverride+xml"/>
  <Override PartName="/word/theme/themeOverride23.xml" ContentType="application/vnd.openxmlformats-officedocument.themeOverride+xml"/>
  <Override PartName="/word/theme/themeOverride41.xml" ContentType="application/vnd.openxmlformats-officedocument.themeOverride+xml"/>
  <Override PartName="/word/drawings/drawing7.xml" ContentType="application/vnd.openxmlformats-officedocument.drawingml.chartshapes+xml"/>
  <Override PartName="/word/theme/themeOverride12.xml" ContentType="application/vnd.openxmlformats-officedocument.themeOverride+xml"/>
  <Override PartName="/word/drawings/drawing19.xml" ContentType="application/vnd.openxmlformats-officedocument.drawingml.chartshapes+xml"/>
  <Override PartName="/word/theme/themeOverride30.xml" ContentType="application/vnd.openxmlformats-officedocument.themeOverride+xml"/>
  <Override PartName="/word/charts/chart49.xml" ContentType="application/vnd.openxmlformats-officedocument.drawingml.chart+xml"/>
  <Override PartName="/word/drawings/drawing37.xml" ContentType="application/vnd.openxmlformats-officedocument.drawingml.chartshapes+xml"/>
  <Override PartName="/word/footer4.xml" ContentType="application/vnd.openxmlformats-officedocument.wordprocessingml.footer+xml"/>
  <Override PartName="/word/drawings/drawing3.xml" ContentType="application/vnd.openxmlformats-officedocument.drawingml.chartshapes+xml"/>
  <Override PartName="/word/charts/chart38.xml" ContentType="application/vnd.openxmlformats-officedocument.drawingml.chart+xml"/>
  <Override PartName="/word/drawings/drawing26.xml" ContentType="application/vnd.openxmlformats-officedocument.drawingml.chartshapes+xml"/>
  <Override PartName="/word/drawings/drawing44.xml" ContentType="application/vnd.openxmlformats-officedocument.drawingml.chartshapes+xml"/>
  <Override PartName="/word/charts/chart67.xml" ContentType="application/vnd.openxmlformats-officedocument.drawingml.chart+xml"/>
  <Override PartName="/docProps/app.xml" ContentType="application/vnd.openxmlformats-officedocument.extended-properties+xml"/>
  <Override PartName="/word/charts/chart6.xml" ContentType="application/vnd.openxmlformats-officedocument.drawingml.chart+xml"/>
  <Override PartName="/word/charts/chart27.xml" ContentType="application/vnd.openxmlformats-officedocument.drawingml.chart+xml"/>
  <Override PartName="/word/drawings/drawing15.xml" ContentType="application/vnd.openxmlformats-officedocument.drawingml.chartshapes+xml"/>
  <Override PartName="/word/charts/chart45.xml" ContentType="application/vnd.openxmlformats-officedocument.drawingml.chart+xml"/>
  <Override PartName="/word/drawings/drawing33.xml" ContentType="application/vnd.openxmlformats-officedocument.drawingml.chartshapes+xml"/>
  <Override PartName="/word/charts/chart56.xml" ContentType="application/vnd.openxmlformats-officedocument.drawingml.chart+xml"/>
  <Override PartName="/word/charts/chart16.xml" ContentType="application/vnd.openxmlformats-officedocument.drawingml.chart+xml"/>
  <Override PartName="/word/charts/chart34.xml" ContentType="application/vnd.openxmlformats-officedocument.drawingml.chart+xml"/>
  <Override PartName="/word/drawings/drawing22.xml" ContentType="application/vnd.openxmlformats-officedocument.drawingml.chartshapes+xml"/>
  <Override PartName="/word/charts/chart52.xml" ContentType="application/vnd.openxmlformats-officedocument.drawingml.chart+xml"/>
  <Override PartName="/word/drawings/drawing40.xml" ContentType="application/vnd.openxmlformats-officedocument.drawingml.chartshapes+xml"/>
  <Override PartName="/word/charts/chart63.xml" ContentType="application/vnd.openxmlformats-officedocument.drawingml.chart+xml"/>
  <Override PartName="/word/header5.xml" ContentType="application/vnd.openxmlformats-officedocument.wordprocessingml.header+xml"/>
  <Override PartName="/word/charts/chart2.xml" ContentType="application/vnd.openxmlformats-officedocument.drawingml.chart+xml"/>
  <Override PartName="/word/drawings/drawing11.xml" ContentType="application/vnd.openxmlformats-officedocument.drawingml.chartshapes+xml"/>
  <Override PartName="/word/charts/chart23.xml" ContentType="application/vnd.openxmlformats-officedocument.drawingml.chart+xml"/>
  <Override PartName="/word/charts/chart41.xml" ContentType="application/vnd.openxmlformats-officedocument.drawingml.chart+xml"/>
  <Override PartName="/word/theme/themeOverride3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2.xml" ContentType="application/vnd.openxmlformats-officedocument.drawingml.chart+xml"/>
  <Override PartName="/word/theme/themeOverride7.xml" ContentType="application/vnd.openxmlformats-officedocument.themeOverride+xml"/>
  <Override PartName="/word/theme/themeOverride1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drawings/drawing8.xml" ContentType="application/vnd.openxmlformats-officedocument.drawingml.chartshapes+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Override PartName="/word/drawings/drawing38.xml" ContentType="application/vnd.openxmlformats-officedocument.drawingml.chartshapes+xml"/>
  <Override PartName="/word/charts/chart68.xml" ContentType="application/vnd.openxmlformats-officedocument.drawingml.chart+xml"/>
  <Default Extension="rels" ContentType="application/vnd.openxmlformats-package.relationships+xml"/>
  <Override PartName="/word/drawings/drawing4.xml" ContentType="application/vnd.openxmlformats-officedocument.drawingml.chartshapes+xml"/>
  <Override PartName="/word/charts/chart28.xml" ContentType="application/vnd.openxmlformats-officedocument.drawingml.chart+xml"/>
  <Override PartName="/word/drawings/drawing16.xml" ContentType="application/vnd.openxmlformats-officedocument.drawingml.chartshapes+xml"/>
  <Override PartName="/word/charts/chart39.xml" ContentType="application/vnd.openxmlformats-officedocument.drawingml.chart+xml"/>
  <Override PartName="/word/drawings/drawing27.xml" ContentType="application/vnd.openxmlformats-officedocument.drawingml.chartshapes+xml"/>
  <Override PartName="/word/charts/chart57.xml" ContentType="application/vnd.openxmlformats-officedocument.drawingml.chart+xml"/>
  <Override PartName="/word/drawings/drawing45.xml" ContentType="application/vnd.openxmlformats-officedocument.drawingml.chartshapes+xml"/>
  <Override PartName="/word/footer5.xml" ContentType="application/vnd.openxmlformats-officedocument.wordprocessingml.footer+xml"/>
  <Override PartName="/word/charts/chart7.xml" ContentType="application/vnd.openxmlformats-officedocument.drawingml.chart+xml"/>
  <Override PartName="/word/charts/chart17.xml" ContentType="application/vnd.openxmlformats-officedocument.drawingml.chart+xml"/>
  <Override PartName="/word/drawings/drawing23.xml" ContentType="application/vnd.openxmlformats-officedocument.drawingml.chartshapes+xml"/>
  <Override PartName="/word/charts/chart46.xml" ContentType="application/vnd.openxmlformats-officedocument.drawingml.chart+xml"/>
  <Override PartName="/word/drawings/drawing34.xml" ContentType="application/vnd.openxmlformats-officedocument.drawingml.chartshapes+xml"/>
  <Override PartName="/word/charts/chart64.xml" ContentType="application/vnd.openxmlformats-officedocument.drawingml.chart+xml"/>
  <Override PartName="/word/header6.xml" ContentType="application/vnd.openxmlformats-officedocument.wordprocessingml.header+xml"/>
  <Override PartName="/word/footer1.xml" ContentType="application/vnd.openxmlformats-officedocument.wordprocessingml.footer+xml"/>
  <Override PartName="/word/drawings/drawing12.xml" ContentType="application/vnd.openxmlformats-officedocument.drawingml.chartshapes+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drawings/drawing41.xml" ContentType="application/vnd.openxmlformats-officedocument.drawingml.chartshapes+xml"/>
  <Override PartName="/word/header2.xml" ContentType="application/vnd.openxmlformats-officedocument.wordprocessingml.header+xml"/>
  <Override PartName="/word/charts/chart3.xml" ContentType="application/vnd.openxmlformats-officedocument.drawingml.chart+xml"/>
  <Override PartName="/word/charts/chart13.xml" ContentType="application/vnd.openxmlformats-officedocument.drawingml.chart+xml"/>
  <Override PartName="/word/theme/themeOverride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charts/chart42.xml" ContentType="application/vnd.openxmlformats-officedocument.drawingml.chart+xml"/>
  <Override PartName="/word/drawings/drawing30.xml" ContentType="application/vnd.openxmlformats-officedocument.drawingml.chartshapes+xml"/>
  <Override PartName="/word/charts/chart60.xml" ContentType="application/vnd.openxmlformats-officedocument.drawingml.chart+xml"/>
  <Override PartName="/word/charts/chart20.xml" ContentType="application/vnd.openxmlformats-officedocument.drawingml.chart+xml"/>
  <Override PartName="/word/theme/themeOverride18.xml" ContentType="application/vnd.openxmlformats-officedocument.themeOverride+xml"/>
  <Override PartName="/word/theme/themeOverride36.xml" ContentType="application/vnd.openxmlformats-officedocument.themeOverride+xml"/>
  <Override PartName="/word/theme/themeOverride4.xml" ContentType="application/vnd.openxmlformats-officedocument.themeOverride+xml"/>
  <Override PartName="/word/theme/themeOverride25.xml" ContentType="application/vnd.openxmlformats-officedocument.themeOverride+xml"/>
  <Override PartName="/word/drawings/drawing9.xml" ContentType="application/vnd.openxmlformats-officedocument.drawingml.chartshapes+xml"/>
  <Override PartName="/word/theme/themeOverride14.xml" ContentType="application/vnd.openxmlformats-officedocument.themeOverride+xml"/>
  <Override PartName="/word/theme/themeOverride32.xml" ContentType="application/vnd.openxmlformats-officedocument.themeOverride+xml"/>
  <Override PartName="/word/drawings/drawing39.xml" ContentType="application/vnd.openxmlformats-officedocument.drawingml.chartshapes+xml"/>
  <Default Extension="jpeg" ContentType="image/jpeg"/>
  <Override PartName="/word/theme/themeOverride21.xml" ContentType="application/vnd.openxmlformats-officedocument.themeOverride+xml"/>
  <Override PartName="/word/drawings/drawing28.xml" ContentType="application/vnd.openxmlformats-officedocument.drawingml.chartshapes+xml"/>
  <Override PartName="/word/drawings/drawing46.xml" ContentType="application/vnd.openxmlformats-officedocument.drawingml.chartshapes+xml"/>
  <Override PartName="/word/charts/chart69.xml" ContentType="application/vnd.openxmlformats-officedocument.drawingml.chart+xml"/>
  <Override PartName="/word/footer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drawings/drawing5.xml" ContentType="application/vnd.openxmlformats-officedocument.drawingml.chartshap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drawings/drawing17.xml" ContentType="application/vnd.openxmlformats-officedocument.drawingml.chartshapes+xml"/>
  <Override PartName="/word/charts/chart47.xml" ContentType="application/vnd.openxmlformats-officedocument.drawingml.chart+xml"/>
  <Override PartName="/word/drawings/drawing35.xml" ContentType="application/vnd.openxmlformats-officedocument.drawingml.chartshapes+xml"/>
  <Override PartName="/word/charts/chart58.xml" ContentType="application/vnd.openxmlformats-officedocument.drawingml.chart+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charts/chart18.xml" ContentType="application/vnd.openxmlformats-officedocument.drawingml.chart+xml"/>
  <Override PartName="/word/charts/chart36.xml" ContentType="application/vnd.openxmlformats-officedocument.drawingml.chart+xml"/>
  <Override PartName="/word/drawings/drawing24.xml" ContentType="application/vnd.openxmlformats-officedocument.drawingml.chartshapes+xml"/>
  <Override PartName="/word/charts/chart54.xml" ContentType="application/vnd.openxmlformats-officedocument.drawingml.chart+xml"/>
  <Override PartName="/word/drawings/drawing42.xml" ContentType="application/vnd.openxmlformats-officedocument.drawingml.chartshapes+xml"/>
  <Override PartName="/word/charts/chart65.xml" ContentType="application/vnd.openxmlformats-officedocument.drawingml.chart+xml"/>
  <Override PartName="/word/header7.xml" ContentType="application/vnd.openxmlformats-officedocument.wordprocessingml.header+xml"/>
  <Override PartName="/word/charts/chart4.xml" ContentType="application/vnd.openxmlformats-officedocument.drawingml.chart+xml"/>
  <Override PartName="/word/charts/chart25.xml" ContentType="application/vnd.openxmlformats-officedocument.drawingml.chart+xml"/>
  <Override PartName="/word/drawings/drawing13.xml" ContentType="application/vnd.openxmlformats-officedocument.drawingml.chartshapes+xml"/>
  <Override PartName="/word/charts/chart43.xml" ContentType="application/vnd.openxmlformats-officedocument.drawingml.chart+xml"/>
  <Override PartName="/word/drawings/drawing31.xml" ContentType="application/vnd.openxmlformats-officedocument.drawingml.chartshapes+xml"/>
  <Override PartName="/word/theme/theme1.xml" ContentType="application/vnd.openxmlformats-officedocument.theme+xml"/>
  <Override PartName="/word/header3.xml" ContentType="application/vnd.openxmlformats-officedocument.wordprocessingml.header+xml"/>
  <Override PartName="/word/charts/chart14.xml" ContentType="application/vnd.openxmlformats-officedocument.drawingml.chart+xml"/>
  <Override PartName="/word/theme/themeOverride9.xml" ContentType="application/vnd.openxmlformats-officedocument.themeOverride+xml"/>
  <Override PartName="/word/theme/themeOverride19.xml" ContentType="application/vnd.openxmlformats-officedocument.themeOverride+xml"/>
  <Override PartName="/word/charts/chart32.xml" ContentType="application/vnd.openxmlformats-officedocument.drawingml.chart+xml"/>
  <Override PartName="/word/drawings/drawing20.xml" ContentType="application/vnd.openxmlformats-officedocument.drawingml.chartshapes+xml"/>
  <Override PartName="/word/charts/chart50.xml" ContentType="application/vnd.openxmlformats-officedocument.drawingml.chart+xml"/>
  <Override PartName="/word/charts/chart61.xml" ContentType="application/vnd.openxmlformats-officedocument.drawingml.chart+xml"/>
  <Override PartName="/word/charts/chart21.xml" ContentType="application/vnd.openxmlformats-officedocument.drawingml.chart+xml"/>
  <Override PartName="/word/theme/themeOverride37.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737B" w:rsidRPr="00C04B95" w:rsidRDefault="00DD6A5F" w:rsidP="007D737B">
      <w:pPr>
        <w:pStyle w:val="TDC1"/>
        <w:rPr>
          <w:rFonts w:ascii="Times New Roman" w:hAnsi="Times New Roman" w:cs="Times New Roman"/>
        </w:rPr>
      </w:pPr>
      <w:r>
        <w:rPr>
          <w:rFonts w:ascii="Times New Roman" w:hAnsi="Times New Roman" w:cs="Times New Roman"/>
        </w:rPr>
        <w:t>C</w:t>
      </w:r>
      <w:r w:rsidR="007D737B" w:rsidRPr="00C04B95">
        <w:rPr>
          <w:rFonts w:ascii="Times New Roman" w:hAnsi="Times New Roman" w:cs="Times New Roman"/>
        </w:rPr>
        <w:t>OSTA RICA</w:t>
      </w:r>
    </w:p>
    <w:p w:rsidR="007D737B" w:rsidRPr="00C04B95" w:rsidRDefault="007D737B" w:rsidP="007D737B">
      <w:pPr>
        <w:jc w:val="center"/>
        <w:rPr>
          <w:rFonts w:ascii="Times New Roman" w:hAnsi="Times New Roman" w:cs="Times New Roman"/>
        </w:rPr>
      </w:pPr>
    </w:p>
    <w:p w:rsidR="007D737B" w:rsidRPr="00C04B95" w:rsidRDefault="007D737B" w:rsidP="007D737B">
      <w:pPr>
        <w:jc w:val="center"/>
        <w:rPr>
          <w:rFonts w:ascii="Times New Roman" w:hAnsi="Times New Roman" w:cs="Times New Roman"/>
          <w:b/>
          <w:bCs/>
          <w:sz w:val="36"/>
          <w:szCs w:val="36"/>
        </w:rPr>
      </w:pPr>
      <w:r w:rsidRPr="00C04B95">
        <w:rPr>
          <w:rFonts w:ascii="Times New Roman" w:hAnsi="Times New Roman" w:cs="Times New Roman"/>
          <w:b/>
          <w:bCs/>
          <w:sz w:val="36"/>
          <w:szCs w:val="36"/>
        </w:rPr>
        <w:t>PODER JUDICIAL</w:t>
      </w:r>
    </w:p>
    <w:p w:rsidR="007D737B" w:rsidRPr="00C04B95" w:rsidRDefault="007D737B" w:rsidP="007D737B">
      <w:pPr>
        <w:jc w:val="center"/>
        <w:rPr>
          <w:rFonts w:ascii="Times New Roman" w:hAnsi="Times New Roman" w:cs="Times New Roman"/>
          <w:b/>
          <w:bCs/>
          <w:sz w:val="36"/>
          <w:szCs w:val="36"/>
        </w:rPr>
      </w:pPr>
    </w:p>
    <w:p w:rsidR="007D737B" w:rsidRPr="00C04B95" w:rsidRDefault="007D737B" w:rsidP="007D737B">
      <w:pPr>
        <w:jc w:val="center"/>
        <w:rPr>
          <w:rFonts w:ascii="Times New Roman" w:hAnsi="Times New Roman" w:cs="Times New Roman"/>
          <w:b/>
          <w:bCs/>
          <w:sz w:val="36"/>
          <w:szCs w:val="36"/>
        </w:rPr>
      </w:pPr>
      <w:r w:rsidRPr="00C04B95">
        <w:rPr>
          <w:rFonts w:ascii="Times New Roman" w:hAnsi="Times New Roman" w:cs="Times New Roman"/>
          <w:b/>
          <w:bCs/>
          <w:sz w:val="36"/>
          <w:szCs w:val="36"/>
        </w:rPr>
        <w:t>D</w:t>
      </w:r>
      <w:r>
        <w:rPr>
          <w:rFonts w:ascii="Times New Roman" w:hAnsi="Times New Roman" w:cs="Times New Roman"/>
          <w:b/>
          <w:bCs/>
          <w:sz w:val="36"/>
          <w:szCs w:val="36"/>
        </w:rPr>
        <w:t>IRECCIÓN</w:t>
      </w:r>
      <w:r w:rsidRPr="00C04B95">
        <w:rPr>
          <w:rFonts w:ascii="Times New Roman" w:hAnsi="Times New Roman" w:cs="Times New Roman"/>
          <w:b/>
          <w:bCs/>
          <w:sz w:val="36"/>
          <w:szCs w:val="36"/>
        </w:rPr>
        <w:t xml:space="preserve"> DE PLANIFICACIÓN</w:t>
      </w:r>
    </w:p>
    <w:p w:rsidR="007D737B" w:rsidRPr="00C04B95" w:rsidRDefault="007D737B" w:rsidP="007D737B">
      <w:pPr>
        <w:jc w:val="center"/>
        <w:rPr>
          <w:rFonts w:ascii="Times New Roman" w:hAnsi="Times New Roman" w:cs="Times New Roman"/>
          <w:b/>
          <w:bCs/>
          <w:sz w:val="36"/>
          <w:szCs w:val="36"/>
        </w:rPr>
      </w:pPr>
    </w:p>
    <w:p w:rsidR="007D737B" w:rsidRPr="00C04B95" w:rsidRDefault="007D737B" w:rsidP="007D737B">
      <w:pPr>
        <w:jc w:val="center"/>
        <w:rPr>
          <w:rFonts w:ascii="Times New Roman" w:hAnsi="Times New Roman" w:cs="Times New Roman"/>
          <w:b/>
          <w:bCs/>
          <w:sz w:val="36"/>
          <w:szCs w:val="36"/>
        </w:rPr>
      </w:pPr>
      <w:r w:rsidRPr="00C04B95">
        <w:rPr>
          <w:rFonts w:ascii="Times New Roman" w:hAnsi="Times New Roman" w:cs="Times New Roman"/>
          <w:b/>
          <w:bCs/>
          <w:sz w:val="36"/>
          <w:szCs w:val="36"/>
        </w:rPr>
        <w:t>SECCIÓN DE ESTADÍSTICA</w:t>
      </w:r>
    </w:p>
    <w:p w:rsidR="007D737B" w:rsidRDefault="007D737B" w:rsidP="007D737B">
      <w:pPr>
        <w:jc w:val="center"/>
        <w:rPr>
          <w:rFonts w:ascii="Times New Roman" w:hAnsi="Times New Roman" w:cs="Times New Roman"/>
        </w:rPr>
      </w:pPr>
    </w:p>
    <w:p w:rsidR="007D737B" w:rsidRPr="00C04B95" w:rsidRDefault="007D737B" w:rsidP="007D737B">
      <w:pPr>
        <w:jc w:val="center"/>
        <w:rPr>
          <w:rFonts w:ascii="Times New Roman" w:hAnsi="Times New Roman" w:cs="Times New Roman"/>
        </w:rPr>
      </w:pPr>
    </w:p>
    <w:p w:rsidR="007D737B" w:rsidRPr="00C04B95" w:rsidRDefault="007D737B" w:rsidP="007D737B">
      <w:pPr>
        <w:jc w:val="center"/>
        <w:rPr>
          <w:rFonts w:ascii="Times New Roman" w:hAnsi="Times New Roman" w:cs="Times New Roman"/>
          <w:b/>
          <w:bCs/>
          <w:sz w:val="32"/>
          <w:szCs w:val="32"/>
          <w:lang w:val="pt-BR"/>
        </w:rPr>
      </w:pPr>
      <w:r w:rsidRPr="00C04B95">
        <w:rPr>
          <w:rFonts w:ascii="Times New Roman" w:hAnsi="Times New Roman" w:cs="Times New Roman"/>
          <w:b/>
          <w:bCs/>
          <w:sz w:val="32"/>
          <w:szCs w:val="32"/>
          <w:lang w:val="pt-BR"/>
        </w:rPr>
        <w:t>COMPENDIO DE INDICADORES JUDICIALES</w:t>
      </w:r>
    </w:p>
    <w:p w:rsidR="007D737B" w:rsidRPr="00C04B95" w:rsidRDefault="007D737B" w:rsidP="007D737B">
      <w:pPr>
        <w:jc w:val="center"/>
        <w:rPr>
          <w:rFonts w:ascii="Times New Roman" w:hAnsi="Times New Roman" w:cs="Times New Roman"/>
          <w:b/>
          <w:bCs/>
          <w:sz w:val="32"/>
          <w:szCs w:val="32"/>
          <w:lang w:val="pt-BR"/>
        </w:rPr>
      </w:pPr>
      <w:r w:rsidRPr="00C04B95">
        <w:rPr>
          <w:rFonts w:ascii="Times New Roman" w:hAnsi="Times New Roman" w:cs="Times New Roman"/>
          <w:b/>
          <w:bCs/>
          <w:sz w:val="32"/>
          <w:szCs w:val="32"/>
          <w:lang w:val="pt-BR"/>
        </w:rPr>
        <w:t>20</w:t>
      </w:r>
      <w:r>
        <w:rPr>
          <w:rFonts w:ascii="Times New Roman" w:hAnsi="Times New Roman" w:cs="Times New Roman"/>
          <w:b/>
          <w:bCs/>
          <w:sz w:val="32"/>
          <w:szCs w:val="32"/>
          <w:lang w:val="pt-BR"/>
        </w:rPr>
        <w:t>1</w:t>
      </w:r>
      <w:r w:rsidR="00E9575C">
        <w:rPr>
          <w:rFonts w:ascii="Times New Roman" w:hAnsi="Times New Roman" w:cs="Times New Roman"/>
          <w:b/>
          <w:bCs/>
          <w:sz w:val="32"/>
          <w:szCs w:val="32"/>
          <w:lang w:val="pt-BR"/>
        </w:rPr>
        <w:t>1 – 2015</w:t>
      </w:r>
    </w:p>
    <w:p w:rsidR="007D737B" w:rsidRDefault="007D737B" w:rsidP="007D737B">
      <w:pPr>
        <w:jc w:val="center"/>
        <w:rPr>
          <w:b/>
          <w:bCs/>
          <w:sz w:val="36"/>
          <w:szCs w:val="36"/>
        </w:rPr>
      </w:pPr>
    </w:p>
    <w:p w:rsidR="007D737B" w:rsidRDefault="007D737B" w:rsidP="007D737B">
      <w:pPr>
        <w:jc w:val="center"/>
      </w:pPr>
    </w:p>
    <w:p w:rsidR="007D737B" w:rsidRDefault="007D737B" w:rsidP="007D737B">
      <w:pPr>
        <w:jc w:val="center"/>
      </w:pPr>
      <w:r>
        <w:rPr>
          <w:noProof/>
          <w:lang w:val="es-CR" w:eastAsia="es-CR"/>
        </w:rPr>
        <w:drawing>
          <wp:inline distT="0" distB="0" distL="0" distR="0">
            <wp:extent cx="5966460" cy="3253740"/>
            <wp:effectExtent l="19050" t="0" r="0" b="0"/>
            <wp:docPr id="77" name="Imagen 7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4"/>
                    <pic:cNvPicPr>
                      <a:picLocks noChangeAspect="1" noChangeArrowheads="1"/>
                    </pic:cNvPicPr>
                  </pic:nvPicPr>
                  <pic:blipFill>
                    <a:blip r:embed="rId8" cstate="print"/>
                    <a:srcRect/>
                    <a:stretch>
                      <a:fillRect/>
                    </a:stretch>
                  </pic:blipFill>
                  <pic:spPr bwMode="auto">
                    <a:xfrm>
                      <a:off x="0" y="0"/>
                      <a:ext cx="5966460" cy="3253740"/>
                    </a:xfrm>
                    <a:prstGeom prst="rect">
                      <a:avLst/>
                    </a:prstGeom>
                    <a:noFill/>
                    <a:ln w="9525">
                      <a:noFill/>
                      <a:miter lim="800000"/>
                      <a:headEnd/>
                      <a:tailEnd/>
                    </a:ln>
                  </pic:spPr>
                </pic:pic>
              </a:graphicData>
            </a:graphic>
          </wp:inline>
        </w:drawing>
      </w:r>
    </w:p>
    <w:p w:rsidR="007D737B" w:rsidRDefault="007D737B" w:rsidP="007D737B">
      <w:pPr>
        <w:jc w:val="center"/>
      </w:pPr>
    </w:p>
    <w:p w:rsidR="007D737B" w:rsidRPr="003327F7" w:rsidRDefault="007D737B" w:rsidP="007D737B">
      <w:pPr>
        <w:jc w:val="center"/>
        <w:rPr>
          <w:rFonts w:ascii="Times New Roman" w:hAnsi="Times New Roman" w:cs="Times New Roman"/>
          <w:b/>
          <w:bCs/>
          <w:sz w:val="32"/>
          <w:szCs w:val="32"/>
        </w:rPr>
      </w:pPr>
      <w:r w:rsidRPr="00B67EDE">
        <w:rPr>
          <w:rFonts w:ascii="Times New Roman" w:hAnsi="Times New Roman" w:cs="Times New Roman"/>
          <w:b/>
          <w:bCs/>
          <w:sz w:val="32"/>
          <w:szCs w:val="32"/>
        </w:rPr>
        <w:t>(</w:t>
      </w:r>
      <w:r w:rsidR="00071467">
        <w:rPr>
          <w:rFonts w:ascii="Times New Roman" w:hAnsi="Times New Roman" w:cs="Times New Roman"/>
          <w:b/>
          <w:bCs/>
          <w:sz w:val="32"/>
          <w:szCs w:val="32"/>
        </w:rPr>
        <w:t>274</w:t>
      </w:r>
      <w:r w:rsidR="00B054C9">
        <w:rPr>
          <w:rFonts w:ascii="Times New Roman" w:hAnsi="Times New Roman" w:cs="Times New Roman"/>
          <w:b/>
          <w:bCs/>
          <w:sz w:val="32"/>
          <w:szCs w:val="32"/>
        </w:rPr>
        <w:t>-PLA-2017</w:t>
      </w:r>
      <w:r w:rsidRPr="00B67EDE">
        <w:rPr>
          <w:rFonts w:ascii="Times New Roman" w:hAnsi="Times New Roman" w:cs="Times New Roman"/>
          <w:b/>
          <w:bCs/>
          <w:sz w:val="32"/>
          <w:szCs w:val="32"/>
        </w:rPr>
        <w:t>/</w:t>
      </w:r>
      <w:r w:rsidR="00071467">
        <w:rPr>
          <w:rFonts w:ascii="Times New Roman" w:hAnsi="Times New Roman" w:cs="Times New Roman"/>
          <w:b/>
          <w:bCs/>
          <w:sz w:val="32"/>
          <w:szCs w:val="32"/>
        </w:rPr>
        <w:t>26</w:t>
      </w:r>
      <w:r w:rsidR="00B054C9">
        <w:rPr>
          <w:rFonts w:ascii="Times New Roman" w:hAnsi="Times New Roman" w:cs="Times New Roman"/>
          <w:b/>
          <w:bCs/>
          <w:sz w:val="32"/>
          <w:szCs w:val="32"/>
        </w:rPr>
        <w:t>-EST-2017</w:t>
      </w:r>
      <w:r w:rsidRPr="00B67EDE">
        <w:rPr>
          <w:rFonts w:ascii="Times New Roman" w:hAnsi="Times New Roman" w:cs="Times New Roman"/>
          <w:b/>
          <w:bCs/>
          <w:sz w:val="32"/>
          <w:szCs w:val="32"/>
        </w:rPr>
        <w:t>)</w:t>
      </w:r>
    </w:p>
    <w:p w:rsidR="007D737B" w:rsidRPr="003327F7" w:rsidRDefault="007D737B" w:rsidP="007D737B">
      <w:pPr>
        <w:rPr>
          <w:rFonts w:ascii="Times New Roman" w:hAnsi="Times New Roman" w:cs="Times New Roman"/>
        </w:rPr>
      </w:pPr>
    </w:p>
    <w:p w:rsidR="007D737B" w:rsidRPr="003327F7" w:rsidRDefault="00B054C9" w:rsidP="007D737B">
      <w:pPr>
        <w:jc w:val="center"/>
        <w:rPr>
          <w:rFonts w:ascii="Times New Roman" w:hAnsi="Times New Roman" w:cs="Times New Roman"/>
          <w:b/>
          <w:bCs/>
          <w:sz w:val="32"/>
          <w:szCs w:val="32"/>
        </w:rPr>
        <w:sectPr w:rsidR="007D737B" w:rsidRPr="003327F7" w:rsidSect="0038705C">
          <w:headerReference w:type="default" r:id="rId9"/>
          <w:footerReference w:type="even" r:id="rId10"/>
          <w:footerReference w:type="default" r:id="rId11"/>
          <w:headerReference w:type="first" r:id="rId12"/>
          <w:pgSz w:w="12242" w:h="15842" w:code="1"/>
          <w:pgMar w:top="1418" w:right="1418" w:bottom="1258" w:left="1418" w:header="709" w:footer="709" w:gutter="0"/>
          <w:pgNumType w:start="0"/>
          <w:cols w:space="708"/>
          <w:titlePg/>
          <w:docGrid w:linePitch="360"/>
        </w:sectPr>
      </w:pPr>
      <w:r>
        <w:rPr>
          <w:rFonts w:ascii="Times New Roman" w:hAnsi="Times New Roman" w:cs="Times New Roman"/>
          <w:b/>
          <w:bCs/>
          <w:sz w:val="32"/>
          <w:szCs w:val="32"/>
        </w:rPr>
        <w:t>Enero, 2017</w:t>
      </w:r>
    </w:p>
    <w:p w:rsidR="00B14F0E" w:rsidRDefault="00B14F0E">
      <w:pPr>
        <w:widowControl/>
        <w:autoSpaceDE/>
        <w:autoSpaceDN/>
        <w:adjustRightInd/>
        <w:rPr>
          <w:rFonts w:ascii="Times New Roman" w:hAnsi="Times New Roman" w:cs="Times New Roman"/>
          <w:b/>
          <w:bCs/>
          <w:lang w:val="es-CR"/>
        </w:rPr>
      </w:pPr>
    </w:p>
    <w:p w:rsidR="007D737B" w:rsidRPr="001D306C" w:rsidRDefault="007D737B" w:rsidP="007D737B">
      <w:pPr>
        <w:pStyle w:val="xl28"/>
        <w:pBdr>
          <w:left w:val="none" w:sz="0" w:space="0" w:color="auto"/>
          <w:right w:val="none" w:sz="0" w:space="0" w:color="auto"/>
        </w:pBdr>
        <w:spacing w:before="0" w:beforeAutospacing="0" w:after="0" w:afterAutospacing="0" w:line="360" w:lineRule="auto"/>
        <w:rPr>
          <w:lang w:val="es-CR"/>
        </w:rPr>
      </w:pPr>
      <w:r w:rsidRPr="001D306C">
        <w:rPr>
          <w:lang w:val="es-CR"/>
        </w:rPr>
        <w:t>ÍNDICE</w:t>
      </w:r>
    </w:p>
    <w:p w:rsidR="007D737B" w:rsidRPr="001D306C" w:rsidRDefault="007D737B" w:rsidP="007D737B">
      <w:pPr>
        <w:pStyle w:val="xl25"/>
        <w:spacing w:before="0" w:beforeAutospacing="0" w:after="0" w:afterAutospacing="0" w:line="360" w:lineRule="auto"/>
        <w:rPr>
          <w:lang w:val="es-CR"/>
        </w:rPr>
      </w:pPr>
      <w:r w:rsidRPr="001D306C">
        <w:rPr>
          <w:lang w:val="es-CR"/>
        </w:rPr>
        <w:t>PRESENTACIÓN..........................................................................................</w:t>
      </w:r>
      <w:r>
        <w:rPr>
          <w:lang w:val="es-CR"/>
        </w:rPr>
        <w:t>...............................</w:t>
      </w:r>
      <w:r w:rsidRPr="001D306C">
        <w:rPr>
          <w:lang w:val="es-CR"/>
        </w:rPr>
        <w:t>1</w:t>
      </w:r>
    </w:p>
    <w:p w:rsidR="007D737B" w:rsidRPr="001D306C" w:rsidRDefault="007D737B" w:rsidP="007D737B">
      <w:pPr>
        <w:pStyle w:val="xl25"/>
        <w:spacing w:before="0" w:beforeAutospacing="0" w:after="0" w:afterAutospacing="0" w:line="360" w:lineRule="auto"/>
        <w:rPr>
          <w:lang w:val="es-CR"/>
        </w:rPr>
      </w:pPr>
      <w:r w:rsidRPr="001D306C">
        <w:rPr>
          <w:lang w:val="es-CR"/>
        </w:rPr>
        <w:t>1.</w:t>
      </w:r>
      <w:r w:rsidRPr="001D306C">
        <w:rPr>
          <w:lang w:val="es-CR"/>
        </w:rPr>
        <w:tab/>
        <w:t>INSUMOS, DOTACIÓN Y GRADO DE UTILIZACIÓN.............</w:t>
      </w:r>
      <w:r>
        <w:rPr>
          <w:lang w:val="es-CR"/>
        </w:rPr>
        <w:t>...............................3</w:t>
      </w:r>
    </w:p>
    <w:p w:rsidR="007D737B" w:rsidRPr="001D306C" w:rsidRDefault="007D737B" w:rsidP="007D737B">
      <w:pPr>
        <w:pStyle w:val="xl25"/>
        <w:tabs>
          <w:tab w:val="left" w:pos="360"/>
          <w:tab w:val="left" w:pos="1080"/>
        </w:tabs>
        <w:spacing w:before="0" w:beforeAutospacing="0" w:after="0" w:afterAutospacing="0" w:line="360" w:lineRule="auto"/>
        <w:rPr>
          <w:lang w:val="es-CR"/>
        </w:rPr>
      </w:pPr>
      <w:r w:rsidRPr="001D306C">
        <w:rPr>
          <w:b w:val="0"/>
          <w:bCs w:val="0"/>
          <w:lang w:val="es-CR"/>
        </w:rPr>
        <w:tab/>
      </w:r>
      <w:r w:rsidRPr="001D306C">
        <w:rPr>
          <w:lang w:val="es-CR"/>
        </w:rPr>
        <w:t>1.1</w:t>
      </w:r>
      <w:r w:rsidRPr="001D306C">
        <w:rPr>
          <w:lang w:val="es-CR"/>
        </w:rPr>
        <w:tab/>
        <w:t>Porcentaje del gasto de la justicia respecto del gasto público...</w:t>
      </w:r>
      <w:r w:rsidR="00D07B7F">
        <w:rPr>
          <w:lang w:val="es-CR"/>
        </w:rPr>
        <w:t xml:space="preserve">.............................. </w:t>
      </w:r>
      <w:r w:rsidR="005334D8">
        <w:rPr>
          <w:lang w:val="es-CR"/>
        </w:rPr>
        <w:t>3</w:t>
      </w:r>
    </w:p>
    <w:p w:rsidR="007D737B" w:rsidRPr="00931A19" w:rsidRDefault="007D737B" w:rsidP="007D737B">
      <w:pPr>
        <w:tabs>
          <w:tab w:val="left" w:pos="1080"/>
        </w:tabs>
        <w:spacing w:line="360" w:lineRule="auto"/>
        <w:ind w:firstLine="360"/>
        <w:rPr>
          <w:rFonts w:ascii="Times New Roman" w:hAnsi="Times New Roman" w:cs="Times New Roman"/>
          <w:b/>
          <w:lang w:val="es-CR"/>
        </w:rPr>
      </w:pPr>
      <w:r w:rsidRPr="00931A19">
        <w:rPr>
          <w:rFonts w:ascii="Times New Roman" w:hAnsi="Times New Roman" w:cs="Times New Roman"/>
          <w:b/>
          <w:lang w:val="es-CR"/>
        </w:rPr>
        <w:t>1.2</w:t>
      </w:r>
      <w:r w:rsidRPr="00931A19">
        <w:rPr>
          <w:rFonts w:ascii="Times New Roman" w:hAnsi="Times New Roman" w:cs="Times New Roman"/>
          <w:b/>
          <w:lang w:val="es-CR"/>
        </w:rPr>
        <w:tab/>
        <w:t>Porcentaje del gasto en justicia respecto del producto</w:t>
      </w:r>
      <w:r w:rsidR="00D07B7F">
        <w:rPr>
          <w:rFonts w:ascii="Times New Roman" w:hAnsi="Times New Roman" w:cs="Times New Roman"/>
          <w:b/>
          <w:lang w:val="es-CR"/>
        </w:rPr>
        <w:t xml:space="preserve"> interno bruto (PIB).......... 4</w:t>
      </w:r>
    </w:p>
    <w:p w:rsidR="007D737B" w:rsidRPr="00931A19" w:rsidRDefault="007D737B" w:rsidP="007D737B">
      <w:pPr>
        <w:tabs>
          <w:tab w:val="left" w:pos="1080"/>
        </w:tabs>
        <w:spacing w:line="360" w:lineRule="auto"/>
        <w:ind w:firstLine="360"/>
        <w:rPr>
          <w:rFonts w:ascii="Times New Roman" w:hAnsi="Times New Roman" w:cs="Times New Roman"/>
          <w:b/>
          <w:lang w:val="es-CR"/>
        </w:rPr>
      </w:pPr>
      <w:r w:rsidRPr="00931A19">
        <w:rPr>
          <w:rFonts w:ascii="Times New Roman" w:hAnsi="Times New Roman" w:cs="Times New Roman"/>
          <w:b/>
          <w:lang w:val="es-CR"/>
        </w:rPr>
        <w:t>1.3</w:t>
      </w:r>
      <w:r w:rsidRPr="00931A19">
        <w:rPr>
          <w:rFonts w:ascii="Times New Roman" w:hAnsi="Times New Roman" w:cs="Times New Roman"/>
          <w:b/>
          <w:lang w:val="es-CR"/>
        </w:rPr>
        <w:tab/>
        <w:t>Porcentaje del presupuesto devengado respecto del presupuestado………………6</w:t>
      </w:r>
    </w:p>
    <w:p w:rsidR="007D737B" w:rsidRPr="00931A19" w:rsidRDefault="007D737B" w:rsidP="007D737B">
      <w:pPr>
        <w:tabs>
          <w:tab w:val="left" w:pos="1080"/>
        </w:tabs>
        <w:spacing w:line="360" w:lineRule="auto"/>
        <w:ind w:firstLine="360"/>
        <w:rPr>
          <w:rFonts w:ascii="Times New Roman" w:hAnsi="Times New Roman" w:cs="Times New Roman"/>
          <w:b/>
          <w:lang w:val="es-CR"/>
        </w:rPr>
      </w:pPr>
      <w:r w:rsidRPr="00931A19">
        <w:rPr>
          <w:rFonts w:ascii="Times New Roman" w:hAnsi="Times New Roman" w:cs="Times New Roman"/>
          <w:b/>
          <w:lang w:val="es-CR"/>
        </w:rPr>
        <w:t>1.4</w:t>
      </w:r>
      <w:r w:rsidRPr="00931A19">
        <w:rPr>
          <w:rFonts w:ascii="Times New Roman" w:hAnsi="Times New Roman" w:cs="Times New Roman"/>
          <w:b/>
          <w:lang w:val="es-CR"/>
        </w:rPr>
        <w:tab/>
        <w:t>Costo medio de los casos terminados...........................................</w:t>
      </w:r>
      <w:r w:rsidR="005334D8">
        <w:rPr>
          <w:rFonts w:ascii="Times New Roman" w:hAnsi="Times New Roman" w:cs="Times New Roman"/>
          <w:b/>
          <w:lang w:val="es-CR"/>
        </w:rPr>
        <w:t>.............................. 7</w:t>
      </w:r>
    </w:p>
    <w:p w:rsidR="007D737B" w:rsidRPr="001D306C" w:rsidRDefault="007D737B" w:rsidP="007D737B">
      <w:pPr>
        <w:pStyle w:val="xl25"/>
        <w:tabs>
          <w:tab w:val="left" w:pos="1080"/>
        </w:tabs>
        <w:spacing w:before="0" w:beforeAutospacing="0" w:after="0" w:afterAutospacing="0" w:line="360" w:lineRule="auto"/>
        <w:ind w:left="1080" w:hanging="720"/>
        <w:rPr>
          <w:lang w:val="es-CR"/>
        </w:rPr>
      </w:pPr>
      <w:r w:rsidRPr="001D306C">
        <w:rPr>
          <w:lang w:val="es-CR"/>
        </w:rPr>
        <w:t>1.5</w:t>
      </w:r>
      <w:r w:rsidRPr="001D306C">
        <w:rPr>
          <w:lang w:val="es-CR"/>
        </w:rPr>
        <w:tab/>
        <w:t>Porcentaje del costo administrativo y jurisdiccional respecto del costo de la justicia............................................................................................</w:t>
      </w:r>
      <w:r>
        <w:rPr>
          <w:lang w:val="es-CR"/>
        </w:rPr>
        <w:t>.............................. 8</w:t>
      </w:r>
    </w:p>
    <w:p w:rsidR="007D737B" w:rsidRPr="006F6CEF" w:rsidRDefault="007D737B" w:rsidP="007D737B">
      <w:pPr>
        <w:tabs>
          <w:tab w:val="left" w:pos="1080"/>
        </w:tabs>
        <w:spacing w:line="360" w:lineRule="auto"/>
        <w:ind w:firstLine="360"/>
        <w:rPr>
          <w:rFonts w:ascii="Times New Roman" w:hAnsi="Times New Roman" w:cs="Times New Roman"/>
          <w:b/>
          <w:bCs/>
        </w:rPr>
      </w:pPr>
      <w:r w:rsidRPr="006F6CEF">
        <w:rPr>
          <w:rFonts w:ascii="Times New Roman" w:hAnsi="Times New Roman" w:cs="Times New Roman"/>
          <w:b/>
          <w:bCs/>
        </w:rPr>
        <w:t>1.6</w:t>
      </w:r>
      <w:r w:rsidRPr="006F6CEF">
        <w:rPr>
          <w:rFonts w:ascii="Times New Roman" w:hAnsi="Times New Roman" w:cs="Times New Roman"/>
          <w:b/>
          <w:bCs/>
        </w:rPr>
        <w:tab/>
        <w:t>Porcentaje del gasto dedicado a pago de personal................................................</w:t>
      </w:r>
      <w:r>
        <w:rPr>
          <w:rFonts w:ascii="Times New Roman" w:hAnsi="Times New Roman" w:cs="Times New Roman"/>
          <w:b/>
          <w:bCs/>
        </w:rPr>
        <w:t>...10</w:t>
      </w:r>
    </w:p>
    <w:p w:rsidR="007D737B" w:rsidRPr="006F6CEF" w:rsidRDefault="007D737B" w:rsidP="007D737B">
      <w:pPr>
        <w:tabs>
          <w:tab w:val="left" w:pos="1080"/>
        </w:tabs>
        <w:spacing w:line="360" w:lineRule="auto"/>
        <w:ind w:firstLine="360"/>
        <w:rPr>
          <w:rFonts w:ascii="Times New Roman" w:hAnsi="Times New Roman" w:cs="Times New Roman"/>
          <w:b/>
          <w:bCs/>
        </w:rPr>
      </w:pPr>
      <w:r w:rsidRPr="006F6CEF">
        <w:rPr>
          <w:rFonts w:ascii="Times New Roman" w:hAnsi="Times New Roman" w:cs="Times New Roman"/>
          <w:b/>
          <w:bCs/>
        </w:rPr>
        <w:t>1.7</w:t>
      </w:r>
      <w:r w:rsidRPr="006F6CEF">
        <w:rPr>
          <w:rFonts w:ascii="Times New Roman" w:hAnsi="Times New Roman" w:cs="Times New Roman"/>
          <w:b/>
          <w:bCs/>
        </w:rPr>
        <w:tab/>
        <w:t>Gasto en justicia por habitante (en colones y dólares).............</w:t>
      </w:r>
      <w:r>
        <w:rPr>
          <w:rFonts w:ascii="Times New Roman" w:hAnsi="Times New Roman" w:cs="Times New Roman"/>
          <w:b/>
          <w:bCs/>
        </w:rPr>
        <w:t>................................</w:t>
      </w:r>
      <w:r w:rsidR="005334D8">
        <w:rPr>
          <w:rFonts w:ascii="Times New Roman" w:hAnsi="Times New Roman" w:cs="Times New Roman"/>
          <w:b/>
          <w:bCs/>
        </w:rPr>
        <w:t>11</w:t>
      </w:r>
    </w:p>
    <w:p w:rsidR="007D737B" w:rsidRPr="006F6CEF" w:rsidRDefault="007D737B" w:rsidP="007D737B">
      <w:pPr>
        <w:tabs>
          <w:tab w:val="left" w:pos="1080"/>
        </w:tabs>
        <w:spacing w:line="360" w:lineRule="auto"/>
        <w:ind w:firstLine="360"/>
        <w:rPr>
          <w:rFonts w:ascii="Times New Roman" w:hAnsi="Times New Roman" w:cs="Times New Roman"/>
          <w:b/>
          <w:bCs/>
        </w:rPr>
      </w:pPr>
      <w:r w:rsidRPr="00931A19">
        <w:rPr>
          <w:rFonts w:ascii="Times New Roman" w:hAnsi="Times New Roman" w:cs="Times New Roman"/>
          <w:b/>
          <w:bCs/>
        </w:rPr>
        <w:t>1.8</w:t>
      </w:r>
      <w:r w:rsidRPr="00931A19">
        <w:rPr>
          <w:rFonts w:ascii="Times New Roman" w:hAnsi="Times New Roman" w:cs="Times New Roman"/>
          <w:b/>
          <w:bCs/>
        </w:rPr>
        <w:tab/>
      </w:r>
      <w:r w:rsidRPr="006F6CEF">
        <w:rPr>
          <w:rFonts w:ascii="Times New Roman" w:hAnsi="Times New Roman" w:cs="Times New Roman"/>
          <w:b/>
          <w:bCs/>
        </w:rPr>
        <w:t>Cobertura en kilómetros cuadrados por Jueza y Juez............................................</w:t>
      </w:r>
      <w:r>
        <w:rPr>
          <w:rFonts w:ascii="Times New Roman" w:hAnsi="Times New Roman" w:cs="Times New Roman"/>
          <w:b/>
          <w:bCs/>
        </w:rPr>
        <w:t>.12</w:t>
      </w:r>
    </w:p>
    <w:p w:rsidR="007D737B" w:rsidRPr="006F6CEF" w:rsidRDefault="007D737B" w:rsidP="007D737B">
      <w:pPr>
        <w:tabs>
          <w:tab w:val="left" w:pos="1080"/>
        </w:tabs>
        <w:spacing w:line="360" w:lineRule="auto"/>
        <w:ind w:firstLine="360"/>
        <w:rPr>
          <w:rFonts w:ascii="Times New Roman" w:hAnsi="Times New Roman" w:cs="Times New Roman"/>
          <w:b/>
          <w:bCs/>
        </w:rPr>
      </w:pPr>
      <w:r w:rsidRPr="006F6CEF">
        <w:rPr>
          <w:rFonts w:ascii="Times New Roman" w:hAnsi="Times New Roman" w:cs="Times New Roman"/>
          <w:b/>
          <w:bCs/>
        </w:rPr>
        <w:t>1.9</w:t>
      </w:r>
      <w:r w:rsidRPr="006F6CEF">
        <w:rPr>
          <w:rFonts w:ascii="Times New Roman" w:hAnsi="Times New Roman" w:cs="Times New Roman"/>
          <w:b/>
          <w:bCs/>
        </w:rPr>
        <w:tab/>
        <w:t>Juezas y jueces por 100 mil habitantes.....................................................................</w:t>
      </w:r>
      <w:r>
        <w:rPr>
          <w:rFonts w:ascii="Times New Roman" w:hAnsi="Times New Roman" w:cs="Times New Roman"/>
          <w:b/>
          <w:bCs/>
        </w:rPr>
        <w:t>.13</w:t>
      </w:r>
    </w:p>
    <w:p w:rsidR="007D737B" w:rsidRPr="006F6CEF" w:rsidRDefault="007D737B" w:rsidP="007D737B">
      <w:pPr>
        <w:tabs>
          <w:tab w:val="left" w:pos="1080"/>
        </w:tabs>
        <w:spacing w:line="360" w:lineRule="auto"/>
        <w:ind w:firstLine="360"/>
        <w:rPr>
          <w:rFonts w:ascii="Times New Roman" w:hAnsi="Times New Roman" w:cs="Times New Roman"/>
          <w:b/>
          <w:bCs/>
        </w:rPr>
      </w:pPr>
      <w:r w:rsidRPr="006F6CEF">
        <w:rPr>
          <w:rFonts w:ascii="Times New Roman" w:hAnsi="Times New Roman" w:cs="Times New Roman"/>
          <w:b/>
          <w:bCs/>
        </w:rPr>
        <w:t>1.10</w:t>
      </w:r>
      <w:r w:rsidRPr="006F6CEF">
        <w:rPr>
          <w:rFonts w:ascii="Times New Roman" w:hAnsi="Times New Roman" w:cs="Times New Roman"/>
          <w:b/>
          <w:bCs/>
        </w:rPr>
        <w:tab/>
        <w:t>Personal auxiliar por 100 mil habitantes....................................</w:t>
      </w:r>
      <w:r>
        <w:rPr>
          <w:rFonts w:ascii="Times New Roman" w:hAnsi="Times New Roman" w:cs="Times New Roman"/>
          <w:b/>
          <w:bCs/>
        </w:rPr>
        <w:t>...............................13</w:t>
      </w:r>
    </w:p>
    <w:p w:rsidR="007D737B" w:rsidRPr="006F6CEF" w:rsidRDefault="007D737B" w:rsidP="007D737B">
      <w:pPr>
        <w:tabs>
          <w:tab w:val="left" w:pos="1080"/>
        </w:tabs>
        <w:spacing w:line="360" w:lineRule="auto"/>
        <w:ind w:firstLine="360"/>
        <w:rPr>
          <w:rFonts w:ascii="Times New Roman" w:hAnsi="Times New Roman" w:cs="Times New Roman"/>
          <w:b/>
          <w:bCs/>
        </w:rPr>
      </w:pPr>
      <w:r w:rsidRPr="006F6CEF">
        <w:rPr>
          <w:rFonts w:ascii="Times New Roman" w:hAnsi="Times New Roman" w:cs="Times New Roman"/>
          <w:b/>
          <w:bCs/>
        </w:rPr>
        <w:t>1.11</w:t>
      </w:r>
      <w:r w:rsidRPr="006F6CEF">
        <w:rPr>
          <w:rFonts w:ascii="Times New Roman" w:hAnsi="Times New Roman" w:cs="Times New Roman"/>
          <w:b/>
          <w:bCs/>
        </w:rPr>
        <w:tab/>
        <w:t>Fiscalas y fiscales por 100 mil habitantes...................................</w:t>
      </w:r>
      <w:r>
        <w:rPr>
          <w:rFonts w:ascii="Times New Roman" w:hAnsi="Times New Roman" w:cs="Times New Roman"/>
          <w:b/>
          <w:bCs/>
        </w:rPr>
        <w:t>...............................14</w:t>
      </w:r>
    </w:p>
    <w:p w:rsidR="007D737B" w:rsidRPr="006F6CEF" w:rsidRDefault="007D737B" w:rsidP="007D737B">
      <w:pPr>
        <w:tabs>
          <w:tab w:val="left" w:pos="1080"/>
        </w:tabs>
        <w:spacing w:line="360" w:lineRule="auto"/>
        <w:ind w:left="360"/>
        <w:rPr>
          <w:rFonts w:ascii="Times New Roman" w:hAnsi="Times New Roman" w:cs="Times New Roman"/>
          <w:b/>
          <w:bCs/>
        </w:rPr>
      </w:pPr>
      <w:r w:rsidRPr="006F6CEF">
        <w:rPr>
          <w:rFonts w:ascii="Times New Roman" w:hAnsi="Times New Roman" w:cs="Times New Roman"/>
          <w:b/>
          <w:bCs/>
        </w:rPr>
        <w:t>1.12</w:t>
      </w:r>
      <w:r w:rsidRPr="006F6CEF">
        <w:rPr>
          <w:rFonts w:ascii="Times New Roman" w:hAnsi="Times New Roman" w:cs="Times New Roman"/>
          <w:b/>
          <w:bCs/>
        </w:rPr>
        <w:tab/>
        <w:t>Defensoras y defensores públicos por 100 mil habitantes.......................................</w:t>
      </w:r>
      <w:r>
        <w:rPr>
          <w:rFonts w:ascii="Times New Roman" w:hAnsi="Times New Roman" w:cs="Times New Roman"/>
          <w:b/>
          <w:bCs/>
        </w:rPr>
        <w:t>.14</w:t>
      </w:r>
    </w:p>
    <w:p w:rsidR="007D737B" w:rsidRPr="0020523B" w:rsidRDefault="007D737B" w:rsidP="007D737B">
      <w:pPr>
        <w:spacing w:line="360" w:lineRule="auto"/>
        <w:rPr>
          <w:rFonts w:ascii="Times New Roman" w:hAnsi="Times New Roman" w:cs="Times New Roman"/>
          <w:b/>
          <w:bCs/>
        </w:rPr>
      </w:pPr>
      <w:r w:rsidRPr="0020523B">
        <w:rPr>
          <w:rFonts w:ascii="Times New Roman" w:hAnsi="Times New Roman" w:cs="Times New Roman"/>
          <w:b/>
          <w:bCs/>
        </w:rPr>
        <w:t>2.</w:t>
      </w:r>
      <w:r w:rsidRPr="0020523B">
        <w:rPr>
          <w:rFonts w:ascii="Times New Roman" w:hAnsi="Times New Roman" w:cs="Times New Roman"/>
          <w:b/>
          <w:bCs/>
        </w:rPr>
        <w:tab/>
        <w:t>LITIGIOSIDAD Y CARGA DE TRABAJO...................................</w:t>
      </w:r>
      <w:r>
        <w:rPr>
          <w:rFonts w:ascii="Times New Roman" w:hAnsi="Times New Roman" w:cs="Times New Roman"/>
          <w:b/>
          <w:bCs/>
        </w:rPr>
        <w:t>...............................15</w:t>
      </w:r>
    </w:p>
    <w:p w:rsidR="007D737B" w:rsidRPr="006F6CEF" w:rsidRDefault="007D737B" w:rsidP="007D737B">
      <w:pPr>
        <w:tabs>
          <w:tab w:val="left" w:pos="1080"/>
        </w:tabs>
        <w:spacing w:line="360" w:lineRule="auto"/>
        <w:ind w:firstLine="360"/>
        <w:rPr>
          <w:rFonts w:ascii="Times New Roman" w:hAnsi="Times New Roman" w:cs="Times New Roman"/>
          <w:b/>
          <w:bCs/>
        </w:rPr>
      </w:pPr>
      <w:r w:rsidRPr="006F6CEF">
        <w:rPr>
          <w:rFonts w:ascii="Times New Roman" w:hAnsi="Times New Roman" w:cs="Times New Roman"/>
          <w:b/>
          <w:bCs/>
        </w:rPr>
        <w:t>2.1</w:t>
      </w:r>
      <w:r w:rsidRPr="006F6CEF">
        <w:rPr>
          <w:rFonts w:ascii="Times New Roman" w:hAnsi="Times New Roman" w:cs="Times New Roman"/>
          <w:b/>
          <w:bCs/>
        </w:rPr>
        <w:tab/>
        <w:t xml:space="preserve">Casos </w:t>
      </w:r>
      <w:r>
        <w:rPr>
          <w:rFonts w:ascii="Times New Roman" w:hAnsi="Times New Roman" w:cs="Times New Roman"/>
          <w:b/>
          <w:bCs/>
        </w:rPr>
        <w:t>entrados</w:t>
      </w:r>
      <w:r w:rsidRPr="006F6CEF">
        <w:rPr>
          <w:rFonts w:ascii="Times New Roman" w:hAnsi="Times New Roman" w:cs="Times New Roman"/>
          <w:b/>
          <w:bCs/>
        </w:rPr>
        <w:t xml:space="preserve"> por 100 mil habitantes</w:t>
      </w:r>
      <w:r>
        <w:rPr>
          <w:rFonts w:ascii="Times New Roman" w:hAnsi="Times New Roman" w:cs="Times New Roman"/>
          <w:b/>
          <w:bCs/>
        </w:rPr>
        <w:t>......</w:t>
      </w:r>
      <w:r w:rsidRPr="006F6CEF">
        <w:rPr>
          <w:rFonts w:ascii="Times New Roman" w:hAnsi="Times New Roman" w:cs="Times New Roman"/>
          <w:b/>
          <w:bCs/>
        </w:rPr>
        <w:t>.................................</w:t>
      </w:r>
      <w:r>
        <w:rPr>
          <w:rFonts w:ascii="Times New Roman" w:hAnsi="Times New Roman" w:cs="Times New Roman"/>
          <w:b/>
          <w:bCs/>
        </w:rPr>
        <w:t>................................15</w:t>
      </w:r>
    </w:p>
    <w:p w:rsidR="007D737B" w:rsidRPr="006F6CEF" w:rsidRDefault="007D737B" w:rsidP="007D737B">
      <w:pPr>
        <w:tabs>
          <w:tab w:val="left" w:pos="1080"/>
        </w:tabs>
        <w:spacing w:line="360" w:lineRule="auto"/>
        <w:ind w:firstLine="360"/>
        <w:rPr>
          <w:rFonts w:ascii="Times New Roman" w:hAnsi="Times New Roman" w:cs="Times New Roman"/>
          <w:b/>
          <w:bCs/>
        </w:rPr>
      </w:pPr>
      <w:r w:rsidRPr="006F6CEF">
        <w:rPr>
          <w:rFonts w:ascii="Times New Roman" w:hAnsi="Times New Roman" w:cs="Times New Roman"/>
          <w:b/>
          <w:bCs/>
        </w:rPr>
        <w:t>2.2</w:t>
      </w:r>
      <w:r w:rsidRPr="006F6CEF">
        <w:rPr>
          <w:rFonts w:ascii="Times New Roman" w:hAnsi="Times New Roman" w:cs="Times New Roman"/>
          <w:b/>
          <w:bCs/>
        </w:rPr>
        <w:tab/>
        <w:t xml:space="preserve">Asuntos </w:t>
      </w:r>
      <w:r>
        <w:rPr>
          <w:rFonts w:ascii="Times New Roman" w:hAnsi="Times New Roman" w:cs="Times New Roman"/>
          <w:b/>
          <w:bCs/>
        </w:rPr>
        <w:t>entrados</w:t>
      </w:r>
      <w:r w:rsidRPr="006F6CEF">
        <w:rPr>
          <w:rFonts w:ascii="Times New Roman" w:hAnsi="Times New Roman" w:cs="Times New Roman"/>
          <w:b/>
          <w:bCs/>
        </w:rPr>
        <w:t xml:space="preserve"> en primera instancia por Jueza y Juez...</w:t>
      </w:r>
      <w:r>
        <w:rPr>
          <w:rFonts w:ascii="Times New Roman" w:hAnsi="Times New Roman" w:cs="Times New Roman"/>
          <w:b/>
          <w:bCs/>
        </w:rPr>
        <w:t>......</w:t>
      </w:r>
      <w:r w:rsidR="00071467">
        <w:rPr>
          <w:rFonts w:ascii="Times New Roman" w:hAnsi="Times New Roman" w:cs="Times New Roman"/>
          <w:b/>
          <w:bCs/>
        </w:rPr>
        <w:t>...............................17</w:t>
      </w:r>
    </w:p>
    <w:p w:rsidR="007D737B" w:rsidRPr="006F6CEF" w:rsidRDefault="007D737B" w:rsidP="007D737B">
      <w:pPr>
        <w:tabs>
          <w:tab w:val="left" w:pos="1080"/>
        </w:tabs>
        <w:spacing w:line="360" w:lineRule="auto"/>
        <w:ind w:firstLine="360"/>
        <w:rPr>
          <w:rFonts w:ascii="Times New Roman" w:hAnsi="Times New Roman" w:cs="Times New Roman"/>
          <w:b/>
          <w:bCs/>
        </w:rPr>
      </w:pPr>
      <w:r w:rsidRPr="006F6CEF">
        <w:rPr>
          <w:rFonts w:ascii="Times New Roman" w:hAnsi="Times New Roman" w:cs="Times New Roman"/>
          <w:b/>
          <w:bCs/>
        </w:rPr>
        <w:t>2.3</w:t>
      </w:r>
      <w:r w:rsidRPr="006F6CEF">
        <w:rPr>
          <w:rFonts w:ascii="Times New Roman" w:hAnsi="Times New Roman" w:cs="Times New Roman"/>
          <w:b/>
          <w:bCs/>
        </w:rPr>
        <w:tab/>
        <w:t>Tasa de crecimiento de los asuntos registrados.........................</w:t>
      </w:r>
      <w:r>
        <w:rPr>
          <w:rFonts w:ascii="Times New Roman" w:hAnsi="Times New Roman" w:cs="Times New Roman"/>
          <w:b/>
          <w:bCs/>
        </w:rPr>
        <w:t>................................17</w:t>
      </w:r>
    </w:p>
    <w:p w:rsidR="007D737B" w:rsidRPr="006F6CEF" w:rsidRDefault="007D737B" w:rsidP="007D737B">
      <w:pPr>
        <w:tabs>
          <w:tab w:val="left" w:pos="1080"/>
        </w:tabs>
        <w:spacing w:line="360" w:lineRule="auto"/>
        <w:ind w:firstLine="360"/>
        <w:rPr>
          <w:rFonts w:ascii="Times New Roman" w:hAnsi="Times New Roman" w:cs="Times New Roman"/>
          <w:b/>
          <w:bCs/>
        </w:rPr>
      </w:pPr>
      <w:r w:rsidRPr="006F6CEF">
        <w:rPr>
          <w:rFonts w:ascii="Times New Roman" w:hAnsi="Times New Roman" w:cs="Times New Roman"/>
          <w:b/>
          <w:bCs/>
        </w:rPr>
        <w:t>2.4</w:t>
      </w:r>
      <w:r w:rsidRPr="006F6CEF">
        <w:rPr>
          <w:rFonts w:ascii="Times New Roman" w:hAnsi="Times New Roman" w:cs="Times New Roman"/>
          <w:b/>
          <w:bCs/>
        </w:rPr>
        <w:tab/>
        <w:t>Carga de trabajo por Jueza y Juez de primera e instancia</w:t>
      </w:r>
      <w:r>
        <w:rPr>
          <w:rFonts w:ascii="Times New Roman" w:hAnsi="Times New Roman" w:cs="Times New Roman"/>
          <w:b/>
          <w:bCs/>
        </w:rPr>
        <w:t xml:space="preserve"> superior.......................18</w:t>
      </w:r>
    </w:p>
    <w:p w:rsidR="007D737B" w:rsidRPr="006F6CEF" w:rsidRDefault="007D737B" w:rsidP="007D737B">
      <w:pPr>
        <w:tabs>
          <w:tab w:val="left" w:pos="1080"/>
        </w:tabs>
        <w:spacing w:line="360" w:lineRule="auto"/>
        <w:ind w:firstLine="360"/>
        <w:rPr>
          <w:rFonts w:ascii="Times New Roman" w:hAnsi="Times New Roman" w:cs="Times New Roman"/>
          <w:b/>
          <w:bCs/>
        </w:rPr>
      </w:pPr>
      <w:r>
        <w:rPr>
          <w:rFonts w:ascii="Times New Roman" w:hAnsi="Times New Roman" w:cs="Times New Roman"/>
          <w:b/>
          <w:bCs/>
        </w:rPr>
        <w:t>2.5</w:t>
      </w:r>
      <w:r>
        <w:rPr>
          <w:rFonts w:ascii="Times New Roman" w:hAnsi="Times New Roman" w:cs="Times New Roman"/>
          <w:b/>
          <w:bCs/>
        </w:rPr>
        <w:tab/>
        <w:t>Razón</w:t>
      </w:r>
      <w:r w:rsidRPr="006F6CEF">
        <w:rPr>
          <w:rFonts w:ascii="Times New Roman" w:hAnsi="Times New Roman" w:cs="Times New Roman"/>
          <w:b/>
          <w:bCs/>
        </w:rPr>
        <w:t xml:space="preserve"> de congestión en primera instancia...............................................................</w:t>
      </w:r>
      <w:r>
        <w:rPr>
          <w:rFonts w:ascii="Times New Roman" w:hAnsi="Times New Roman" w:cs="Times New Roman"/>
          <w:b/>
          <w:bCs/>
        </w:rPr>
        <w:t>..20</w:t>
      </w:r>
    </w:p>
    <w:p w:rsidR="007D737B" w:rsidRPr="006F6CEF" w:rsidRDefault="007D737B" w:rsidP="007D737B">
      <w:pPr>
        <w:tabs>
          <w:tab w:val="left" w:pos="1080"/>
        </w:tabs>
        <w:spacing w:line="360" w:lineRule="auto"/>
        <w:ind w:firstLine="360"/>
        <w:rPr>
          <w:rFonts w:ascii="Times New Roman" w:hAnsi="Times New Roman" w:cs="Times New Roman"/>
          <w:b/>
          <w:bCs/>
        </w:rPr>
      </w:pPr>
      <w:r w:rsidRPr="006F6CEF">
        <w:rPr>
          <w:rFonts w:ascii="Times New Roman" w:hAnsi="Times New Roman" w:cs="Times New Roman"/>
          <w:b/>
          <w:bCs/>
        </w:rPr>
        <w:t>2.6</w:t>
      </w:r>
      <w:r w:rsidRPr="006F6CEF">
        <w:rPr>
          <w:rFonts w:ascii="Times New Roman" w:hAnsi="Times New Roman" w:cs="Times New Roman"/>
          <w:b/>
          <w:bCs/>
        </w:rPr>
        <w:tab/>
        <w:t>Tasa de apelación  (no penal).......................................................</w:t>
      </w:r>
      <w:r w:rsidR="00071467">
        <w:rPr>
          <w:rFonts w:ascii="Times New Roman" w:hAnsi="Times New Roman" w:cs="Times New Roman"/>
          <w:b/>
          <w:bCs/>
        </w:rPr>
        <w:t>................................22</w:t>
      </w:r>
    </w:p>
    <w:p w:rsidR="007D737B" w:rsidRPr="006F6CEF" w:rsidRDefault="007D737B" w:rsidP="007D737B">
      <w:pPr>
        <w:tabs>
          <w:tab w:val="left" w:pos="1080"/>
        </w:tabs>
        <w:spacing w:line="360" w:lineRule="auto"/>
        <w:ind w:firstLine="360"/>
        <w:rPr>
          <w:rFonts w:ascii="Times New Roman" w:hAnsi="Times New Roman" w:cs="Times New Roman"/>
          <w:b/>
          <w:bCs/>
        </w:rPr>
      </w:pPr>
      <w:r w:rsidRPr="006F6CEF">
        <w:rPr>
          <w:rFonts w:ascii="Times New Roman" w:hAnsi="Times New Roman" w:cs="Times New Roman"/>
          <w:b/>
          <w:bCs/>
        </w:rPr>
        <w:t>2.7</w:t>
      </w:r>
      <w:r w:rsidRPr="006F6CEF">
        <w:rPr>
          <w:rFonts w:ascii="Times New Roman" w:hAnsi="Times New Roman" w:cs="Times New Roman"/>
        </w:rPr>
        <w:tab/>
      </w:r>
      <w:r w:rsidRPr="006F6CEF">
        <w:rPr>
          <w:rFonts w:ascii="Times New Roman" w:hAnsi="Times New Roman" w:cs="Times New Roman"/>
          <w:b/>
        </w:rPr>
        <w:t>Tasa de apelación de sentencia</w:t>
      </w:r>
      <w:r w:rsidRPr="006F6CEF">
        <w:rPr>
          <w:rFonts w:ascii="Times New Roman" w:hAnsi="Times New Roman" w:cs="Times New Roman"/>
          <w:b/>
          <w:bCs/>
        </w:rPr>
        <w:t>....................................................</w:t>
      </w:r>
      <w:r>
        <w:rPr>
          <w:rFonts w:ascii="Times New Roman" w:hAnsi="Times New Roman" w:cs="Times New Roman"/>
          <w:b/>
          <w:bCs/>
        </w:rPr>
        <w:t>...</w:t>
      </w:r>
      <w:r w:rsidR="00071467">
        <w:rPr>
          <w:rFonts w:ascii="Times New Roman" w:hAnsi="Times New Roman" w:cs="Times New Roman"/>
          <w:b/>
          <w:bCs/>
        </w:rPr>
        <w:t>..............................23</w:t>
      </w:r>
    </w:p>
    <w:p w:rsidR="007D737B" w:rsidRPr="006F6CEF" w:rsidRDefault="007D737B" w:rsidP="007D737B">
      <w:pPr>
        <w:tabs>
          <w:tab w:val="left" w:pos="1080"/>
        </w:tabs>
        <w:spacing w:line="360" w:lineRule="auto"/>
        <w:ind w:left="1080" w:hanging="720"/>
        <w:rPr>
          <w:rFonts w:ascii="Times New Roman" w:hAnsi="Times New Roman" w:cs="Times New Roman"/>
          <w:b/>
          <w:bCs/>
        </w:rPr>
      </w:pPr>
      <w:r>
        <w:rPr>
          <w:rFonts w:ascii="Times New Roman" w:hAnsi="Times New Roman" w:cs="Times New Roman"/>
          <w:b/>
          <w:bCs/>
        </w:rPr>
        <w:t>2.8</w:t>
      </w:r>
      <w:r w:rsidRPr="006F6CEF">
        <w:rPr>
          <w:rFonts w:ascii="Times New Roman" w:hAnsi="Times New Roman" w:cs="Times New Roman"/>
          <w:b/>
          <w:bCs/>
        </w:rPr>
        <w:tab/>
        <w:t>Distribución porcentual de los asuntos entrados</w:t>
      </w:r>
      <w:r>
        <w:rPr>
          <w:rFonts w:ascii="Times New Roman" w:hAnsi="Times New Roman" w:cs="Times New Roman"/>
          <w:b/>
          <w:bCs/>
        </w:rPr>
        <w:t xml:space="preserve"> por materia (1° instancia)….......23</w:t>
      </w:r>
    </w:p>
    <w:p w:rsidR="007D737B" w:rsidRDefault="007D737B" w:rsidP="007D737B">
      <w:pPr>
        <w:tabs>
          <w:tab w:val="left" w:pos="1080"/>
        </w:tabs>
        <w:spacing w:line="360" w:lineRule="auto"/>
        <w:ind w:firstLine="360"/>
        <w:rPr>
          <w:rFonts w:ascii="Times New Roman" w:hAnsi="Times New Roman" w:cs="Times New Roman"/>
          <w:b/>
          <w:bCs/>
        </w:rPr>
      </w:pPr>
      <w:r>
        <w:rPr>
          <w:rFonts w:ascii="Times New Roman" w:hAnsi="Times New Roman" w:cs="Times New Roman"/>
          <w:b/>
          <w:bCs/>
        </w:rPr>
        <w:t>2.9</w:t>
      </w:r>
      <w:r w:rsidRPr="006F6CEF">
        <w:rPr>
          <w:rFonts w:ascii="Times New Roman" w:hAnsi="Times New Roman" w:cs="Times New Roman"/>
          <w:b/>
          <w:bCs/>
        </w:rPr>
        <w:tab/>
      </w:r>
      <w:r>
        <w:rPr>
          <w:rFonts w:ascii="Times New Roman" w:hAnsi="Times New Roman" w:cs="Times New Roman"/>
          <w:b/>
          <w:bCs/>
        </w:rPr>
        <w:t xml:space="preserve">Abogadas y </w:t>
      </w:r>
      <w:r w:rsidRPr="006F6CEF">
        <w:rPr>
          <w:rFonts w:ascii="Times New Roman" w:hAnsi="Times New Roman" w:cs="Times New Roman"/>
          <w:b/>
          <w:bCs/>
        </w:rPr>
        <w:t>Abogados por 100 mil habitantes............................</w:t>
      </w:r>
      <w:r>
        <w:rPr>
          <w:rFonts w:ascii="Times New Roman" w:hAnsi="Times New Roman" w:cs="Times New Roman"/>
          <w:b/>
          <w:bCs/>
        </w:rPr>
        <w:t>..</w:t>
      </w:r>
      <w:r w:rsidR="00071467">
        <w:rPr>
          <w:rFonts w:ascii="Times New Roman" w:hAnsi="Times New Roman" w:cs="Times New Roman"/>
          <w:b/>
          <w:bCs/>
        </w:rPr>
        <w:t>..............................25</w:t>
      </w:r>
    </w:p>
    <w:p w:rsidR="007D737B" w:rsidRPr="006F6CEF" w:rsidRDefault="007D737B" w:rsidP="007D737B">
      <w:pPr>
        <w:tabs>
          <w:tab w:val="left" w:pos="1080"/>
        </w:tabs>
        <w:spacing w:line="360" w:lineRule="auto"/>
        <w:rPr>
          <w:rFonts w:ascii="Times New Roman" w:hAnsi="Times New Roman" w:cs="Times New Roman"/>
          <w:b/>
          <w:bCs/>
        </w:rPr>
      </w:pPr>
    </w:p>
    <w:p w:rsidR="007D737B" w:rsidRPr="006F6CEF" w:rsidRDefault="007D737B" w:rsidP="007D737B">
      <w:pPr>
        <w:spacing w:line="360" w:lineRule="auto"/>
        <w:rPr>
          <w:rFonts w:ascii="Times New Roman" w:hAnsi="Times New Roman" w:cs="Times New Roman"/>
          <w:b/>
          <w:bCs/>
        </w:rPr>
      </w:pPr>
      <w:r w:rsidRPr="006F6CEF">
        <w:rPr>
          <w:rFonts w:ascii="Times New Roman" w:hAnsi="Times New Roman" w:cs="Times New Roman"/>
          <w:b/>
          <w:bCs/>
        </w:rPr>
        <w:t>3.</w:t>
      </w:r>
      <w:r w:rsidRPr="006F6CEF">
        <w:rPr>
          <w:rFonts w:ascii="Times New Roman" w:hAnsi="Times New Roman" w:cs="Times New Roman"/>
          <w:b/>
          <w:bCs/>
        </w:rPr>
        <w:tab/>
        <w:t>PRODUCCIÓN, PRODUCTIVIDAD..............................................</w:t>
      </w:r>
      <w:r w:rsidR="00071467">
        <w:rPr>
          <w:rFonts w:ascii="Times New Roman" w:hAnsi="Times New Roman" w:cs="Times New Roman"/>
          <w:b/>
          <w:bCs/>
        </w:rPr>
        <w:t>................................26</w:t>
      </w:r>
    </w:p>
    <w:p w:rsidR="007D737B" w:rsidRPr="006F6CEF" w:rsidRDefault="007D737B" w:rsidP="007D737B">
      <w:pPr>
        <w:tabs>
          <w:tab w:val="left" w:pos="1080"/>
        </w:tabs>
        <w:spacing w:line="360" w:lineRule="auto"/>
        <w:ind w:firstLine="360"/>
        <w:rPr>
          <w:rFonts w:ascii="Times New Roman" w:hAnsi="Times New Roman" w:cs="Times New Roman"/>
          <w:b/>
          <w:bCs/>
        </w:rPr>
      </w:pPr>
      <w:r w:rsidRPr="006F6CEF">
        <w:rPr>
          <w:rFonts w:ascii="Times New Roman" w:hAnsi="Times New Roman" w:cs="Times New Roman"/>
          <w:b/>
          <w:bCs/>
        </w:rPr>
        <w:lastRenderedPageBreak/>
        <w:t>3.1</w:t>
      </w:r>
      <w:r w:rsidRPr="006F6CEF">
        <w:rPr>
          <w:rFonts w:ascii="Times New Roman" w:hAnsi="Times New Roman" w:cs="Times New Roman"/>
          <w:b/>
          <w:bCs/>
        </w:rPr>
        <w:tab/>
        <w:t>Asuntos resueltos por juezas y jueces de primera instancia.....</w:t>
      </w:r>
      <w:r w:rsidR="00071467">
        <w:rPr>
          <w:rFonts w:ascii="Times New Roman" w:hAnsi="Times New Roman" w:cs="Times New Roman"/>
          <w:b/>
          <w:bCs/>
        </w:rPr>
        <w:t>............................. 26</w:t>
      </w:r>
    </w:p>
    <w:p w:rsidR="007D737B" w:rsidRPr="006F6CEF" w:rsidRDefault="007D737B" w:rsidP="007D737B">
      <w:pPr>
        <w:tabs>
          <w:tab w:val="left" w:pos="1080"/>
        </w:tabs>
        <w:spacing w:line="360" w:lineRule="auto"/>
        <w:ind w:firstLine="360"/>
        <w:rPr>
          <w:rFonts w:ascii="Times New Roman" w:hAnsi="Times New Roman" w:cs="Times New Roman"/>
          <w:b/>
          <w:bCs/>
        </w:rPr>
      </w:pPr>
      <w:r w:rsidRPr="006F6CEF">
        <w:rPr>
          <w:rFonts w:ascii="Times New Roman" w:hAnsi="Times New Roman" w:cs="Times New Roman"/>
          <w:b/>
          <w:bCs/>
        </w:rPr>
        <w:t>3.2</w:t>
      </w:r>
      <w:r w:rsidRPr="006F6CEF">
        <w:rPr>
          <w:rFonts w:ascii="Times New Roman" w:hAnsi="Times New Roman" w:cs="Times New Roman"/>
          <w:b/>
          <w:bCs/>
        </w:rPr>
        <w:tab/>
        <w:t>Asuntos resueltos por Juezas y jueces de segunda instancia....</w:t>
      </w:r>
      <w:r w:rsidR="00071467">
        <w:rPr>
          <w:rFonts w:ascii="Times New Roman" w:hAnsi="Times New Roman" w:cs="Times New Roman"/>
          <w:b/>
          <w:bCs/>
        </w:rPr>
        <w:t>............................. 26</w:t>
      </w:r>
    </w:p>
    <w:p w:rsidR="007D737B" w:rsidRPr="006F6CEF" w:rsidRDefault="007D737B" w:rsidP="007D737B">
      <w:pPr>
        <w:tabs>
          <w:tab w:val="left" w:pos="1080"/>
        </w:tabs>
        <w:spacing w:line="360" w:lineRule="auto"/>
        <w:ind w:firstLine="360"/>
        <w:rPr>
          <w:rFonts w:ascii="Times New Roman" w:hAnsi="Times New Roman" w:cs="Times New Roman"/>
          <w:b/>
          <w:bCs/>
        </w:rPr>
      </w:pPr>
      <w:r w:rsidRPr="006F6CEF">
        <w:rPr>
          <w:rFonts w:ascii="Times New Roman" w:hAnsi="Times New Roman" w:cs="Times New Roman"/>
          <w:b/>
          <w:bCs/>
        </w:rPr>
        <w:t>3.3</w:t>
      </w:r>
      <w:r w:rsidRPr="006F6CEF">
        <w:rPr>
          <w:rFonts w:ascii="Times New Roman" w:hAnsi="Times New Roman" w:cs="Times New Roman"/>
          <w:b/>
          <w:bCs/>
        </w:rPr>
        <w:tab/>
        <w:t>Sentencias por Juez</w:t>
      </w:r>
      <w:r>
        <w:rPr>
          <w:rFonts w:ascii="Times New Roman" w:hAnsi="Times New Roman" w:cs="Times New Roman"/>
          <w:b/>
          <w:bCs/>
        </w:rPr>
        <w:t>a y Juez</w:t>
      </w:r>
      <w:r w:rsidRPr="006F6CEF">
        <w:rPr>
          <w:rFonts w:ascii="Times New Roman" w:hAnsi="Times New Roman" w:cs="Times New Roman"/>
          <w:b/>
          <w:bCs/>
        </w:rPr>
        <w:t xml:space="preserve"> de primera instancia..................................</w:t>
      </w:r>
      <w:r w:rsidR="00071467">
        <w:rPr>
          <w:rFonts w:ascii="Times New Roman" w:hAnsi="Times New Roman" w:cs="Times New Roman"/>
          <w:b/>
          <w:bCs/>
        </w:rPr>
        <w:t>............... 27</w:t>
      </w:r>
    </w:p>
    <w:p w:rsidR="007D737B" w:rsidRPr="006F6CEF" w:rsidRDefault="007D737B" w:rsidP="007D737B">
      <w:pPr>
        <w:tabs>
          <w:tab w:val="left" w:pos="1080"/>
        </w:tabs>
        <w:spacing w:line="360" w:lineRule="auto"/>
        <w:ind w:firstLine="360"/>
        <w:rPr>
          <w:rFonts w:ascii="Times New Roman" w:hAnsi="Times New Roman" w:cs="Times New Roman"/>
          <w:b/>
          <w:bCs/>
        </w:rPr>
      </w:pPr>
      <w:r w:rsidRPr="006F6CEF">
        <w:rPr>
          <w:rFonts w:ascii="Times New Roman" w:hAnsi="Times New Roman" w:cs="Times New Roman"/>
          <w:b/>
          <w:bCs/>
        </w:rPr>
        <w:t>3.4</w:t>
      </w:r>
      <w:r w:rsidRPr="006F6CEF">
        <w:rPr>
          <w:rFonts w:ascii="Times New Roman" w:hAnsi="Times New Roman" w:cs="Times New Roman"/>
          <w:b/>
          <w:bCs/>
        </w:rPr>
        <w:tab/>
        <w:t>Tasa de sentencia..........................................................................</w:t>
      </w:r>
      <w:r w:rsidR="00071467">
        <w:rPr>
          <w:rFonts w:ascii="Times New Roman" w:hAnsi="Times New Roman" w:cs="Times New Roman"/>
          <w:b/>
          <w:bCs/>
        </w:rPr>
        <w:t>............................. 28</w:t>
      </w:r>
    </w:p>
    <w:p w:rsidR="007D737B" w:rsidRPr="006F6CEF" w:rsidRDefault="007D737B" w:rsidP="007D737B">
      <w:pPr>
        <w:tabs>
          <w:tab w:val="left" w:pos="1080"/>
        </w:tabs>
        <w:spacing w:line="360" w:lineRule="auto"/>
        <w:ind w:firstLine="360"/>
        <w:rPr>
          <w:rFonts w:ascii="Times New Roman" w:hAnsi="Times New Roman" w:cs="Times New Roman"/>
          <w:b/>
          <w:bCs/>
        </w:rPr>
      </w:pPr>
      <w:r w:rsidRPr="006F6CEF">
        <w:rPr>
          <w:rFonts w:ascii="Times New Roman" w:hAnsi="Times New Roman" w:cs="Times New Roman"/>
          <w:b/>
          <w:bCs/>
        </w:rPr>
        <w:t>3.5</w:t>
      </w:r>
      <w:r w:rsidRPr="006F6CEF">
        <w:rPr>
          <w:rFonts w:ascii="Times New Roman" w:hAnsi="Times New Roman" w:cs="Times New Roman"/>
          <w:b/>
          <w:bCs/>
        </w:rPr>
        <w:tab/>
        <w:t>Tasa de conciliación....................................................................</w:t>
      </w:r>
      <w:r>
        <w:rPr>
          <w:rFonts w:ascii="Times New Roman" w:hAnsi="Times New Roman" w:cs="Times New Roman"/>
          <w:b/>
          <w:bCs/>
        </w:rPr>
        <w:t>.</w:t>
      </w:r>
      <w:r w:rsidR="00071467">
        <w:rPr>
          <w:rFonts w:ascii="Times New Roman" w:hAnsi="Times New Roman" w:cs="Times New Roman"/>
          <w:b/>
          <w:bCs/>
        </w:rPr>
        <w:t>..............................29</w:t>
      </w:r>
    </w:p>
    <w:p w:rsidR="007D737B" w:rsidRPr="006F6CEF" w:rsidRDefault="007D737B" w:rsidP="007D737B">
      <w:pPr>
        <w:tabs>
          <w:tab w:val="left" w:pos="1080"/>
        </w:tabs>
        <w:spacing w:line="360" w:lineRule="auto"/>
        <w:ind w:firstLine="360"/>
        <w:rPr>
          <w:rFonts w:ascii="Times New Roman" w:hAnsi="Times New Roman" w:cs="Times New Roman"/>
          <w:b/>
          <w:bCs/>
        </w:rPr>
      </w:pPr>
      <w:r w:rsidRPr="006F6CEF">
        <w:rPr>
          <w:rFonts w:ascii="Times New Roman" w:hAnsi="Times New Roman" w:cs="Times New Roman"/>
          <w:b/>
          <w:bCs/>
        </w:rPr>
        <w:t>3.6</w:t>
      </w:r>
      <w:r w:rsidRPr="006F6CEF">
        <w:rPr>
          <w:rFonts w:ascii="Times New Roman" w:hAnsi="Times New Roman" w:cs="Times New Roman"/>
          <w:b/>
          <w:bCs/>
        </w:rPr>
        <w:tab/>
        <w:t>Porcentaje de asuntos de resueltos por conciliación (J</w:t>
      </w:r>
      <w:r w:rsidR="00071467">
        <w:rPr>
          <w:rFonts w:ascii="Times New Roman" w:hAnsi="Times New Roman" w:cs="Times New Roman"/>
          <w:b/>
          <w:bCs/>
        </w:rPr>
        <w:t>uzgados Penales)............. 30</w:t>
      </w:r>
    </w:p>
    <w:p w:rsidR="007D737B" w:rsidRPr="006F6CEF" w:rsidRDefault="007D737B" w:rsidP="007D737B">
      <w:pPr>
        <w:tabs>
          <w:tab w:val="left" w:pos="1080"/>
        </w:tabs>
        <w:spacing w:line="360" w:lineRule="auto"/>
        <w:ind w:left="1080" w:hanging="720"/>
        <w:rPr>
          <w:rFonts w:ascii="Times New Roman" w:hAnsi="Times New Roman" w:cs="Times New Roman"/>
          <w:b/>
          <w:bCs/>
        </w:rPr>
      </w:pPr>
      <w:r w:rsidRPr="006F6CEF">
        <w:rPr>
          <w:rFonts w:ascii="Times New Roman" w:hAnsi="Times New Roman" w:cs="Times New Roman"/>
          <w:b/>
          <w:bCs/>
        </w:rPr>
        <w:t>3.7</w:t>
      </w:r>
      <w:r w:rsidRPr="006F6CEF">
        <w:rPr>
          <w:rFonts w:ascii="Times New Roman" w:hAnsi="Times New Roman" w:cs="Times New Roman"/>
          <w:b/>
          <w:bCs/>
        </w:rPr>
        <w:tab/>
        <w:t xml:space="preserve">Porcentaje de asuntos </w:t>
      </w:r>
      <w:proofErr w:type="spellStart"/>
      <w:r w:rsidRPr="006F6CEF">
        <w:rPr>
          <w:rFonts w:ascii="Times New Roman" w:hAnsi="Times New Roman" w:cs="Times New Roman"/>
          <w:b/>
          <w:bCs/>
        </w:rPr>
        <w:t>sobreseídos</w:t>
      </w:r>
      <w:proofErr w:type="spellEnd"/>
      <w:r w:rsidRPr="006F6CEF">
        <w:rPr>
          <w:rFonts w:ascii="Times New Roman" w:hAnsi="Times New Roman" w:cs="Times New Roman"/>
          <w:b/>
          <w:bCs/>
        </w:rPr>
        <w:t xml:space="preserve"> por cumplimiento de la conciliación como medida alterna en los juzga</w:t>
      </w:r>
      <w:r>
        <w:rPr>
          <w:rFonts w:ascii="Times New Roman" w:hAnsi="Times New Roman" w:cs="Times New Roman"/>
          <w:b/>
          <w:bCs/>
        </w:rPr>
        <w:t>dos penales…………</w:t>
      </w:r>
      <w:r w:rsidR="00071467">
        <w:rPr>
          <w:rFonts w:ascii="Times New Roman" w:hAnsi="Times New Roman" w:cs="Times New Roman"/>
          <w:b/>
          <w:bCs/>
        </w:rPr>
        <w:t>……………………………….. 31</w:t>
      </w:r>
    </w:p>
    <w:p w:rsidR="007D737B" w:rsidRPr="006F6CEF" w:rsidRDefault="007D737B" w:rsidP="007D737B">
      <w:pPr>
        <w:tabs>
          <w:tab w:val="left" w:pos="1080"/>
        </w:tabs>
        <w:spacing w:line="360" w:lineRule="auto"/>
        <w:ind w:left="1080" w:hanging="720"/>
        <w:rPr>
          <w:rFonts w:ascii="Times New Roman" w:hAnsi="Times New Roman" w:cs="Times New Roman"/>
          <w:b/>
          <w:bCs/>
        </w:rPr>
      </w:pPr>
      <w:r w:rsidRPr="006F6CEF">
        <w:rPr>
          <w:rFonts w:ascii="Times New Roman" w:hAnsi="Times New Roman" w:cs="Times New Roman"/>
          <w:b/>
          <w:bCs/>
        </w:rPr>
        <w:t>3.8</w:t>
      </w:r>
      <w:r w:rsidRPr="006F6CEF">
        <w:rPr>
          <w:rFonts w:ascii="Times New Roman" w:hAnsi="Times New Roman" w:cs="Times New Roman"/>
          <w:b/>
          <w:bCs/>
        </w:rPr>
        <w:tab/>
        <w:t xml:space="preserve">Porcentaje de asuntos </w:t>
      </w:r>
      <w:proofErr w:type="spellStart"/>
      <w:r w:rsidRPr="006F6CEF">
        <w:rPr>
          <w:rFonts w:ascii="Times New Roman" w:hAnsi="Times New Roman" w:cs="Times New Roman"/>
          <w:b/>
          <w:bCs/>
        </w:rPr>
        <w:t>sobreseídos</w:t>
      </w:r>
      <w:proofErr w:type="spellEnd"/>
      <w:r w:rsidRPr="006F6CEF">
        <w:rPr>
          <w:rFonts w:ascii="Times New Roman" w:hAnsi="Times New Roman" w:cs="Times New Roman"/>
          <w:b/>
          <w:bCs/>
        </w:rPr>
        <w:t xml:space="preserve"> por cumplimiento de plazo de suspensión del proceso a prueba como medida alterna en</w:t>
      </w:r>
      <w:r w:rsidR="00071467">
        <w:rPr>
          <w:rFonts w:ascii="Times New Roman" w:hAnsi="Times New Roman" w:cs="Times New Roman"/>
          <w:b/>
          <w:bCs/>
        </w:rPr>
        <w:t xml:space="preserve"> los juzgados penales……………….. 32</w:t>
      </w:r>
    </w:p>
    <w:p w:rsidR="007D737B" w:rsidRPr="006F6CEF" w:rsidRDefault="007D737B" w:rsidP="007D737B">
      <w:pPr>
        <w:tabs>
          <w:tab w:val="left" w:pos="1080"/>
        </w:tabs>
        <w:spacing w:line="360" w:lineRule="auto"/>
        <w:ind w:left="1080" w:hanging="720"/>
        <w:rPr>
          <w:rFonts w:ascii="Times New Roman" w:hAnsi="Times New Roman" w:cs="Times New Roman"/>
          <w:b/>
          <w:bCs/>
        </w:rPr>
      </w:pPr>
      <w:r w:rsidRPr="006F6CEF">
        <w:rPr>
          <w:rFonts w:ascii="Times New Roman" w:hAnsi="Times New Roman" w:cs="Times New Roman"/>
          <w:b/>
          <w:bCs/>
        </w:rPr>
        <w:t>3.9</w:t>
      </w:r>
      <w:r w:rsidRPr="006F6CEF">
        <w:rPr>
          <w:rFonts w:ascii="Times New Roman" w:hAnsi="Times New Roman" w:cs="Times New Roman"/>
          <w:b/>
          <w:bCs/>
        </w:rPr>
        <w:tab/>
        <w:t xml:space="preserve">Porcentaje de asuntos </w:t>
      </w:r>
      <w:proofErr w:type="spellStart"/>
      <w:r w:rsidRPr="006F6CEF">
        <w:rPr>
          <w:rFonts w:ascii="Times New Roman" w:hAnsi="Times New Roman" w:cs="Times New Roman"/>
          <w:b/>
          <w:bCs/>
        </w:rPr>
        <w:t>sobreseídos</w:t>
      </w:r>
      <w:proofErr w:type="spellEnd"/>
      <w:r w:rsidRPr="006F6CEF">
        <w:rPr>
          <w:rFonts w:ascii="Times New Roman" w:hAnsi="Times New Roman" w:cs="Times New Roman"/>
          <w:b/>
          <w:bCs/>
        </w:rPr>
        <w:t xml:space="preserve"> por prescripc</w:t>
      </w:r>
      <w:r w:rsidR="00071467">
        <w:rPr>
          <w:rFonts w:ascii="Times New Roman" w:hAnsi="Times New Roman" w:cs="Times New Roman"/>
          <w:b/>
          <w:bCs/>
        </w:rPr>
        <w:t>ión en los juzgados penales…. 33</w:t>
      </w:r>
    </w:p>
    <w:p w:rsidR="007D737B" w:rsidRPr="006F6CEF" w:rsidRDefault="007D737B" w:rsidP="007D737B">
      <w:pPr>
        <w:spacing w:line="360" w:lineRule="auto"/>
        <w:rPr>
          <w:rFonts w:ascii="Times New Roman" w:hAnsi="Times New Roman" w:cs="Times New Roman"/>
          <w:b/>
          <w:bCs/>
        </w:rPr>
      </w:pPr>
      <w:r w:rsidRPr="006F6CEF">
        <w:rPr>
          <w:rFonts w:ascii="Times New Roman" w:hAnsi="Times New Roman" w:cs="Times New Roman"/>
          <w:b/>
          <w:bCs/>
        </w:rPr>
        <w:t>4.</w:t>
      </w:r>
      <w:r w:rsidRPr="006F6CEF">
        <w:rPr>
          <w:rFonts w:ascii="Times New Roman" w:hAnsi="Times New Roman" w:cs="Times New Roman"/>
          <w:b/>
          <w:bCs/>
        </w:rPr>
        <w:tab/>
        <w:t>DURACIÓN Y DILACIÓN...............................................................</w:t>
      </w:r>
      <w:r w:rsidR="00071467">
        <w:rPr>
          <w:rFonts w:ascii="Times New Roman" w:hAnsi="Times New Roman" w:cs="Times New Roman"/>
          <w:b/>
          <w:bCs/>
        </w:rPr>
        <w:t>.............................35</w:t>
      </w:r>
    </w:p>
    <w:p w:rsidR="007D737B" w:rsidRPr="006F6CEF" w:rsidRDefault="007D737B" w:rsidP="007D737B">
      <w:pPr>
        <w:tabs>
          <w:tab w:val="left" w:pos="1080"/>
        </w:tabs>
        <w:spacing w:line="360" w:lineRule="auto"/>
        <w:ind w:firstLine="360"/>
        <w:rPr>
          <w:rFonts w:ascii="Times New Roman" w:hAnsi="Times New Roman" w:cs="Times New Roman"/>
          <w:b/>
          <w:bCs/>
        </w:rPr>
      </w:pPr>
      <w:r w:rsidRPr="006F6CEF">
        <w:rPr>
          <w:rFonts w:ascii="Times New Roman" w:hAnsi="Times New Roman" w:cs="Times New Roman"/>
          <w:b/>
          <w:bCs/>
        </w:rPr>
        <w:t>4.1</w:t>
      </w:r>
      <w:r w:rsidRPr="006F6CEF">
        <w:rPr>
          <w:rFonts w:ascii="Times New Roman" w:hAnsi="Times New Roman" w:cs="Times New Roman"/>
          <w:b/>
          <w:bCs/>
        </w:rPr>
        <w:tab/>
        <w:t>Tasa de pendencia y tasa de resolución..........................................</w:t>
      </w:r>
      <w:r w:rsidR="00071467">
        <w:rPr>
          <w:rFonts w:ascii="Times New Roman" w:hAnsi="Times New Roman" w:cs="Times New Roman"/>
          <w:b/>
          <w:bCs/>
        </w:rPr>
        <w:t>......................... 35</w:t>
      </w:r>
    </w:p>
    <w:p w:rsidR="007D737B" w:rsidRPr="006F6CEF" w:rsidRDefault="007D737B" w:rsidP="007D737B">
      <w:pPr>
        <w:tabs>
          <w:tab w:val="left" w:pos="1080"/>
        </w:tabs>
        <w:spacing w:line="360" w:lineRule="auto"/>
        <w:ind w:firstLine="360"/>
        <w:rPr>
          <w:rFonts w:ascii="Times New Roman" w:hAnsi="Times New Roman" w:cs="Times New Roman"/>
          <w:b/>
          <w:bCs/>
        </w:rPr>
      </w:pPr>
      <w:r w:rsidRPr="006F6CEF">
        <w:rPr>
          <w:rFonts w:ascii="Times New Roman" w:hAnsi="Times New Roman" w:cs="Times New Roman"/>
          <w:b/>
          <w:bCs/>
        </w:rPr>
        <w:t>4.2</w:t>
      </w:r>
      <w:r w:rsidRPr="006F6CEF">
        <w:rPr>
          <w:rFonts w:ascii="Times New Roman" w:hAnsi="Times New Roman" w:cs="Times New Roman"/>
          <w:b/>
          <w:bCs/>
        </w:rPr>
        <w:tab/>
        <w:t xml:space="preserve">Casos pendientes por Jueza y Juez de primera y segunda </w:t>
      </w:r>
      <w:r w:rsidR="00071467">
        <w:rPr>
          <w:rFonts w:ascii="Times New Roman" w:hAnsi="Times New Roman" w:cs="Times New Roman"/>
          <w:b/>
          <w:bCs/>
        </w:rPr>
        <w:t>instancia.................... 37</w:t>
      </w:r>
    </w:p>
    <w:p w:rsidR="007D737B" w:rsidRPr="006F6CEF" w:rsidRDefault="007D737B" w:rsidP="007D737B">
      <w:pPr>
        <w:tabs>
          <w:tab w:val="left" w:pos="1080"/>
        </w:tabs>
        <w:spacing w:line="360" w:lineRule="auto"/>
        <w:ind w:firstLine="360"/>
        <w:rPr>
          <w:rFonts w:ascii="Times New Roman" w:hAnsi="Times New Roman" w:cs="Times New Roman"/>
          <w:b/>
          <w:bCs/>
        </w:rPr>
      </w:pPr>
      <w:r w:rsidRPr="006F6CEF">
        <w:rPr>
          <w:rFonts w:ascii="Times New Roman" w:hAnsi="Times New Roman" w:cs="Times New Roman"/>
          <w:b/>
          <w:bCs/>
        </w:rPr>
        <w:t>4.3</w:t>
      </w:r>
      <w:r w:rsidRPr="006F6CEF">
        <w:rPr>
          <w:rFonts w:ascii="Times New Roman" w:hAnsi="Times New Roman" w:cs="Times New Roman"/>
          <w:b/>
          <w:bCs/>
        </w:rPr>
        <w:tab/>
        <w:t>Duración promedio de juicios fallados con sentencia................</w:t>
      </w:r>
      <w:r w:rsidR="00071467">
        <w:rPr>
          <w:rFonts w:ascii="Times New Roman" w:hAnsi="Times New Roman" w:cs="Times New Roman"/>
          <w:b/>
          <w:bCs/>
        </w:rPr>
        <w:t>............................. 39</w:t>
      </w:r>
    </w:p>
    <w:p w:rsidR="007D737B" w:rsidRPr="006F6CEF" w:rsidRDefault="007D737B" w:rsidP="007D737B">
      <w:pPr>
        <w:spacing w:line="360" w:lineRule="auto"/>
        <w:rPr>
          <w:rFonts w:ascii="Times New Roman" w:hAnsi="Times New Roman" w:cs="Times New Roman"/>
          <w:b/>
          <w:bCs/>
        </w:rPr>
      </w:pPr>
      <w:r w:rsidRPr="006F6CEF">
        <w:rPr>
          <w:rFonts w:ascii="Times New Roman" w:hAnsi="Times New Roman" w:cs="Times New Roman"/>
          <w:b/>
          <w:bCs/>
        </w:rPr>
        <w:t>5.</w:t>
      </w:r>
      <w:r w:rsidRPr="006F6CEF">
        <w:rPr>
          <w:rFonts w:ascii="Times New Roman" w:hAnsi="Times New Roman" w:cs="Times New Roman"/>
          <w:b/>
          <w:bCs/>
        </w:rPr>
        <w:tab/>
        <w:t>CALIDAD DEL SERVICIO..............................................................</w:t>
      </w:r>
      <w:r w:rsidR="00071467">
        <w:rPr>
          <w:rFonts w:ascii="Times New Roman" w:hAnsi="Times New Roman" w:cs="Times New Roman"/>
          <w:b/>
          <w:bCs/>
        </w:rPr>
        <w:t>............................. 44</w:t>
      </w:r>
    </w:p>
    <w:p w:rsidR="007D737B" w:rsidRPr="006F6CEF" w:rsidRDefault="007D737B" w:rsidP="007D737B">
      <w:pPr>
        <w:widowControl/>
        <w:numPr>
          <w:ilvl w:val="1"/>
          <w:numId w:val="6"/>
        </w:numPr>
        <w:autoSpaceDE/>
        <w:autoSpaceDN/>
        <w:adjustRightInd/>
        <w:spacing w:line="360" w:lineRule="auto"/>
        <w:rPr>
          <w:rFonts w:ascii="Times New Roman" w:hAnsi="Times New Roman" w:cs="Times New Roman"/>
          <w:b/>
          <w:bCs/>
        </w:rPr>
      </w:pPr>
      <w:r w:rsidRPr="006F6CEF">
        <w:rPr>
          <w:rFonts w:ascii="Times New Roman" w:hAnsi="Times New Roman" w:cs="Times New Roman"/>
          <w:b/>
          <w:bCs/>
        </w:rPr>
        <w:t>Tasa de revocación en apelación.................................................</w:t>
      </w:r>
      <w:r w:rsidR="00071467">
        <w:rPr>
          <w:rFonts w:ascii="Times New Roman" w:hAnsi="Times New Roman" w:cs="Times New Roman"/>
          <w:b/>
          <w:bCs/>
        </w:rPr>
        <w:t>............................. 45</w:t>
      </w:r>
    </w:p>
    <w:p w:rsidR="007D737B" w:rsidRPr="006F6CEF" w:rsidRDefault="007D737B" w:rsidP="007D737B">
      <w:pPr>
        <w:widowControl/>
        <w:numPr>
          <w:ilvl w:val="1"/>
          <w:numId w:val="6"/>
        </w:numPr>
        <w:autoSpaceDE/>
        <w:autoSpaceDN/>
        <w:adjustRightInd/>
        <w:spacing w:line="360" w:lineRule="auto"/>
        <w:rPr>
          <w:rFonts w:ascii="Times New Roman" w:hAnsi="Times New Roman" w:cs="Times New Roman"/>
          <w:b/>
          <w:bCs/>
        </w:rPr>
      </w:pPr>
      <w:r w:rsidRPr="006F6CEF">
        <w:rPr>
          <w:rFonts w:ascii="Times New Roman" w:hAnsi="Times New Roman" w:cs="Times New Roman"/>
          <w:b/>
          <w:bCs/>
        </w:rPr>
        <w:t>Porcentaje de casos anulados en apelación................................</w:t>
      </w:r>
      <w:r w:rsidR="00071467">
        <w:rPr>
          <w:rFonts w:ascii="Times New Roman" w:hAnsi="Times New Roman" w:cs="Times New Roman"/>
          <w:b/>
          <w:bCs/>
        </w:rPr>
        <w:t>............................. 46</w:t>
      </w:r>
    </w:p>
    <w:p w:rsidR="007D737B" w:rsidRPr="006F6CEF" w:rsidRDefault="007D737B" w:rsidP="007D737B">
      <w:pPr>
        <w:tabs>
          <w:tab w:val="left" w:pos="1080"/>
        </w:tabs>
        <w:spacing w:line="360" w:lineRule="auto"/>
        <w:ind w:left="1080" w:hanging="720"/>
        <w:rPr>
          <w:rFonts w:ascii="Times New Roman" w:hAnsi="Times New Roman" w:cs="Times New Roman"/>
          <w:b/>
          <w:bCs/>
        </w:rPr>
      </w:pPr>
      <w:r>
        <w:rPr>
          <w:rFonts w:ascii="Times New Roman" w:hAnsi="Times New Roman" w:cs="Times New Roman"/>
          <w:b/>
          <w:bCs/>
        </w:rPr>
        <w:t>5.3</w:t>
      </w:r>
      <w:r w:rsidRPr="006F6CEF">
        <w:rPr>
          <w:rFonts w:ascii="Times New Roman" w:hAnsi="Times New Roman" w:cs="Times New Roman"/>
          <w:b/>
          <w:bCs/>
        </w:rPr>
        <w:tab/>
        <w:t>Porcentaje de asuntos declarados con lugar en apelación en los tribunales de apelación penal.............................................................................</w:t>
      </w:r>
      <w:r>
        <w:rPr>
          <w:rFonts w:ascii="Times New Roman" w:hAnsi="Times New Roman" w:cs="Times New Roman"/>
          <w:b/>
          <w:bCs/>
        </w:rPr>
        <w:t>.</w:t>
      </w:r>
      <w:r w:rsidR="00071467">
        <w:rPr>
          <w:rFonts w:ascii="Times New Roman" w:hAnsi="Times New Roman" w:cs="Times New Roman"/>
          <w:b/>
          <w:bCs/>
        </w:rPr>
        <w:t>............................. 47</w:t>
      </w:r>
    </w:p>
    <w:p w:rsidR="007D737B" w:rsidRDefault="007D737B" w:rsidP="007D737B">
      <w:pPr>
        <w:tabs>
          <w:tab w:val="left" w:pos="1080"/>
        </w:tabs>
        <w:spacing w:line="360" w:lineRule="auto"/>
        <w:ind w:firstLine="360"/>
        <w:rPr>
          <w:rFonts w:ascii="Times New Roman" w:hAnsi="Times New Roman" w:cs="Times New Roman"/>
          <w:b/>
          <w:bCs/>
        </w:rPr>
      </w:pPr>
      <w:r>
        <w:rPr>
          <w:rFonts w:ascii="Times New Roman" w:hAnsi="Times New Roman" w:cs="Times New Roman"/>
          <w:b/>
          <w:bCs/>
        </w:rPr>
        <w:t>5.4</w:t>
      </w:r>
      <w:r w:rsidRPr="006F6CEF">
        <w:rPr>
          <w:rFonts w:ascii="Times New Roman" w:hAnsi="Times New Roman" w:cs="Times New Roman"/>
          <w:b/>
          <w:bCs/>
        </w:rPr>
        <w:tab/>
        <w:t>Número de gestiones (quejas) de los usuarios............................</w:t>
      </w:r>
      <w:r w:rsidR="00071467">
        <w:rPr>
          <w:rFonts w:ascii="Times New Roman" w:hAnsi="Times New Roman" w:cs="Times New Roman"/>
          <w:b/>
          <w:bCs/>
        </w:rPr>
        <w:t>............................. 47</w:t>
      </w:r>
    </w:p>
    <w:p w:rsidR="007D737B" w:rsidRPr="006F6CEF" w:rsidRDefault="007D737B" w:rsidP="007D737B">
      <w:pPr>
        <w:spacing w:line="360" w:lineRule="auto"/>
        <w:rPr>
          <w:rFonts w:ascii="Times New Roman" w:hAnsi="Times New Roman" w:cs="Times New Roman"/>
          <w:b/>
          <w:bCs/>
        </w:rPr>
      </w:pPr>
      <w:r w:rsidRPr="006F6CEF">
        <w:rPr>
          <w:rFonts w:ascii="Times New Roman" w:hAnsi="Times New Roman" w:cs="Times New Roman"/>
          <w:b/>
          <w:bCs/>
        </w:rPr>
        <w:t>6.</w:t>
      </w:r>
      <w:r w:rsidRPr="006F6CEF">
        <w:rPr>
          <w:rFonts w:ascii="Times New Roman" w:hAnsi="Times New Roman" w:cs="Times New Roman"/>
          <w:b/>
          <w:bCs/>
        </w:rPr>
        <w:tab/>
        <w:t>FISCALÍA...........................................................................................</w:t>
      </w:r>
      <w:r>
        <w:rPr>
          <w:rFonts w:ascii="Times New Roman" w:hAnsi="Times New Roman" w:cs="Times New Roman"/>
          <w:b/>
          <w:bCs/>
        </w:rPr>
        <w:t>.....</w:t>
      </w:r>
      <w:r w:rsidR="00071467">
        <w:rPr>
          <w:rFonts w:ascii="Times New Roman" w:hAnsi="Times New Roman" w:cs="Times New Roman"/>
          <w:b/>
          <w:bCs/>
        </w:rPr>
        <w:t>........................ 50</w:t>
      </w:r>
    </w:p>
    <w:p w:rsidR="007D737B" w:rsidRPr="006F6CEF" w:rsidRDefault="007D737B" w:rsidP="007D737B">
      <w:pPr>
        <w:tabs>
          <w:tab w:val="left" w:pos="1080"/>
        </w:tabs>
        <w:spacing w:line="360" w:lineRule="auto"/>
        <w:ind w:firstLine="360"/>
        <w:rPr>
          <w:rFonts w:ascii="Times New Roman" w:hAnsi="Times New Roman" w:cs="Times New Roman"/>
          <w:b/>
          <w:bCs/>
        </w:rPr>
      </w:pPr>
      <w:r w:rsidRPr="006F6CEF">
        <w:rPr>
          <w:rFonts w:ascii="Times New Roman" w:hAnsi="Times New Roman" w:cs="Times New Roman"/>
          <w:b/>
          <w:bCs/>
        </w:rPr>
        <w:t>6.1</w:t>
      </w:r>
      <w:r w:rsidRPr="006F6CEF">
        <w:rPr>
          <w:rFonts w:ascii="Times New Roman" w:hAnsi="Times New Roman" w:cs="Times New Roman"/>
          <w:b/>
          <w:bCs/>
        </w:rPr>
        <w:tab/>
        <w:t>Tasa de denuncias por delito ingresadas</w:t>
      </w:r>
      <w:r w:rsidR="00071467">
        <w:rPr>
          <w:rFonts w:ascii="Times New Roman" w:hAnsi="Times New Roman" w:cs="Times New Roman"/>
          <w:b/>
          <w:bCs/>
        </w:rPr>
        <w:t xml:space="preserve"> al Ministerio Público…………………..50</w:t>
      </w:r>
    </w:p>
    <w:p w:rsidR="007D737B" w:rsidRPr="006F6CEF" w:rsidRDefault="007D737B" w:rsidP="007D737B">
      <w:pPr>
        <w:tabs>
          <w:tab w:val="left" w:pos="1080"/>
        </w:tabs>
        <w:spacing w:line="360" w:lineRule="auto"/>
        <w:ind w:firstLine="360"/>
        <w:rPr>
          <w:rFonts w:ascii="Times New Roman" w:hAnsi="Times New Roman" w:cs="Times New Roman"/>
          <w:b/>
          <w:bCs/>
        </w:rPr>
      </w:pPr>
      <w:r w:rsidRPr="006F6CEF">
        <w:rPr>
          <w:rFonts w:ascii="Times New Roman" w:hAnsi="Times New Roman" w:cs="Times New Roman"/>
          <w:b/>
          <w:bCs/>
        </w:rPr>
        <w:t>6.2</w:t>
      </w:r>
      <w:r w:rsidRPr="006F6CEF">
        <w:rPr>
          <w:rFonts w:ascii="Times New Roman" w:hAnsi="Times New Roman" w:cs="Times New Roman"/>
          <w:b/>
          <w:bCs/>
        </w:rPr>
        <w:tab/>
      </w:r>
      <w:r>
        <w:rPr>
          <w:rFonts w:ascii="Times New Roman" w:hAnsi="Times New Roman" w:cs="Times New Roman"/>
          <w:b/>
          <w:bCs/>
        </w:rPr>
        <w:t>Tasa de acusación Penal…..…………………………</w:t>
      </w:r>
      <w:r w:rsidRPr="006F6CEF">
        <w:rPr>
          <w:rFonts w:ascii="Times New Roman" w:hAnsi="Times New Roman" w:cs="Times New Roman"/>
          <w:b/>
          <w:bCs/>
        </w:rPr>
        <w:t>.................</w:t>
      </w:r>
      <w:r w:rsidR="00071467">
        <w:rPr>
          <w:rFonts w:ascii="Times New Roman" w:hAnsi="Times New Roman" w:cs="Times New Roman"/>
          <w:b/>
          <w:bCs/>
        </w:rPr>
        <w:t>............................. 51</w:t>
      </w:r>
    </w:p>
    <w:p w:rsidR="007D737B" w:rsidRPr="006F6CEF" w:rsidRDefault="007D737B" w:rsidP="007D737B">
      <w:pPr>
        <w:tabs>
          <w:tab w:val="left" w:pos="1080"/>
        </w:tabs>
        <w:spacing w:line="360" w:lineRule="auto"/>
        <w:ind w:firstLine="360"/>
        <w:rPr>
          <w:rFonts w:ascii="Times New Roman" w:hAnsi="Times New Roman" w:cs="Times New Roman"/>
          <w:b/>
          <w:bCs/>
        </w:rPr>
      </w:pPr>
      <w:r w:rsidRPr="006F6CEF">
        <w:rPr>
          <w:rFonts w:ascii="Times New Roman" w:hAnsi="Times New Roman" w:cs="Times New Roman"/>
          <w:b/>
          <w:bCs/>
        </w:rPr>
        <w:t>6.3</w:t>
      </w:r>
      <w:r w:rsidRPr="006F6CEF">
        <w:rPr>
          <w:rFonts w:ascii="Times New Roman" w:hAnsi="Times New Roman" w:cs="Times New Roman"/>
          <w:b/>
          <w:bCs/>
        </w:rPr>
        <w:tab/>
      </w:r>
      <w:r>
        <w:rPr>
          <w:rFonts w:ascii="Times New Roman" w:hAnsi="Times New Roman" w:cs="Times New Roman"/>
          <w:b/>
          <w:bCs/>
        </w:rPr>
        <w:t>Tasa de e</w:t>
      </w:r>
      <w:r w:rsidRPr="006F6CEF">
        <w:rPr>
          <w:rFonts w:ascii="Times New Roman" w:hAnsi="Times New Roman" w:cs="Times New Roman"/>
          <w:b/>
          <w:bCs/>
        </w:rPr>
        <w:t xml:space="preserve">xpedientes </w:t>
      </w:r>
      <w:r>
        <w:rPr>
          <w:rFonts w:ascii="Times New Roman" w:hAnsi="Times New Roman" w:cs="Times New Roman"/>
          <w:b/>
          <w:bCs/>
        </w:rPr>
        <w:t>nuevos de menores de 18 años…………………………</w:t>
      </w:r>
      <w:r w:rsidR="00071467">
        <w:rPr>
          <w:rFonts w:ascii="Times New Roman" w:hAnsi="Times New Roman" w:cs="Times New Roman"/>
          <w:b/>
          <w:bCs/>
        </w:rPr>
        <w:t>….....52</w:t>
      </w:r>
    </w:p>
    <w:p w:rsidR="007D737B" w:rsidRPr="006F6CEF" w:rsidRDefault="007D737B" w:rsidP="007D737B">
      <w:pPr>
        <w:spacing w:line="360" w:lineRule="auto"/>
        <w:rPr>
          <w:rFonts w:ascii="Times New Roman" w:hAnsi="Times New Roman" w:cs="Times New Roman"/>
          <w:b/>
          <w:bCs/>
        </w:rPr>
      </w:pPr>
      <w:r w:rsidRPr="006F6CEF">
        <w:rPr>
          <w:rFonts w:ascii="Times New Roman" w:hAnsi="Times New Roman" w:cs="Times New Roman"/>
          <w:b/>
          <w:bCs/>
        </w:rPr>
        <w:t>7.</w:t>
      </w:r>
      <w:r w:rsidRPr="006F6CEF">
        <w:rPr>
          <w:rFonts w:ascii="Times New Roman" w:hAnsi="Times New Roman" w:cs="Times New Roman"/>
          <w:b/>
          <w:bCs/>
        </w:rPr>
        <w:tab/>
        <w:t>SISTEMA PENITENCIARIO...........................................................</w:t>
      </w:r>
      <w:r w:rsidR="00071467">
        <w:rPr>
          <w:rFonts w:ascii="Times New Roman" w:hAnsi="Times New Roman" w:cs="Times New Roman"/>
          <w:b/>
          <w:bCs/>
        </w:rPr>
        <w:t>............................. 54</w:t>
      </w:r>
    </w:p>
    <w:p w:rsidR="007D737B" w:rsidRPr="006F6CEF" w:rsidRDefault="007D737B" w:rsidP="007D737B">
      <w:pPr>
        <w:tabs>
          <w:tab w:val="left" w:pos="1080"/>
        </w:tabs>
        <w:spacing w:line="360" w:lineRule="auto"/>
        <w:ind w:firstLine="360"/>
        <w:rPr>
          <w:rFonts w:ascii="Times New Roman" w:hAnsi="Times New Roman" w:cs="Times New Roman"/>
          <w:b/>
          <w:bCs/>
        </w:rPr>
      </w:pPr>
      <w:r w:rsidRPr="006F6CEF">
        <w:rPr>
          <w:rFonts w:ascii="Times New Roman" w:hAnsi="Times New Roman" w:cs="Times New Roman"/>
          <w:b/>
          <w:bCs/>
        </w:rPr>
        <w:t>7.1</w:t>
      </w:r>
      <w:r w:rsidRPr="006F6CEF">
        <w:rPr>
          <w:rFonts w:ascii="Times New Roman" w:hAnsi="Times New Roman" w:cs="Times New Roman"/>
          <w:b/>
          <w:bCs/>
        </w:rPr>
        <w:tab/>
      </w:r>
      <w:r>
        <w:rPr>
          <w:rFonts w:ascii="Times New Roman" w:hAnsi="Times New Roman" w:cs="Times New Roman"/>
          <w:b/>
          <w:bCs/>
        </w:rPr>
        <w:t>Tasa de condenatoria y tasa de a</w:t>
      </w:r>
      <w:r w:rsidRPr="006F6CEF">
        <w:rPr>
          <w:rFonts w:ascii="Times New Roman" w:hAnsi="Times New Roman" w:cs="Times New Roman"/>
          <w:b/>
          <w:bCs/>
        </w:rPr>
        <w:t>bs</w:t>
      </w:r>
      <w:r>
        <w:rPr>
          <w:rFonts w:ascii="Times New Roman" w:hAnsi="Times New Roman" w:cs="Times New Roman"/>
          <w:b/>
          <w:bCs/>
        </w:rPr>
        <w:t>olutoria</w:t>
      </w:r>
      <w:r w:rsidRPr="006F6CEF">
        <w:rPr>
          <w:rFonts w:ascii="Times New Roman" w:hAnsi="Times New Roman" w:cs="Times New Roman"/>
          <w:b/>
          <w:bCs/>
        </w:rPr>
        <w:t>...............................</w:t>
      </w:r>
      <w:r w:rsidR="00071467">
        <w:rPr>
          <w:rFonts w:ascii="Times New Roman" w:hAnsi="Times New Roman" w:cs="Times New Roman"/>
          <w:b/>
          <w:bCs/>
        </w:rPr>
        <w:t>............................. 54</w:t>
      </w:r>
    </w:p>
    <w:p w:rsidR="007D737B" w:rsidRPr="006F6CEF" w:rsidRDefault="007D737B" w:rsidP="007D737B">
      <w:pPr>
        <w:tabs>
          <w:tab w:val="left" w:pos="1080"/>
        </w:tabs>
        <w:spacing w:line="360" w:lineRule="auto"/>
        <w:ind w:firstLine="360"/>
        <w:rPr>
          <w:rFonts w:ascii="Times New Roman" w:hAnsi="Times New Roman" w:cs="Times New Roman"/>
          <w:b/>
          <w:bCs/>
        </w:rPr>
      </w:pPr>
      <w:r w:rsidRPr="006F6CEF">
        <w:rPr>
          <w:rFonts w:ascii="Times New Roman" w:hAnsi="Times New Roman" w:cs="Times New Roman"/>
          <w:b/>
          <w:bCs/>
        </w:rPr>
        <w:t>7.2</w:t>
      </w:r>
      <w:r w:rsidRPr="006F6CEF">
        <w:rPr>
          <w:rFonts w:ascii="Times New Roman" w:hAnsi="Times New Roman" w:cs="Times New Roman"/>
          <w:b/>
          <w:bCs/>
        </w:rPr>
        <w:tab/>
      </w:r>
      <w:r w:rsidRPr="006F6CEF">
        <w:rPr>
          <w:rFonts w:ascii="Times New Roman" w:hAnsi="Times New Roman" w:cs="Times New Roman"/>
          <w:b/>
        </w:rPr>
        <w:t>Edad promedio de las personas condenadas</w:t>
      </w:r>
      <w:r w:rsidRPr="006F6CEF">
        <w:rPr>
          <w:rFonts w:ascii="Times New Roman" w:hAnsi="Times New Roman" w:cs="Times New Roman"/>
          <w:b/>
          <w:bCs/>
        </w:rPr>
        <w:t>..............................</w:t>
      </w:r>
      <w:r w:rsidR="00071467">
        <w:rPr>
          <w:rFonts w:ascii="Times New Roman" w:hAnsi="Times New Roman" w:cs="Times New Roman"/>
          <w:b/>
          <w:bCs/>
        </w:rPr>
        <w:t>............................. 55</w:t>
      </w:r>
    </w:p>
    <w:p w:rsidR="007D737B" w:rsidRPr="006F6CEF" w:rsidRDefault="007D737B" w:rsidP="007D737B">
      <w:pPr>
        <w:spacing w:line="360" w:lineRule="auto"/>
        <w:rPr>
          <w:rFonts w:ascii="Times New Roman" w:hAnsi="Times New Roman" w:cs="Times New Roman"/>
          <w:b/>
          <w:bCs/>
        </w:rPr>
      </w:pPr>
      <w:r w:rsidRPr="006F6CEF">
        <w:rPr>
          <w:rFonts w:ascii="Times New Roman" w:hAnsi="Times New Roman" w:cs="Times New Roman"/>
          <w:b/>
          <w:bCs/>
        </w:rPr>
        <w:lastRenderedPageBreak/>
        <w:t>8.</w:t>
      </w:r>
      <w:r w:rsidRPr="006F6CEF">
        <w:rPr>
          <w:rFonts w:ascii="Times New Roman" w:hAnsi="Times New Roman" w:cs="Times New Roman"/>
          <w:b/>
          <w:bCs/>
        </w:rPr>
        <w:tab/>
        <w:t>SEGURIDAD CIUDADANA.............................................................</w:t>
      </w:r>
      <w:r>
        <w:rPr>
          <w:rFonts w:ascii="Times New Roman" w:hAnsi="Times New Roman" w:cs="Times New Roman"/>
          <w:b/>
          <w:bCs/>
        </w:rPr>
        <w:t>.............................57</w:t>
      </w:r>
    </w:p>
    <w:p w:rsidR="007D737B" w:rsidRPr="006F6CEF" w:rsidRDefault="007D737B" w:rsidP="007D737B">
      <w:pPr>
        <w:tabs>
          <w:tab w:val="left" w:pos="1080"/>
        </w:tabs>
        <w:spacing w:line="360" w:lineRule="auto"/>
        <w:ind w:firstLine="360"/>
        <w:rPr>
          <w:rFonts w:ascii="Times New Roman" w:hAnsi="Times New Roman" w:cs="Times New Roman"/>
          <w:b/>
          <w:bCs/>
        </w:rPr>
      </w:pPr>
      <w:r w:rsidRPr="006F6CEF">
        <w:rPr>
          <w:rFonts w:ascii="Times New Roman" w:hAnsi="Times New Roman" w:cs="Times New Roman"/>
          <w:b/>
          <w:bCs/>
        </w:rPr>
        <w:t>8.1</w:t>
      </w:r>
      <w:r w:rsidRPr="006F6CEF">
        <w:rPr>
          <w:rFonts w:ascii="Times New Roman" w:hAnsi="Times New Roman" w:cs="Times New Roman"/>
          <w:b/>
          <w:bCs/>
        </w:rPr>
        <w:tab/>
        <w:t>Tasa de criminalidad....................................................................</w:t>
      </w:r>
      <w:r>
        <w:rPr>
          <w:rFonts w:ascii="Times New Roman" w:hAnsi="Times New Roman" w:cs="Times New Roman"/>
          <w:b/>
          <w:bCs/>
        </w:rPr>
        <w:t>............................. 57</w:t>
      </w:r>
    </w:p>
    <w:p w:rsidR="007D737B" w:rsidRPr="006F6CEF" w:rsidRDefault="007D737B" w:rsidP="007D737B">
      <w:pPr>
        <w:tabs>
          <w:tab w:val="left" w:pos="1080"/>
        </w:tabs>
        <w:spacing w:line="360" w:lineRule="auto"/>
        <w:ind w:firstLine="360"/>
        <w:rPr>
          <w:rFonts w:ascii="Times New Roman" w:hAnsi="Times New Roman" w:cs="Times New Roman"/>
          <w:b/>
          <w:bCs/>
        </w:rPr>
      </w:pPr>
      <w:r w:rsidRPr="006F6CEF">
        <w:rPr>
          <w:rFonts w:ascii="Times New Roman" w:hAnsi="Times New Roman" w:cs="Times New Roman"/>
          <w:b/>
          <w:bCs/>
        </w:rPr>
        <w:t>8.2</w:t>
      </w:r>
      <w:r w:rsidRPr="006F6CEF">
        <w:rPr>
          <w:rFonts w:ascii="Times New Roman" w:hAnsi="Times New Roman" w:cs="Times New Roman"/>
          <w:b/>
          <w:bCs/>
        </w:rPr>
        <w:tab/>
        <w:t>Tasa de víctimas por homicidio doloso.......................................</w:t>
      </w:r>
      <w:r>
        <w:rPr>
          <w:rFonts w:ascii="Times New Roman" w:hAnsi="Times New Roman" w:cs="Times New Roman"/>
          <w:b/>
          <w:bCs/>
        </w:rPr>
        <w:t>............................. 58</w:t>
      </w:r>
    </w:p>
    <w:p w:rsidR="007D737B" w:rsidRPr="006F6CEF" w:rsidRDefault="007D737B" w:rsidP="007D737B">
      <w:pPr>
        <w:tabs>
          <w:tab w:val="left" w:pos="1080"/>
        </w:tabs>
        <w:spacing w:line="360" w:lineRule="auto"/>
        <w:ind w:firstLine="360"/>
        <w:rPr>
          <w:rFonts w:ascii="Times New Roman" w:hAnsi="Times New Roman" w:cs="Times New Roman"/>
          <w:b/>
          <w:bCs/>
        </w:rPr>
      </w:pPr>
      <w:r w:rsidRPr="006F6CEF">
        <w:rPr>
          <w:rFonts w:ascii="Times New Roman" w:hAnsi="Times New Roman" w:cs="Times New Roman"/>
          <w:b/>
          <w:bCs/>
        </w:rPr>
        <w:t>8.3</w:t>
      </w:r>
      <w:r w:rsidRPr="006F6CEF">
        <w:rPr>
          <w:rFonts w:ascii="Times New Roman" w:hAnsi="Times New Roman" w:cs="Times New Roman"/>
          <w:b/>
          <w:bCs/>
        </w:rPr>
        <w:tab/>
        <w:t>Tasa de víctimas por secuestro extorsivo........................................</w:t>
      </w:r>
      <w:r>
        <w:rPr>
          <w:rFonts w:ascii="Times New Roman" w:hAnsi="Times New Roman" w:cs="Times New Roman"/>
          <w:b/>
          <w:bCs/>
        </w:rPr>
        <w:t>......................... 59</w:t>
      </w:r>
    </w:p>
    <w:p w:rsidR="007D737B" w:rsidRPr="006F6CEF" w:rsidRDefault="007D737B" w:rsidP="007D737B">
      <w:pPr>
        <w:tabs>
          <w:tab w:val="left" w:pos="1080"/>
        </w:tabs>
        <w:spacing w:line="360" w:lineRule="auto"/>
        <w:ind w:firstLine="360"/>
        <w:rPr>
          <w:rFonts w:ascii="Times New Roman" w:hAnsi="Times New Roman" w:cs="Times New Roman"/>
          <w:b/>
          <w:bCs/>
        </w:rPr>
      </w:pPr>
      <w:r w:rsidRPr="006F6CEF">
        <w:rPr>
          <w:rFonts w:ascii="Times New Roman" w:hAnsi="Times New Roman" w:cs="Times New Roman"/>
          <w:b/>
          <w:bCs/>
        </w:rPr>
        <w:t>8.4</w:t>
      </w:r>
      <w:r w:rsidRPr="006F6CEF">
        <w:rPr>
          <w:rFonts w:ascii="Times New Roman" w:hAnsi="Times New Roman" w:cs="Times New Roman"/>
          <w:b/>
          <w:bCs/>
        </w:rPr>
        <w:tab/>
        <w:t>Tasa de delincuencia.....................................................................</w:t>
      </w:r>
      <w:r>
        <w:rPr>
          <w:rFonts w:ascii="Times New Roman" w:hAnsi="Times New Roman" w:cs="Times New Roman"/>
          <w:b/>
          <w:bCs/>
        </w:rPr>
        <w:t>............................. 60</w:t>
      </w:r>
    </w:p>
    <w:p w:rsidR="007D737B" w:rsidRPr="006F6CEF" w:rsidRDefault="007D737B" w:rsidP="007D737B">
      <w:pPr>
        <w:tabs>
          <w:tab w:val="left" w:pos="1080"/>
        </w:tabs>
        <w:spacing w:line="360" w:lineRule="auto"/>
        <w:ind w:firstLine="360"/>
        <w:rPr>
          <w:rFonts w:ascii="Times New Roman" w:hAnsi="Times New Roman" w:cs="Times New Roman"/>
          <w:b/>
          <w:bCs/>
        </w:rPr>
      </w:pPr>
      <w:r w:rsidRPr="006F6CEF">
        <w:rPr>
          <w:rFonts w:ascii="Times New Roman" w:hAnsi="Times New Roman" w:cs="Times New Roman"/>
          <w:b/>
          <w:bCs/>
        </w:rPr>
        <w:t>8.5</w:t>
      </w:r>
      <w:r w:rsidRPr="006F6CEF">
        <w:rPr>
          <w:rFonts w:ascii="Times New Roman" w:hAnsi="Times New Roman" w:cs="Times New Roman"/>
          <w:b/>
          <w:bCs/>
        </w:rPr>
        <w:tab/>
        <w:t>Tasa de denuncia por hurto........................................................................</w:t>
      </w:r>
      <w:r>
        <w:rPr>
          <w:rFonts w:ascii="Times New Roman" w:hAnsi="Times New Roman" w:cs="Times New Roman"/>
          <w:b/>
          <w:bCs/>
        </w:rPr>
        <w:t>.............. 61</w:t>
      </w:r>
    </w:p>
    <w:p w:rsidR="007D737B" w:rsidRPr="006F6CEF" w:rsidRDefault="007D737B" w:rsidP="007D737B">
      <w:pPr>
        <w:tabs>
          <w:tab w:val="left" w:pos="1080"/>
        </w:tabs>
        <w:spacing w:line="360" w:lineRule="auto"/>
        <w:ind w:firstLine="360"/>
        <w:rPr>
          <w:rFonts w:ascii="Times New Roman" w:hAnsi="Times New Roman" w:cs="Times New Roman"/>
          <w:b/>
          <w:bCs/>
        </w:rPr>
      </w:pPr>
      <w:r w:rsidRPr="006F6CEF">
        <w:rPr>
          <w:rFonts w:ascii="Times New Roman" w:hAnsi="Times New Roman" w:cs="Times New Roman"/>
          <w:b/>
          <w:bCs/>
        </w:rPr>
        <w:t>8.6</w:t>
      </w:r>
      <w:r w:rsidRPr="006F6CEF">
        <w:rPr>
          <w:rFonts w:ascii="Times New Roman" w:hAnsi="Times New Roman" w:cs="Times New Roman"/>
          <w:b/>
          <w:bCs/>
        </w:rPr>
        <w:tab/>
        <w:t>Tasa de denuncia por robo..........................................................</w:t>
      </w:r>
      <w:r>
        <w:rPr>
          <w:rFonts w:ascii="Times New Roman" w:hAnsi="Times New Roman" w:cs="Times New Roman"/>
          <w:b/>
          <w:bCs/>
        </w:rPr>
        <w:t>............................. 62</w:t>
      </w:r>
    </w:p>
    <w:p w:rsidR="007D737B" w:rsidRPr="006F6CEF" w:rsidRDefault="007D737B" w:rsidP="007D737B">
      <w:pPr>
        <w:tabs>
          <w:tab w:val="left" w:pos="1080"/>
        </w:tabs>
        <w:spacing w:line="360" w:lineRule="auto"/>
        <w:ind w:firstLine="360"/>
        <w:rPr>
          <w:rFonts w:ascii="Times New Roman" w:hAnsi="Times New Roman" w:cs="Times New Roman"/>
          <w:b/>
          <w:bCs/>
        </w:rPr>
      </w:pPr>
      <w:r w:rsidRPr="006F6CEF">
        <w:rPr>
          <w:rFonts w:ascii="Times New Roman" w:hAnsi="Times New Roman" w:cs="Times New Roman"/>
          <w:b/>
          <w:bCs/>
        </w:rPr>
        <w:t>8.7</w:t>
      </w:r>
      <w:r w:rsidRPr="006F6CEF">
        <w:rPr>
          <w:rFonts w:ascii="Times New Roman" w:hAnsi="Times New Roman" w:cs="Times New Roman"/>
          <w:b/>
          <w:bCs/>
        </w:rPr>
        <w:tab/>
        <w:t>Tasa de muerte por arma de fuego.............................................</w:t>
      </w:r>
      <w:r>
        <w:rPr>
          <w:rFonts w:ascii="Times New Roman" w:hAnsi="Times New Roman" w:cs="Times New Roman"/>
          <w:b/>
          <w:bCs/>
        </w:rPr>
        <w:t>............................. 63</w:t>
      </w:r>
    </w:p>
    <w:p w:rsidR="007D737B" w:rsidRPr="006F6CEF" w:rsidRDefault="007D737B" w:rsidP="007D737B">
      <w:pPr>
        <w:tabs>
          <w:tab w:val="left" w:pos="1080"/>
        </w:tabs>
        <w:spacing w:line="360" w:lineRule="auto"/>
        <w:ind w:firstLine="360"/>
        <w:rPr>
          <w:rFonts w:ascii="Times New Roman" w:hAnsi="Times New Roman" w:cs="Times New Roman"/>
          <w:b/>
          <w:bCs/>
        </w:rPr>
      </w:pPr>
      <w:r w:rsidRPr="006F6CEF">
        <w:rPr>
          <w:rFonts w:ascii="Times New Roman" w:hAnsi="Times New Roman" w:cs="Times New Roman"/>
          <w:b/>
          <w:bCs/>
        </w:rPr>
        <w:t>8.8</w:t>
      </w:r>
      <w:r w:rsidRPr="006F6CEF">
        <w:rPr>
          <w:rFonts w:ascii="Times New Roman" w:hAnsi="Times New Roman" w:cs="Times New Roman"/>
          <w:b/>
          <w:bCs/>
        </w:rPr>
        <w:tab/>
        <w:t>Tasa de víctimas por accidentes de tránsito...............................</w:t>
      </w:r>
      <w:r>
        <w:rPr>
          <w:rFonts w:ascii="Times New Roman" w:hAnsi="Times New Roman" w:cs="Times New Roman"/>
          <w:b/>
          <w:bCs/>
        </w:rPr>
        <w:t>............................. 64</w:t>
      </w:r>
    </w:p>
    <w:p w:rsidR="007D737B" w:rsidRPr="006F6CEF" w:rsidRDefault="007D737B" w:rsidP="007D737B">
      <w:pPr>
        <w:spacing w:line="360" w:lineRule="auto"/>
        <w:rPr>
          <w:rFonts w:ascii="Times New Roman" w:hAnsi="Times New Roman" w:cs="Times New Roman"/>
          <w:b/>
          <w:bCs/>
        </w:rPr>
      </w:pPr>
      <w:r w:rsidRPr="006F6CEF">
        <w:rPr>
          <w:rFonts w:ascii="Times New Roman" w:hAnsi="Times New Roman" w:cs="Times New Roman"/>
          <w:b/>
          <w:bCs/>
        </w:rPr>
        <w:t>9.</w:t>
      </w:r>
      <w:r w:rsidRPr="006F6CEF">
        <w:rPr>
          <w:rFonts w:ascii="Times New Roman" w:hAnsi="Times New Roman" w:cs="Times New Roman"/>
          <w:b/>
          <w:bCs/>
        </w:rPr>
        <w:tab/>
        <w:t>VIOLENCIA DOMÉSTICA  Y GÉNERO......................................</w:t>
      </w:r>
      <w:r>
        <w:rPr>
          <w:rFonts w:ascii="Times New Roman" w:hAnsi="Times New Roman" w:cs="Times New Roman"/>
          <w:b/>
          <w:bCs/>
        </w:rPr>
        <w:t>............................. 66</w:t>
      </w:r>
    </w:p>
    <w:p w:rsidR="00E80B98" w:rsidRPr="00E80B98" w:rsidRDefault="00E80B98" w:rsidP="00E80B98">
      <w:pPr>
        <w:keepNext/>
        <w:spacing w:before="240" w:after="60"/>
        <w:ind w:left="705" w:hanging="345"/>
        <w:outlineLvl w:val="1"/>
        <w:rPr>
          <w:rFonts w:ascii="Times New Roman" w:hAnsi="Times New Roman" w:cs="Times New Roman"/>
          <w:b/>
          <w:bCs/>
        </w:rPr>
      </w:pPr>
      <w:r w:rsidRPr="00E80B98">
        <w:rPr>
          <w:rFonts w:ascii="Times New Roman" w:hAnsi="Times New Roman" w:cs="Times New Roman"/>
          <w:b/>
          <w:bCs/>
        </w:rPr>
        <w:t>9.1</w:t>
      </w:r>
      <w:r w:rsidRPr="00E80B98">
        <w:rPr>
          <w:rFonts w:ascii="Times New Roman" w:hAnsi="Times New Roman" w:cs="Times New Roman"/>
          <w:b/>
          <w:bCs/>
        </w:rPr>
        <w:tab/>
      </w:r>
      <w:r w:rsidRPr="00E80B98">
        <w:rPr>
          <w:rFonts w:ascii="Times New Roman" w:hAnsi="Times New Roman" w:cs="Times New Roman"/>
          <w:b/>
          <w:bCs/>
        </w:rPr>
        <w:tab/>
        <w:t xml:space="preserve">      Porcentaje de denuncias relacionadas con la Ley de Penalización de la Violencia Contra la Mujer (LPVCM) ………</w:t>
      </w:r>
      <w:r w:rsidR="007D737B" w:rsidRPr="00E80B98">
        <w:rPr>
          <w:rFonts w:ascii="Times New Roman" w:hAnsi="Times New Roman" w:cs="Times New Roman"/>
          <w:b/>
          <w:bCs/>
        </w:rPr>
        <w:t>…………………………………...…...................... 66</w:t>
      </w:r>
    </w:p>
    <w:p w:rsidR="007D737B" w:rsidRPr="00E80B98" w:rsidRDefault="00E80B98" w:rsidP="00E80B98">
      <w:pPr>
        <w:keepNext/>
        <w:ind w:left="705" w:hanging="345"/>
        <w:outlineLvl w:val="1"/>
        <w:rPr>
          <w:rFonts w:ascii="Times New Roman" w:hAnsi="Times New Roman" w:cs="Times New Roman"/>
          <w:b/>
          <w:bCs/>
        </w:rPr>
      </w:pPr>
      <w:r w:rsidRPr="00E80B98">
        <w:rPr>
          <w:rFonts w:ascii="Times New Roman" w:hAnsi="Times New Roman" w:cs="Times New Roman"/>
          <w:b/>
          <w:bCs/>
        </w:rPr>
        <w:t>9.2</w:t>
      </w:r>
      <w:r w:rsidRPr="00E80B98">
        <w:rPr>
          <w:rFonts w:ascii="Times New Roman" w:hAnsi="Times New Roman" w:cs="Times New Roman"/>
          <w:b/>
          <w:bCs/>
        </w:rPr>
        <w:tab/>
      </w:r>
      <w:r w:rsidRPr="00E80B98">
        <w:rPr>
          <w:rFonts w:ascii="Times New Roman" w:hAnsi="Times New Roman" w:cs="Times New Roman"/>
          <w:b/>
          <w:bCs/>
        </w:rPr>
        <w:tab/>
        <w:t xml:space="preserve">       Porcentaje de casos terminados por la Ley de Penalización de la Violencia Contra la Mujer (LPVCM) en Juzgados Penales………………………………………………</w:t>
      </w:r>
      <w:r w:rsidR="007D737B" w:rsidRPr="00E80B98">
        <w:rPr>
          <w:rFonts w:ascii="Times New Roman" w:hAnsi="Times New Roman" w:cs="Times New Roman"/>
          <w:b/>
          <w:bCs/>
        </w:rPr>
        <w:t>67</w:t>
      </w:r>
    </w:p>
    <w:p w:rsidR="00E80B98" w:rsidRPr="00E80B98" w:rsidRDefault="00E80B98" w:rsidP="00E80B98">
      <w:pPr>
        <w:keepNext/>
        <w:ind w:left="705" w:hanging="345"/>
        <w:outlineLvl w:val="1"/>
        <w:rPr>
          <w:rFonts w:ascii="Times New Roman" w:hAnsi="Times New Roman" w:cs="Times New Roman"/>
          <w:b/>
          <w:bCs/>
        </w:rPr>
      </w:pPr>
      <w:r w:rsidRPr="00E80B98">
        <w:rPr>
          <w:rFonts w:ascii="Times New Roman" w:hAnsi="Times New Roman" w:cs="Times New Roman"/>
          <w:b/>
          <w:bCs/>
        </w:rPr>
        <w:t>9.3        Porcentaje de casos terminados por la Ley de Penalización de la Violencia Contra la Mujer (LPVCM) en Tribunales Penales……………………………………………68</w:t>
      </w:r>
    </w:p>
    <w:p w:rsidR="00E80B98" w:rsidRPr="00E80B98" w:rsidRDefault="00E80B98" w:rsidP="00E80B98">
      <w:pPr>
        <w:spacing w:line="360" w:lineRule="auto"/>
        <w:ind w:firstLine="360"/>
        <w:rPr>
          <w:rFonts w:ascii="Times New Roman" w:hAnsi="Times New Roman" w:cs="Times New Roman"/>
          <w:b/>
          <w:bCs/>
        </w:rPr>
      </w:pPr>
      <w:r w:rsidRPr="00E80B98">
        <w:rPr>
          <w:rFonts w:ascii="Times New Roman" w:hAnsi="Times New Roman" w:cs="Times New Roman"/>
          <w:b/>
          <w:bCs/>
        </w:rPr>
        <w:t>9.4</w:t>
      </w:r>
      <w:r w:rsidRPr="00E80B98">
        <w:rPr>
          <w:rFonts w:ascii="Times New Roman" w:hAnsi="Times New Roman" w:cs="Times New Roman"/>
          <w:b/>
          <w:bCs/>
        </w:rPr>
        <w:tab/>
        <w:t>Tasa de denuncia por violencia intrafamiliar/familiar………………………………69</w:t>
      </w:r>
    </w:p>
    <w:p w:rsidR="00E80B98" w:rsidRPr="00E80B98" w:rsidRDefault="00E80B98" w:rsidP="00E80B98">
      <w:pPr>
        <w:spacing w:line="360" w:lineRule="auto"/>
        <w:ind w:left="720" w:hanging="360"/>
        <w:rPr>
          <w:rFonts w:ascii="Times New Roman" w:hAnsi="Times New Roman" w:cs="Times New Roman"/>
          <w:b/>
          <w:bCs/>
        </w:rPr>
      </w:pPr>
      <w:r w:rsidRPr="00E80B98">
        <w:rPr>
          <w:rFonts w:ascii="Times New Roman" w:hAnsi="Times New Roman" w:cs="Times New Roman"/>
          <w:b/>
          <w:bCs/>
        </w:rPr>
        <w:t>9.5</w:t>
      </w:r>
      <w:r w:rsidRPr="00E80B98">
        <w:rPr>
          <w:rFonts w:ascii="Times New Roman" w:hAnsi="Times New Roman" w:cs="Times New Roman"/>
          <w:b/>
          <w:bCs/>
        </w:rPr>
        <w:tab/>
        <w:t>Total de casos terminados en los juzgados competentes en materia de Violencia Doméstica……………………………………………………………………………….70</w:t>
      </w:r>
    </w:p>
    <w:p w:rsidR="007D737B" w:rsidRPr="006F6CEF" w:rsidRDefault="007D737B" w:rsidP="007D737B">
      <w:pPr>
        <w:spacing w:line="380" w:lineRule="atLeast"/>
        <w:rPr>
          <w:rFonts w:ascii="Times New Roman" w:hAnsi="Times New Roman" w:cs="Times New Roman"/>
          <w:b/>
          <w:bCs/>
        </w:rPr>
      </w:pPr>
      <w:r w:rsidRPr="006F6CEF">
        <w:rPr>
          <w:rFonts w:ascii="Times New Roman" w:hAnsi="Times New Roman" w:cs="Times New Roman"/>
          <w:b/>
          <w:bCs/>
        </w:rPr>
        <w:t>10.</w:t>
      </w:r>
      <w:r w:rsidRPr="006F6CEF">
        <w:rPr>
          <w:rFonts w:ascii="Times New Roman" w:hAnsi="Times New Roman" w:cs="Times New Roman"/>
          <w:b/>
          <w:bCs/>
        </w:rPr>
        <w:tab/>
        <w:t>PENAL JUVENIL…………………………......................................</w:t>
      </w:r>
      <w:r>
        <w:rPr>
          <w:rFonts w:ascii="Times New Roman" w:hAnsi="Times New Roman" w:cs="Times New Roman"/>
          <w:b/>
          <w:bCs/>
        </w:rPr>
        <w:t>..............................71</w:t>
      </w:r>
    </w:p>
    <w:p w:rsidR="007D737B" w:rsidRPr="006F6CEF" w:rsidRDefault="007D737B" w:rsidP="007D737B">
      <w:pPr>
        <w:tabs>
          <w:tab w:val="left" w:pos="1080"/>
        </w:tabs>
        <w:spacing w:line="380" w:lineRule="atLeast"/>
        <w:ind w:left="1080" w:hanging="720"/>
        <w:rPr>
          <w:rFonts w:ascii="Times New Roman" w:hAnsi="Times New Roman" w:cs="Times New Roman"/>
          <w:b/>
          <w:bCs/>
        </w:rPr>
      </w:pPr>
      <w:r w:rsidRPr="006F6CEF">
        <w:rPr>
          <w:rFonts w:ascii="Times New Roman" w:hAnsi="Times New Roman" w:cs="Times New Roman"/>
          <w:b/>
          <w:bCs/>
        </w:rPr>
        <w:t>10.1</w:t>
      </w:r>
      <w:r w:rsidRPr="006F6CEF">
        <w:rPr>
          <w:rFonts w:ascii="Times New Roman" w:hAnsi="Times New Roman" w:cs="Times New Roman"/>
          <w:b/>
          <w:bCs/>
        </w:rPr>
        <w:tab/>
      </w:r>
      <w:r w:rsidRPr="006F6CEF">
        <w:rPr>
          <w:rFonts w:ascii="Times New Roman" w:hAnsi="Times New Roman" w:cs="Times New Roman"/>
          <w:b/>
        </w:rPr>
        <w:t>Tasa de menores acusados de infringir a Ley Penal Juvenil</w:t>
      </w:r>
      <w:r w:rsidRPr="006F6CEF">
        <w:rPr>
          <w:rFonts w:ascii="Times New Roman" w:hAnsi="Times New Roman" w:cs="Times New Roman"/>
          <w:b/>
          <w:bCs/>
        </w:rPr>
        <w:t>....</w:t>
      </w:r>
      <w:r w:rsidR="00071467">
        <w:rPr>
          <w:rFonts w:ascii="Times New Roman" w:hAnsi="Times New Roman" w:cs="Times New Roman"/>
          <w:b/>
          <w:bCs/>
        </w:rPr>
        <w:t>............................. 72</w:t>
      </w:r>
    </w:p>
    <w:p w:rsidR="007D737B" w:rsidRPr="006F6CEF" w:rsidRDefault="007D737B" w:rsidP="007D737B">
      <w:pPr>
        <w:tabs>
          <w:tab w:val="left" w:pos="1080"/>
        </w:tabs>
        <w:spacing w:line="380" w:lineRule="atLeast"/>
        <w:ind w:left="360"/>
        <w:rPr>
          <w:rFonts w:ascii="Times New Roman" w:hAnsi="Times New Roman" w:cs="Times New Roman"/>
          <w:b/>
          <w:bCs/>
        </w:rPr>
      </w:pPr>
      <w:r w:rsidRPr="006F6CEF">
        <w:rPr>
          <w:rFonts w:ascii="Times New Roman" w:hAnsi="Times New Roman" w:cs="Times New Roman"/>
          <w:b/>
          <w:bCs/>
        </w:rPr>
        <w:t>10.2</w:t>
      </w:r>
      <w:r w:rsidRPr="006F6CEF">
        <w:rPr>
          <w:rFonts w:ascii="Times New Roman" w:hAnsi="Times New Roman" w:cs="Times New Roman"/>
          <w:b/>
          <w:bCs/>
        </w:rPr>
        <w:tab/>
      </w:r>
      <w:r w:rsidRPr="006F6CEF">
        <w:rPr>
          <w:rFonts w:ascii="Times New Roman" w:hAnsi="Times New Roman" w:cs="Times New Roman"/>
          <w:b/>
        </w:rPr>
        <w:t>Tasa de hombres menores acusados de infringir a Ley Penal Juvenil</w:t>
      </w:r>
      <w:r>
        <w:rPr>
          <w:rFonts w:ascii="Times New Roman" w:hAnsi="Times New Roman" w:cs="Times New Roman"/>
          <w:b/>
          <w:bCs/>
        </w:rPr>
        <w:t>................. 72</w:t>
      </w:r>
    </w:p>
    <w:p w:rsidR="007D737B" w:rsidRPr="006F6CEF" w:rsidRDefault="007D737B" w:rsidP="007D737B">
      <w:pPr>
        <w:tabs>
          <w:tab w:val="left" w:pos="1080"/>
        </w:tabs>
        <w:spacing w:line="380" w:lineRule="atLeast"/>
        <w:ind w:left="360"/>
        <w:rPr>
          <w:rFonts w:ascii="Times New Roman" w:hAnsi="Times New Roman" w:cs="Times New Roman"/>
          <w:b/>
          <w:bCs/>
        </w:rPr>
      </w:pPr>
      <w:r w:rsidRPr="006F6CEF">
        <w:rPr>
          <w:rFonts w:ascii="Times New Roman" w:hAnsi="Times New Roman" w:cs="Times New Roman"/>
          <w:b/>
          <w:bCs/>
        </w:rPr>
        <w:t>10.3</w:t>
      </w:r>
      <w:r w:rsidRPr="006F6CEF">
        <w:rPr>
          <w:rFonts w:ascii="Times New Roman" w:hAnsi="Times New Roman" w:cs="Times New Roman"/>
          <w:b/>
          <w:bCs/>
        </w:rPr>
        <w:tab/>
      </w:r>
      <w:r w:rsidRPr="006F6CEF">
        <w:rPr>
          <w:rFonts w:ascii="Times New Roman" w:hAnsi="Times New Roman" w:cs="Times New Roman"/>
          <w:b/>
        </w:rPr>
        <w:t>Tasa de mujeres menores acusadas de infringir a Ley Penal Juvenil</w:t>
      </w:r>
      <w:r w:rsidR="00071467">
        <w:rPr>
          <w:rFonts w:ascii="Times New Roman" w:hAnsi="Times New Roman" w:cs="Times New Roman"/>
          <w:b/>
          <w:bCs/>
        </w:rPr>
        <w:t>.................. 73</w:t>
      </w:r>
    </w:p>
    <w:p w:rsidR="007D737B" w:rsidRPr="006F6CEF" w:rsidRDefault="007D737B" w:rsidP="007D737B">
      <w:pPr>
        <w:tabs>
          <w:tab w:val="left" w:pos="1080"/>
        </w:tabs>
        <w:spacing w:line="380" w:lineRule="atLeast"/>
        <w:ind w:left="360"/>
        <w:rPr>
          <w:rFonts w:ascii="Times New Roman" w:hAnsi="Times New Roman" w:cs="Times New Roman"/>
          <w:b/>
          <w:bCs/>
        </w:rPr>
      </w:pPr>
      <w:r w:rsidRPr="006F6CEF">
        <w:rPr>
          <w:rFonts w:ascii="Times New Roman" w:hAnsi="Times New Roman" w:cs="Times New Roman"/>
          <w:b/>
          <w:bCs/>
        </w:rPr>
        <w:t>10.4</w:t>
      </w:r>
      <w:r w:rsidRPr="006F6CEF">
        <w:rPr>
          <w:rFonts w:ascii="Times New Roman" w:hAnsi="Times New Roman" w:cs="Times New Roman"/>
          <w:b/>
          <w:bCs/>
        </w:rPr>
        <w:tab/>
      </w:r>
      <w:r w:rsidRPr="006F6CEF">
        <w:rPr>
          <w:rFonts w:ascii="Times New Roman" w:hAnsi="Times New Roman" w:cs="Times New Roman"/>
          <w:b/>
        </w:rPr>
        <w:t>Tasa de menores sentenciados…………………………………………</w:t>
      </w:r>
      <w:r>
        <w:rPr>
          <w:rFonts w:ascii="Times New Roman" w:hAnsi="Times New Roman" w:cs="Times New Roman"/>
          <w:b/>
          <w:bCs/>
        </w:rPr>
        <w:t>………...... 73</w:t>
      </w:r>
    </w:p>
    <w:p w:rsidR="007D737B" w:rsidRPr="006F6CEF" w:rsidRDefault="007D737B" w:rsidP="007D737B">
      <w:pPr>
        <w:tabs>
          <w:tab w:val="left" w:pos="1080"/>
        </w:tabs>
        <w:spacing w:line="380" w:lineRule="atLeast"/>
        <w:ind w:left="1080" w:hanging="720"/>
        <w:rPr>
          <w:rFonts w:ascii="Times New Roman" w:hAnsi="Times New Roman" w:cs="Times New Roman"/>
          <w:b/>
          <w:bCs/>
        </w:rPr>
      </w:pPr>
      <w:r w:rsidRPr="006F6CEF">
        <w:rPr>
          <w:rFonts w:ascii="Times New Roman" w:hAnsi="Times New Roman" w:cs="Times New Roman"/>
          <w:b/>
          <w:bCs/>
        </w:rPr>
        <w:t>10.5</w:t>
      </w:r>
      <w:r w:rsidRPr="006F6CEF">
        <w:rPr>
          <w:rFonts w:ascii="Times New Roman" w:hAnsi="Times New Roman" w:cs="Times New Roman"/>
          <w:b/>
          <w:bCs/>
        </w:rPr>
        <w:tab/>
      </w:r>
      <w:r w:rsidRPr="006F6CEF">
        <w:rPr>
          <w:rFonts w:ascii="Times New Roman" w:hAnsi="Times New Roman" w:cs="Times New Roman"/>
          <w:b/>
        </w:rPr>
        <w:t>Porcentaje de sentencias condenatorias y porcentaje de sentencias absolutorias en menores</w:t>
      </w:r>
      <w:r w:rsidRPr="006F6CEF">
        <w:rPr>
          <w:rFonts w:ascii="Times New Roman" w:hAnsi="Times New Roman" w:cs="Times New Roman"/>
          <w:b/>
          <w:bCs/>
        </w:rPr>
        <w:t xml:space="preserve"> …………………………………………………………………….……</w:t>
      </w:r>
      <w:r>
        <w:rPr>
          <w:rFonts w:ascii="Times New Roman" w:hAnsi="Times New Roman" w:cs="Times New Roman"/>
          <w:b/>
          <w:bCs/>
        </w:rPr>
        <w:t>…..74</w:t>
      </w:r>
    </w:p>
    <w:p w:rsidR="007D737B" w:rsidRPr="006F6CEF" w:rsidRDefault="007D737B" w:rsidP="007D737B">
      <w:pPr>
        <w:tabs>
          <w:tab w:val="left" w:pos="1080"/>
        </w:tabs>
        <w:spacing w:line="380" w:lineRule="atLeast"/>
        <w:ind w:left="1080" w:hanging="720"/>
        <w:rPr>
          <w:rFonts w:ascii="Times New Roman" w:hAnsi="Times New Roman" w:cs="Times New Roman"/>
          <w:b/>
          <w:bCs/>
        </w:rPr>
      </w:pPr>
      <w:r w:rsidRPr="006F6CEF">
        <w:rPr>
          <w:rFonts w:ascii="Times New Roman" w:hAnsi="Times New Roman" w:cs="Times New Roman"/>
          <w:b/>
          <w:bCs/>
        </w:rPr>
        <w:t>10.6</w:t>
      </w:r>
      <w:r w:rsidRPr="006F6CEF">
        <w:rPr>
          <w:rFonts w:ascii="Times New Roman" w:hAnsi="Times New Roman" w:cs="Times New Roman"/>
          <w:b/>
          <w:bCs/>
        </w:rPr>
        <w:tab/>
      </w:r>
      <w:r w:rsidRPr="006F6CEF">
        <w:rPr>
          <w:rFonts w:ascii="Times New Roman" w:hAnsi="Times New Roman" w:cs="Times New Roman"/>
          <w:b/>
        </w:rPr>
        <w:t>Porcentaje de sentencias condenatorias según sexo de los menores…</w:t>
      </w:r>
      <w:r>
        <w:rPr>
          <w:rFonts w:ascii="Times New Roman" w:hAnsi="Times New Roman" w:cs="Times New Roman"/>
          <w:b/>
          <w:bCs/>
        </w:rPr>
        <w:t>..….………75</w:t>
      </w:r>
    </w:p>
    <w:p w:rsidR="007D737B" w:rsidRPr="006F6CEF" w:rsidRDefault="007D737B" w:rsidP="007D737B">
      <w:pPr>
        <w:tabs>
          <w:tab w:val="left" w:pos="1080"/>
        </w:tabs>
        <w:spacing w:line="380" w:lineRule="atLeast"/>
        <w:ind w:left="360"/>
        <w:rPr>
          <w:rFonts w:ascii="Times New Roman" w:hAnsi="Times New Roman" w:cs="Times New Roman"/>
          <w:b/>
          <w:bCs/>
        </w:rPr>
      </w:pPr>
      <w:r w:rsidRPr="006F6CEF">
        <w:rPr>
          <w:rFonts w:ascii="Times New Roman" w:hAnsi="Times New Roman" w:cs="Times New Roman"/>
          <w:b/>
          <w:bCs/>
        </w:rPr>
        <w:t>10.7</w:t>
      </w:r>
      <w:r w:rsidRPr="006F6CEF">
        <w:rPr>
          <w:rFonts w:ascii="Times New Roman" w:hAnsi="Times New Roman" w:cs="Times New Roman"/>
          <w:b/>
          <w:bCs/>
        </w:rPr>
        <w:tab/>
      </w:r>
      <w:r w:rsidRPr="006F6CEF">
        <w:rPr>
          <w:rFonts w:ascii="Times New Roman" w:hAnsi="Times New Roman" w:cs="Times New Roman"/>
          <w:b/>
          <w:bCs/>
          <w:lang w:eastAsia="ar-SA"/>
        </w:rPr>
        <w:t>Tasa de menores condenados.</w:t>
      </w:r>
      <w:r w:rsidRPr="006F6CEF">
        <w:rPr>
          <w:rFonts w:ascii="Times New Roman" w:hAnsi="Times New Roman" w:cs="Times New Roman"/>
          <w:b/>
        </w:rPr>
        <w:t>…………………………………………</w:t>
      </w:r>
      <w:r>
        <w:rPr>
          <w:rFonts w:ascii="Times New Roman" w:hAnsi="Times New Roman" w:cs="Times New Roman"/>
          <w:b/>
          <w:bCs/>
        </w:rPr>
        <w:t>……….........76</w:t>
      </w:r>
    </w:p>
    <w:p w:rsidR="007D737B" w:rsidRPr="006F6CEF" w:rsidRDefault="007D737B" w:rsidP="007D737B">
      <w:pPr>
        <w:tabs>
          <w:tab w:val="left" w:pos="1080"/>
        </w:tabs>
        <w:spacing w:line="380" w:lineRule="atLeast"/>
        <w:ind w:left="360"/>
        <w:rPr>
          <w:rFonts w:ascii="Times New Roman" w:hAnsi="Times New Roman" w:cs="Times New Roman"/>
          <w:b/>
          <w:bCs/>
        </w:rPr>
      </w:pPr>
      <w:r w:rsidRPr="006F6CEF">
        <w:rPr>
          <w:rFonts w:ascii="Times New Roman" w:hAnsi="Times New Roman" w:cs="Times New Roman"/>
          <w:b/>
          <w:bCs/>
        </w:rPr>
        <w:t>10.8</w:t>
      </w:r>
      <w:r w:rsidRPr="006F6CEF">
        <w:rPr>
          <w:rFonts w:ascii="Times New Roman" w:hAnsi="Times New Roman" w:cs="Times New Roman"/>
          <w:b/>
          <w:bCs/>
        </w:rPr>
        <w:tab/>
      </w:r>
      <w:r w:rsidRPr="006F6CEF">
        <w:rPr>
          <w:rFonts w:ascii="Times New Roman" w:hAnsi="Times New Roman" w:cs="Times New Roman"/>
          <w:b/>
          <w:bCs/>
          <w:lang w:eastAsia="ar-SA"/>
        </w:rPr>
        <w:t>Tasa de condenada juvenil….</w:t>
      </w:r>
      <w:r w:rsidRPr="006F6CEF">
        <w:rPr>
          <w:rFonts w:ascii="Times New Roman" w:hAnsi="Times New Roman" w:cs="Times New Roman"/>
          <w:b/>
        </w:rPr>
        <w:t>…………………………………………</w:t>
      </w:r>
      <w:r>
        <w:rPr>
          <w:rFonts w:ascii="Times New Roman" w:hAnsi="Times New Roman" w:cs="Times New Roman"/>
          <w:b/>
          <w:bCs/>
        </w:rPr>
        <w:t>……….........77</w:t>
      </w:r>
    </w:p>
    <w:p w:rsidR="007D737B" w:rsidRPr="006F6CEF" w:rsidRDefault="007D737B" w:rsidP="007D737B">
      <w:pPr>
        <w:tabs>
          <w:tab w:val="left" w:pos="1080"/>
        </w:tabs>
        <w:spacing w:line="380" w:lineRule="atLeast"/>
        <w:ind w:left="360"/>
        <w:rPr>
          <w:rFonts w:ascii="Times New Roman" w:hAnsi="Times New Roman" w:cs="Times New Roman"/>
          <w:b/>
          <w:bCs/>
        </w:rPr>
      </w:pPr>
      <w:r w:rsidRPr="006F6CEF">
        <w:rPr>
          <w:rFonts w:ascii="Times New Roman" w:hAnsi="Times New Roman" w:cs="Times New Roman"/>
          <w:b/>
          <w:bCs/>
        </w:rPr>
        <w:t>10.9</w:t>
      </w:r>
      <w:r w:rsidRPr="006F6CEF">
        <w:rPr>
          <w:rFonts w:ascii="Times New Roman" w:hAnsi="Times New Roman" w:cs="Times New Roman"/>
          <w:b/>
          <w:bCs/>
        </w:rPr>
        <w:tab/>
      </w:r>
      <w:r w:rsidRPr="006F6CEF">
        <w:rPr>
          <w:rFonts w:ascii="Times New Roman" w:hAnsi="Times New Roman" w:cs="Times New Roman"/>
          <w:b/>
        </w:rPr>
        <w:t>Edad promedio de los menores condenados.…………………………</w:t>
      </w:r>
      <w:r>
        <w:rPr>
          <w:rFonts w:ascii="Times New Roman" w:hAnsi="Times New Roman" w:cs="Times New Roman"/>
          <w:b/>
          <w:bCs/>
        </w:rPr>
        <w:t>………...... 78</w:t>
      </w:r>
    </w:p>
    <w:p w:rsidR="007D737B" w:rsidRPr="006F6CEF" w:rsidRDefault="007D737B" w:rsidP="007D737B">
      <w:pPr>
        <w:tabs>
          <w:tab w:val="left" w:pos="1080"/>
        </w:tabs>
        <w:spacing w:line="380" w:lineRule="atLeast"/>
        <w:ind w:left="360"/>
        <w:rPr>
          <w:rFonts w:ascii="Times New Roman" w:hAnsi="Times New Roman" w:cs="Times New Roman"/>
          <w:b/>
          <w:bCs/>
        </w:rPr>
      </w:pPr>
      <w:r w:rsidRPr="006F6CEF">
        <w:rPr>
          <w:rFonts w:ascii="Times New Roman" w:hAnsi="Times New Roman" w:cs="Times New Roman"/>
          <w:b/>
          <w:bCs/>
        </w:rPr>
        <w:t>10.10</w:t>
      </w:r>
      <w:r w:rsidRPr="006F6CEF">
        <w:rPr>
          <w:rFonts w:ascii="Times New Roman" w:hAnsi="Times New Roman" w:cs="Times New Roman"/>
          <w:b/>
          <w:bCs/>
        </w:rPr>
        <w:tab/>
      </w:r>
      <w:r w:rsidRPr="006F6CEF">
        <w:rPr>
          <w:rFonts w:ascii="Times New Roman" w:hAnsi="Times New Roman" w:cs="Times New Roman"/>
          <w:b/>
        </w:rPr>
        <w:t>Tasa de menores condenados por homicidio.…………………………</w:t>
      </w:r>
      <w:r>
        <w:rPr>
          <w:rFonts w:ascii="Times New Roman" w:hAnsi="Times New Roman" w:cs="Times New Roman"/>
          <w:b/>
          <w:bCs/>
        </w:rPr>
        <w:t>………......79</w:t>
      </w:r>
    </w:p>
    <w:p w:rsidR="007D737B" w:rsidRPr="006F6CEF" w:rsidRDefault="007D737B" w:rsidP="007D737B">
      <w:pPr>
        <w:tabs>
          <w:tab w:val="left" w:pos="1080"/>
        </w:tabs>
        <w:spacing w:line="380" w:lineRule="atLeast"/>
        <w:ind w:left="360"/>
        <w:rPr>
          <w:rFonts w:ascii="Times New Roman" w:hAnsi="Times New Roman" w:cs="Times New Roman"/>
          <w:b/>
          <w:bCs/>
        </w:rPr>
      </w:pPr>
      <w:r w:rsidRPr="006F6CEF">
        <w:rPr>
          <w:rFonts w:ascii="Times New Roman" w:hAnsi="Times New Roman" w:cs="Times New Roman"/>
          <w:b/>
          <w:bCs/>
        </w:rPr>
        <w:lastRenderedPageBreak/>
        <w:t>10.11</w:t>
      </w:r>
      <w:r w:rsidRPr="006F6CEF">
        <w:rPr>
          <w:rFonts w:ascii="Times New Roman" w:hAnsi="Times New Roman" w:cs="Times New Roman"/>
          <w:b/>
          <w:bCs/>
        </w:rPr>
        <w:tab/>
      </w:r>
      <w:r w:rsidRPr="006F6CEF">
        <w:rPr>
          <w:rFonts w:ascii="Times New Roman" w:hAnsi="Times New Roman" w:cs="Times New Roman"/>
          <w:b/>
        </w:rPr>
        <w:t>Tasa de menores condenados por robo……..…………………………</w:t>
      </w:r>
      <w:r>
        <w:rPr>
          <w:rFonts w:ascii="Times New Roman" w:hAnsi="Times New Roman" w:cs="Times New Roman"/>
          <w:b/>
          <w:bCs/>
        </w:rPr>
        <w:t>………......80</w:t>
      </w:r>
    </w:p>
    <w:p w:rsidR="007D737B" w:rsidRPr="006F6CEF" w:rsidRDefault="007D737B" w:rsidP="007D737B">
      <w:pPr>
        <w:tabs>
          <w:tab w:val="left" w:pos="1080"/>
        </w:tabs>
        <w:spacing w:line="380" w:lineRule="atLeast"/>
        <w:ind w:left="1080" w:hanging="720"/>
        <w:rPr>
          <w:rFonts w:ascii="Times New Roman" w:hAnsi="Times New Roman" w:cs="Times New Roman"/>
          <w:b/>
          <w:bCs/>
        </w:rPr>
      </w:pPr>
      <w:r w:rsidRPr="006F6CEF">
        <w:rPr>
          <w:rFonts w:ascii="Times New Roman" w:hAnsi="Times New Roman" w:cs="Times New Roman"/>
          <w:b/>
          <w:bCs/>
        </w:rPr>
        <w:t>10.12</w:t>
      </w:r>
      <w:r w:rsidRPr="006F6CEF">
        <w:rPr>
          <w:rFonts w:ascii="Times New Roman" w:hAnsi="Times New Roman" w:cs="Times New Roman"/>
          <w:b/>
          <w:bCs/>
        </w:rPr>
        <w:tab/>
      </w:r>
      <w:r w:rsidRPr="006F6CEF">
        <w:rPr>
          <w:rFonts w:ascii="Times New Roman" w:hAnsi="Times New Roman" w:cs="Times New Roman"/>
          <w:b/>
        </w:rPr>
        <w:t>Porcentaje de desestimaciones dictadas a menores por los juzgados penales juveniles…………………………………………………………..………</w:t>
      </w:r>
      <w:r w:rsidR="00071467">
        <w:rPr>
          <w:rFonts w:ascii="Times New Roman" w:hAnsi="Times New Roman" w:cs="Times New Roman"/>
          <w:b/>
          <w:bCs/>
        </w:rPr>
        <w:t>...……......81</w:t>
      </w:r>
    </w:p>
    <w:p w:rsidR="007D737B" w:rsidRPr="006F6CEF" w:rsidRDefault="007D737B" w:rsidP="007D737B">
      <w:pPr>
        <w:tabs>
          <w:tab w:val="left" w:pos="1080"/>
        </w:tabs>
        <w:spacing w:line="380" w:lineRule="atLeast"/>
        <w:ind w:left="1080" w:hanging="720"/>
        <w:rPr>
          <w:rFonts w:ascii="Times New Roman" w:hAnsi="Times New Roman" w:cs="Times New Roman"/>
          <w:b/>
          <w:bCs/>
        </w:rPr>
      </w:pPr>
      <w:r w:rsidRPr="006F6CEF">
        <w:rPr>
          <w:rFonts w:ascii="Times New Roman" w:hAnsi="Times New Roman" w:cs="Times New Roman"/>
          <w:b/>
          <w:bCs/>
        </w:rPr>
        <w:t>10.13</w:t>
      </w:r>
      <w:r w:rsidRPr="006F6CEF">
        <w:rPr>
          <w:rFonts w:ascii="Times New Roman" w:hAnsi="Times New Roman" w:cs="Times New Roman"/>
          <w:b/>
          <w:bCs/>
        </w:rPr>
        <w:tab/>
      </w:r>
      <w:r w:rsidRPr="006F6CEF">
        <w:rPr>
          <w:rFonts w:ascii="Times New Roman" w:hAnsi="Times New Roman" w:cs="Times New Roman"/>
          <w:b/>
        </w:rPr>
        <w:t xml:space="preserve">Porcentaje de menores </w:t>
      </w:r>
      <w:proofErr w:type="spellStart"/>
      <w:r w:rsidRPr="006F6CEF">
        <w:rPr>
          <w:rFonts w:ascii="Times New Roman" w:hAnsi="Times New Roman" w:cs="Times New Roman"/>
          <w:b/>
        </w:rPr>
        <w:t>sobreseídos</w:t>
      </w:r>
      <w:proofErr w:type="spellEnd"/>
      <w:r w:rsidRPr="006F6CEF">
        <w:rPr>
          <w:rFonts w:ascii="Times New Roman" w:hAnsi="Times New Roman" w:cs="Times New Roman"/>
          <w:b/>
        </w:rPr>
        <w:t xml:space="preserve"> por prescripción en los juzgados penales juveniles……………………………………………………………………………..</w:t>
      </w:r>
      <w:r w:rsidR="00071467">
        <w:rPr>
          <w:rFonts w:ascii="Times New Roman" w:hAnsi="Times New Roman" w:cs="Times New Roman"/>
          <w:b/>
          <w:bCs/>
        </w:rPr>
        <w:t>.82</w:t>
      </w:r>
    </w:p>
    <w:p w:rsidR="007D737B" w:rsidRPr="006F6CEF" w:rsidRDefault="007D737B" w:rsidP="007D737B">
      <w:pPr>
        <w:tabs>
          <w:tab w:val="left" w:pos="1080"/>
        </w:tabs>
        <w:spacing w:line="380" w:lineRule="atLeast"/>
        <w:ind w:left="1080" w:hanging="720"/>
        <w:rPr>
          <w:rFonts w:ascii="Times New Roman" w:hAnsi="Times New Roman" w:cs="Times New Roman"/>
          <w:b/>
          <w:bCs/>
        </w:rPr>
      </w:pPr>
      <w:r w:rsidRPr="006F6CEF">
        <w:rPr>
          <w:rFonts w:ascii="Times New Roman" w:hAnsi="Times New Roman" w:cs="Times New Roman"/>
          <w:b/>
          <w:bCs/>
        </w:rPr>
        <w:t>10.14</w:t>
      </w:r>
      <w:r w:rsidRPr="006F6CEF">
        <w:rPr>
          <w:rFonts w:ascii="Times New Roman" w:hAnsi="Times New Roman" w:cs="Times New Roman"/>
          <w:b/>
          <w:bCs/>
        </w:rPr>
        <w:tab/>
      </w:r>
      <w:r w:rsidRPr="006F6CEF">
        <w:rPr>
          <w:rFonts w:ascii="Times New Roman" w:hAnsi="Times New Roman" w:cs="Times New Roman"/>
          <w:b/>
        </w:rPr>
        <w:t xml:space="preserve">Porcentaje de menores </w:t>
      </w:r>
      <w:proofErr w:type="spellStart"/>
      <w:r w:rsidRPr="006F6CEF">
        <w:rPr>
          <w:rFonts w:ascii="Times New Roman" w:hAnsi="Times New Roman" w:cs="Times New Roman"/>
          <w:b/>
        </w:rPr>
        <w:t>sobreseídos</w:t>
      </w:r>
      <w:proofErr w:type="spellEnd"/>
      <w:r w:rsidRPr="006F6CEF">
        <w:rPr>
          <w:rFonts w:ascii="Times New Roman" w:hAnsi="Times New Roman" w:cs="Times New Roman"/>
          <w:b/>
        </w:rPr>
        <w:t xml:space="preserve"> por cumplimiento de la conciliación como medida alterna en los juzgados penales juveniles…</w:t>
      </w:r>
      <w:r w:rsidR="00071467">
        <w:rPr>
          <w:rFonts w:ascii="Times New Roman" w:hAnsi="Times New Roman" w:cs="Times New Roman"/>
          <w:b/>
          <w:bCs/>
        </w:rPr>
        <w:t>……………………………....83</w:t>
      </w:r>
    </w:p>
    <w:p w:rsidR="007D737B" w:rsidRPr="006F6CEF" w:rsidRDefault="007D737B" w:rsidP="007D737B">
      <w:pPr>
        <w:tabs>
          <w:tab w:val="left" w:pos="1080"/>
        </w:tabs>
        <w:spacing w:line="380" w:lineRule="atLeast"/>
        <w:ind w:left="1080" w:hanging="720"/>
        <w:rPr>
          <w:rFonts w:ascii="Times New Roman" w:hAnsi="Times New Roman" w:cs="Times New Roman"/>
          <w:b/>
          <w:bCs/>
        </w:rPr>
      </w:pPr>
      <w:r w:rsidRPr="006F6CEF">
        <w:rPr>
          <w:rFonts w:ascii="Times New Roman" w:hAnsi="Times New Roman" w:cs="Times New Roman"/>
          <w:b/>
          <w:bCs/>
        </w:rPr>
        <w:t>10.15</w:t>
      </w:r>
      <w:r w:rsidRPr="006F6CEF">
        <w:rPr>
          <w:rFonts w:ascii="Times New Roman" w:hAnsi="Times New Roman" w:cs="Times New Roman"/>
          <w:b/>
          <w:bCs/>
        </w:rPr>
        <w:tab/>
      </w:r>
      <w:r w:rsidRPr="006F6CEF">
        <w:rPr>
          <w:rFonts w:ascii="Times New Roman" w:hAnsi="Times New Roman" w:cs="Times New Roman"/>
          <w:b/>
        </w:rPr>
        <w:t xml:space="preserve">Porcentaje de menores </w:t>
      </w:r>
      <w:proofErr w:type="spellStart"/>
      <w:r w:rsidRPr="006F6CEF">
        <w:rPr>
          <w:rFonts w:ascii="Times New Roman" w:hAnsi="Times New Roman" w:cs="Times New Roman"/>
          <w:b/>
        </w:rPr>
        <w:t>sobreseídos</w:t>
      </w:r>
      <w:proofErr w:type="spellEnd"/>
      <w:r w:rsidRPr="006F6CEF">
        <w:rPr>
          <w:rFonts w:ascii="Times New Roman" w:hAnsi="Times New Roman" w:cs="Times New Roman"/>
          <w:b/>
        </w:rPr>
        <w:t xml:space="preserve"> por cumplimiento de la suspensión del proceso a prueba, como medida alterna en los juzgados penales juveniles</w:t>
      </w:r>
      <w:r w:rsidR="00071467">
        <w:rPr>
          <w:rFonts w:ascii="Times New Roman" w:hAnsi="Times New Roman" w:cs="Times New Roman"/>
          <w:b/>
          <w:bCs/>
        </w:rPr>
        <w:t>….....................84</w:t>
      </w:r>
    </w:p>
    <w:p w:rsidR="007D737B" w:rsidRPr="006F6CEF" w:rsidRDefault="007D737B" w:rsidP="007D737B">
      <w:pPr>
        <w:tabs>
          <w:tab w:val="left" w:pos="1080"/>
        </w:tabs>
        <w:spacing w:line="380" w:lineRule="atLeast"/>
        <w:ind w:left="1080" w:hanging="720"/>
        <w:rPr>
          <w:rFonts w:ascii="Times New Roman" w:hAnsi="Times New Roman" w:cs="Times New Roman"/>
          <w:b/>
          <w:bCs/>
        </w:rPr>
      </w:pPr>
      <w:r w:rsidRPr="006F6CEF">
        <w:rPr>
          <w:rFonts w:ascii="Times New Roman" w:hAnsi="Times New Roman" w:cs="Times New Roman"/>
          <w:b/>
          <w:bCs/>
        </w:rPr>
        <w:t>10.16</w:t>
      </w:r>
      <w:r w:rsidRPr="006F6CEF">
        <w:rPr>
          <w:rFonts w:ascii="Times New Roman" w:hAnsi="Times New Roman" w:cs="Times New Roman"/>
          <w:b/>
          <w:bCs/>
        </w:rPr>
        <w:tab/>
        <w:t>Duración promedio de casos fallados c</w:t>
      </w:r>
      <w:r w:rsidR="00071467">
        <w:rPr>
          <w:rFonts w:ascii="Times New Roman" w:hAnsi="Times New Roman" w:cs="Times New Roman"/>
          <w:b/>
          <w:bCs/>
        </w:rPr>
        <w:t>on sentencia………………………..….......85</w:t>
      </w:r>
    </w:p>
    <w:p w:rsidR="007D737B" w:rsidRPr="006F6CEF" w:rsidRDefault="007D737B" w:rsidP="007D737B">
      <w:pPr>
        <w:spacing w:line="380" w:lineRule="atLeast"/>
        <w:rPr>
          <w:rFonts w:ascii="Times New Roman" w:hAnsi="Times New Roman" w:cs="Times New Roman"/>
          <w:b/>
          <w:bCs/>
        </w:rPr>
      </w:pPr>
      <w:r w:rsidRPr="006F6CEF">
        <w:rPr>
          <w:rFonts w:ascii="Times New Roman" w:hAnsi="Times New Roman" w:cs="Times New Roman"/>
          <w:b/>
          <w:bCs/>
        </w:rPr>
        <w:t>INDICADORES..............................................................................................</w:t>
      </w:r>
      <w:r w:rsidR="00071467">
        <w:rPr>
          <w:rFonts w:ascii="Times New Roman" w:hAnsi="Times New Roman" w:cs="Times New Roman"/>
          <w:b/>
          <w:bCs/>
        </w:rPr>
        <w:t>............................. 86</w:t>
      </w:r>
    </w:p>
    <w:p w:rsidR="007D737B" w:rsidRPr="006F6CEF" w:rsidRDefault="007D737B" w:rsidP="007D737B">
      <w:pPr>
        <w:spacing w:line="380" w:lineRule="atLeast"/>
        <w:rPr>
          <w:rFonts w:ascii="Times New Roman" w:hAnsi="Times New Roman" w:cs="Times New Roman"/>
          <w:b/>
          <w:bCs/>
        </w:rPr>
      </w:pPr>
      <w:r w:rsidRPr="006F6CEF">
        <w:rPr>
          <w:rFonts w:ascii="Times New Roman" w:hAnsi="Times New Roman" w:cs="Times New Roman"/>
          <w:b/>
          <w:bCs/>
        </w:rPr>
        <w:t>DIMENSIÓN DE LOS INDICADORES......................................................</w:t>
      </w:r>
      <w:r w:rsidR="00071467">
        <w:rPr>
          <w:rFonts w:ascii="Times New Roman" w:hAnsi="Times New Roman" w:cs="Times New Roman"/>
          <w:b/>
          <w:bCs/>
        </w:rPr>
        <w:t>..............................94</w:t>
      </w:r>
    </w:p>
    <w:p w:rsidR="007D737B" w:rsidRPr="00612358" w:rsidRDefault="007D737B" w:rsidP="007D737B">
      <w:pPr>
        <w:spacing w:line="380" w:lineRule="atLeast"/>
        <w:rPr>
          <w:rFonts w:ascii="Times New Roman" w:hAnsi="Times New Roman" w:cs="Times New Roman"/>
          <w:b/>
          <w:bCs/>
        </w:rPr>
        <w:sectPr w:rsidR="007D737B" w:rsidRPr="00612358" w:rsidSect="0011572E">
          <w:headerReference w:type="default" r:id="rId13"/>
          <w:footerReference w:type="even" r:id="rId14"/>
          <w:footerReference w:type="default" r:id="rId15"/>
          <w:headerReference w:type="first" r:id="rId16"/>
          <w:pgSz w:w="12242" w:h="15842" w:code="1"/>
          <w:pgMar w:top="1418" w:right="1185" w:bottom="1258" w:left="1418" w:header="709" w:footer="709" w:gutter="0"/>
          <w:pgNumType w:fmt="lowerRoman" w:start="2"/>
          <w:cols w:space="708"/>
          <w:docGrid w:linePitch="360"/>
        </w:sectPr>
      </w:pPr>
      <w:r w:rsidRPr="006F6CEF">
        <w:rPr>
          <w:rFonts w:ascii="Times New Roman" w:hAnsi="Times New Roman" w:cs="Times New Roman"/>
          <w:b/>
          <w:bCs/>
        </w:rPr>
        <w:t>GLOSARIO....................................................................................................</w:t>
      </w:r>
      <w:r>
        <w:rPr>
          <w:rFonts w:ascii="Times New Roman" w:hAnsi="Times New Roman" w:cs="Times New Roman"/>
          <w:b/>
          <w:bCs/>
        </w:rPr>
        <w:t>..............................</w:t>
      </w:r>
      <w:r w:rsidR="00071467">
        <w:rPr>
          <w:rFonts w:ascii="Times New Roman" w:hAnsi="Times New Roman" w:cs="Times New Roman"/>
          <w:b/>
          <w:bCs/>
        </w:rPr>
        <w:t>131</w:t>
      </w:r>
    </w:p>
    <w:p w:rsidR="00E9575C" w:rsidRDefault="00E9575C" w:rsidP="00E9575C">
      <w:pPr>
        <w:pStyle w:val="Textoindependiente"/>
        <w:spacing w:line="360" w:lineRule="auto"/>
        <w:jc w:val="center"/>
        <w:rPr>
          <w:b/>
          <w:sz w:val="24"/>
          <w:szCs w:val="24"/>
        </w:rPr>
      </w:pPr>
      <w:r w:rsidRPr="0020523B">
        <w:rPr>
          <w:b/>
          <w:sz w:val="24"/>
          <w:szCs w:val="24"/>
        </w:rPr>
        <w:lastRenderedPageBreak/>
        <w:t>PRESENTACIÓN</w:t>
      </w:r>
    </w:p>
    <w:p w:rsidR="00E9575C" w:rsidRPr="0020523B" w:rsidRDefault="00E9575C" w:rsidP="00E9575C">
      <w:pPr>
        <w:pStyle w:val="Textoindependiente"/>
        <w:spacing w:line="360" w:lineRule="auto"/>
        <w:jc w:val="center"/>
        <w:rPr>
          <w:b/>
          <w:sz w:val="24"/>
          <w:szCs w:val="24"/>
        </w:rPr>
      </w:pPr>
    </w:p>
    <w:p w:rsidR="00E9575C" w:rsidRDefault="00E9575C" w:rsidP="00E9575C">
      <w:pPr>
        <w:pStyle w:val="Textoindependiente"/>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Este documento forma parte de los objetivos propuestos por la Sección de Estadística de la Dirección de Planificación y sirve como insumo para analizar la gestión judicial, así como en la toma de decisiones. </w:t>
      </w:r>
    </w:p>
    <w:p w:rsidR="00E9575C" w:rsidRDefault="00E9575C" w:rsidP="00E9575C">
      <w:pPr>
        <w:pStyle w:val="Textoindependiente"/>
        <w:spacing w:line="360" w:lineRule="auto"/>
        <w:jc w:val="both"/>
        <w:rPr>
          <w:rFonts w:ascii="Times New Roman" w:hAnsi="Times New Roman" w:cs="Times New Roman"/>
          <w:sz w:val="24"/>
          <w:szCs w:val="24"/>
        </w:rPr>
      </w:pPr>
    </w:p>
    <w:p w:rsidR="00E9575C" w:rsidRPr="0020523B" w:rsidRDefault="00E9575C" w:rsidP="00E9575C">
      <w:pPr>
        <w:pStyle w:val="Textoindependiente"/>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esta edición se han plasmado </w:t>
      </w:r>
      <w:r w:rsidRPr="00D57DFC">
        <w:rPr>
          <w:rFonts w:ascii="Times New Roman" w:hAnsi="Times New Roman" w:cs="Times New Roman"/>
          <w:sz w:val="24"/>
          <w:szCs w:val="24"/>
        </w:rPr>
        <w:t>10</w:t>
      </w:r>
      <w:r>
        <w:rPr>
          <w:rFonts w:ascii="Times New Roman" w:hAnsi="Times New Roman" w:cs="Times New Roman"/>
          <w:sz w:val="24"/>
          <w:szCs w:val="24"/>
        </w:rPr>
        <w:t>8</w:t>
      </w:r>
      <w:r w:rsidRPr="00D57DFC">
        <w:rPr>
          <w:rFonts w:ascii="Times New Roman" w:hAnsi="Times New Roman" w:cs="Times New Roman"/>
          <w:sz w:val="24"/>
          <w:szCs w:val="24"/>
        </w:rPr>
        <w:t xml:space="preserve"> indicadores</w:t>
      </w:r>
      <w:r>
        <w:rPr>
          <w:rFonts w:ascii="Times New Roman" w:hAnsi="Times New Roman" w:cs="Times New Roman"/>
          <w:sz w:val="24"/>
          <w:szCs w:val="24"/>
        </w:rPr>
        <w:t>, distribuidos en 10 campos temáticos. Para cada uno de ellos se incorpora un análisis descriptivo, ello como forma de facilitar el conocimiento de la persona usuaria. Este compendio abarca el período 2011-2015.</w:t>
      </w:r>
    </w:p>
    <w:p w:rsidR="00E9575C" w:rsidRPr="0020523B" w:rsidRDefault="00E9575C" w:rsidP="00E9575C">
      <w:pPr>
        <w:pStyle w:val="Textoindependiente"/>
        <w:spacing w:line="360"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76"/>
        <w:gridCol w:w="3719"/>
      </w:tblGrid>
      <w:tr w:rsidR="00E9575C" w:rsidRPr="0020523B" w:rsidTr="00BA4368">
        <w:trPr>
          <w:jc w:val="center"/>
        </w:trPr>
        <w:tc>
          <w:tcPr>
            <w:tcW w:w="4276" w:type="dxa"/>
            <w:tcBorders>
              <w:top w:val="single" w:sz="4" w:space="0" w:color="auto"/>
              <w:left w:val="single" w:sz="4" w:space="0" w:color="auto"/>
              <w:bottom w:val="single" w:sz="4" w:space="0" w:color="auto"/>
              <w:right w:val="single" w:sz="4" w:space="0" w:color="auto"/>
            </w:tcBorders>
          </w:tcPr>
          <w:p w:rsidR="00E9575C" w:rsidRPr="0020523B" w:rsidRDefault="00E9575C" w:rsidP="00BA4368">
            <w:pPr>
              <w:pStyle w:val="Textoindependiente"/>
              <w:spacing w:line="360" w:lineRule="auto"/>
              <w:ind w:left="126"/>
              <w:rPr>
                <w:rFonts w:ascii="Times New Roman" w:hAnsi="Times New Roman" w:cs="Times New Roman"/>
                <w:sz w:val="24"/>
                <w:szCs w:val="24"/>
              </w:rPr>
            </w:pPr>
            <w:r w:rsidRPr="0020523B">
              <w:rPr>
                <w:rFonts w:ascii="Times New Roman" w:hAnsi="Times New Roman" w:cs="Times New Roman"/>
                <w:sz w:val="24"/>
                <w:szCs w:val="24"/>
              </w:rPr>
              <w:t xml:space="preserve">Insumos, dotación y grado de utilización </w:t>
            </w:r>
          </w:p>
        </w:tc>
        <w:tc>
          <w:tcPr>
            <w:tcW w:w="3719" w:type="dxa"/>
            <w:tcBorders>
              <w:top w:val="single" w:sz="4" w:space="0" w:color="auto"/>
              <w:left w:val="single" w:sz="4" w:space="0" w:color="auto"/>
              <w:bottom w:val="single" w:sz="4" w:space="0" w:color="auto"/>
              <w:right w:val="single" w:sz="4" w:space="0" w:color="auto"/>
            </w:tcBorders>
          </w:tcPr>
          <w:p w:rsidR="00E9575C" w:rsidRPr="0020523B" w:rsidRDefault="00E9575C" w:rsidP="00BA4368">
            <w:pPr>
              <w:pStyle w:val="Textoindependiente"/>
              <w:spacing w:line="360" w:lineRule="auto"/>
              <w:ind w:left="290"/>
              <w:rPr>
                <w:rFonts w:ascii="Times New Roman" w:hAnsi="Times New Roman" w:cs="Times New Roman"/>
                <w:sz w:val="24"/>
                <w:szCs w:val="24"/>
              </w:rPr>
            </w:pPr>
            <w:proofErr w:type="spellStart"/>
            <w:r w:rsidRPr="0020523B">
              <w:rPr>
                <w:rFonts w:ascii="Times New Roman" w:hAnsi="Times New Roman" w:cs="Times New Roman"/>
                <w:sz w:val="24"/>
                <w:szCs w:val="24"/>
              </w:rPr>
              <w:t>Litigiosidad</w:t>
            </w:r>
            <w:proofErr w:type="spellEnd"/>
            <w:r w:rsidRPr="0020523B">
              <w:rPr>
                <w:rFonts w:ascii="Times New Roman" w:hAnsi="Times New Roman" w:cs="Times New Roman"/>
                <w:sz w:val="24"/>
                <w:szCs w:val="24"/>
              </w:rPr>
              <w:t xml:space="preserve"> y carga de trabajo</w:t>
            </w:r>
          </w:p>
        </w:tc>
      </w:tr>
      <w:tr w:rsidR="00E9575C" w:rsidRPr="0020523B" w:rsidTr="00BA4368">
        <w:trPr>
          <w:jc w:val="center"/>
        </w:trPr>
        <w:tc>
          <w:tcPr>
            <w:tcW w:w="4276" w:type="dxa"/>
            <w:tcBorders>
              <w:top w:val="single" w:sz="4" w:space="0" w:color="auto"/>
              <w:left w:val="single" w:sz="4" w:space="0" w:color="auto"/>
              <w:bottom w:val="single" w:sz="4" w:space="0" w:color="auto"/>
              <w:right w:val="single" w:sz="4" w:space="0" w:color="auto"/>
            </w:tcBorders>
          </w:tcPr>
          <w:p w:rsidR="00E9575C" w:rsidRPr="0020523B" w:rsidRDefault="00E9575C" w:rsidP="00BA4368">
            <w:pPr>
              <w:pStyle w:val="Textoindependiente"/>
              <w:spacing w:line="360" w:lineRule="auto"/>
              <w:ind w:left="126"/>
              <w:rPr>
                <w:rFonts w:ascii="Times New Roman" w:hAnsi="Times New Roman" w:cs="Times New Roman"/>
                <w:sz w:val="24"/>
                <w:szCs w:val="24"/>
              </w:rPr>
            </w:pPr>
            <w:r w:rsidRPr="0020523B">
              <w:rPr>
                <w:rFonts w:ascii="Times New Roman" w:hAnsi="Times New Roman" w:cs="Times New Roman"/>
                <w:sz w:val="24"/>
                <w:szCs w:val="24"/>
              </w:rPr>
              <w:t>Producción, productividad</w:t>
            </w:r>
          </w:p>
        </w:tc>
        <w:tc>
          <w:tcPr>
            <w:tcW w:w="3719" w:type="dxa"/>
            <w:tcBorders>
              <w:top w:val="single" w:sz="4" w:space="0" w:color="auto"/>
              <w:left w:val="single" w:sz="4" w:space="0" w:color="auto"/>
              <w:bottom w:val="single" w:sz="4" w:space="0" w:color="auto"/>
              <w:right w:val="single" w:sz="4" w:space="0" w:color="auto"/>
            </w:tcBorders>
          </w:tcPr>
          <w:p w:rsidR="00E9575C" w:rsidRPr="0020523B" w:rsidRDefault="00E9575C" w:rsidP="00BA4368">
            <w:pPr>
              <w:pStyle w:val="Textoindependiente"/>
              <w:spacing w:line="360" w:lineRule="auto"/>
              <w:ind w:left="290"/>
              <w:rPr>
                <w:rFonts w:ascii="Times New Roman" w:hAnsi="Times New Roman" w:cs="Times New Roman"/>
                <w:sz w:val="24"/>
                <w:szCs w:val="24"/>
              </w:rPr>
            </w:pPr>
            <w:r w:rsidRPr="0020523B">
              <w:rPr>
                <w:rFonts w:ascii="Times New Roman" w:hAnsi="Times New Roman" w:cs="Times New Roman"/>
                <w:sz w:val="24"/>
                <w:szCs w:val="24"/>
              </w:rPr>
              <w:t>Duración y dilación</w:t>
            </w:r>
          </w:p>
        </w:tc>
      </w:tr>
      <w:tr w:rsidR="00E9575C" w:rsidRPr="0020523B" w:rsidTr="00BA4368">
        <w:trPr>
          <w:jc w:val="center"/>
        </w:trPr>
        <w:tc>
          <w:tcPr>
            <w:tcW w:w="4276" w:type="dxa"/>
            <w:tcBorders>
              <w:top w:val="single" w:sz="4" w:space="0" w:color="auto"/>
              <w:left w:val="single" w:sz="4" w:space="0" w:color="auto"/>
              <w:bottom w:val="single" w:sz="4" w:space="0" w:color="auto"/>
              <w:right w:val="single" w:sz="4" w:space="0" w:color="auto"/>
            </w:tcBorders>
          </w:tcPr>
          <w:p w:rsidR="00E9575C" w:rsidRPr="0020523B" w:rsidRDefault="00E9575C" w:rsidP="00BA4368">
            <w:pPr>
              <w:pStyle w:val="Textoindependiente"/>
              <w:spacing w:line="360" w:lineRule="auto"/>
              <w:ind w:left="126"/>
              <w:rPr>
                <w:rFonts w:ascii="Times New Roman" w:hAnsi="Times New Roman" w:cs="Times New Roman"/>
                <w:sz w:val="24"/>
                <w:szCs w:val="24"/>
              </w:rPr>
            </w:pPr>
            <w:r w:rsidRPr="0020523B">
              <w:rPr>
                <w:rFonts w:ascii="Times New Roman" w:hAnsi="Times New Roman" w:cs="Times New Roman"/>
                <w:sz w:val="24"/>
                <w:szCs w:val="24"/>
              </w:rPr>
              <w:t>Calidad del servicio</w:t>
            </w:r>
          </w:p>
        </w:tc>
        <w:tc>
          <w:tcPr>
            <w:tcW w:w="3719" w:type="dxa"/>
            <w:tcBorders>
              <w:top w:val="single" w:sz="4" w:space="0" w:color="auto"/>
              <w:left w:val="single" w:sz="4" w:space="0" w:color="auto"/>
              <w:bottom w:val="single" w:sz="4" w:space="0" w:color="auto"/>
              <w:right w:val="single" w:sz="4" w:space="0" w:color="auto"/>
            </w:tcBorders>
          </w:tcPr>
          <w:p w:rsidR="00E9575C" w:rsidRPr="0020523B" w:rsidRDefault="00E9575C" w:rsidP="00BA4368">
            <w:pPr>
              <w:pStyle w:val="Textoindependiente"/>
              <w:spacing w:line="360" w:lineRule="auto"/>
              <w:ind w:left="290"/>
              <w:rPr>
                <w:rFonts w:ascii="Times New Roman" w:hAnsi="Times New Roman" w:cs="Times New Roman"/>
                <w:sz w:val="24"/>
                <w:szCs w:val="24"/>
              </w:rPr>
            </w:pPr>
            <w:r w:rsidRPr="0020523B">
              <w:rPr>
                <w:rFonts w:ascii="Times New Roman" w:hAnsi="Times New Roman" w:cs="Times New Roman"/>
                <w:sz w:val="24"/>
                <w:szCs w:val="24"/>
              </w:rPr>
              <w:t>Fiscalía</w:t>
            </w:r>
          </w:p>
        </w:tc>
      </w:tr>
      <w:tr w:rsidR="00E9575C" w:rsidRPr="0020523B" w:rsidTr="00BA4368">
        <w:trPr>
          <w:jc w:val="center"/>
        </w:trPr>
        <w:tc>
          <w:tcPr>
            <w:tcW w:w="4276" w:type="dxa"/>
            <w:tcBorders>
              <w:top w:val="single" w:sz="4" w:space="0" w:color="auto"/>
              <w:left w:val="single" w:sz="4" w:space="0" w:color="auto"/>
              <w:bottom w:val="single" w:sz="4" w:space="0" w:color="auto"/>
              <w:right w:val="single" w:sz="4" w:space="0" w:color="auto"/>
            </w:tcBorders>
          </w:tcPr>
          <w:p w:rsidR="00E9575C" w:rsidRPr="0020523B" w:rsidRDefault="00E9575C" w:rsidP="00BA4368">
            <w:pPr>
              <w:pStyle w:val="Textoindependiente"/>
              <w:spacing w:line="360" w:lineRule="auto"/>
              <w:ind w:left="126"/>
              <w:rPr>
                <w:rFonts w:ascii="Times New Roman" w:hAnsi="Times New Roman" w:cs="Times New Roman"/>
                <w:sz w:val="24"/>
                <w:szCs w:val="24"/>
              </w:rPr>
            </w:pPr>
            <w:r w:rsidRPr="0020523B">
              <w:rPr>
                <w:rFonts w:ascii="Times New Roman" w:hAnsi="Times New Roman" w:cs="Times New Roman"/>
                <w:sz w:val="24"/>
                <w:szCs w:val="24"/>
              </w:rPr>
              <w:t>Sistema penitenciario</w:t>
            </w:r>
          </w:p>
        </w:tc>
        <w:tc>
          <w:tcPr>
            <w:tcW w:w="3719" w:type="dxa"/>
            <w:tcBorders>
              <w:top w:val="single" w:sz="4" w:space="0" w:color="auto"/>
              <w:left w:val="single" w:sz="4" w:space="0" w:color="auto"/>
              <w:bottom w:val="single" w:sz="4" w:space="0" w:color="auto"/>
              <w:right w:val="single" w:sz="4" w:space="0" w:color="auto"/>
            </w:tcBorders>
          </w:tcPr>
          <w:p w:rsidR="00E9575C" w:rsidRPr="0020523B" w:rsidRDefault="00E9575C" w:rsidP="00BA4368">
            <w:pPr>
              <w:pStyle w:val="Textoindependiente"/>
              <w:spacing w:line="360" w:lineRule="auto"/>
              <w:ind w:left="290"/>
              <w:rPr>
                <w:rFonts w:ascii="Times New Roman" w:hAnsi="Times New Roman" w:cs="Times New Roman"/>
                <w:sz w:val="24"/>
                <w:szCs w:val="24"/>
              </w:rPr>
            </w:pPr>
            <w:r w:rsidRPr="0020523B">
              <w:rPr>
                <w:rFonts w:ascii="Times New Roman" w:hAnsi="Times New Roman" w:cs="Times New Roman"/>
                <w:sz w:val="24"/>
                <w:szCs w:val="24"/>
              </w:rPr>
              <w:t>Seguridad Ciudadana</w:t>
            </w:r>
          </w:p>
        </w:tc>
      </w:tr>
      <w:tr w:rsidR="00E9575C" w:rsidRPr="0020523B" w:rsidTr="00BA4368">
        <w:trPr>
          <w:jc w:val="center"/>
        </w:trPr>
        <w:tc>
          <w:tcPr>
            <w:tcW w:w="4276" w:type="dxa"/>
            <w:tcBorders>
              <w:top w:val="single" w:sz="4" w:space="0" w:color="auto"/>
              <w:left w:val="single" w:sz="4" w:space="0" w:color="auto"/>
              <w:bottom w:val="single" w:sz="4" w:space="0" w:color="auto"/>
              <w:right w:val="single" w:sz="4" w:space="0" w:color="auto"/>
            </w:tcBorders>
          </w:tcPr>
          <w:p w:rsidR="00E9575C" w:rsidRPr="0020523B" w:rsidRDefault="00E9575C" w:rsidP="00BA4368">
            <w:pPr>
              <w:pStyle w:val="Textoindependiente"/>
              <w:spacing w:line="360" w:lineRule="auto"/>
              <w:ind w:left="126"/>
              <w:rPr>
                <w:rFonts w:ascii="Times New Roman" w:hAnsi="Times New Roman" w:cs="Times New Roman"/>
                <w:sz w:val="24"/>
                <w:szCs w:val="24"/>
              </w:rPr>
            </w:pPr>
            <w:r w:rsidRPr="0020523B">
              <w:rPr>
                <w:rFonts w:ascii="Times New Roman" w:hAnsi="Times New Roman" w:cs="Times New Roman"/>
                <w:sz w:val="24"/>
                <w:szCs w:val="24"/>
              </w:rPr>
              <w:t>Violencia Doméstica y Género</w:t>
            </w:r>
          </w:p>
        </w:tc>
        <w:tc>
          <w:tcPr>
            <w:tcW w:w="3719" w:type="dxa"/>
            <w:tcBorders>
              <w:top w:val="single" w:sz="4" w:space="0" w:color="auto"/>
              <w:left w:val="single" w:sz="4" w:space="0" w:color="auto"/>
              <w:bottom w:val="single" w:sz="4" w:space="0" w:color="auto"/>
              <w:right w:val="single" w:sz="4" w:space="0" w:color="auto"/>
            </w:tcBorders>
          </w:tcPr>
          <w:p w:rsidR="00E9575C" w:rsidRPr="0020523B" w:rsidRDefault="00E9575C" w:rsidP="00BA4368">
            <w:pPr>
              <w:pStyle w:val="Textoindependiente"/>
              <w:spacing w:line="360" w:lineRule="auto"/>
              <w:ind w:left="290"/>
              <w:rPr>
                <w:rFonts w:ascii="Times New Roman" w:hAnsi="Times New Roman" w:cs="Times New Roman"/>
                <w:sz w:val="24"/>
                <w:szCs w:val="24"/>
              </w:rPr>
            </w:pPr>
            <w:r w:rsidRPr="0020523B">
              <w:rPr>
                <w:rFonts w:ascii="Times New Roman" w:hAnsi="Times New Roman" w:cs="Times New Roman"/>
                <w:sz w:val="24"/>
                <w:szCs w:val="24"/>
              </w:rPr>
              <w:t>Penal Juvenil</w:t>
            </w:r>
          </w:p>
        </w:tc>
      </w:tr>
    </w:tbl>
    <w:p w:rsidR="00E9575C" w:rsidRPr="00066524" w:rsidRDefault="00E9575C" w:rsidP="00E9575C">
      <w:pPr>
        <w:spacing w:line="360" w:lineRule="auto"/>
        <w:jc w:val="both"/>
        <w:rPr>
          <w:rFonts w:ascii="Times New Roman" w:hAnsi="Times New Roman" w:cs="Times New Roman"/>
        </w:rPr>
      </w:pPr>
    </w:p>
    <w:p w:rsidR="00E9575C" w:rsidRPr="00066524" w:rsidRDefault="00E9575C" w:rsidP="00E9575C">
      <w:pPr>
        <w:spacing w:line="360" w:lineRule="auto"/>
        <w:jc w:val="both"/>
        <w:rPr>
          <w:rFonts w:ascii="Times New Roman" w:hAnsi="Times New Roman" w:cs="Times New Roman"/>
          <w:lang w:val="es-CR" w:eastAsia="es-CR"/>
        </w:rPr>
      </w:pPr>
      <w:r w:rsidRPr="00066524">
        <w:rPr>
          <w:rFonts w:ascii="Times New Roman" w:hAnsi="Times New Roman" w:cs="Times New Roman"/>
        </w:rPr>
        <w:t>Como parte del diagnóstico que se realiza continuamente, se ha decidido prescindir del indicador “</w:t>
      </w:r>
      <w:r w:rsidRPr="00066524">
        <w:rPr>
          <w:rFonts w:ascii="Times New Roman" w:hAnsi="Times New Roman" w:cs="Times New Roman"/>
          <w:bCs/>
        </w:rPr>
        <w:t>porcentaje de denuncias terminadas por la Ley de Penalización de la Violencia Contra las Mujeres (LPVCM)” y en su defecto se ha incorporado los siguientes: “porcentaje</w:t>
      </w:r>
      <w:r w:rsidRPr="00066524">
        <w:rPr>
          <w:rFonts w:ascii="Times New Roman" w:hAnsi="Times New Roman" w:cs="Times New Roman"/>
          <w:lang w:val="es-CR" w:eastAsia="es-CR"/>
        </w:rPr>
        <w:t xml:space="preserve"> de casos terminados en los juzgados penales por la Ley de Penalización y Violencia contra Mujeres (LPVCM)</w:t>
      </w:r>
      <w:r w:rsidRPr="00066524">
        <w:rPr>
          <w:rFonts w:ascii="Times New Roman" w:hAnsi="Times New Roman" w:cs="Times New Roman"/>
          <w:bCs/>
        </w:rPr>
        <w:t>” y “porcentaje</w:t>
      </w:r>
      <w:r w:rsidRPr="00066524">
        <w:rPr>
          <w:rFonts w:ascii="Times New Roman" w:hAnsi="Times New Roman" w:cs="Times New Roman"/>
          <w:lang w:val="es-CR" w:eastAsia="es-CR"/>
        </w:rPr>
        <w:t xml:space="preserve"> de casos terminados en los tribunales penales por la Ley de Penalización y Violencia contra Mujeres (LPVCM)”, lo cual permite visualizar lo que efectivamente se está juzgando.</w:t>
      </w:r>
    </w:p>
    <w:p w:rsidR="00E9575C" w:rsidRDefault="00E9575C" w:rsidP="00E9575C">
      <w:pPr>
        <w:spacing w:line="360" w:lineRule="auto"/>
        <w:jc w:val="both"/>
        <w:rPr>
          <w:rFonts w:ascii="Times New Roman" w:hAnsi="Times New Roman" w:cs="Times New Roman"/>
          <w:sz w:val="20"/>
          <w:szCs w:val="20"/>
          <w:lang w:val="es-CR" w:eastAsia="es-CR"/>
        </w:rPr>
      </w:pPr>
    </w:p>
    <w:p w:rsidR="00E9575C" w:rsidRPr="0020523B" w:rsidRDefault="00E9575C" w:rsidP="00E9575C">
      <w:pPr>
        <w:spacing w:line="360" w:lineRule="auto"/>
        <w:jc w:val="both"/>
        <w:rPr>
          <w:rFonts w:ascii="Times New Roman" w:hAnsi="Times New Roman" w:cs="Times New Roman"/>
          <w:color w:val="000000"/>
        </w:rPr>
      </w:pPr>
      <w:r w:rsidRPr="0020523B">
        <w:rPr>
          <w:rFonts w:ascii="Times New Roman" w:hAnsi="Times New Roman" w:cs="Times New Roman"/>
        </w:rPr>
        <w:t xml:space="preserve">Los resultados, así como la dimensión de cada indicador, </w:t>
      </w:r>
      <w:r w:rsidRPr="0020523B">
        <w:rPr>
          <w:rFonts w:ascii="Times New Roman" w:hAnsi="Times New Roman" w:cs="Times New Roman"/>
          <w:color w:val="000000"/>
        </w:rPr>
        <w:t xml:space="preserve">se presentan en el anexo del informe; estos se basan </w:t>
      </w:r>
      <w:r w:rsidRPr="0020523B">
        <w:rPr>
          <w:rFonts w:ascii="Times New Roman" w:hAnsi="Times New Roman" w:cs="Times New Roman"/>
        </w:rPr>
        <w:t>en los formularios estadísticos que presentan l</w:t>
      </w:r>
      <w:r>
        <w:rPr>
          <w:rFonts w:ascii="Times New Roman" w:hAnsi="Times New Roman" w:cs="Times New Roman"/>
        </w:rPr>
        <w:t>o</w:t>
      </w:r>
      <w:r w:rsidRPr="0020523B">
        <w:rPr>
          <w:rFonts w:ascii="Times New Roman" w:hAnsi="Times New Roman" w:cs="Times New Roman"/>
        </w:rPr>
        <w:t>s d</w:t>
      </w:r>
      <w:r>
        <w:rPr>
          <w:rFonts w:ascii="Times New Roman" w:hAnsi="Times New Roman" w:cs="Times New Roman"/>
        </w:rPr>
        <w:t>espachos y</w:t>
      </w:r>
      <w:r w:rsidRPr="0020523B">
        <w:rPr>
          <w:rFonts w:ascii="Times New Roman" w:hAnsi="Times New Roman" w:cs="Times New Roman"/>
        </w:rPr>
        <w:t xml:space="preserve"> oficinas del Poder Judicial, por lo que resulta trascendental que la información que se recibe y procesa </w:t>
      </w:r>
      <w:proofErr w:type="spellStart"/>
      <w:r w:rsidRPr="0020523B">
        <w:rPr>
          <w:rFonts w:ascii="Times New Roman" w:hAnsi="Times New Roman" w:cs="Times New Roman"/>
        </w:rPr>
        <w:t>sea</w:t>
      </w:r>
      <w:r w:rsidR="00F268F9">
        <w:rPr>
          <w:rFonts w:ascii="Times New Roman" w:hAnsi="Times New Roman" w:cs="Times New Roman"/>
        </w:rPr>
        <w:t>certera</w:t>
      </w:r>
      <w:proofErr w:type="spellEnd"/>
      <w:r w:rsidRPr="0020523B">
        <w:rPr>
          <w:rFonts w:ascii="Times New Roman" w:hAnsi="Times New Roman" w:cs="Times New Roman"/>
        </w:rPr>
        <w:t>. Además</w:t>
      </w:r>
      <w:r w:rsidRPr="0020523B">
        <w:rPr>
          <w:rFonts w:ascii="Times New Roman" w:hAnsi="Times New Roman" w:cs="Times New Roman"/>
          <w:color w:val="000000"/>
        </w:rPr>
        <w:t>, se incorpora un glosario con la definición de términos que permiten un entendimiento de los indicadores descritos.</w:t>
      </w:r>
    </w:p>
    <w:p w:rsidR="00E9575C" w:rsidRPr="0020523B" w:rsidRDefault="00E9575C" w:rsidP="00E9575C">
      <w:pPr>
        <w:spacing w:line="360" w:lineRule="auto"/>
        <w:jc w:val="both"/>
        <w:rPr>
          <w:rFonts w:ascii="Times New Roman" w:hAnsi="Times New Roman" w:cs="Times New Roman"/>
        </w:rPr>
      </w:pPr>
    </w:p>
    <w:p w:rsidR="00E9575C" w:rsidRPr="0020523B" w:rsidRDefault="00E9575C" w:rsidP="00E9575C">
      <w:pPr>
        <w:pStyle w:val="Textoindependiente"/>
        <w:spacing w:line="360" w:lineRule="auto"/>
        <w:jc w:val="both"/>
        <w:rPr>
          <w:rFonts w:ascii="Times New Roman" w:hAnsi="Times New Roman" w:cs="Times New Roman"/>
          <w:color w:val="000000"/>
          <w:sz w:val="24"/>
          <w:szCs w:val="24"/>
        </w:rPr>
      </w:pPr>
      <w:r w:rsidRPr="0020523B">
        <w:rPr>
          <w:rFonts w:ascii="Times New Roman" w:hAnsi="Times New Roman" w:cs="Times New Roman"/>
          <w:color w:val="000000"/>
          <w:sz w:val="24"/>
          <w:szCs w:val="24"/>
        </w:rPr>
        <w:t>Este Compendio fue desarrollado por los licenciados Freddy Chavarría Chaves</w:t>
      </w:r>
      <w:r>
        <w:rPr>
          <w:rFonts w:ascii="Times New Roman" w:hAnsi="Times New Roman" w:cs="Times New Roman"/>
          <w:color w:val="000000"/>
          <w:sz w:val="24"/>
          <w:szCs w:val="24"/>
        </w:rPr>
        <w:t xml:space="preserve">, Gustavo Chen Quesada, Juan Pablo León Cerdas y por el </w:t>
      </w:r>
      <w:proofErr w:type="spellStart"/>
      <w:r>
        <w:rPr>
          <w:rFonts w:ascii="Times New Roman" w:hAnsi="Times New Roman" w:cs="Times New Roman"/>
          <w:color w:val="000000"/>
          <w:sz w:val="24"/>
          <w:szCs w:val="24"/>
        </w:rPr>
        <w:t>Master</w:t>
      </w:r>
      <w:proofErr w:type="spellEnd"/>
      <w:r>
        <w:rPr>
          <w:rFonts w:ascii="Times New Roman" w:hAnsi="Times New Roman" w:cs="Times New Roman"/>
          <w:color w:val="000000"/>
          <w:sz w:val="24"/>
          <w:szCs w:val="24"/>
        </w:rPr>
        <w:t xml:space="preserve"> </w:t>
      </w:r>
      <w:r w:rsidRPr="0020523B">
        <w:rPr>
          <w:rFonts w:ascii="Times New Roman" w:hAnsi="Times New Roman" w:cs="Times New Roman"/>
          <w:color w:val="000000"/>
          <w:sz w:val="24"/>
          <w:szCs w:val="24"/>
        </w:rPr>
        <w:t>M</w:t>
      </w:r>
      <w:r>
        <w:rPr>
          <w:rFonts w:ascii="Times New Roman" w:hAnsi="Times New Roman" w:cs="Times New Roman"/>
          <w:color w:val="000000"/>
          <w:sz w:val="24"/>
          <w:szCs w:val="24"/>
        </w:rPr>
        <w:t>anuel Sotomayor Solano</w:t>
      </w:r>
      <w:r w:rsidRPr="0020523B">
        <w:rPr>
          <w:rFonts w:ascii="Times New Roman" w:hAnsi="Times New Roman" w:cs="Times New Roman"/>
          <w:color w:val="000000"/>
          <w:sz w:val="24"/>
          <w:szCs w:val="24"/>
        </w:rPr>
        <w:t xml:space="preserve">, </w:t>
      </w:r>
      <w:r>
        <w:rPr>
          <w:rFonts w:ascii="Times New Roman" w:hAnsi="Times New Roman" w:cs="Times New Roman"/>
          <w:color w:val="000000"/>
          <w:sz w:val="24"/>
          <w:szCs w:val="24"/>
        </w:rPr>
        <w:t>profesionales</w:t>
      </w:r>
      <w:r w:rsidRPr="0020523B">
        <w:rPr>
          <w:rFonts w:ascii="Times New Roman" w:hAnsi="Times New Roman" w:cs="Times New Roman"/>
          <w:color w:val="000000"/>
          <w:sz w:val="24"/>
          <w:szCs w:val="24"/>
        </w:rPr>
        <w:t xml:space="preserve"> de la Sección de Estadística, para lo cual se contó con aporte</w:t>
      </w:r>
      <w:r>
        <w:rPr>
          <w:rFonts w:ascii="Times New Roman" w:hAnsi="Times New Roman" w:cs="Times New Roman"/>
          <w:color w:val="000000"/>
          <w:sz w:val="24"/>
          <w:szCs w:val="24"/>
        </w:rPr>
        <w:t>s</w:t>
      </w:r>
      <w:r w:rsidRPr="0020523B">
        <w:rPr>
          <w:rFonts w:ascii="Times New Roman" w:hAnsi="Times New Roman" w:cs="Times New Roman"/>
          <w:color w:val="000000"/>
          <w:sz w:val="24"/>
          <w:szCs w:val="24"/>
        </w:rPr>
        <w:t xml:space="preserve"> de la Sección de Planes y Presupuesto de la Dirección de Planificación, la Contraloría de Servicios y el Departamento Financiero Contable, dependencias que aportaron información valiosa que sirvió de insumo para su elaboración.</w:t>
      </w:r>
    </w:p>
    <w:p w:rsidR="00E9575C" w:rsidRPr="0020523B" w:rsidRDefault="00E9575C" w:rsidP="00E9575C">
      <w:pPr>
        <w:pStyle w:val="Textoindependiente"/>
        <w:rPr>
          <w:rFonts w:ascii="Times New Roman" w:hAnsi="Times New Roman" w:cs="Times New Roman"/>
          <w:color w:val="000000"/>
          <w:sz w:val="24"/>
          <w:szCs w:val="24"/>
        </w:rPr>
      </w:pPr>
    </w:p>
    <w:p w:rsidR="00E9575C" w:rsidRPr="0020523B" w:rsidRDefault="00E9575C" w:rsidP="00E9575C">
      <w:pPr>
        <w:pStyle w:val="Textoindependiente"/>
        <w:rPr>
          <w:rFonts w:ascii="Times New Roman" w:hAnsi="Times New Roman" w:cs="Times New Roman"/>
          <w:color w:val="000000"/>
          <w:sz w:val="24"/>
          <w:szCs w:val="24"/>
        </w:rPr>
      </w:pPr>
    </w:p>
    <w:p w:rsidR="00E9575C" w:rsidRPr="0020523B" w:rsidRDefault="00E9575C" w:rsidP="00E9575C">
      <w:pPr>
        <w:pStyle w:val="Textoindependiente"/>
        <w:rPr>
          <w:rFonts w:ascii="Times New Roman" w:hAnsi="Times New Roman" w:cs="Times New Roman"/>
          <w:color w:val="000000"/>
          <w:sz w:val="24"/>
          <w:szCs w:val="24"/>
        </w:rPr>
      </w:pPr>
    </w:p>
    <w:p w:rsidR="00E9575C" w:rsidRPr="0020523B" w:rsidRDefault="00E9575C" w:rsidP="00E9575C">
      <w:pPr>
        <w:pStyle w:val="Textoindependiente"/>
        <w:rPr>
          <w:rFonts w:ascii="Times New Roman" w:hAnsi="Times New Roman" w:cs="Times New Roman"/>
          <w:color w:val="000000"/>
          <w:sz w:val="24"/>
          <w:szCs w:val="24"/>
        </w:rPr>
      </w:pPr>
    </w:p>
    <w:p w:rsidR="00E9575C" w:rsidRDefault="00E9575C" w:rsidP="00E9575C">
      <w:pPr>
        <w:pStyle w:val="Textoindependiente"/>
        <w:rPr>
          <w:rFonts w:ascii="Times New Roman" w:hAnsi="Times New Roman" w:cs="Times New Roman"/>
          <w:color w:val="000000"/>
          <w:sz w:val="24"/>
          <w:szCs w:val="24"/>
        </w:rPr>
      </w:pPr>
    </w:p>
    <w:p w:rsidR="00AF2370" w:rsidRPr="0020523B" w:rsidRDefault="00AF2370" w:rsidP="00E9575C">
      <w:pPr>
        <w:pStyle w:val="Textoindependiente"/>
        <w:rPr>
          <w:rFonts w:ascii="Times New Roman" w:hAnsi="Times New Roman" w:cs="Times New Roman"/>
          <w:color w:val="000000"/>
          <w:sz w:val="24"/>
          <w:szCs w:val="24"/>
        </w:rPr>
      </w:pPr>
    </w:p>
    <w:p w:rsidR="00E9575C" w:rsidRPr="0020523B" w:rsidRDefault="00E9575C" w:rsidP="00E9575C">
      <w:pPr>
        <w:pStyle w:val="Textoindependiente"/>
        <w:tabs>
          <w:tab w:val="left" w:pos="360"/>
        </w:tabs>
        <w:rPr>
          <w:rFonts w:ascii="Times New Roman" w:hAnsi="Times New Roman" w:cs="Times New Roman"/>
          <w:b/>
          <w:color w:val="000000"/>
          <w:sz w:val="24"/>
          <w:szCs w:val="24"/>
        </w:rPr>
      </w:pPr>
      <w:r>
        <w:rPr>
          <w:rFonts w:ascii="Times New Roman" w:hAnsi="Times New Roman" w:cs="Times New Roman"/>
          <w:color w:val="000000"/>
          <w:sz w:val="24"/>
          <w:szCs w:val="24"/>
        </w:rPr>
        <w:tab/>
      </w:r>
      <w:r w:rsidRPr="000D7FE3">
        <w:rPr>
          <w:rFonts w:ascii="Times New Roman" w:hAnsi="Times New Roman" w:cs="Times New Roman"/>
          <w:b/>
          <w:color w:val="000000"/>
          <w:sz w:val="24"/>
          <w:szCs w:val="24"/>
        </w:rPr>
        <w:t>Ana Ericka Rodríguez Araya,</w:t>
      </w:r>
      <w:r w:rsidR="00B054C9">
        <w:rPr>
          <w:rFonts w:ascii="Times New Roman" w:hAnsi="Times New Roman" w:cs="Times New Roman"/>
          <w:b/>
          <w:color w:val="000000"/>
          <w:sz w:val="24"/>
          <w:szCs w:val="24"/>
        </w:rPr>
        <w:t xml:space="preserve"> Jefa</w:t>
      </w:r>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a.i</w:t>
      </w:r>
      <w:r w:rsidRPr="00E827D7">
        <w:rPr>
          <w:rFonts w:ascii="Times New Roman" w:hAnsi="Times New Roman" w:cs="Times New Roman"/>
          <w:b/>
          <w:color w:val="000000"/>
          <w:sz w:val="24"/>
          <w:szCs w:val="24"/>
        </w:rPr>
        <w:t>Nacira</w:t>
      </w:r>
      <w:proofErr w:type="spellEnd"/>
      <w:r w:rsidRPr="00E827D7">
        <w:rPr>
          <w:rFonts w:ascii="Times New Roman" w:hAnsi="Times New Roman" w:cs="Times New Roman"/>
          <w:b/>
          <w:color w:val="000000"/>
          <w:sz w:val="24"/>
          <w:szCs w:val="24"/>
        </w:rPr>
        <w:t xml:space="preserve"> Valverde Bermúdez,  Directora</w:t>
      </w:r>
      <w:r w:rsidR="00B054C9">
        <w:rPr>
          <w:rFonts w:ascii="Times New Roman" w:hAnsi="Times New Roman" w:cs="Times New Roman"/>
          <w:b/>
          <w:color w:val="000000"/>
          <w:sz w:val="24"/>
          <w:szCs w:val="24"/>
        </w:rPr>
        <w:t xml:space="preserve"> </w:t>
      </w:r>
      <w:proofErr w:type="spellStart"/>
      <w:r w:rsidR="00B054C9">
        <w:rPr>
          <w:rFonts w:ascii="Times New Roman" w:hAnsi="Times New Roman" w:cs="Times New Roman"/>
          <w:b/>
          <w:color w:val="000000"/>
          <w:sz w:val="24"/>
          <w:szCs w:val="24"/>
        </w:rPr>
        <w:t>a.i.</w:t>
      </w:r>
      <w:proofErr w:type="spellEnd"/>
    </w:p>
    <w:p w:rsidR="00E9575C" w:rsidRDefault="00E9575C" w:rsidP="00E9575C">
      <w:pPr>
        <w:pStyle w:val="Textoindependiente"/>
        <w:tabs>
          <w:tab w:val="left" w:pos="360"/>
          <w:tab w:val="left" w:pos="4800"/>
        </w:tabs>
        <w:rPr>
          <w:rFonts w:ascii="Times New Roman" w:hAnsi="Times New Roman" w:cs="Times New Roman"/>
          <w:b/>
          <w:color w:val="000000"/>
          <w:sz w:val="24"/>
          <w:szCs w:val="24"/>
        </w:rPr>
      </w:pPr>
      <w:r>
        <w:rPr>
          <w:rFonts w:ascii="Times New Roman" w:hAnsi="Times New Roman" w:cs="Times New Roman"/>
          <w:b/>
          <w:color w:val="000000"/>
          <w:sz w:val="24"/>
          <w:szCs w:val="24"/>
        </w:rPr>
        <w:tab/>
      </w:r>
      <w:r w:rsidRPr="0020523B">
        <w:rPr>
          <w:rFonts w:ascii="Times New Roman" w:hAnsi="Times New Roman" w:cs="Times New Roman"/>
          <w:b/>
          <w:color w:val="000000"/>
          <w:sz w:val="24"/>
          <w:szCs w:val="24"/>
        </w:rPr>
        <w:t>Sección de Estadística</w:t>
      </w:r>
      <w:r w:rsidRPr="00E827D7">
        <w:rPr>
          <w:rFonts w:ascii="Times New Roman" w:hAnsi="Times New Roman" w:cs="Times New Roman"/>
          <w:b/>
          <w:color w:val="000000"/>
          <w:sz w:val="24"/>
          <w:szCs w:val="24"/>
        </w:rPr>
        <w:tab/>
      </w:r>
      <w:r w:rsidRPr="0020523B">
        <w:rPr>
          <w:rFonts w:ascii="Times New Roman" w:hAnsi="Times New Roman" w:cs="Times New Roman"/>
          <w:b/>
          <w:color w:val="000000"/>
          <w:sz w:val="24"/>
          <w:szCs w:val="24"/>
        </w:rPr>
        <w:t>D</w:t>
      </w:r>
      <w:r>
        <w:rPr>
          <w:rFonts w:ascii="Times New Roman" w:hAnsi="Times New Roman" w:cs="Times New Roman"/>
          <w:b/>
          <w:color w:val="000000"/>
          <w:sz w:val="24"/>
          <w:szCs w:val="24"/>
        </w:rPr>
        <w:t xml:space="preserve">irección </w:t>
      </w:r>
      <w:r w:rsidRPr="0020523B">
        <w:rPr>
          <w:rFonts w:ascii="Times New Roman" w:hAnsi="Times New Roman" w:cs="Times New Roman"/>
          <w:b/>
          <w:color w:val="000000"/>
          <w:sz w:val="24"/>
          <w:szCs w:val="24"/>
        </w:rPr>
        <w:t xml:space="preserve"> de Planificación</w:t>
      </w:r>
    </w:p>
    <w:p w:rsidR="00E9575C" w:rsidRPr="00E827D7" w:rsidRDefault="00E9575C" w:rsidP="00E9575C">
      <w:pPr>
        <w:pStyle w:val="Textoindependiente"/>
        <w:tabs>
          <w:tab w:val="left" w:pos="360"/>
          <w:tab w:val="left" w:pos="4800"/>
        </w:tabs>
        <w:rPr>
          <w:rFonts w:ascii="Times New Roman" w:hAnsi="Times New Roman" w:cs="Times New Roman"/>
          <w:b/>
          <w:color w:val="000000"/>
          <w:sz w:val="24"/>
          <w:szCs w:val="24"/>
        </w:rPr>
      </w:pPr>
    </w:p>
    <w:p w:rsidR="00AF2370" w:rsidRDefault="00AF2370" w:rsidP="00E9575C">
      <w:pPr>
        <w:jc w:val="center"/>
        <w:rPr>
          <w:rFonts w:ascii="Times New Roman" w:hAnsi="Times New Roman" w:cs="Times New Roman"/>
          <w:color w:val="000000"/>
        </w:rPr>
      </w:pPr>
    </w:p>
    <w:p w:rsidR="00AF2370" w:rsidRDefault="00AF2370" w:rsidP="00E9575C">
      <w:pPr>
        <w:jc w:val="center"/>
        <w:rPr>
          <w:rFonts w:ascii="Times New Roman" w:hAnsi="Times New Roman" w:cs="Times New Roman"/>
          <w:color w:val="000000"/>
        </w:rPr>
      </w:pPr>
    </w:p>
    <w:p w:rsidR="00AF2370" w:rsidRDefault="00AF2370" w:rsidP="00E9575C">
      <w:pPr>
        <w:jc w:val="center"/>
        <w:rPr>
          <w:rFonts w:ascii="Times New Roman" w:hAnsi="Times New Roman" w:cs="Times New Roman"/>
          <w:color w:val="000000"/>
        </w:rPr>
      </w:pPr>
    </w:p>
    <w:p w:rsidR="00E9575C" w:rsidRDefault="00D04BFD" w:rsidP="00AF2370">
      <w:r>
        <w:rPr>
          <w:rFonts w:ascii="Times New Roman" w:hAnsi="Times New Roman" w:cs="Times New Roman"/>
          <w:color w:val="000000"/>
        </w:rPr>
        <w:t>NVB</w:t>
      </w:r>
      <w:bookmarkStart w:id="0" w:name="_GoBack"/>
      <w:bookmarkEnd w:id="0"/>
      <w:r>
        <w:rPr>
          <w:rFonts w:ascii="Times New Roman" w:hAnsi="Times New Roman" w:cs="Times New Roman"/>
          <w:color w:val="000000"/>
        </w:rPr>
        <w:t>/</w:t>
      </w:r>
      <w:proofErr w:type="spellStart"/>
      <w:r w:rsidR="004E66CC">
        <w:rPr>
          <w:rFonts w:ascii="Times New Roman" w:hAnsi="Times New Roman" w:cs="Times New Roman"/>
          <w:color w:val="000000"/>
        </w:rPr>
        <w:t>Aera</w:t>
      </w:r>
      <w:proofErr w:type="spellEnd"/>
      <w:r w:rsidR="00AF2370">
        <w:rPr>
          <w:rFonts w:ascii="Times New Roman" w:hAnsi="Times New Roman" w:cs="Times New Roman"/>
          <w:color w:val="000000"/>
        </w:rPr>
        <w:t>/</w:t>
      </w:r>
      <w:proofErr w:type="spellStart"/>
      <w:r w:rsidR="00AF2370">
        <w:rPr>
          <w:rFonts w:ascii="Times New Roman" w:hAnsi="Times New Roman" w:cs="Times New Roman"/>
          <w:color w:val="000000"/>
        </w:rPr>
        <w:t>amc</w:t>
      </w:r>
      <w:proofErr w:type="spellEnd"/>
      <w:r w:rsidR="00E9575C">
        <w:rPr>
          <w:rFonts w:ascii="Times New Roman" w:hAnsi="Times New Roman" w:cs="Times New Roman"/>
          <w:color w:val="000000"/>
        </w:rPr>
        <w:br w:type="page"/>
      </w:r>
    </w:p>
    <w:p w:rsidR="00E9575C" w:rsidRPr="00951A97" w:rsidRDefault="00E9575C" w:rsidP="00E9575C">
      <w:pPr>
        <w:pStyle w:val="Ttulo1"/>
        <w:widowControl/>
        <w:pBdr>
          <w:top w:val="single" w:sz="4" w:space="1" w:color="000000"/>
          <w:left w:val="single" w:sz="4" w:space="4" w:color="000000"/>
          <w:bottom w:val="single" w:sz="4" w:space="1" w:color="000000"/>
          <w:right w:val="single" w:sz="4" w:space="4" w:color="000000"/>
        </w:pBdr>
        <w:shd w:val="clear" w:color="auto" w:fill="000000"/>
        <w:tabs>
          <w:tab w:val="clear" w:pos="4680"/>
          <w:tab w:val="left" w:pos="360"/>
          <w:tab w:val="left" w:pos="720"/>
          <w:tab w:val="left" w:pos="900"/>
        </w:tabs>
        <w:suppressAutoHyphens/>
        <w:autoSpaceDE/>
        <w:autoSpaceDN/>
        <w:adjustRightInd/>
        <w:spacing w:line="480" w:lineRule="atLeast"/>
        <w:jc w:val="center"/>
        <w:rPr>
          <w:rFonts w:ascii="Times New Roman" w:hAnsi="Times New Roman" w:cs="Times New Roman"/>
          <w:i w:val="0"/>
          <w:color w:val="FFFFFF"/>
          <w:sz w:val="28"/>
          <w:szCs w:val="28"/>
          <w:lang w:eastAsia="ar-SA"/>
        </w:rPr>
      </w:pPr>
      <w:r w:rsidRPr="00951A97">
        <w:rPr>
          <w:rFonts w:ascii="Times New Roman" w:hAnsi="Times New Roman" w:cs="Times New Roman"/>
          <w:i w:val="0"/>
          <w:color w:val="FFFFFF"/>
          <w:sz w:val="28"/>
          <w:szCs w:val="28"/>
          <w:lang w:eastAsia="ar-SA"/>
        </w:rPr>
        <w:lastRenderedPageBreak/>
        <w:t xml:space="preserve">1. </w:t>
      </w:r>
      <w:r w:rsidRPr="00951A97">
        <w:rPr>
          <w:rFonts w:ascii="Times New Roman" w:hAnsi="Times New Roman" w:cs="Times New Roman"/>
          <w:i w:val="0"/>
          <w:color w:val="FFFFFF"/>
          <w:sz w:val="28"/>
          <w:szCs w:val="28"/>
          <w:lang w:eastAsia="ar-SA"/>
        </w:rPr>
        <w:tab/>
      </w:r>
      <w:r w:rsidRPr="00951A97">
        <w:rPr>
          <w:rFonts w:ascii="Times New Roman" w:hAnsi="Times New Roman" w:cs="Times New Roman"/>
          <w:i w:val="0"/>
          <w:color w:val="FFFFFF"/>
          <w:sz w:val="28"/>
          <w:szCs w:val="28"/>
          <w:lang w:eastAsia="ar-SA"/>
        </w:rPr>
        <w:tab/>
        <w:t>INSUMOS, DOTACIÓN Y GRADO DE UTILIZACIÓN</w:t>
      </w:r>
    </w:p>
    <w:p w:rsidR="00E9575C" w:rsidRPr="00951A97" w:rsidRDefault="00E9575C" w:rsidP="00E9575C">
      <w:pPr>
        <w:spacing w:line="360" w:lineRule="auto"/>
        <w:jc w:val="both"/>
        <w:rPr>
          <w:rFonts w:ascii="Times New Roman" w:hAnsi="Times New Roman" w:cs="Times New Roman"/>
          <w:lang w:eastAsia="ar-SA"/>
        </w:rPr>
      </w:pPr>
    </w:p>
    <w:p w:rsidR="00E9575C" w:rsidRPr="00951A97" w:rsidRDefault="00E9575C" w:rsidP="00E9575C">
      <w:pPr>
        <w:pStyle w:val="Textoindependiente"/>
        <w:spacing w:line="360" w:lineRule="auto"/>
        <w:jc w:val="both"/>
        <w:rPr>
          <w:rFonts w:ascii="Times New Roman" w:hAnsi="Times New Roman" w:cs="Times New Roman"/>
          <w:sz w:val="24"/>
          <w:szCs w:val="24"/>
        </w:rPr>
      </w:pPr>
      <w:r w:rsidRPr="00951A97">
        <w:rPr>
          <w:rFonts w:ascii="Times New Roman" w:hAnsi="Times New Roman" w:cs="Times New Roman"/>
          <w:sz w:val="24"/>
          <w:szCs w:val="24"/>
        </w:rPr>
        <w:t xml:space="preserve">En este campo temático se conglomeran </w:t>
      </w:r>
      <w:r w:rsidRPr="00951A97">
        <w:rPr>
          <w:rFonts w:ascii="Times New Roman" w:hAnsi="Times New Roman" w:cs="Times New Roman"/>
          <w:b/>
          <w:sz w:val="24"/>
          <w:szCs w:val="24"/>
        </w:rPr>
        <w:t>14 indicadores</w:t>
      </w:r>
      <w:r w:rsidRPr="00951A97">
        <w:rPr>
          <w:rFonts w:ascii="Times New Roman" w:hAnsi="Times New Roman" w:cs="Times New Roman"/>
          <w:sz w:val="24"/>
          <w:szCs w:val="24"/>
        </w:rPr>
        <w:t>, los cuales ofrecen un panorama acerca de la trascendencia de la justicia dentro de la economía nacional, así como la distribución del personal de justicia de acuerdo con la población del país.</w:t>
      </w:r>
    </w:p>
    <w:p w:rsidR="00E9575C" w:rsidRPr="00951A97" w:rsidRDefault="00E9575C" w:rsidP="00E9575C">
      <w:pPr>
        <w:spacing w:line="360" w:lineRule="auto"/>
        <w:jc w:val="both"/>
        <w:rPr>
          <w:rFonts w:ascii="Times New Roman" w:hAnsi="Times New Roman" w:cs="Times New Roman"/>
        </w:rPr>
      </w:pPr>
    </w:p>
    <w:p w:rsidR="00E9575C" w:rsidRPr="00951A97" w:rsidRDefault="00E9575C" w:rsidP="00E9575C">
      <w:pPr>
        <w:pStyle w:val="Ttulo2"/>
        <w:rPr>
          <w:rFonts w:ascii="Times New Roman" w:hAnsi="Times New Roman" w:cs="Times New Roman"/>
          <w:i w:val="0"/>
          <w:sz w:val="24"/>
          <w:szCs w:val="24"/>
        </w:rPr>
      </w:pPr>
      <w:r w:rsidRPr="00951A97">
        <w:rPr>
          <w:rFonts w:ascii="Times New Roman" w:hAnsi="Times New Roman" w:cs="Times New Roman"/>
          <w:i w:val="0"/>
          <w:sz w:val="24"/>
          <w:szCs w:val="24"/>
        </w:rPr>
        <w:t>1.1</w:t>
      </w:r>
      <w:r w:rsidRPr="00951A97">
        <w:rPr>
          <w:rFonts w:ascii="Times New Roman" w:hAnsi="Times New Roman" w:cs="Times New Roman"/>
          <w:i w:val="0"/>
          <w:sz w:val="24"/>
          <w:szCs w:val="24"/>
        </w:rPr>
        <w:tab/>
        <w:t>Porcentaje del gasto de la justicia respecto del gasto público</w:t>
      </w:r>
    </w:p>
    <w:p w:rsidR="00E9575C" w:rsidRPr="00951A97" w:rsidRDefault="00E9575C" w:rsidP="00E9575C">
      <w:pPr>
        <w:pStyle w:val="Textoindependiente"/>
        <w:spacing w:line="360" w:lineRule="auto"/>
        <w:jc w:val="both"/>
        <w:rPr>
          <w:rFonts w:ascii="Times New Roman" w:hAnsi="Times New Roman" w:cs="Times New Roman"/>
          <w:sz w:val="24"/>
          <w:szCs w:val="24"/>
        </w:rPr>
      </w:pPr>
      <w:r w:rsidRPr="00951A97">
        <w:rPr>
          <w:rFonts w:ascii="Times New Roman" w:hAnsi="Times New Roman" w:cs="Times New Roman"/>
          <w:sz w:val="24"/>
          <w:szCs w:val="24"/>
        </w:rPr>
        <w:t>La presencia de este indicador tiene como fin el determinar el peso relativo de los recursos destinados a la Administración de Justicia (costo de la justicia) de acuerdo con lo consignado en el gasto público (gasto del Gobierno Central), según el Ministerio de Hacienda.</w:t>
      </w:r>
    </w:p>
    <w:p w:rsidR="00E9575C" w:rsidRPr="00951A97" w:rsidRDefault="00E9575C" w:rsidP="00E9575C">
      <w:pPr>
        <w:pStyle w:val="Textoindependiente"/>
        <w:spacing w:line="360" w:lineRule="auto"/>
        <w:rPr>
          <w:rFonts w:ascii="Times New Roman" w:hAnsi="Times New Roman" w:cs="Times New Roman"/>
          <w:sz w:val="24"/>
          <w:szCs w:val="24"/>
        </w:rPr>
      </w:pPr>
    </w:p>
    <w:p w:rsidR="00E9575C" w:rsidRPr="00951A97" w:rsidRDefault="00E9575C" w:rsidP="00E9575C">
      <w:pPr>
        <w:pStyle w:val="Textoindependiente"/>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siguiente gráfico se puede observar poca variabilidad en los datos que registra el </w:t>
      </w:r>
      <w:r w:rsidRPr="00951A97">
        <w:rPr>
          <w:rFonts w:ascii="Times New Roman" w:hAnsi="Times New Roman" w:cs="Times New Roman"/>
          <w:sz w:val="24"/>
          <w:szCs w:val="24"/>
        </w:rPr>
        <w:t>indicador</w:t>
      </w:r>
      <w:r>
        <w:rPr>
          <w:rFonts w:ascii="Times New Roman" w:hAnsi="Times New Roman" w:cs="Times New Roman"/>
          <w:sz w:val="24"/>
          <w:szCs w:val="24"/>
        </w:rPr>
        <w:t xml:space="preserve">; sin embargo, los componentes del mismo, registran incrementos año a año, por los que las variaciones dadas </w:t>
      </w:r>
      <w:r w:rsidR="00F268F9">
        <w:rPr>
          <w:rFonts w:ascii="Times New Roman" w:hAnsi="Times New Roman" w:cs="Times New Roman"/>
          <w:sz w:val="24"/>
          <w:szCs w:val="24"/>
        </w:rPr>
        <w:t xml:space="preserve">se </w:t>
      </w:r>
      <w:r>
        <w:rPr>
          <w:rFonts w:ascii="Times New Roman" w:hAnsi="Times New Roman" w:cs="Times New Roman"/>
          <w:sz w:val="24"/>
          <w:szCs w:val="24"/>
        </w:rPr>
        <w:t>deb</w:t>
      </w:r>
      <w:r w:rsidR="00F268F9">
        <w:rPr>
          <w:rFonts w:ascii="Times New Roman" w:hAnsi="Times New Roman" w:cs="Times New Roman"/>
          <w:sz w:val="24"/>
          <w:szCs w:val="24"/>
        </w:rPr>
        <w:t>en</w:t>
      </w:r>
      <w:r>
        <w:rPr>
          <w:rFonts w:ascii="Times New Roman" w:hAnsi="Times New Roman" w:cs="Times New Roman"/>
          <w:sz w:val="24"/>
          <w:szCs w:val="24"/>
        </w:rPr>
        <w:t xml:space="preserve"> a un mayor impulso de una de estas variables</w:t>
      </w:r>
      <w:r w:rsidRPr="00951A97">
        <w:rPr>
          <w:rFonts w:ascii="Times New Roman" w:hAnsi="Times New Roman" w:cs="Times New Roman"/>
          <w:sz w:val="24"/>
          <w:szCs w:val="24"/>
        </w:rPr>
        <w:t xml:space="preserve">. </w:t>
      </w:r>
      <w:r>
        <w:rPr>
          <w:rFonts w:ascii="Times New Roman" w:hAnsi="Times New Roman" w:cs="Times New Roman"/>
          <w:sz w:val="24"/>
          <w:szCs w:val="24"/>
        </w:rPr>
        <w:t>El resultado obtenido para el 2015 es de 6,3%, el cual disminuye en comparación con el año anterior debido a que el crecimiento ocasionado por el gasto público 9,8% es mayor al del costo de la justicia 8,6%</w:t>
      </w:r>
      <w:r w:rsidRPr="00951A97">
        <w:rPr>
          <w:rFonts w:ascii="Times New Roman" w:hAnsi="Times New Roman" w:cs="Times New Roman"/>
          <w:sz w:val="24"/>
          <w:szCs w:val="24"/>
        </w:rPr>
        <w:t xml:space="preserve">. </w:t>
      </w:r>
    </w:p>
    <w:p w:rsidR="00E9575C" w:rsidRPr="00951A97" w:rsidRDefault="00E9575C" w:rsidP="00E9575C">
      <w:pPr>
        <w:pStyle w:val="Textoindependiente"/>
        <w:spacing w:line="360" w:lineRule="auto"/>
        <w:jc w:val="center"/>
        <w:rPr>
          <w:rFonts w:ascii="Times New Roman" w:hAnsi="Times New Roman" w:cs="Times New Roman"/>
          <w:sz w:val="24"/>
          <w:szCs w:val="24"/>
        </w:rPr>
      </w:pPr>
    </w:p>
    <w:p w:rsidR="00E9575C" w:rsidRDefault="00E9575C" w:rsidP="00E9575C">
      <w:pPr>
        <w:spacing w:line="360" w:lineRule="auto"/>
        <w:jc w:val="both"/>
        <w:rPr>
          <w:rFonts w:ascii="Times New Roman" w:hAnsi="Times New Roman" w:cs="Times New Roman"/>
        </w:rPr>
      </w:pPr>
    </w:p>
    <w:p w:rsidR="007B6E3D" w:rsidRDefault="00B054C9" w:rsidP="00E9575C">
      <w:pPr>
        <w:spacing w:line="360" w:lineRule="auto"/>
        <w:jc w:val="both"/>
        <w:rPr>
          <w:rFonts w:ascii="Times New Roman" w:hAnsi="Times New Roman" w:cs="Times New Roman"/>
        </w:rPr>
      </w:pPr>
      <w:r>
        <w:rPr>
          <w:rFonts w:ascii="Times New Roman" w:hAnsi="Times New Roman" w:cs="Times New Roman"/>
          <w:noProof/>
          <w:lang w:val="es-CR" w:eastAsia="es-CR"/>
        </w:rPr>
        <w:lastRenderedPageBreak/>
        <w:drawing>
          <wp:inline distT="0" distB="0" distL="0" distR="0">
            <wp:extent cx="4404360" cy="2849880"/>
            <wp:effectExtent l="19050" t="0" r="15240" b="26670"/>
            <wp:docPr id="9" name="Objeto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B6E3D" w:rsidRDefault="007B6E3D" w:rsidP="00E9575C">
      <w:pPr>
        <w:spacing w:line="360" w:lineRule="auto"/>
        <w:jc w:val="both"/>
        <w:rPr>
          <w:rFonts w:ascii="Times New Roman" w:hAnsi="Times New Roman" w:cs="Times New Roman"/>
        </w:rPr>
      </w:pPr>
    </w:p>
    <w:p w:rsidR="00E9575C" w:rsidRPr="00951A97" w:rsidRDefault="00E9575C" w:rsidP="00E9575C">
      <w:pPr>
        <w:spacing w:line="360" w:lineRule="auto"/>
        <w:jc w:val="both"/>
        <w:rPr>
          <w:rFonts w:ascii="Times New Roman" w:hAnsi="Times New Roman" w:cs="Times New Roman"/>
        </w:rPr>
      </w:pPr>
      <w:r w:rsidRPr="00951A97">
        <w:rPr>
          <w:rFonts w:ascii="Times New Roman" w:hAnsi="Times New Roman" w:cs="Times New Roman"/>
        </w:rPr>
        <w:t>Es necesario tener presente, que dentro del gasto de la justicia se incluyen todas las dependencias que conforman el Ámbito Auxiliar de Justicia, a saber: el Ministerio Público, Defensa Pública</w:t>
      </w:r>
      <w:r w:rsidR="00F268F9">
        <w:rPr>
          <w:rFonts w:ascii="Times New Roman" w:hAnsi="Times New Roman" w:cs="Times New Roman"/>
        </w:rPr>
        <w:t xml:space="preserve">, </w:t>
      </w:r>
      <w:r w:rsidRPr="00951A97">
        <w:rPr>
          <w:rFonts w:ascii="Times New Roman" w:hAnsi="Times New Roman" w:cs="Times New Roman"/>
        </w:rPr>
        <w:t>el Organismo de Investigación Judicial,</w:t>
      </w:r>
      <w:r w:rsidR="00F268F9">
        <w:rPr>
          <w:rFonts w:ascii="Times New Roman" w:hAnsi="Times New Roman" w:cs="Times New Roman"/>
        </w:rPr>
        <w:t xml:space="preserve"> Servicio de Atención a Víctimas y Testigos, </w:t>
      </w:r>
      <w:r w:rsidRPr="00951A97">
        <w:rPr>
          <w:rFonts w:ascii="Times New Roman" w:hAnsi="Times New Roman" w:cs="Times New Roman"/>
        </w:rPr>
        <w:t xml:space="preserve"> entre otros.</w:t>
      </w:r>
    </w:p>
    <w:p w:rsidR="00E9575C" w:rsidRPr="00951A97" w:rsidRDefault="00E9575C" w:rsidP="00E9575C">
      <w:pPr>
        <w:spacing w:line="360" w:lineRule="auto"/>
        <w:jc w:val="both"/>
        <w:rPr>
          <w:rFonts w:ascii="Times New Roman" w:hAnsi="Times New Roman" w:cs="Times New Roman"/>
          <w:highlight w:val="green"/>
        </w:rPr>
      </w:pPr>
    </w:p>
    <w:p w:rsidR="00E9575C" w:rsidRPr="00951A97" w:rsidRDefault="00E9575C" w:rsidP="00E9575C">
      <w:pPr>
        <w:spacing w:line="360" w:lineRule="auto"/>
        <w:jc w:val="both"/>
        <w:rPr>
          <w:rFonts w:ascii="Times New Roman" w:hAnsi="Times New Roman" w:cs="Times New Roman"/>
          <w:b/>
          <w:bCs/>
        </w:rPr>
      </w:pPr>
      <w:r w:rsidRPr="00951A97">
        <w:rPr>
          <w:rFonts w:ascii="Times New Roman" w:hAnsi="Times New Roman" w:cs="Times New Roman"/>
          <w:b/>
          <w:bCs/>
        </w:rPr>
        <w:t>1.2</w:t>
      </w:r>
      <w:r w:rsidRPr="00951A97">
        <w:rPr>
          <w:rFonts w:ascii="Times New Roman" w:hAnsi="Times New Roman" w:cs="Times New Roman"/>
          <w:b/>
          <w:bCs/>
        </w:rPr>
        <w:tab/>
        <w:t>Porcentaje del gasto en justicia respecto del producto interno bruto (PIB)</w:t>
      </w:r>
    </w:p>
    <w:p w:rsidR="00E9575C" w:rsidRPr="00951A97" w:rsidRDefault="00E9575C" w:rsidP="00E9575C">
      <w:pPr>
        <w:pStyle w:val="Textoindependiente"/>
        <w:spacing w:line="360" w:lineRule="auto"/>
        <w:rPr>
          <w:rFonts w:ascii="Times New Roman" w:hAnsi="Times New Roman" w:cs="Times New Roman"/>
          <w:sz w:val="24"/>
          <w:szCs w:val="24"/>
        </w:rPr>
      </w:pPr>
    </w:p>
    <w:p w:rsidR="00E9575C" w:rsidRPr="00951A97" w:rsidRDefault="00E9575C" w:rsidP="00E9575C">
      <w:pPr>
        <w:pStyle w:val="Textoindependiente"/>
        <w:spacing w:line="360" w:lineRule="auto"/>
        <w:jc w:val="both"/>
        <w:rPr>
          <w:rFonts w:ascii="Times New Roman" w:hAnsi="Times New Roman" w:cs="Times New Roman"/>
          <w:sz w:val="24"/>
          <w:szCs w:val="24"/>
        </w:rPr>
      </w:pPr>
      <w:r>
        <w:rPr>
          <w:rFonts w:ascii="Times New Roman" w:hAnsi="Times New Roman" w:cs="Times New Roman"/>
          <w:sz w:val="24"/>
          <w:szCs w:val="24"/>
        </w:rPr>
        <w:t>En los últimos tres años, este indicador presenta un crecimiento continuo; además, de exteriorizar variaciones pequeñas. Al igual que el indicador anterior, los cambios suscitados se deben a que la variación del gasto de justicia en estos años es mayor que el crecimiento mostrado por el PIB</w:t>
      </w:r>
      <w:r w:rsidRPr="00951A97">
        <w:rPr>
          <w:rFonts w:ascii="Times New Roman" w:hAnsi="Times New Roman" w:cs="Times New Roman"/>
          <w:sz w:val="24"/>
          <w:szCs w:val="24"/>
        </w:rPr>
        <w:t>. E</w:t>
      </w:r>
      <w:r>
        <w:rPr>
          <w:rFonts w:ascii="Times New Roman" w:hAnsi="Times New Roman" w:cs="Times New Roman"/>
          <w:sz w:val="24"/>
          <w:szCs w:val="24"/>
        </w:rPr>
        <w:t xml:space="preserve">s importante señalar, según lo expuesto por el Banco Central que las cifras dadas para el PIB durante el 2014 y 2015 son de </w:t>
      </w:r>
      <w:r w:rsidRPr="00951A97">
        <w:rPr>
          <w:rFonts w:ascii="Times New Roman" w:hAnsi="Times New Roman" w:cs="Times New Roman"/>
          <w:sz w:val="24"/>
          <w:szCs w:val="24"/>
        </w:rPr>
        <w:t>carácter preliminar</w:t>
      </w:r>
      <w:r>
        <w:rPr>
          <w:rFonts w:ascii="Times New Roman" w:hAnsi="Times New Roman" w:cs="Times New Roman"/>
          <w:sz w:val="24"/>
          <w:szCs w:val="24"/>
        </w:rPr>
        <w:t>.</w:t>
      </w:r>
    </w:p>
    <w:p w:rsidR="00E9575C" w:rsidRPr="00951A97" w:rsidRDefault="00E9575C" w:rsidP="00E9575C">
      <w:pPr>
        <w:pStyle w:val="Textoindependiente"/>
        <w:spacing w:line="360" w:lineRule="auto"/>
        <w:rPr>
          <w:rFonts w:ascii="Times New Roman" w:hAnsi="Times New Roman" w:cs="Times New Roman"/>
          <w:sz w:val="24"/>
          <w:szCs w:val="24"/>
        </w:rPr>
      </w:pPr>
    </w:p>
    <w:p w:rsidR="00E9575C" w:rsidRPr="00951A97" w:rsidRDefault="00E9575C" w:rsidP="00E9575C">
      <w:pPr>
        <w:pStyle w:val="Textoindependiente"/>
        <w:spacing w:line="360" w:lineRule="auto"/>
        <w:jc w:val="center"/>
        <w:rPr>
          <w:rFonts w:ascii="Times New Roman" w:hAnsi="Times New Roman" w:cs="Times New Roman"/>
          <w:sz w:val="24"/>
          <w:szCs w:val="24"/>
        </w:rPr>
      </w:pPr>
    </w:p>
    <w:p w:rsidR="00B054C9" w:rsidRDefault="00B054C9">
      <w:pPr>
        <w:pStyle w:val="Textoindependiente"/>
        <w:spacing w:line="360" w:lineRule="auto"/>
        <w:jc w:val="both"/>
        <w:rPr>
          <w:rFonts w:ascii="Times New Roman" w:hAnsi="Times New Roman" w:cs="Times New Roman"/>
          <w:sz w:val="24"/>
          <w:szCs w:val="24"/>
        </w:rPr>
      </w:pPr>
      <w:r>
        <w:rPr>
          <w:rFonts w:ascii="Times New Roman" w:hAnsi="Times New Roman" w:cs="Times New Roman"/>
          <w:noProof/>
          <w:sz w:val="24"/>
          <w:szCs w:val="24"/>
          <w:lang w:val="es-CR" w:eastAsia="es-CR"/>
        </w:rPr>
        <w:lastRenderedPageBreak/>
        <w:drawing>
          <wp:inline distT="0" distB="0" distL="0" distR="0">
            <wp:extent cx="4472940" cy="3009900"/>
            <wp:effectExtent l="0" t="0" r="0" b="0"/>
            <wp:docPr id="12" name="Objeto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9575C" w:rsidRPr="00951A97" w:rsidRDefault="00E9575C" w:rsidP="00E9575C">
      <w:pPr>
        <w:pStyle w:val="Textoindependiente"/>
        <w:spacing w:line="360" w:lineRule="auto"/>
        <w:jc w:val="center"/>
        <w:rPr>
          <w:rFonts w:ascii="Times New Roman" w:hAnsi="Times New Roman" w:cs="Times New Roman"/>
          <w:sz w:val="24"/>
          <w:szCs w:val="24"/>
        </w:rPr>
      </w:pPr>
    </w:p>
    <w:p w:rsidR="00E9575C" w:rsidRPr="00951A97" w:rsidRDefault="00E9575C" w:rsidP="00E9575C">
      <w:pPr>
        <w:pStyle w:val="Textoindependiente"/>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siguiente gráfico se puede observar la tendencia seguida por </w:t>
      </w:r>
      <w:r w:rsidRPr="00951A97">
        <w:rPr>
          <w:rFonts w:ascii="Times New Roman" w:hAnsi="Times New Roman" w:cs="Times New Roman"/>
          <w:sz w:val="24"/>
          <w:szCs w:val="24"/>
        </w:rPr>
        <w:t xml:space="preserve">la variable “gasto en justicia”, </w:t>
      </w:r>
      <w:r>
        <w:rPr>
          <w:rFonts w:ascii="Times New Roman" w:hAnsi="Times New Roman" w:cs="Times New Roman"/>
          <w:sz w:val="24"/>
          <w:szCs w:val="24"/>
        </w:rPr>
        <w:t>donde se advierte el crecimiento continuo de esta variable. Es relevante destacar que para la asignación de estos montos se toma en cuenta los cambios inflacionarios, pues es un elemento que interviene en la producción bienes y servicios</w:t>
      </w:r>
      <w:r w:rsidRPr="00951A97">
        <w:rPr>
          <w:rFonts w:ascii="Times New Roman" w:hAnsi="Times New Roman" w:cs="Times New Roman"/>
          <w:sz w:val="24"/>
          <w:szCs w:val="24"/>
        </w:rPr>
        <w:t xml:space="preserve">.  </w:t>
      </w:r>
    </w:p>
    <w:p w:rsidR="00E9575C" w:rsidRPr="00951A97" w:rsidRDefault="00E9575C" w:rsidP="00E9575C">
      <w:pPr>
        <w:pStyle w:val="Textoindependiente"/>
        <w:spacing w:line="360" w:lineRule="auto"/>
        <w:rPr>
          <w:rFonts w:ascii="Times New Roman" w:hAnsi="Times New Roman" w:cs="Times New Roman"/>
          <w:sz w:val="24"/>
          <w:szCs w:val="24"/>
        </w:rPr>
      </w:pPr>
    </w:p>
    <w:p w:rsidR="00E9575C" w:rsidRPr="00951A97" w:rsidRDefault="00E9575C" w:rsidP="006712DD">
      <w:pPr>
        <w:pStyle w:val="Textoindependiente"/>
        <w:spacing w:line="360" w:lineRule="auto"/>
        <w:jc w:val="center"/>
        <w:rPr>
          <w:rFonts w:ascii="Times New Roman" w:hAnsi="Times New Roman" w:cs="Times New Roman"/>
          <w:sz w:val="24"/>
          <w:szCs w:val="24"/>
        </w:rPr>
      </w:pPr>
    </w:p>
    <w:p w:rsidR="00E9575C" w:rsidRDefault="00E9575C" w:rsidP="006712DD">
      <w:pPr>
        <w:pStyle w:val="Textoindependiente"/>
        <w:spacing w:line="360" w:lineRule="auto"/>
        <w:rPr>
          <w:rFonts w:ascii="Times New Roman" w:hAnsi="Times New Roman" w:cs="Times New Roman"/>
          <w:sz w:val="24"/>
          <w:szCs w:val="24"/>
        </w:rPr>
      </w:pPr>
    </w:p>
    <w:p w:rsidR="003F4159" w:rsidRDefault="003F4159" w:rsidP="006712DD">
      <w:pPr>
        <w:pStyle w:val="Textoindependiente"/>
        <w:spacing w:line="360" w:lineRule="auto"/>
        <w:rPr>
          <w:rFonts w:ascii="Times New Roman" w:hAnsi="Times New Roman" w:cs="Times New Roman"/>
          <w:sz w:val="24"/>
          <w:szCs w:val="24"/>
        </w:rPr>
      </w:pPr>
    </w:p>
    <w:p w:rsidR="003F4159" w:rsidRDefault="00B054C9" w:rsidP="006712DD">
      <w:pPr>
        <w:pStyle w:val="Textoindependiente"/>
        <w:spacing w:line="360" w:lineRule="auto"/>
        <w:rPr>
          <w:rFonts w:ascii="Times New Roman" w:hAnsi="Times New Roman" w:cs="Times New Roman"/>
          <w:sz w:val="24"/>
          <w:szCs w:val="24"/>
        </w:rPr>
      </w:pPr>
      <w:r>
        <w:rPr>
          <w:rFonts w:ascii="Times New Roman" w:hAnsi="Times New Roman" w:cs="Times New Roman"/>
          <w:noProof/>
          <w:sz w:val="24"/>
          <w:szCs w:val="24"/>
          <w:lang w:val="es-CR" w:eastAsia="es-CR"/>
        </w:rPr>
        <w:lastRenderedPageBreak/>
        <w:drawing>
          <wp:inline distT="0" distB="0" distL="0" distR="0">
            <wp:extent cx="4472940" cy="3055620"/>
            <wp:effectExtent l="19050" t="0" r="22860" b="11430"/>
            <wp:docPr id="1" name="Objeto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F4159" w:rsidRPr="00951A97" w:rsidRDefault="003F4159" w:rsidP="006712DD">
      <w:pPr>
        <w:pStyle w:val="Textoindependiente"/>
        <w:spacing w:line="360" w:lineRule="auto"/>
        <w:rPr>
          <w:rFonts w:ascii="Times New Roman" w:hAnsi="Times New Roman" w:cs="Times New Roman"/>
          <w:sz w:val="24"/>
          <w:szCs w:val="24"/>
        </w:rPr>
      </w:pPr>
    </w:p>
    <w:p w:rsidR="009F4D66" w:rsidRPr="00951A97" w:rsidRDefault="009F4D66" w:rsidP="00E9575C">
      <w:pPr>
        <w:spacing w:line="360" w:lineRule="auto"/>
        <w:jc w:val="both"/>
        <w:rPr>
          <w:rFonts w:ascii="Times New Roman" w:hAnsi="Times New Roman" w:cs="Times New Roman"/>
        </w:rPr>
      </w:pPr>
    </w:p>
    <w:p w:rsidR="00E9575C" w:rsidRPr="00951A97" w:rsidRDefault="00E9575C" w:rsidP="00E9575C">
      <w:pPr>
        <w:spacing w:line="360" w:lineRule="auto"/>
        <w:jc w:val="both"/>
        <w:rPr>
          <w:rFonts w:ascii="Times New Roman" w:hAnsi="Times New Roman" w:cs="Times New Roman"/>
          <w:b/>
          <w:bCs/>
        </w:rPr>
      </w:pPr>
      <w:r w:rsidRPr="00951A97">
        <w:rPr>
          <w:rFonts w:ascii="Times New Roman" w:hAnsi="Times New Roman" w:cs="Times New Roman"/>
          <w:b/>
          <w:bCs/>
        </w:rPr>
        <w:t>1.3</w:t>
      </w:r>
      <w:r w:rsidRPr="00951A97">
        <w:rPr>
          <w:rFonts w:ascii="Times New Roman" w:hAnsi="Times New Roman" w:cs="Times New Roman"/>
          <w:b/>
          <w:bCs/>
        </w:rPr>
        <w:tab/>
        <w:t>Porcentaje del presupuesto devengado respecto del presupuestado</w:t>
      </w:r>
    </w:p>
    <w:p w:rsidR="00E9575C" w:rsidRPr="00951A97" w:rsidRDefault="00E9575C" w:rsidP="00E9575C">
      <w:pPr>
        <w:pStyle w:val="Textoindependiente"/>
        <w:spacing w:line="360" w:lineRule="auto"/>
        <w:rPr>
          <w:rFonts w:ascii="Times New Roman" w:hAnsi="Times New Roman" w:cs="Times New Roman"/>
          <w:sz w:val="24"/>
          <w:szCs w:val="24"/>
        </w:rPr>
      </w:pPr>
    </w:p>
    <w:p w:rsidR="00E9575C" w:rsidRDefault="00494B1F" w:rsidP="00E9575C">
      <w:pPr>
        <w:pStyle w:val="Textoindependiente"/>
        <w:spacing w:line="360" w:lineRule="auto"/>
        <w:jc w:val="both"/>
        <w:rPr>
          <w:rFonts w:ascii="Times New Roman" w:hAnsi="Times New Roman" w:cs="Times New Roman"/>
          <w:sz w:val="24"/>
          <w:szCs w:val="24"/>
        </w:rPr>
      </w:pPr>
      <w:r w:rsidRPr="00951A97">
        <w:rPr>
          <w:rFonts w:ascii="Times New Roman" w:hAnsi="Times New Roman" w:cs="Times New Roman"/>
          <w:sz w:val="24"/>
          <w:szCs w:val="24"/>
        </w:rPr>
        <w:t>El propósito de este indicador es establecer el peso relativo de lo gastado o devengado en el Poder Judicial respecto de lo presupuestado, lo cual permite verificar la magnitud de lo que efectivamente se ha utilizado en la contratación o consumo de bienes y servicios.</w:t>
      </w:r>
    </w:p>
    <w:p w:rsidR="00494B1F" w:rsidRPr="00F77600" w:rsidRDefault="00494B1F" w:rsidP="00E9575C">
      <w:pPr>
        <w:pStyle w:val="Textoindependiente"/>
        <w:spacing w:line="360" w:lineRule="auto"/>
        <w:jc w:val="both"/>
        <w:rPr>
          <w:rFonts w:ascii="Times New Roman" w:hAnsi="Times New Roman" w:cs="Times New Roman"/>
          <w:i/>
          <w:sz w:val="24"/>
          <w:szCs w:val="24"/>
        </w:rPr>
      </w:pPr>
    </w:p>
    <w:p w:rsidR="00C4542A" w:rsidRDefault="00E9575C" w:rsidP="00E9575C">
      <w:pPr>
        <w:pStyle w:val="Textoindependiente"/>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Para el 2015, se tiene un porcentaje de ejecución de 92,2%, siendo este cumplimiento el más bajo de los últimos años; no obstante, esta institución ha mostrado esfuerzos para que el uso de los recursos asignados se asigne de manera transparente y </w:t>
      </w:r>
      <w:proofErr w:type="gramStart"/>
      <w:r>
        <w:rPr>
          <w:rFonts w:ascii="Times New Roman" w:hAnsi="Times New Roman" w:cs="Times New Roman"/>
          <w:sz w:val="24"/>
          <w:szCs w:val="24"/>
        </w:rPr>
        <w:t>adecuado</w:t>
      </w:r>
      <w:proofErr w:type="gramEnd"/>
      <w:r>
        <w:rPr>
          <w:rFonts w:ascii="Times New Roman" w:hAnsi="Times New Roman" w:cs="Times New Roman"/>
          <w:sz w:val="24"/>
          <w:szCs w:val="24"/>
        </w:rPr>
        <w:t xml:space="preserve"> en la administración de justicia</w:t>
      </w:r>
      <w:r w:rsidRPr="00951A97">
        <w:rPr>
          <w:rFonts w:ascii="Times New Roman" w:hAnsi="Times New Roman" w:cs="Times New Roman"/>
          <w:sz w:val="24"/>
          <w:szCs w:val="24"/>
        </w:rPr>
        <w:t>.</w:t>
      </w:r>
      <w:r w:rsidR="00C4542A">
        <w:rPr>
          <w:rFonts w:ascii="Times New Roman" w:hAnsi="Times New Roman" w:cs="Times New Roman"/>
          <w:sz w:val="24"/>
          <w:szCs w:val="24"/>
        </w:rPr>
        <w:t xml:space="preserve"> Igualmente se debe considerar los recursos presupuestarios no devengados, los cuales son producto de plazos de entrega que trascienden a otro año presupuestario, incrementos de costo de vida menores al monto presupuestado, entre otros.</w:t>
      </w:r>
    </w:p>
    <w:p w:rsidR="00A17453" w:rsidRPr="00951A97" w:rsidRDefault="00B054C9" w:rsidP="00E9575C">
      <w:pPr>
        <w:pStyle w:val="Textoindependiente"/>
        <w:spacing w:line="360" w:lineRule="auto"/>
        <w:rPr>
          <w:rFonts w:ascii="Times New Roman" w:hAnsi="Times New Roman" w:cs="Times New Roman"/>
          <w:sz w:val="24"/>
          <w:szCs w:val="24"/>
        </w:rPr>
      </w:pPr>
      <w:r>
        <w:rPr>
          <w:rFonts w:ascii="Times New Roman" w:hAnsi="Times New Roman" w:cs="Times New Roman"/>
          <w:noProof/>
          <w:sz w:val="24"/>
          <w:szCs w:val="24"/>
          <w:lang w:val="es-CR" w:eastAsia="es-CR"/>
        </w:rPr>
        <w:lastRenderedPageBreak/>
        <w:drawing>
          <wp:inline distT="0" distB="0" distL="0" distR="0">
            <wp:extent cx="4335780" cy="2834640"/>
            <wp:effectExtent l="19050" t="0" r="26670" b="22860"/>
            <wp:docPr id="2" name="Objeto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9575C" w:rsidRDefault="00E9575C" w:rsidP="00B054C9">
      <w:pPr>
        <w:spacing w:line="360" w:lineRule="auto"/>
        <w:rPr>
          <w:rFonts w:ascii="Times New Roman" w:hAnsi="Times New Roman" w:cs="Times New Roman"/>
        </w:rPr>
      </w:pPr>
    </w:p>
    <w:p w:rsidR="00E9575C" w:rsidRPr="00951A97" w:rsidRDefault="00E9575C" w:rsidP="00E9575C">
      <w:pPr>
        <w:pStyle w:val="Ttulo2"/>
        <w:rPr>
          <w:rFonts w:ascii="Times New Roman" w:hAnsi="Times New Roman" w:cs="Times New Roman"/>
          <w:i w:val="0"/>
          <w:sz w:val="24"/>
          <w:szCs w:val="24"/>
        </w:rPr>
      </w:pPr>
      <w:r w:rsidRPr="00951A97">
        <w:rPr>
          <w:rFonts w:ascii="Times New Roman" w:hAnsi="Times New Roman" w:cs="Times New Roman"/>
          <w:i w:val="0"/>
          <w:sz w:val="24"/>
          <w:szCs w:val="24"/>
        </w:rPr>
        <w:t>1.4</w:t>
      </w:r>
      <w:r w:rsidRPr="00951A97">
        <w:rPr>
          <w:rFonts w:ascii="Times New Roman" w:hAnsi="Times New Roman" w:cs="Times New Roman"/>
          <w:i w:val="0"/>
          <w:sz w:val="24"/>
          <w:szCs w:val="24"/>
        </w:rPr>
        <w:tab/>
        <w:t>Costo medio de los casos terminados</w:t>
      </w:r>
    </w:p>
    <w:p w:rsidR="00E9575C" w:rsidRPr="00951A97" w:rsidRDefault="00E9575C" w:rsidP="00E9575C">
      <w:pPr>
        <w:pStyle w:val="Textoindependiente2"/>
        <w:spacing w:line="360" w:lineRule="auto"/>
        <w:rPr>
          <w:rFonts w:ascii="Times New Roman" w:hAnsi="Times New Roman" w:cs="Times New Roman"/>
          <w:highlight w:val="green"/>
        </w:rPr>
      </w:pPr>
    </w:p>
    <w:p w:rsidR="00E9575C" w:rsidRPr="00951A97" w:rsidRDefault="00E9575C" w:rsidP="00E9575C">
      <w:pPr>
        <w:pStyle w:val="Textoindependiente2"/>
        <w:spacing w:line="360" w:lineRule="auto"/>
        <w:rPr>
          <w:rFonts w:ascii="Times New Roman" w:hAnsi="Times New Roman" w:cs="Times New Roman"/>
        </w:rPr>
      </w:pPr>
      <w:r>
        <w:rPr>
          <w:rFonts w:ascii="Times New Roman" w:hAnsi="Times New Roman" w:cs="Times New Roman"/>
        </w:rPr>
        <w:t>La fórmula utilizada en el cálculo de</w:t>
      </w:r>
      <w:r w:rsidRPr="00951A97">
        <w:rPr>
          <w:rFonts w:ascii="Times New Roman" w:hAnsi="Times New Roman" w:cs="Times New Roman"/>
        </w:rPr>
        <w:t xml:space="preserve"> este indicador </w:t>
      </w:r>
      <w:r>
        <w:rPr>
          <w:rFonts w:ascii="Times New Roman" w:hAnsi="Times New Roman" w:cs="Times New Roman"/>
        </w:rPr>
        <w:t>es</w:t>
      </w:r>
      <w:r w:rsidRPr="00951A97">
        <w:rPr>
          <w:rFonts w:ascii="Times New Roman" w:hAnsi="Times New Roman" w:cs="Times New Roman"/>
        </w:rPr>
        <w:t>: total del costo de la justicia entre el total de ca</w:t>
      </w:r>
      <w:r>
        <w:rPr>
          <w:rFonts w:ascii="Times New Roman" w:hAnsi="Times New Roman" w:cs="Times New Roman"/>
        </w:rPr>
        <w:t>sos</w:t>
      </w:r>
      <w:r w:rsidRPr="00951A97">
        <w:rPr>
          <w:rFonts w:ascii="Times New Roman" w:hAnsi="Times New Roman" w:cs="Times New Roman"/>
        </w:rPr>
        <w:t xml:space="preserve"> terminad</w:t>
      </w:r>
      <w:r>
        <w:rPr>
          <w:rFonts w:ascii="Times New Roman" w:hAnsi="Times New Roman" w:cs="Times New Roman"/>
        </w:rPr>
        <w:t>o</w:t>
      </w:r>
      <w:r w:rsidRPr="00951A97">
        <w:rPr>
          <w:rFonts w:ascii="Times New Roman" w:hAnsi="Times New Roman" w:cs="Times New Roman"/>
        </w:rPr>
        <w:t xml:space="preserve">s, independientemente de la materia y de la instancia. </w:t>
      </w:r>
    </w:p>
    <w:p w:rsidR="00A26018" w:rsidRDefault="00E9575C" w:rsidP="00E9575C">
      <w:pPr>
        <w:pStyle w:val="Textoindependiente2"/>
        <w:rPr>
          <w:rFonts w:ascii="Times New Roman" w:hAnsi="Times New Roman" w:cs="Times New Roman"/>
          <w:color w:val="000000"/>
        </w:rPr>
      </w:pPr>
      <w:r>
        <w:rPr>
          <w:rFonts w:ascii="Times New Roman" w:hAnsi="Times New Roman" w:cs="Times New Roman"/>
          <w:color w:val="000000"/>
        </w:rPr>
        <w:t xml:space="preserve">En el 2015 se consigna un incremento de 10,5% respecto del año anterior del costo medio de los asuntos terminados, al pasar de </w:t>
      </w:r>
      <w:r w:rsidRPr="00951A97">
        <w:rPr>
          <w:rFonts w:ascii="Times New Roman" w:hAnsi="Times New Roman" w:cs="Times New Roman"/>
          <w:color w:val="000000"/>
        </w:rPr>
        <w:t>¢5</w:t>
      </w:r>
      <w:r>
        <w:rPr>
          <w:rFonts w:ascii="Times New Roman" w:hAnsi="Times New Roman" w:cs="Times New Roman"/>
          <w:color w:val="000000"/>
        </w:rPr>
        <w:t>55</w:t>
      </w:r>
      <w:r w:rsidRPr="00951A97">
        <w:rPr>
          <w:rFonts w:ascii="Times New Roman" w:hAnsi="Times New Roman" w:cs="Times New Roman"/>
          <w:color w:val="000000"/>
        </w:rPr>
        <w:t>.</w:t>
      </w:r>
      <w:r>
        <w:rPr>
          <w:rFonts w:ascii="Times New Roman" w:hAnsi="Times New Roman" w:cs="Times New Roman"/>
          <w:color w:val="000000"/>
        </w:rPr>
        <w:t>858</w:t>
      </w:r>
      <w:r w:rsidRPr="00951A97">
        <w:rPr>
          <w:rFonts w:ascii="Times New Roman" w:hAnsi="Times New Roman" w:cs="Times New Roman"/>
          <w:color w:val="000000"/>
        </w:rPr>
        <w:t>,</w:t>
      </w:r>
      <w:r>
        <w:rPr>
          <w:rFonts w:ascii="Times New Roman" w:hAnsi="Times New Roman" w:cs="Times New Roman"/>
          <w:color w:val="000000"/>
        </w:rPr>
        <w:t xml:space="preserve">5 en el 2014 a </w:t>
      </w:r>
      <w:r w:rsidRPr="00951A97">
        <w:rPr>
          <w:rFonts w:ascii="Times New Roman" w:hAnsi="Times New Roman" w:cs="Times New Roman"/>
          <w:color w:val="000000"/>
        </w:rPr>
        <w:t>¢</w:t>
      </w:r>
      <w:r>
        <w:rPr>
          <w:rFonts w:ascii="Times New Roman" w:hAnsi="Times New Roman" w:cs="Times New Roman"/>
          <w:color w:val="000000"/>
        </w:rPr>
        <w:t>614</w:t>
      </w:r>
      <w:r w:rsidRPr="00951A97">
        <w:rPr>
          <w:rFonts w:ascii="Times New Roman" w:hAnsi="Times New Roman" w:cs="Times New Roman"/>
          <w:color w:val="000000"/>
        </w:rPr>
        <w:t>.</w:t>
      </w:r>
      <w:r>
        <w:rPr>
          <w:rFonts w:ascii="Times New Roman" w:hAnsi="Times New Roman" w:cs="Times New Roman"/>
          <w:color w:val="000000"/>
        </w:rPr>
        <w:t>385</w:t>
      </w:r>
      <w:r w:rsidRPr="00951A97">
        <w:rPr>
          <w:rFonts w:ascii="Times New Roman" w:hAnsi="Times New Roman" w:cs="Times New Roman"/>
          <w:color w:val="000000"/>
        </w:rPr>
        <w:t>,</w:t>
      </w:r>
      <w:r>
        <w:rPr>
          <w:rFonts w:ascii="Times New Roman" w:hAnsi="Times New Roman" w:cs="Times New Roman"/>
          <w:color w:val="000000"/>
        </w:rPr>
        <w:t xml:space="preserve">2 un año después. </w:t>
      </w:r>
      <w:r w:rsidR="00494B1F">
        <w:rPr>
          <w:rFonts w:ascii="Times New Roman" w:hAnsi="Times New Roman" w:cs="Times New Roman"/>
          <w:color w:val="000000"/>
        </w:rPr>
        <w:t xml:space="preserve">Este incremento es </w:t>
      </w:r>
      <w:r>
        <w:rPr>
          <w:rFonts w:ascii="Times New Roman" w:hAnsi="Times New Roman" w:cs="Times New Roman"/>
          <w:color w:val="000000"/>
        </w:rPr>
        <w:t>consecuencia de la variación originada en el costo de la justicia versus el aumento registrado en el volumen de los expedientes o casos terminados</w:t>
      </w:r>
      <w:r w:rsidR="00A26018">
        <w:rPr>
          <w:rFonts w:ascii="Times New Roman" w:hAnsi="Times New Roman" w:cs="Times New Roman"/>
          <w:color w:val="000000"/>
        </w:rPr>
        <w:t>.</w:t>
      </w:r>
    </w:p>
    <w:p w:rsidR="00E9575C" w:rsidRPr="00951A97" w:rsidRDefault="00E9575C" w:rsidP="00E9575C">
      <w:pPr>
        <w:pStyle w:val="Textoindependiente2"/>
        <w:rPr>
          <w:rFonts w:ascii="Times New Roman" w:hAnsi="Times New Roman" w:cs="Times New Roman"/>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5"/>
        <w:gridCol w:w="2355"/>
      </w:tblGrid>
      <w:tr w:rsidR="00E9575C" w:rsidRPr="00951A97" w:rsidTr="00BA4368">
        <w:trPr>
          <w:jc w:val="center"/>
        </w:trPr>
        <w:tc>
          <w:tcPr>
            <w:tcW w:w="1425" w:type="dxa"/>
            <w:tcBorders>
              <w:left w:val="nil"/>
            </w:tcBorders>
          </w:tcPr>
          <w:p w:rsidR="00E9575C" w:rsidRPr="00951A97" w:rsidRDefault="00E9575C" w:rsidP="00BA4368">
            <w:pPr>
              <w:pStyle w:val="Textoindependiente2"/>
              <w:jc w:val="center"/>
              <w:rPr>
                <w:rFonts w:ascii="Times New Roman" w:hAnsi="Times New Roman" w:cs="Times New Roman"/>
                <w:b/>
                <w:color w:val="000000"/>
              </w:rPr>
            </w:pPr>
            <w:r w:rsidRPr="00951A97">
              <w:rPr>
                <w:rFonts w:ascii="Times New Roman" w:hAnsi="Times New Roman" w:cs="Times New Roman"/>
                <w:b/>
                <w:color w:val="000000"/>
              </w:rPr>
              <w:t>AÑO</w:t>
            </w:r>
          </w:p>
        </w:tc>
        <w:tc>
          <w:tcPr>
            <w:tcW w:w="2355" w:type="dxa"/>
            <w:tcBorders>
              <w:right w:val="nil"/>
            </w:tcBorders>
          </w:tcPr>
          <w:p w:rsidR="00E9575C" w:rsidRPr="00951A97" w:rsidRDefault="00E9575C" w:rsidP="00BA4368">
            <w:pPr>
              <w:pStyle w:val="Textoindependiente2"/>
              <w:jc w:val="center"/>
              <w:rPr>
                <w:rFonts w:ascii="Times New Roman" w:hAnsi="Times New Roman" w:cs="Times New Roman"/>
                <w:b/>
                <w:color w:val="000000"/>
              </w:rPr>
            </w:pPr>
            <w:r w:rsidRPr="00951A97">
              <w:rPr>
                <w:rFonts w:ascii="Times New Roman" w:hAnsi="Times New Roman" w:cs="Times New Roman"/>
                <w:b/>
                <w:color w:val="000000"/>
              </w:rPr>
              <w:t>COSTO MEDIO</w:t>
            </w:r>
          </w:p>
        </w:tc>
      </w:tr>
      <w:tr w:rsidR="00E9575C" w:rsidRPr="00951A97" w:rsidTr="00BA4368">
        <w:trPr>
          <w:jc w:val="center"/>
        </w:trPr>
        <w:tc>
          <w:tcPr>
            <w:tcW w:w="1425" w:type="dxa"/>
            <w:tcBorders>
              <w:left w:val="nil"/>
            </w:tcBorders>
          </w:tcPr>
          <w:p w:rsidR="00E9575C" w:rsidRPr="00951A97" w:rsidRDefault="00E9575C" w:rsidP="00BA4368">
            <w:pPr>
              <w:pStyle w:val="Textoindependiente2"/>
              <w:jc w:val="center"/>
              <w:rPr>
                <w:rFonts w:ascii="Times New Roman" w:hAnsi="Times New Roman" w:cs="Times New Roman"/>
                <w:color w:val="000000"/>
              </w:rPr>
            </w:pPr>
            <w:r w:rsidRPr="00951A97">
              <w:rPr>
                <w:rFonts w:ascii="Times New Roman" w:hAnsi="Times New Roman" w:cs="Times New Roman"/>
                <w:color w:val="000000"/>
              </w:rPr>
              <w:t>2011</w:t>
            </w:r>
          </w:p>
        </w:tc>
        <w:tc>
          <w:tcPr>
            <w:tcW w:w="2355" w:type="dxa"/>
            <w:tcBorders>
              <w:right w:val="nil"/>
            </w:tcBorders>
          </w:tcPr>
          <w:p w:rsidR="00E9575C" w:rsidRPr="00951A97" w:rsidRDefault="00E9575C" w:rsidP="00BA4368">
            <w:pPr>
              <w:pStyle w:val="Textoindependiente2"/>
              <w:jc w:val="center"/>
              <w:rPr>
                <w:rFonts w:ascii="Times New Roman" w:hAnsi="Times New Roman" w:cs="Times New Roman"/>
                <w:color w:val="000000"/>
              </w:rPr>
            </w:pPr>
            <w:r w:rsidRPr="00951A97">
              <w:rPr>
                <w:rFonts w:ascii="Times New Roman" w:hAnsi="Times New Roman" w:cs="Times New Roman"/>
                <w:color w:val="000000"/>
              </w:rPr>
              <w:t>¢3</w:t>
            </w:r>
            <w:r>
              <w:rPr>
                <w:rFonts w:ascii="Times New Roman" w:hAnsi="Times New Roman" w:cs="Times New Roman"/>
                <w:color w:val="000000"/>
              </w:rPr>
              <w:t>8</w:t>
            </w:r>
            <w:r w:rsidRPr="00951A97">
              <w:rPr>
                <w:rFonts w:ascii="Times New Roman" w:hAnsi="Times New Roman" w:cs="Times New Roman"/>
                <w:color w:val="000000"/>
              </w:rPr>
              <w:t>7.</w:t>
            </w:r>
            <w:r>
              <w:rPr>
                <w:rFonts w:ascii="Times New Roman" w:hAnsi="Times New Roman" w:cs="Times New Roman"/>
                <w:color w:val="000000"/>
              </w:rPr>
              <w:t>354</w:t>
            </w:r>
            <w:r w:rsidRPr="00951A97">
              <w:rPr>
                <w:rFonts w:ascii="Times New Roman" w:hAnsi="Times New Roman" w:cs="Times New Roman"/>
                <w:color w:val="000000"/>
              </w:rPr>
              <w:t>,</w:t>
            </w:r>
            <w:r>
              <w:rPr>
                <w:rFonts w:ascii="Times New Roman" w:hAnsi="Times New Roman" w:cs="Times New Roman"/>
                <w:color w:val="000000"/>
              </w:rPr>
              <w:t>9</w:t>
            </w:r>
          </w:p>
        </w:tc>
      </w:tr>
      <w:tr w:rsidR="00E9575C" w:rsidRPr="00951A97" w:rsidTr="00BA4368">
        <w:trPr>
          <w:jc w:val="center"/>
        </w:trPr>
        <w:tc>
          <w:tcPr>
            <w:tcW w:w="1425" w:type="dxa"/>
            <w:tcBorders>
              <w:left w:val="nil"/>
            </w:tcBorders>
          </w:tcPr>
          <w:p w:rsidR="00E9575C" w:rsidRPr="00951A97" w:rsidRDefault="00E9575C" w:rsidP="00BA4368">
            <w:pPr>
              <w:pStyle w:val="Textoindependiente2"/>
              <w:jc w:val="center"/>
              <w:rPr>
                <w:rFonts w:ascii="Times New Roman" w:hAnsi="Times New Roman" w:cs="Times New Roman"/>
                <w:color w:val="000000"/>
              </w:rPr>
            </w:pPr>
            <w:r w:rsidRPr="00951A97">
              <w:rPr>
                <w:rFonts w:ascii="Times New Roman" w:hAnsi="Times New Roman" w:cs="Times New Roman"/>
                <w:color w:val="000000"/>
              </w:rPr>
              <w:t>2012</w:t>
            </w:r>
          </w:p>
        </w:tc>
        <w:tc>
          <w:tcPr>
            <w:tcW w:w="2355" w:type="dxa"/>
            <w:tcBorders>
              <w:right w:val="nil"/>
            </w:tcBorders>
          </w:tcPr>
          <w:p w:rsidR="00E9575C" w:rsidRPr="00951A97" w:rsidRDefault="00E9575C" w:rsidP="00BA4368">
            <w:pPr>
              <w:pStyle w:val="Textoindependiente2"/>
              <w:jc w:val="center"/>
              <w:rPr>
                <w:rFonts w:ascii="Times New Roman" w:hAnsi="Times New Roman" w:cs="Times New Roman"/>
                <w:color w:val="000000"/>
              </w:rPr>
            </w:pPr>
            <w:r w:rsidRPr="00951A97">
              <w:rPr>
                <w:rFonts w:ascii="Times New Roman" w:hAnsi="Times New Roman" w:cs="Times New Roman"/>
                <w:color w:val="000000"/>
              </w:rPr>
              <w:t>¢5</w:t>
            </w:r>
            <w:r>
              <w:rPr>
                <w:rFonts w:ascii="Times New Roman" w:hAnsi="Times New Roman" w:cs="Times New Roman"/>
                <w:color w:val="000000"/>
              </w:rPr>
              <w:t>07</w:t>
            </w:r>
            <w:r w:rsidRPr="00951A97">
              <w:rPr>
                <w:rFonts w:ascii="Times New Roman" w:hAnsi="Times New Roman" w:cs="Times New Roman"/>
                <w:color w:val="000000"/>
              </w:rPr>
              <w:t>.4</w:t>
            </w:r>
            <w:r>
              <w:rPr>
                <w:rFonts w:ascii="Times New Roman" w:hAnsi="Times New Roman" w:cs="Times New Roman"/>
                <w:color w:val="000000"/>
              </w:rPr>
              <w:t>66</w:t>
            </w:r>
            <w:r w:rsidRPr="00951A97">
              <w:rPr>
                <w:rFonts w:ascii="Times New Roman" w:hAnsi="Times New Roman" w:cs="Times New Roman"/>
                <w:color w:val="000000"/>
              </w:rPr>
              <w:t>,</w:t>
            </w:r>
            <w:r>
              <w:rPr>
                <w:rFonts w:ascii="Times New Roman" w:hAnsi="Times New Roman" w:cs="Times New Roman"/>
                <w:color w:val="000000"/>
              </w:rPr>
              <w:t>2</w:t>
            </w:r>
          </w:p>
        </w:tc>
      </w:tr>
      <w:tr w:rsidR="00E9575C" w:rsidRPr="00951A97" w:rsidTr="00BA4368">
        <w:trPr>
          <w:jc w:val="center"/>
        </w:trPr>
        <w:tc>
          <w:tcPr>
            <w:tcW w:w="1425" w:type="dxa"/>
            <w:tcBorders>
              <w:left w:val="nil"/>
            </w:tcBorders>
          </w:tcPr>
          <w:p w:rsidR="00E9575C" w:rsidRPr="00951A97" w:rsidRDefault="00E9575C" w:rsidP="00BA4368">
            <w:pPr>
              <w:pStyle w:val="Textoindependiente2"/>
              <w:jc w:val="center"/>
              <w:rPr>
                <w:rFonts w:ascii="Times New Roman" w:hAnsi="Times New Roman" w:cs="Times New Roman"/>
                <w:color w:val="000000"/>
              </w:rPr>
            </w:pPr>
            <w:r w:rsidRPr="00951A97">
              <w:rPr>
                <w:rFonts w:ascii="Times New Roman" w:hAnsi="Times New Roman" w:cs="Times New Roman"/>
                <w:color w:val="000000"/>
              </w:rPr>
              <w:t>2013</w:t>
            </w:r>
          </w:p>
        </w:tc>
        <w:tc>
          <w:tcPr>
            <w:tcW w:w="2355" w:type="dxa"/>
            <w:tcBorders>
              <w:right w:val="nil"/>
            </w:tcBorders>
          </w:tcPr>
          <w:p w:rsidR="00E9575C" w:rsidRPr="00951A97" w:rsidRDefault="00E9575C" w:rsidP="00BA4368">
            <w:pPr>
              <w:pStyle w:val="Textoindependiente2"/>
              <w:jc w:val="center"/>
              <w:rPr>
                <w:rFonts w:ascii="Times New Roman" w:hAnsi="Times New Roman" w:cs="Times New Roman"/>
                <w:color w:val="000000"/>
              </w:rPr>
            </w:pPr>
            <w:r>
              <w:rPr>
                <w:rFonts w:ascii="Times New Roman" w:hAnsi="Times New Roman" w:cs="Times New Roman"/>
                <w:color w:val="000000"/>
              </w:rPr>
              <w:t>¢5</w:t>
            </w:r>
            <w:r w:rsidRPr="00951A97">
              <w:rPr>
                <w:rFonts w:ascii="Times New Roman" w:hAnsi="Times New Roman" w:cs="Times New Roman"/>
                <w:color w:val="000000"/>
              </w:rPr>
              <w:t>5</w:t>
            </w:r>
            <w:r>
              <w:rPr>
                <w:rFonts w:ascii="Times New Roman" w:hAnsi="Times New Roman" w:cs="Times New Roman"/>
                <w:color w:val="000000"/>
              </w:rPr>
              <w:t>2</w:t>
            </w:r>
            <w:r w:rsidRPr="00951A97">
              <w:rPr>
                <w:rFonts w:ascii="Times New Roman" w:hAnsi="Times New Roman" w:cs="Times New Roman"/>
                <w:color w:val="000000"/>
              </w:rPr>
              <w:t>.0</w:t>
            </w:r>
            <w:r>
              <w:rPr>
                <w:rFonts w:ascii="Times New Roman" w:hAnsi="Times New Roman" w:cs="Times New Roman"/>
                <w:color w:val="000000"/>
              </w:rPr>
              <w:t>26</w:t>
            </w:r>
            <w:r w:rsidRPr="00951A97">
              <w:rPr>
                <w:rFonts w:ascii="Times New Roman" w:hAnsi="Times New Roman" w:cs="Times New Roman"/>
                <w:color w:val="000000"/>
              </w:rPr>
              <w:t>,</w:t>
            </w:r>
            <w:r>
              <w:rPr>
                <w:rFonts w:ascii="Times New Roman" w:hAnsi="Times New Roman" w:cs="Times New Roman"/>
                <w:color w:val="000000"/>
              </w:rPr>
              <w:t>7</w:t>
            </w:r>
          </w:p>
        </w:tc>
      </w:tr>
      <w:tr w:rsidR="00E9575C" w:rsidRPr="00951A97" w:rsidTr="00BA4368">
        <w:trPr>
          <w:jc w:val="center"/>
        </w:trPr>
        <w:tc>
          <w:tcPr>
            <w:tcW w:w="1425" w:type="dxa"/>
            <w:tcBorders>
              <w:left w:val="nil"/>
            </w:tcBorders>
          </w:tcPr>
          <w:p w:rsidR="00E9575C" w:rsidRPr="00951A97" w:rsidRDefault="00E9575C" w:rsidP="00BA4368">
            <w:pPr>
              <w:pStyle w:val="Textoindependiente2"/>
              <w:jc w:val="center"/>
              <w:rPr>
                <w:rFonts w:ascii="Times New Roman" w:hAnsi="Times New Roman" w:cs="Times New Roman"/>
                <w:color w:val="000000"/>
              </w:rPr>
            </w:pPr>
            <w:r w:rsidRPr="00951A97">
              <w:rPr>
                <w:rFonts w:ascii="Times New Roman" w:hAnsi="Times New Roman" w:cs="Times New Roman"/>
                <w:color w:val="000000"/>
              </w:rPr>
              <w:t>2014</w:t>
            </w:r>
          </w:p>
        </w:tc>
        <w:tc>
          <w:tcPr>
            <w:tcW w:w="2355" w:type="dxa"/>
            <w:tcBorders>
              <w:right w:val="nil"/>
            </w:tcBorders>
          </w:tcPr>
          <w:p w:rsidR="00E9575C" w:rsidRPr="00951A97" w:rsidRDefault="00E9575C" w:rsidP="00BA4368">
            <w:pPr>
              <w:pStyle w:val="Textoindependiente2"/>
              <w:jc w:val="center"/>
              <w:rPr>
                <w:rFonts w:ascii="Times New Roman" w:hAnsi="Times New Roman" w:cs="Times New Roman"/>
                <w:color w:val="000000"/>
              </w:rPr>
            </w:pPr>
            <w:r w:rsidRPr="00951A97">
              <w:rPr>
                <w:rFonts w:ascii="Times New Roman" w:hAnsi="Times New Roman" w:cs="Times New Roman"/>
                <w:color w:val="000000"/>
              </w:rPr>
              <w:t>¢5</w:t>
            </w:r>
            <w:r>
              <w:rPr>
                <w:rFonts w:ascii="Times New Roman" w:hAnsi="Times New Roman" w:cs="Times New Roman"/>
                <w:color w:val="000000"/>
              </w:rPr>
              <w:t>55</w:t>
            </w:r>
            <w:r w:rsidRPr="00951A97">
              <w:rPr>
                <w:rFonts w:ascii="Times New Roman" w:hAnsi="Times New Roman" w:cs="Times New Roman"/>
                <w:color w:val="000000"/>
              </w:rPr>
              <w:t>.</w:t>
            </w:r>
            <w:r>
              <w:rPr>
                <w:rFonts w:ascii="Times New Roman" w:hAnsi="Times New Roman" w:cs="Times New Roman"/>
                <w:color w:val="000000"/>
              </w:rPr>
              <w:t>858</w:t>
            </w:r>
            <w:r w:rsidRPr="00951A97">
              <w:rPr>
                <w:rFonts w:ascii="Times New Roman" w:hAnsi="Times New Roman" w:cs="Times New Roman"/>
                <w:color w:val="000000"/>
              </w:rPr>
              <w:t>,</w:t>
            </w:r>
            <w:r>
              <w:rPr>
                <w:rFonts w:ascii="Times New Roman" w:hAnsi="Times New Roman" w:cs="Times New Roman"/>
                <w:color w:val="000000"/>
              </w:rPr>
              <w:t>5</w:t>
            </w:r>
          </w:p>
        </w:tc>
      </w:tr>
      <w:tr w:rsidR="00E9575C" w:rsidRPr="00951A97" w:rsidTr="00BA4368">
        <w:trPr>
          <w:jc w:val="center"/>
        </w:trPr>
        <w:tc>
          <w:tcPr>
            <w:tcW w:w="1425" w:type="dxa"/>
            <w:tcBorders>
              <w:left w:val="nil"/>
            </w:tcBorders>
          </w:tcPr>
          <w:p w:rsidR="00E9575C" w:rsidRPr="00951A97" w:rsidRDefault="00E9575C" w:rsidP="00BA4368">
            <w:pPr>
              <w:pStyle w:val="Textoindependiente2"/>
              <w:jc w:val="center"/>
              <w:rPr>
                <w:rFonts w:ascii="Times New Roman" w:hAnsi="Times New Roman" w:cs="Times New Roman"/>
                <w:color w:val="000000"/>
              </w:rPr>
            </w:pPr>
            <w:r>
              <w:rPr>
                <w:rFonts w:ascii="Times New Roman" w:hAnsi="Times New Roman" w:cs="Times New Roman"/>
                <w:color w:val="000000"/>
              </w:rPr>
              <w:t>2015</w:t>
            </w:r>
          </w:p>
        </w:tc>
        <w:tc>
          <w:tcPr>
            <w:tcW w:w="2355" w:type="dxa"/>
            <w:tcBorders>
              <w:right w:val="nil"/>
            </w:tcBorders>
          </w:tcPr>
          <w:p w:rsidR="00E9575C" w:rsidRPr="00951A97" w:rsidRDefault="00E9575C" w:rsidP="00BA4368">
            <w:pPr>
              <w:pStyle w:val="Textoindependiente2"/>
              <w:jc w:val="center"/>
              <w:rPr>
                <w:rFonts w:ascii="Times New Roman" w:hAnsi="Times New Roman" w:cs="Times New Roman"/>
                <w:color w:val="000000"/>
              </w:rPr>
            </w:pPr>
            <w:r w:rsidRPr="00951A97">
              <w:rPr>
                <w:rFonts w:ascii="Times New Roman" w:hAnsi="Times New Roman" w:cs="Times New Roman"/>
                <w:color w:val="000000"/>
              </w:rPr>
              <w:t>¢6</w:t>
            </w:r>
            <w:r>
              <w:rPr>
                <w:rFonts w:ascii="Times New Roman" w:hAnsi="Times New Roman" w:cs="Times New Roman"/>
                <w:color w:val="000000"/>
              </w:rPr>
              <w:t>14</w:t>
            </w:r>
            <w:r w:rsidRPr="00951A97">
              <w:rPr>
                <w:rFonts w:ascii="Times New Roman" w:hAnsi="Times New Roman" w:cs="Times New Roman"/>
                <w:color w:val="000000"/>
              </w:rPr>
              <w:t>.</w:t>
            </w:r>
            <w:r>
              <w:rPr>
                <w:rFonts w:ascii="Times New Roman" w:hAnsi="Times New Roman" w:cs="Times New Roman"/>
                <w:color w:val="000000"/>
              </w:rPr>
              <w:t>385</w:t>
            </w:r>
            <w:r w:rsidRPr="00951A97">
              <w:rPr>
                <w:rFonts w:ascii="Times New Roman" w:hAnsi="Times New Roman" w:cs="Times New Roman"/>
                <w:color w:val="000000"/>
              </w:rPr>
              <w:t>,</w:t>
            </w:r>
            <w:r>
              <w:rPr>
                <w:rFonts w:ascii="Times New Roman" w:hAnsi="Times New Roman" w:cs="Times New Roman"/>
                <w:color w:val="000000"/>
              </w:rPr>
              <w:t>2</w:t>
            </w:r>
          </w:p>
        </w:tc>
      </w:tr>
    </w:tbl>
    <w:p w:rsidR="00E9575C" w:rsidRPr="00951A97" w:rsidRDefault="00E9575C" w:rsidP="00E9575C">
      <w:pPr>
        <w:pStyle w:val="Textoindependiente2"/>
        <w:spacing w:line="360" w:lineRule="auto"/>
        <w:rPr>
          <w:rFonts w:ascii="Times New Roman" w:hAnsi="Times New Roman" w:cs="Times New Roman"/>
          <w:color w:val="000000"/>
        </w:rPr>
      </w:pPr>
    </w:p>
    <w:p w:rsidR="00E9575C" w:rsidRDefault="00E9575C" w:rsidP="00E9575C">
      <w:pPr>
        <w:pStyle w:val="Textoindependiente2"/>
        <w:spacing w:line="360" w:lineRule="auto"/>
        <w:rPr>
          <w:rFonts w:ascii="Times New Roman" w:hAnsi="Times New Roman" w:cs="Times New Roman"/>
          <w:color w:val="000000"/>
        </w:rPr>
      </w:pPr>
      <w:r>
        <w:rPr>
          <w:rFonts w:ascii="Times New Roman" w:hAnsi="Times New Roman" w:cs="Times New Roman"/>
          <w:color w:val="000000"/>
        </w:rPr>
        <w:t xml:space="preserve">Ahora, en la gráfica que a continuación se muestra, se puede observar la evolución del costo medio de los casos terminado convertidos a dólares, ello con el fin de descartar aquellos efectos </w:t>
      </w:r>
      <w:r>
        <w:rPr>
          <w:rFonts w:ascii="Times New Roman" w:hAnsi="Times New Roman" w:cs="Times New Roman"/>
          <w:color w:val="000000"/>
        </w:rPr>
        <w:lastRenderedPageBreak/>
        <w:t xml:space="preserve">inflacionarios y de </w:t>
      </w:r>
      <w:proofErr w:type="gramStart"/>
      <w:r w:rsidRPr="00951A97">
        <w:rPr>
          <w:rFonts w:ascii="Times New Roman" w:hAnsi="Times New Roman" w:cs="Times New Roman"/>
          <w:color w:val="000000"/>
        </w:rPr>
        <w:t>devaluación</w:t>
      </w:r>
      <w:r w:rsidRPr="00951A97">
        <w:rPr>
          <w:rFonts w:ascii="Times New Roman" w:hAnsi="Times New Roman" w:cs="Times New Roman"/>
          <w:color w:val="000000"/>
          <w:vertAlign w:val="superscript"/>
        </w:rPr>
        <w:t>(</w:t>
      </w:r>
      <w:proofErr w:type="gramEnd"/>
      <w:r w:rsidRPr="00951A97">
        <w:rPr>
          <w:rStyle w:val="Refdenotaalpie"/>
          <w:rFonts w:ascii="Times New Roman" w:hAnsi="Times New Roman"/>
          <w:color w:val="000000"/>
        </w:rPr>
        <w:footnoteReference w:id="1"/>
      </w:r>
      <w:r w:rsidRPr="00951A97">
        <w:rPr>
          <w:rFonts w:ascii="Times New Roman" w:hAnsi="Times New Roman" w:cs="Times New Roman"/>
          <w:color w:val="000000"/>
          <w:vertAlign w:val="superscript"/>
        </w:rPr>
        <w:t>)</w:t>
      </w:r>
      <w:r>
        <w:rPr>
          <w:rFonts w:ascii="Times New Roman" w:hAnsi="Times New Roman" w:cs="Times New Roman"/>
          <w:color w:val="000000"/>
        </w:rPr>
        <w:t xml:space="preserve">, con lo cual se podría hacer comparaciones entre diferentes países. En lo que respecta el 2015, el costo medio en dólares es de $1.162,6, esto según el tipo de cambio utilizado por el Banco Central de Costa Rica al 1 de julio de ese año, y que para este caso es de </w:t>
      </w:r>
      <w:r w:rsidRPr="00951A97">
        <w:rPr>
          <w:rFonts w:ascii="Times New Roman" w:hAnsi="Times New Roman" w:cs="Times New Roman"/>
          <w:color w:val="000000"/>
        </w:rPr>
        <w:t>¢5</w:t>
      </w:r>
      <w:r>
        <w:rPr>
          <w:rFonts w:ascii="Times New Roman" w:hAnsi="Times New Roman" w:cs="Times New Roman"/>
          <w:color w:val="000000"/>
        </w:rPr>
        <w:t>28</w:t>
      </w:r>
      <w:r w:rsidRPr="00951A97">
        <w:rPr>
          <w:rFonts w:ascii="Times New Roman" w:hAnsi="Times New Roman" w:cs="Times New Roman"/>
          <w:color w:val="000000"/>
        </w:rPr>
        <w:t>,4</w:t>
      </w:r>
      <w:r>
        <w:rPr>
          <w:rFonts w:ascii="Times New Roman" w:hAnsi="Times New Roman" w:cs="Times New Roman"/>
          <w:color w:val="000000"/>
        </w:rPr>
        <w:t>7.</w:t>
      </w:r>
    </w:p>
    <w:p w:rsidR="00E9575C" w:rsidRDefault="00E9575C" w:rsidP="00E9575C">
      <w:pPr>
        <w:pStyle w:val="Textoindependiente"/>
        <w:spacing w:line="360" w:lineRule="auto"/>
        <w:jc w:val="both"/>
        <w:rPr>
          <w:rFonts w:ascii="Times New Roman" w:hAnsi="Times New Roman" w:cs="Times New Roman"/>
          <w:sz w:val="24"/>
          <w:szCs w:val="24"/>
        </w:rPr>
      </w:pPr>
    </w:p>
    <w:p w:rsidR="006D43CD" w:rsidRDefault="00B054C9" w:rsidP="00E9575C">
      <w:pPr>
        <w:pStyle w:val="Textoindependiente"/>
        <w:spacing w:line="360" w:lineRule="auto"/>
        <w:jc w:val="both"/>
        <w:rPr>
          <w:rFonts w:ascii="Times New Roman" w:hAnsi="Times New Roman" w:cs="Times New Roman"/>
          <w:sz w:val="24"/>
          <w:szCs w:val="24"/>
        </w:rPr>
      </w:pPr>
      <w:r>
        <w:rPr>
          <w:rFonts w:ascii="Times New Roman" w:hAnsi="Times New Roman" w:cs="Times New Roman"/>
          <w:noProof/>
          <w:sz w:val="24"/>
          <w:szCs w:val="24"/>
          <w:lang w:val="es-CR" w:eastAsia="es-CR"/>
        </w:rPr>
        <w:drawing>
          <wp:inline distT="0" distB="0" distL="0" distR="0">
            <wp:extent cx="4480560" cy="2849880"/>
            <wp:effectExtent l="0" t="0" r="0" b="0"/>
            <wp:docPr id="3" name="Objeto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D43CD" w:rsidRDefault="006D43CD" w:rsidP="00E9575C">
      <w:pPr>
        <w:pStyle w:val="Textoindependiente"/>
        <w:spacing w:line="360" w:lineRule="auto"/>
        <w:jc w:val="both"/>
        <w:rPr>
          <w:rFonts w:ascii="Times New Roman" w:hAnsi="Times New Roman" w:cs="Times New Roman"/>
          <w:sz w:val="24"/>
          <w:szCs w:val="24"/>
        </w:rPr>
      </w:pPr>
    </w:p>
    <w:p w:rsidR="00E9575C" w:rsidRDefault="00E9575C" w:rsidP="00E9575C">
      <w:pPr>
        <w:pStyle w:val="Textoindependiente"/>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Para este año, el costo medio en dólares se ve afectado positivamente, por cuanto el tipo de cambio disminuye al pasar de </w:t>
      </w:r>
      <w:r w:rsidRPr="00951A97">
        <w:rPr>
          <w:rFonts w:ascii="Times New Roman" w:hAnsi="Times New Roman" w:cs="Times New Roman"/>
          <w:color w:val="000000"/>
        </w:rPr>
        <w:t>¢</w:t>
      </w:r>
      <w:r>
        <w:rPr>
          <w:rFonts w:ascii="Times New Roman" w:hAnsi="Times New Roman" w:cs="Times New Roman"/>
          <w:sz w:val="24"/>
          <w:szCs w:val="24"/>
        </w:rPr>
        <w:t xml:space="preserve">537,48 en el 2014 a </w:t>
      </w:r>
      <w:r w:rsidRPr="00951A97">
        <w:rPr>
          <w:rFonts w:ascii="Times New Roman" w:hAnsi="Times New Roman" w:cs="Times New Roman"/>
          <w:color w:val="000000"/>
        </w:rPr>
        <w:t>¢</w:t>
      </w:r>
      <w:r>
        <w:rPr>
          <w:rFonts w:ascii="Times New Roman" w:hAnsi="Times New Roman" w:cs="Times New Roman"/>
          <w:sz w:val="24"/>
          <w:szCs w:val="24"/>
        </w:rPr>
        <w:t>528,47, lo que conlleva a un incremento del indicador.</w:t>
      </w:r>
    </w:p>
    <w:p w:rsidR="00E9575C" w:rsidRPr="00951A97" w:rsidRDefault="00E9575C" w:rsidP="00E9575C">
      <w:pPr>
        <w:pStyle w:val="Ttulo2"/>
        <w:rPr>
          <w:rFonts w:ascii="Times New Roman" w:hAnsi="Times New Roman" w:cs="Times New Roman"/>
          <w:i w:val="0"/>
          <w:sz w:val="24"/>
          <w:szCs w:val="24"/>
        </w:rPr>
      </w:pPr>
      <w:r w:rsidRPr="00951A97">
        <w:rPr>
          <w:rFonts w:ascii="Times New Roman" w:hAnsi="Times New Roman" w:cs="Times New Roman"/>
          <w:i w:val="0"/>
          <w:sz w:val="24"/>
          <w:szCs w:val="24"/>
        </w:rPr>
        <w:t>1.5</w:t>
      </w:r>
      <w:r w:rsidRPr="00951A97">
        <w:rPr>
          <w:rFonts w:ascii="Times New Roman" w:hAnsi="Times New Roman" w:cs="Times New Roman"/>
          <w:i w:val="0"/>
          <w:sz w:val="24"/>
          <w:szCs w:val="24"/>
        </w:rPr>
        <w:tab/>
        <w:t>Porcentaje del costo administrativo y jurisdiccional respecto del costo de la justicia</w:t>
      </w:r>
    </w:p>
    <w:p w:rsidR="00E9575C" w:rsidRPr="00951A97" w:rsidRDefault="00E9575C" w:rsidP="00E9575C">
      <w:pPr>
        <w:pStyle w:val="Textoindependiente"/>
        <w:spacing w:line="360" w:lineRule="auto"/>
        <w:rPr>
          <w:rFonts w:ascii="Times New Roman" w:hAnsi="Times New Roman" w:cs="Times New Roman"/>
          <w:sz w:val="24"/>
          <w:szCs w:val="24"/>
        </w:rPr>
      </w:pPr>
    </w:p>
    <w:p w:rsidR="00E9575C" w:rsidRPr="00747EBC" w:rsidRDefault="00E9575C" w:rsidP="00E9575C">
      <w:pPr>
        <w:pStyle w:val="Textoindependiente"/>
        <w:spacing w:line="360" w:lineRule="auto"/>
        <w:jc w:val="both"/>
        <w:rPr>
          <w:rFonts w:ascii="Times New Roman" w:hAnsi="Times New Roman" w:cs="Times New Roman"/>
          <w:sz w:val="24"/>
          <w:szCs w:val="24"/>
        </w:rPr>
      </w:pPr>
      <w:r w:rsidRPr="00747EBC">
        <w:rPr>
          <w:rFonts w:ascii="Times New Roman" w:hAnsi="Times New Roman" w:cs="Times New Roman"/>
          <w:sz w:val="24"/>
          <w:szCs w:val="24"/>
        </w:rPr>
        <w:t>El cálculo de</w:t>
      </w:r>
      <w:r>
        <w:rPr>
          <w:rFonts w:ascii="Times New Roman" w:hAnsi="Times New Roman" w:cs="Times New Roman"/>
          <w:sz w:val="24"/>
          <w:szCs w:val="24"/>
        </w:rPr>
        <w:t>l primer</w:t>
      </w:r>
      <w:r w:rsidRPr="00747EBC">
        <w:rPr>
          <w:rFonts w:ascii="Times New Roman" w:hAnsi="Times New Roman" w:cs="Times New Roman"/>
          <w:sz w:val="24"/>
          <w:szCs w:val="24"/>
        </w:rPr>
        <w:t xml:space="preserve"> indicador se realiza al dividir el costo administrativo entre el costo de la justicia y para este caso se basa en el presupuesto ejecutado al 31/12/2015. </w:t>
      </w:r>
    </w:p>
    <w:p w:rsidR="00E9575C" w:rsidRPr="00747EBC" w:rsidRDefault="00E9575C" w:rsidP="00E9575C">
      <w:pPr>
        <w:pStyle w:val="Textoindependiente"/>
        <w:spacing w:line="360" w:lineRule="auto"/>
        <w:jc w:val="both"/>
        <w:rPr>
          <w:rFonts w:ascii="Times New Roman" w:hAnsi="Times New Roman" w:cs="Times New Roman"/>
          <w:sz w:val="24"/>
          <w:szCs w:val="24"/>
        </w:rPr>
      </w:pPr>
    </w:p>
    <w:p w:rsidR="00E9575C" w:rsidRPr="00951A97" w:rsidRDefault="00E9575C" w:rsidP="00E9575C">
      <w:pPr>
        <w:pStyle w:val="Textoindependiente"/>
        <w:spacing w:line="360" w:lineRule="auto"/>
        <w:jc w:val="both"/>
        <w:rPr>
          <w:rFonts w:ascii="Times New Roman" w:hAnsi="Times New Roman" w:cs="Times New Roman"/>
          <w:sz w:val="24"/>
          <w:szCs w:val="24"/>
        </w:rPr>
      </w:pPr>
      <w:r w:rsidRPr="00747EBC">
        <w:rPr>
          <w:rFonts w:ascii="Times New Roman" w:hAnsi="Times New Roman" w:cs="Times New Roman"/>
          <w:sz w:val="24"/>
          <w:szCs w:val="24"/>
        </w:rPr>
        <w:t xml:space="preserve">Los valores obtenidos </w:t>
      </w:r>
      <w:r>
        <w:rPr>
          <w:rFonts w:ascii="Times New Roman" w:hAnsi="Times New Roman" w:cs="Times New Roman"/>
          <w:sz w:val="24"/>
          <w:szCs w:val="24"/>
        </w:rPr>
        <w:t xml:space="preserve">en el último quinquenio para este </w:t>
      </w:r>
      <w:r w:rsidRPr="00747EBC">
        <w:rPr>
          <w:rFonts w:ascii="Times New Roman" w:hAnsi="Times New Roman" w:cs="Times New Roman"/>
          <w:sz w:val="24"/>
          <w:szCs w:val="24"/>
        </w:rPr>
        <w:t>indicador varía</w:t>
      </w:r>
      <w:r>
        <w:rPr>
          <w:rFonts w:ascii="Times New Roman" w:hAnsi="Times New Roman" w:cs="Times New Roman"/>
          <w:sz w:val="24"/>
          <w:szCs w:val="24"/>
        </w:rPr>
        <w:t>n</w:t>
      </w:r>
      <w:r w:rsidRPr="00747EBC">
        <w:rPr>
          <w:rFonts w:ascii="Times New Roman" w:hAnsi="Times New Roman" w:cs="Times New Roman"/>
          <w:sz w:val="24"/>
          <w:szCs w:val="24"/>
        </w:rPr>
        <w:t xml:space="preserve"> entre 19,3% y 19,9%, lo que evidencia </w:t>
      </w:r>
      <w:proofErr w:type="spellStart"/>
      <w:r>
        <w:rPr>
          <w:rFonts w:ascii="Times New Roman" w:hAnsi="Times New Roman" w:cs="Times New Roman"/>
          <w:sz w:val="24"/>
          <w:szCs w:val="24"/>
        </w:rPr>
        <w:t>cambiospequeño</w:t>
      </w:r>
      <w:r w:rsidRPr="00747EBC">
        <w:rPr>
          <w:rFonts w:ascii="Times New Roman" w:hAnsi="Times New Roman" w:cs="Times New Roman"/>
          <w:sz w:val="24"/>
          <w:szCs w:val="24"/>
        </w:rPr>
        <w:t>s</w:t>
      </w:r>
      <w:proofErr w:type="spellEnd"/>
      <w:r w:rsidRPr="00747EBC">
        <w:rPr>
          <w:rFonts w:ascii="Times New Roman" w:hAnsi="Times New Roman" w:cs="Times New Roman"/>
          <w:sz w:val="24"/>
          <w:szCs w:val="24"/>
        </w:rPr>
        <w:t xml:space="preserve"> en este período.</w:t>
      </w:r>
    </w:p>
    <w:p w:rsidR="00E9575C" w:rsidRDefault="00E9575C" w:rsidP="00E9575C">
      <w:pPr>
        <w:spacing w:line="360" w:lineRule="auto"/>
        <w:jc w:val="both"/>
        <w:rPr>
          <w:rFonts w:ascii="Times New Roman" w:hAnsi="Times New Roman" w:cs="Times New Roman"/>
        </w:rPr>
      </w:pPr>
    </w:p>
    <w:p w:rsidR="006D43CD" w:rsidRDefault="006D43CD" w:rsidP="00E9575C">
      <w:pPr>
        <w:spacing w:line="360" w:lineRule="auto"/>
        <w:jc w:val="both"/>
        <w:rPr>
          <w:rFonts w:ascii="Times New Roman" w:hAnsi="Times New Roman" w:cs="Times New Roman"/>
        </w:rPr>
      </w:pPr>
    </w:p>
    <w:p w:rsidR="006D43CD" w:rsidRDefault="00B054C9" w:rsidP="00E9575C">
      <w:pPr>
        <w:spacing w:line="360" w:lineRule="auto"/>
        <w:jc w:val="both"/>
        <w:rPr>
          <w:rFonts w:ascii="Times New Roman" w:hAnsi="Times New Roman" w:cs="Times New Roman"/>
        </w:rPr>
      </w:pPr>
      <w:r>
        <w:rPr>
          <w:rFonts w:ascii="Times New Roman" w:hAnsi="Times New Roman" w:cs="Times New Roman"/>
          <w:noProof/>
          <w:lang w:val="es-CR" w:eastAsia="es-CR"/>
        </w:rPr>
        <w:drawing>
          <wp:inline distT="0" distB="0" distL="0" distR="0">
            <wp:extent cx="4465320" cy="3055620"/>
            <wp:effectExtent l="19050" t="0" r="11430" b="11430"/>
            <wp:docPr id="4" name="Objeto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D43CD" w:rsidRPr="00951A97" w:rsidRDefault="006D43CD" w:rsidP="00E9575C">
      <w:pPr>
        <w:spacing w:line="360" w:lineRule="auto"/>
        <w:jc w:val="both"/>
        <w:rPr>
          <w:rFonts w:ascii="Times New Roman" w:hAnsi="Times New Roman" w:cs="Times New Roman"/>
        </w:rPr>
      </w:pPr>
    </w:p>
    <w:p w:rsidR="00E9575C" w:rsidRPr="00951A97" w:rsidRDefault="00E9575C" w:rsidP="00E9575C">
      <w:pPr>
        <w:spacing w:line="360" w:lineRule="auto"/>
        <w:jc w:val="both"/>
        <w:rPr>
          <w:rFonts w:ascii="Times New Roman" w:hAnsi="Times New Roman" w:cs="Times New Roman"/>
        </w:rPr>
      </w:pPr>
      <w:r>
        <w:rPr>
          <w:rFonts w:ascii="Times New Roman" w:hAnsi="Times New Roman" w:cs="Times New Roman"/>
        </w:rPr>
        <w:t xml:space="preserve">El otro indicador se calcula mediante la relación de las variables </w:t>
      </w:r>
      <w:r w:rsidRPr="00951A97">
        <w:rPr>
          <w:rFonts w:ascii="Times New Roman" w:hAnsi="Times New Roman" w:cs="Times New Roman"/>
        </w:rPr>
        <w:t xml:space="preserve">costo jurisdiccional y costo de la justicia, </w:t>
      </w:r>
      <w:r>
        <w:rPr>
          <w:rFonts w:ascii="Times New Roman" w:hAnsi="Times New Roman" w:cs="Times New Roman"/>
        </w:rPr>
        <w:t>la cual registra para el 2015 un</w:t>
      </w:r>
      <w:r w:rsidRPr="00951A97">
        <w:rPr>
          <w:rFonts w:ascii="Times New Roman" w:hAnsi="Times New Roman" w:cs="Times New Roman"/>
        </w:rPr>
        <w:t xml:space="preserve"> 35,5%, </w:t>
      </w:r>
      <w:r>
        <w:rPr>
          <w:rFonts w:ascii="Times New Roman" w:hAnsi="Times New Roman" w:cs="Times New Roman"/>
        </w:rPr>
        <w:t>siendo este dato el más alto de los últimos cinco años; además se establece que porcentaje del costo de la justicia se destina al área jurisdiccional</w:t>
      </w:r>
      <w:r w:rsidRPr="00951A97">
        <w:rPr>
          <w:rFonts w:ascii="Times New Roman" w:hAnsi="Times New Roman" w:cs="Times New Roman"/>
        </w:rPr>
        <w:t xml:space="preserve">.   </w:t>
      </w:r>
    </w:p>
    <w:p w:rsidR="00E9575C" w:rsidRPr="00951A97" w:rsidRDefault="00E9575C" w:rsidP="00EC636E">
      <w:pPr>
        <w:jc w:val="center"/>
        <w:rPr>
          <w:rFonts w:ascii="Times New Roman" w:hAnsi="Times New Roman" w:cs="Times New Roman"/>
        </w:rPr>
      </w:pPr>
    </w:p>
    <w:p w:rsidR="00E9575C" w:rsidRDefault="00E9575C" w:rsidP="00E9575C">
      <w:pPr>
        <w:rPr>
          <w:rFonts w:ascii="Times New Roman" w:hAnsi="Times New Roman" w:cs="Times New Roman"/>
        </w:rPr>
      </w:pPr>
    </w:p>
    <w:p w:rsidR="00E209B5" w:rsidRDefault="00B054C9" w:rsidP="00E9575C">
      <w:pPr>
        <w:rPr>
          <w:rFonts w:ascii="Times New Roman" w:hAnsi="Times New Roman" w:cs="Times New Roman"/>
        </w:rPr>
      </w:pPr>
      <w:r>
        <w:rPr>
          <w:rFonts w:ascii="Times New Roman" w:hAnsi="Times New Roman" w:cs="Times New Roman"/>
          <w:noProof/>
          <w:lang w:val="es-CR" w:eastAsia="es-CR"/>
        </w:rPr>
        <w:lastRenderedPageBreak/>
        <w:drawing>
          <wp:inline distT="0" distB="0" distL="0" distR="0">
            <wp:extent cx="4495800" cy="3032760"/>
            <wp:effectExtent l="19050" t="0" r="19050" b="15240"/>
            <wp:docPr id="5" name="Objeto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209B5" w:rsidRPr="00951A97" w:rsidRDefault="00E209B5" w:rsidP="00E9575C">
      <w:pPr>
        <w:rPr>
          <w:rFonts w:ascii="Times New Roman" w:hAnsi="Times New Roman" w:cs="Times New Roman"/>
        </w:rPr>
      </w:pPr>
    </w:p>
    <w:p w:rsidR="00E9575C" w:rsidRPr="00951A97" w:rsidRDefault="00E9575C" w:rsidP="00E9575C">
      <w:pPr>
        <w:pStyle w:val="Ttulo2"/>
        <w:rPr>
          <w:rFonts w:ascii="Times New Roman" w:hAnsi="Times New Roman" w:cs="Times New Roman"/>
          <w:i w:val="0"/>
          <w:sz w:val="24"/>
          <w:szCs w:val="24"/>
        </w:rPr>
      </w:pPr>
      <w:r w:rsidRPr="00951A97">
        <w:rPr>
          <w:rFonts w:ascii="Times New Roman" w:hAnsi="Times New Roman" w:cs="Times New Roman"/>
          <w:i w:val="0"/>
          <w:sz w:val="24"/>
          <w:szCs w:val="24"/>
        </w:rPr>
        <w:t>1.6</w:t>
      </w:r>
      <w:r w:rsidRPr="00951A97">
        <w:rPr>
          <w:rFonts w:ascii="Times New Roman" w:hAnsi="Times New Roman" w:cs="Times New Roman"/>
          <w:i w:val="0"/>
          <w:sz w:val="24"/>
          <w:szCs w:val="24"/>
        </w:rPr>
        <w:tab/>
        <w:t xml:space="preserve">Porcentaje del gasto dedicado a pago de personal </w:t>
      </w:r>
    </w:p>
    <w:p w:rsidR="00E9575C" w:rsidRPr="00951A97" w:rsidRDefault="00E9575C" w:rsidP="00E9575C">
      <w:pPr>
        <w:pStyle w:val="Textoindependiente"/>
        <w:spacing w:line="360" w:lineRule="auto"/>
        <w:rPr>
          <w:rFonts w:ascii="Times New Roman" w:hAnsi="Times New Roman" w:cs="Times New Roman"/>
          <w:sz w:val="24"/>
          <w:szCs w:val="24"/>
        </w:rPr>
      </w:pPr>
    </w:p>
    <w:p w:rsidR="00E9575C" w:rsidRPr="00951A97" w:rsidRDefault="00E9575C" w:rsidP="00E9575C">
      <w:pPr>
        <w:pStyle w:val="Textoindependiente"/>
        <w:spacing w:line="360" w:lineRule="auto"/>
        <w:jc w:val="both"/>
        <w:rPr>
          <w:rFonts w:ascii="Times New Roman" w:hAnsi="Times New Roman" w:cs="Times New Roman"/>
          <w:sz w:val="24"/>
          <w:szCs w:val="24"/>
        </w:rPr>
      </w:pPr>
      <w:r w:rsidRPr="00385AEB">
        <w:rPr>
          <w:rFonts w:ascii="Times New Roman" w:hAnsi="Times New Roman" w:cs="Times New Roman"/>
          <w:sz w:val="24"/>
          <w:szCs w:val="24"/>
        </w:rPr>
        <w:t>Los valores obtenidos por este indicador muestran variaciones poco relevantes; sin embargo, las cifras absolutas para cada una de las variables que lo conforman, determinan incrementos anuales, por lo que el cambio que pueda experimentar es debido al peso que en mayor medida pueda tener alguna de estas variables. Para el 2015, un 88,4% del costo de la justicia es dedicado al pago del personal.</w:t>
      </w:r>
    </w:p>
    <w:p w:rsidR="00E9575C" w:rsidRPr="00951A97" w:rsidRDefault="00E9575C" w:rsidP="00EC636E">
      <w:pPr>
        <w:pStyle w:val="Textoindependiente"/>
        <w:spacing w:line="360" w:lineRule="auto"/>
        <w:jc w:val="center"/>
        <w:rPr>
          <w:rFonts w:ascii="Times New Roman" w:hAnsi="Times New Roman" w:cs="Times New Roman"/>
          <w:sz w:val="24"/>
          <w:szCs w:val="24"/>
        </w:rPr>
      </w:pPr>
    </w:p>
    <w:p w:rsidR="00E9575C" w:rsidRPr="00951A97" w:rsidRDefault="00E9575C" w:rsidP="00E9575C">
      <w:pPr>
        <w:pStyle w:val="Textoindependiente"/>
        <w:spacing w:line="360" w:lineRule="auto"/>
        <w:jc w:val="center"/>
        <w:rPr>
          <w:rFonts w:ascii="Times New Roman" w:hAnsi="Times New Roman" w:cs="Times New Roman"/>
          <w:sz w:val="24"/>
          <w:szCs w:val="24"/>
        </w:rPr>
      </w:pPr>
    </w:p>
    <w:p w:rsidR="00E9575C" w:rsidRDefault="00E9575C" w:rsidP="00E9575C">
      <w:pPr>
        <w:rPr>
          <w:rFonts w:ascii="Times New Roman" w:hAnsi="Times New Roman" w:cs="Times New Roman"/>
        </w:rPr>
      </w:pPr>
    </w:p>
    <w:p w:rsidR="001720A9" w:rsidRDefault="00B054C9" w:rsidP="00E9575C">
      <w:pPr>
        <w:rPr>
          <w:rFonts w:ascii="Times New Roman" w:hAnsi="Times New Roman" w:cs="Times New Roman"/>
        </w:rPr>
      </w:pPr>
      <w:r>
        <w:rPr>
          <w:rFonts w:ascii="Times New Roman" w:hAnsi="Times New Roman" w:cs="Times New Roman"/>
          <w:noProof/>
          <w:lang w:val="es-CR" w:eastAsia="es-CR"/>
        </w:rPr>
        <w:lastRenderedPageBreak/>
        <w:drawing>
          <wp:inline distT="0" distB="0" distL="0" distR="0">
            <wp:extent cx="4541520" cy="3116580"/>
            <wp:effectExtent l="0" t="0" r="0" b="0"/>
            <wp:docPr id="30" name="Objeto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720A9" w:rsidRDefault="001720A9" w:rsidP="00E9575C">
      <w:pPr>
        <w:rPr>
          <w:rFonts w:ascii="Times New Roman" w:hAnsi="Times New Roman" w:cs="Times New Roman"/>
        </w:rPr>
      </w:pPr>
    </w:p>
    <w:p w:rsidR="001720A9" w:rsidRPr="00951A97" w:rsidRDefault="001720A9" w:rsidP="00E9575C">
      <w:pPr>
        <w:rPr>
          <w:rFonts w:ascii="Times New Roman" w:hAnsi="Times New Roman" w:cs="Times New Roman"/>
        </w:rPr>
      </w:pPr>
    </w:p>
    <w:p w:rsidR="00E9575C" w:rsidRPr="00341480" w:rsidRDefault="00E9575C" w:rsidP="00E9575C">
      <w:pPr>
        <w:pStyle w:val="Ttulo2"/>
        <w:rPr>
          <w:rFonts w:ascii="Times New Roman" w:hAnsi="Times New Roman" w:cs="Times New Roman"/>
          <w:i w:val="0"/>
          <w:sz w:val="24"/>
          <w:szCs w:val="24"/>
        </w:rPr>
      </w:pPr>
      <w:r w:rsidRPr="00341480">
        <w:rPr>
          <w:rFonts w:ascii="Times New Roman" w:hAnsi="Times New Roman" w:cs="Times New Roman"/>
          <w:i w:val="0"/>
          <w:sz w:val="24"/>
          <w:szCs w:val="24"/>
        </w:rPr>
        <w:t>1.7</w:t>
      </w:r>
      <w:r w:rsidRPr="00341480">
        <w:rPr>
          <w:rFonts w:ascii="Times New Roman" w:hAnsi="Times New Roman" w:cs="Times New Roman"/>
          <w:i w:val="0"/>
          <w:sz w:val="24"/>
          <w:szCs w:val="24"/>
        </w:rPr>
        <w:tab/>
        <w:t xml:space="preserve">Gasto en justicia por habitante </w:t>
      </w:r>
    </w:p>
    <w:p w:rsidR="009B442B" w:rsidRDefault="009B442B" w:rsidP="00E9575C">
      <w:pPr>
        <w:pStyle w:val="Textoindependiente"/>
        <w:spacing w:line="360" w:lineRule="auto"/>
        <w:jc w:val="both"/>
        <w:rPr>
          <w:rFonts w:ascii="Times New Roman" w:hAnsi="Times New Roman" w:cs="Times New Roman"/>
          <w:sz w:val="24"/>
          <w:szCs w:val="24"/>
        </w:rPr>
      </w:pPr>
    </w:p>
    <w:p w:rsidR="00E9575C" w:rsidRPr="00E97752" w:rsidRDefault="00E9575C" w:rsidP="00E9575C">
      <w:pPr>
        <w:pStyle w:val="Textoindependiente"/>
        <w:spacing w:line="360" w:lineRule="auto"/>
        <w:jc w:val="both"/>
        <w:rPr>
          <w:rFonts w:ascii="Times New Roman" w:hAnsi="Times New Roman" w:cs="Times New Roman"/>
          <w:sz w:val="24"/>
          <w:szCs w:val="24"/>
        </w:rPr>
      </w:pPr>
      <w:r w:rsidRPr="00E97752">
        <w:rPr>
          <w:rFonts w:ascii="Times New Roman" w:hAnsi="Times New Roman" w:cs="Times New Roman"/>
          <w:sz w:val="24"/>
          <w:szCs w:val="24"/>
        </w:rPr>
        <w:t xml:space="preserve">El costo en justicia sobre la población total es la fórmula utilizada para calcular este indicador, el cual consigna para el 2015 un monto de ¢76.026,6. Esta cifra se incrementa en un 7,3% a lo reportado un año antes, ello por cuanto el costo en justicia crece más aceleradamente que el factor poblacional. </w:t>
      </w:r>
    </w:p>
    <w:p w:rsidR="00E9575C" w:rsidRPr="00775AEA" w:rsidRDefault="00E9575C" w:rsidP="00E9575C">
      <w:pPr>
        <w:pStyle w:val="Textoindependiente"/>
        <w:spacing w:line="360" w:lineRule="auto"/>
        <w:jc w:val="both"/>
        <w:rPr>
          <w:rFonts w:ascii="Times New Roman" w:hAnsi="Times New Roman" w:cs="Times New Roman"/>
          <w:sz w:val="24"/>
          <w:szCs w:val="24"/>
        </w:rPr>
      </w:pPr>
    </w:p>
    <w:p w:rsidR="00E9575C" w:rsidRPr="00951A97" w:rsidRDefault="00E9575C" w:rsidP="00E9575C">
      <w:pPr>
        <w:pStyle w:val="Textoindependiente"/>
        <w:spacing w:line="360" w:lineRule="auto"/>
        <w:jc w:val="both"/>
        <w:rPr>
          <w:rFonts w:ascii="Times New Roman" w:hAnsi="Times New Roman" w:cs="Times New Roman"/>
          <w:sz w:val="24"/>
          <w:szCs w:val="24"/>
        </w:rPr>
      </w:pPr>
      <w:r w:rsidRPr="00775AEA">
        <w:rPr>
          <w:rFonts w:ascii="Times New Roman" w:hAnsi="Times New Roman" w:cs="Times New Roman"/>
          <w:sz w:val="24"/>
          <w:szCs w:val="24"/>
        </w:rPr>
        <w:t>Con el fin de que el dato sea comparable, se elimina el efecto de devaluación al convertir el monto dado en colones a dólares. El tipo de cambio que se utiliza es el de ¢528,47, al 1 de julio</w:t>
      </w:r>
      <w:r w:rsidRPr="00951A97">
        <w:rPr>
          <w:rFonts w:ascii="Times New Roman" w:hAnsi="Times New Roman" w:cs="Times New Roman"/>
          <w:sz w:val="24"/>
          <w:szCs w:val="24"/>
        </w:rPr>
        <w:t xml:space="preserve"> de 201</w:t>
      </w:r>
      <w:r>
        <w:rPr>
          <w:rFonts w:ascii="Times New Roman" w:hAnsi="Times New Roman" w:cs="Times New Roman"/>
          <w:sz w:val="24"/>
          <w:szCs w:val="24"/>
        </w:rPr>
        <w:t xml:space="preserve">5, dando como resultado un valor de </w:t>
      </w:r>
      <w:r w:rsidRPr="00951A97">
        <w:rPr>
          <w:rFonts w:ascii="Times New Roman" w:hAnsi="Times New Roman" w:cs="Times New Roman"/>
          <w:sz w:val="24"/>
          <w:szCs w:val="24"/>
        </w:rPr>
        <w:t>$1</w:t>
      </w:r>
      <w:r>
        <w:rPr>
          <w:rFonts w:ascii="Times New Roman" w:hAnsi="Times New Roman" w:cs="Times New Roman"/>
          <w:sz w:val="24"/>
          <w:szCs w:val="24"/>
        </w:rPr>
        <w:t>4</w:t>
      </w:r>
      <w:r w:rsidRPr="00951A97">
        <w:rPr>
          <w:rFonts w:ascii="Times New Roman" w:hAnsi="Times New Roman" w:cs="Times New Roman"/>
          <w:sz w:val="24"/>
          <w:szCs w:val="24"/>
        </w:rPr>
        <w:t>3,9.</w:t>
      </w:r>
    </w:p>
    <w:p w:rsidR="00E9575C" w:rsidRPr="00951A97" w:rsidRDefault="00E9575C" w:rsidP="00E9575C">
      <w:pPr>
        <w:pStyle w:val="Textoindependiente"/>
        <w:spacing w:line="360" w:lineRule="auto"/>
        <w:rPr>
          <w:rFonts w:ascii="Times New Roman" w:hAnsi="Times New Roman" w:cs="Times New Roman"/>
          <w:sz w:val="24"/>
          <w:szCs w:val="24"/>
        </w:rPr>
      </w:pPr>
    </w:p>
    <w:p w:rsidR="00E9575C" w:rsidRPr="00951A97" w:rsidRDefault="00E9575C" w:rsidP="00E9575C">
      <w:pPr>
        <w:pStyle w:val="Textoindependiente"/>
        <w:spacing w:line="360" w:lineRule="auto"/>
        <w:jc w:val="center"/>
        <w:rPr>
          <w:rFonts w:ascii="Times New Roman" w:hAnsi="Times New Roman" w:cs="Times New Roman"/>
          <w:sz w:val="24"/>
          <w:szCs w:val="24"/>
        </w:rPr>
      </w:pPr>
    </w:p>
    <w:p w:rsidR="00E9575C" w:rsidRDefault="00E9575C" w:rsidP="00AB510F">
      <w:pPr>
        <w:pStyle w:val="Ttulo2"/>
        <w:jc w:val="center"/>
        <w:rPr>
          <w:rFonts w:ascii="Times New Roman" w:hAnsi="Times New Roman" w:cs="Times New Roman"/>
          <w:i w:val="0"/>
          <w:sz w:val="24"/>
          <w:szCs w:val="24"/>
        </w:rPr>
      </w:pPr>
    </w:p>
    <w:p w:rsidR="00B054C9" w:rsidRDefault="00B054C9"/>
    <w:p w:rsidR="00B054C9" w:rsidRDefault="00B054C9"/>
    <w:p w:rsidR="00B054C9" w:rsidRDefault="00B054C9">
      <w:pPr>
        <w:rPr>
          <w:i/>
        </w:rPr>
      </w:pPr>
      <w:r>
        <w:rPr>
          <w:rFonts w:ascii="Times New Roman" w:hAnsi="Times New Roman" w:cs="Times New Roman"/>
          <w:noProof/>
          <w:lang w:val="es-CR" w:eastAsia="es-CR"/>
        </w:rPr>
        <w:lastRenderedPageBreak/>
        <w:drawing>
          <wp:inline distT="0" distB="0" distL="0" distR="0">
            <wp:extent cx="4549140" cy="3009900"/>
            <wp:effectExtent l="19050" t="0" r="22860" b="19050"/>
            <wp:docPr id="7" name="Objeto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9575C" w:rsidRPr="00341480" w:rsidRDefault="00E9575C" w:rsidP="00E9575C">
      <w:pPr>
        <w:pStyle w:val="Ttulo2"/>
        <w:rPr>
          <w:rFonts w:ascii="Times New Roman" w:hAnsi="Times New Roman" w:cs="Times New Roman"/>
          <w:i w:val="0"/>
          <w:sz w:val="24"/>
          <w:szCs w:val="24"/>
        </w:rPr>
      </w:pPr>
      <w:r w:rsidRPr="00341480">
        <w:rPr>
          <w:rFonts w:ascii="Times New Roman" w:hAnsi="Times New Roman" w:cs="Times New Roman"/>
          <w:i w:val="0"/>
          <w:sz w:val="24"/>
          <w:szCs w:val="24"/>
        </w:rPr>
        <w:t>1.8</w:t>
      </w:r>
      <w:r w:rsidRPr="00341480">
        <w:rPr>
          <w:rFonts w:ascii="Times New Roman" w:hAnsi="Times New Roman" w:cs="Times New Roman"/>
          <w:i w:val="0"/>
          <w:sz w:val="24"/>
          <w:szCs w:val="24"/>
        </w:rPr>
        <w:tab/>
        <w:t>Cobertura en kilómetros cuadrados por Jueza o Juez</w:t>
      </w:r>
    </w:p>
    <w:p w:rsidR="00E9575C" w:rsidRPr="00951A97" w:rsidRDefault="00E9575C" w:rsidP="00E9575C">
      <w:pPr>
        <w:pStyle w:val="Textoindependiente"/>
        <w:spacing w:line="360" w:lineRule="auto"/>
        <w:rPr>
          <w:rFonts w:ascii="Times New Roman" w:hAnsi="Times New Roman" w:cs="Times New Roman"/>
          <w:sz w:val="24"/>
          <w:szCs w:val="24"/>
        </w:rPr>
      </w:pPr>
    </w:p>
    <w:p w:rsidR="00E9575C" w:rsidRPr="00951A97" w:rsidRDefault="00E9575C" w:rsidP="00E9575C">
      <w:pPr>
        <w:pStyle w:val="Textoindependiente"/>
        <w:spacing w:line="360" w:lineRule="auto"/>
        <w:rPr>
          <w:rFonts w:ascii="Times New Roman" w:hAnsi="Times New Roman" w:cs="Times New Roman"/>
          <w:sz w:val="24"/>
          <w:szCs w:val="24"/>
        </w:rPr>
      </w:pPr>
      <w:r w:rsidRPr="00ED3013">
        <w:rPr>
          <w:rFonts w:ascii="Times New Roman" w:hAnsi="Times New Roman" w:cs="Times New Roman"/>
          <w:sz w:val="24"/>
          <w:szCs w:val="24"/>
        </w:rPr>
        <w:t>El cálculo de este indicador se realiza al dividir la superficie (en kilómetros cuadrados) del país</w:t>
      </w:r>
      <w:r w:rsidRPr="00951A97">
        <w:rPr>
          <w:rFonts w:ascii="Times New Roman" w:hAnsi="Times New Roman" w:cs="Times New Roman"/>
          <w:sz w:val="24"/>
          <w:szCs w:val="24"/>
        </w:rPr>
        <w:t xml:space="preserve"> entre el número de juezas y jueces.</w:t>
      </w:r>
    </w:p>
    <w:p w:rsidR="00E9575C" w:rsidRPr="00951A97" w:rsidRDefault="00E9575C" w:rsidP="00E9575C">
      <w:pPr>
        <w:pStyle w:val="Textoindependiente"/>
        <w:spacing w:line="360" w:lineRule="auto"/>
        <w:rPr>
          <w:rFonts w:ascii="Times New Roman" w:hAnsi="Times New Roman" w:cs="Times New Roman"/>
          <w:sz w:val="24"/>
          <w:szCs w:val="24"/>
        </w:rPr>
      </w:pPr>
    </w:p>
    <w:p w:rsidR="00E9575C" w:rsidRPr="00951A97" w:rsidRDefault="00E9575C" w:rsidP="00E9575C">
      <w:pPr>
        <w:pStyle w:val="Textoindependiente"/>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Con el incremento de los jueces año con año, se ha ido minimizando el área territorial que debe cubrir cada persona juzgadora. Así, en el 2015 el área que debía cubrir cada jueza o juez es de 41,3 kilómetros cuadrados, siendo que un año antes era 42,9, lo que sugiere una mejora </w:t>
      </w:r>
      <w:r w:rsidR="00DA5365">
        <w:rPr>
          <w:rFonts w:ascii="Times New Roman" w:hAnsi="Times New Roman" w:cs="Times New Roman"/>
          <w:sz w:val="24"/>
          <w:szCs w:val="24"/>
        </w:rPr>
        <w:t>e</w:t>
      </w:r>
      <w:r>
        <w:rPr>
          <w:rFonts w:ascii="Times New Roman" w:hAnsi="Times New Roman" w:cs="Times New Roman"/>
          <w:sz w:val="24"/>
          <w:szCs w:val="24"/>
        </w:rPr>
        <w:t>n beneficio de la población en general</w:t>
      </w:r>
      <w:r w:rsidRPr="00951A97">
        <w:rPr>
          <w:rFonts w:ascii="Times New Roman" w:hAnsi="Times New Roman" w:cs="Times New Roman"/>
          <w:sz w:val="24"/>
          <w:szCs w:val="24"/>
        </w:rPr>
        <w:t>.</w:t>
      </w:r>
    </w:p>
    <w:p w:rsidR="00E9575C" w:rsidRPr="00951A97" w:rsidRDefault="00E9575C" w:rsidP="00E9575C">
      <w:pPr>
        <w:pStyle w:val="Textoindependiente"/>
        <w:spacing w:line="360" w:lineRule="auto"/>
        <w:jc w:val="center"/>
        <w:rPr>
          <w:rFonts w:ascii="Times New Roman" w:hAnsi="Times New Roman" w:cs="Times New Roman"/>
          <w:sz w:val="24"/>
          <w:szCs w:val="24"/>
        </w:rPr>
      </w:pPr>
    </w:p>
    <w:p w:rsidR="00E9575C" w:rsidRDefault="00E9575C" w:rsidP="00E9575C">
      <w:pPr>
        <w:pStyle w:val="Ttulo2"/>
        <w:rPr>
          <w:rFonts w:ascii="Times New Roman" w:hAnsi="Times New Roman" w:cs="Times New Roman"/>
          <w:sz w:val="24"/>
          <w:szCs w:val="24"/>
        </w:rPr>
      </w:pPr>
    </w:p>
    <w:p w:rsidR="00B054C9" w:rsidRDefault="00B054C9">
      <w:r>
        <w:rPr>
          <w:rFonts w:ascii="Times New Roman" w:hAnsi="Times New Roman" w:cs="Times New Roman"/>
          <w:noProof/>
          <w:lang w:val="es-CR" w:eastAsia="es-CR"/>
        </w:rPr>
        <w:drawing>
          <wp:inline distT="0" distB="0" distL="0" distR="0">
            <wp:extent cx="4663440" cy="3017520"/>
            <wp:effectExtent l="19050" t="0" r="22860" b="0"/>
            <wp:docPr id="8" name="Objeto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054C9" w:rsidRDefault="00B054C9"/>
    <w:p w:rsidR="00E9575C" w:rsidRPr="00341480" w:rsidRDefault="00E9575C" w:rsidP="00E9575C">
      <w:pPr>
        <w:pStyle w:val="Ttulo2"/>
        <w:rPr>
          <w:rFonts w:ascii="Times New Roman" w:hAnsi="Times New Roman" w:cs="Times New Roman"/>
          <w:i w:val="0"/>
          <w:sz w:val="24"/>
          <w:szCs w:val="24"/>
        </w:rPr>
      </w:pPr>
      <w:r w:rsidRPr="00341480">
        <w:rPr>
          <w:rFonts w:ascii="Times New Roman" w:hAnsi="Times New Roman" w:cs="Times New Roman"/>
          <w:i w:val="0"/>
          <w:sz w:val="24"/>
          <w:szCs w:val="24"/>
        </w:rPr>
        <w:t>1.9</w:t>
      </w:r>
      <w:r w:rsidRPr="00341480">
        <w:rPr>
          <w:rFonts w:ascii="Times New Roman" w:hAnsi="Times New Roman" w:cs="Times New Roman"/>
          <w:i w:val="0"/>
          <w:sz w:val="24"/>
          <w:szCs w:val="24"/>
        </w:rPr>
        <w:tab/>
        <w:t>Juezas y jueces por 100 mil habitantes</w:t>
      </w:r>
    </w:p>
    <w:p w:rsidR="00E9575C" w:rsidRDefault="00E9575C" w:rsidP="00E9575C">
      <w:pPr>
        <w:pStyle w:val="Textoindependiente"/>
        <w:spacing w:line="360" w:lineRule="auto"/>
        <w:rPr>
          <w:rFonts w:ascii="Times New Roman" w:hAnsi="Times New Roman" w:cs="Times New Roman"/>
          <w:sz w:val="24"/>
          <w:szCs w:val="24"/>
        </w:rPr>
      </w:pPr>
    </w:p>
    <w:p w:rsidR="00E9575C" w:rsidRPr="00951A97" w:rsidRDefault="00E9575C" w:rsidP="00E9575C">
      <w:pPr>
        <w:pStyle w:val="Textoindependiente"/>
        <w:spacing w:line="360" w:lineRule="auto"/>
        <w:rPr>
          <w:rFonts w:ascii="Times New Roman" w:hAnsi="Times New Roman" w:cs="Times New Roman"/>
          <w:sz w:val="24"/>
          <w:szCs w:val="24"/>
        </w:rPr>
      </w:pPr>
      <w:r>
        <w:rPr>
          <w:rFonts w:ascii="Times New Roman" w:hAnsi="Times New Roman" w:cs="Times New Roman"/>
          <w:sz w:val="24"/>
          <w:szCs w:val="24"/>
        </w:rPr>
        <w:t xml:space="preserve">El personal juzgador nombrado de manera ordinaria en el 2015 llega a 1.236, sea 45 más que en el año anterior,  </w:t>
      </w:r>
      <w:r w:rsidRPr="003B3033">
        <w:rPr>
          <w:rFonts w:ascii="Times New Roman" w:hAnsi="Times New Roman" w:cs="Times New Roman"/>
          <w:sz w:val="24"/>
          <w:szCs w:val="24"/>
        </w:rPr>
        <w:t>lo que presupone un mayor nivel resolutivo en comparación con lo logrado en el 2014; no obstante, el volumen de asuntos resueltos en el 2015, sin descontar las incompetencias (605.022), es menor que lo que se terminó un año antes (610.430)</w:t>
      </w:r>
      <w:r>
        <w:rPr>
          <w:rFonts w:ascii="Times New Roman" w:hAnsi="Times New Roman" w:cs="Times New Roman"/>
          <w:sz w:val="24"/>
          <w:szCs w:val="24"/>
        </w:rPr>
        <w:t xml:space="preserve">. Este indicador establece que para el 2015 hay nombrados 26 jueces o juezas por cada 100 mil habitantes.  </w:t>
      </w:r>
    </w:p>
    <w:p w:rsidR="00E9575C" w:rsidRPr="00951A97" w:rsidRDefault="00E9575C" w:rsidP="00E9575C">
      <w:pPr>
        <w:pStyle w:val="Textoindependiente"/>
        <w:spacing w:line="360" w:lineRule="auto"/>
        <w:jc w:val="both"/>
        <w:rPr>
          <w:rFonts w:ascii="Times New Roman" w:hAnsi="Times New Roman" w:cs="Times New Roman"/>
          <w:sz w:val="24"/>
          <w:szCs w:val="24"/>
        </w:rPr>
      </w:pPr>
      <w:r w:rsidRPr="003B3033">
        <w:rPr>
          <w:rFonts w:ascii="Times New Roman" w:hAnsi="Times New Roman" w:cs="Times New Roman"/>
          <w:sz w:val="24"/>
          <w:szCs w:val="24"/>
        </w:rPr>
        <w:t xml:space="preserve">En el siguiente gráfico se muestra la tendencia seguida por este indicador y los tres siguientes. </w:t>
      </w:r>
    </w:p>
    <w:p w:rsidR="00E9575C" w:rsidRPr="00951A97" w:rsidRDefault="00E9575C" w:rsidP="00E9575C">
      <w:pPr>
        <w:pStyle w:val="Textoindependiente"/>
        <w:spacing w:line="360" w:lineRule="auto"/>
        <w:rPr>
          <w:rFonts w:ascii="Times New Roman" w:hAnsi="Times New Roman" w:cs="Times New Roman"/>
          <w:sz w:val="24"/>
          <w:szCs w:val="24"/>
        </w:rPr>
      </w:pPr>
    </w:p>
    <w:p w:rsidR="00E9575C" w:rsidRPr="00684DCA" w:rsidRDefault="00E9575C" w:rsidP="00E9575C">
      <w:pPr>
        <w:pStyle w:val="Ttulo2"/>
        <w:rPr>
          <w:rFonts w:ascii="Times New Roman" w:hAnsi="Times New Roman" w:cs="Times New Roman"/>
          <w:i w:val="0"/>
          <w:sz w:val="24"/>
          <w:szCs w:val="24"/>
        </w:rPr>
      </w:pPr>
      <w:r w:rsidRPr="00684DCA">
        <w:rPr>
          <w:rFonts w:ascii="Times New Roman" w:hAnsi="Times New Roman" w:cs="Times New Roman"/>
          <w:i w:val="0"/>
          <w:sz w:val="24"/>
          <w:szCs w:val="24"/>
        </w:rPr>
        <w:t>1.10</w:t>
      </w:r>
      <w:r w:rsidRPr="00684DCA">
        <w:rPr>
          <w:rFonts w:ascii="Times New Roman" w:hAnsi="Times New Roman" w:cs="Times New Roman"/>
          <w:i w:val="0"/>
          <w:sz w:val="24"/>
          <w:szCs w:val="24"/>
        </w:rPr>
        <w:tab/>
        <w:t>Personal auxiliar por 100 mil habitantes</w:t>
      </w:r>
    </w:p>
    <w:p w:rsidR="00E9575C" w:rsidRPr="00951A97" w:rsidRDefault="00E9575C" w:rsidP="00E9575C">
      <w:pPr>
        <w:pStyle w:val="Textoindependiente"/>
        <w:spacing w:line="360" w:lineRule="auto"/>
        <w:rPr>
          <w:rFonts w:ascii="Times New Roman" w:hAnsi="Times New Roman" w:cs="Times New Roman"/>
          <w:sz w:val="24"/>
          <w:szCs w:val="24"/>
        </w:rPr>
      </w:pPr>
    </w:p>
    <w:p w:rsidR="00E9575C" w:rsidRPr="00951A97" w:rsidRDefault="00E9575C" w:rsidP="00E9575C">
      <w:pPr>
        <w:pStyle w:val="Textoindependiente"/>
        <w:spacing w:line="360" w:lineRule="auto"/>
        <w:jc w:val="both"/>
        <w:rPr>
          <w:rFonts w:ascii="Times New Roman" w:hAnsi="Times New Roman" w:cs="Times New Roman"/>
          <w:sz w:val="24"/>
          <w:szCs w:val="24"/>
        </w:rPr>
      </w:pPr>
      <w:r w:rsidRPr="00395289">
        <w:rPr>
          <w:rFonts w:ascii="Times New Roman" w:hAnsi="Times New Roman" w:cs="Times New Roman"/>
          <w:sz w:val="24"/>
          <w:szCs w:val="24"/>
        </w:rPr>
        <w:t xml:space="preserve">La cantidad de personal auxiliar que colabora en la labor que realizan las juezas y jueces ha venido creciendo año con </w:t>
      </w:r>
      <w:proofErr w:type="spellStart"/>
      <w:r w:rsidRPr="00395289">
        <w:rPr>
          <w:rFonts w:ascii="Times New Roman" w:hAnsi="Times New Roman" w:cs="Times New Roman"/>
          <w:sz w:val="24"/>
          <w:szCs w:val="24"/>
        </w:rPr>
        <w:t>año</w:t>
      </w:r>
      <w:proofErr w:type="gramStart"/>
      <w:r w:rsidRPr="00395289">
        <w:rPr>
          <w:rFonts w:ascii="Times New Roman" w:hAnsi="Times New Roman" w:cs="Times New Roman"/>
          <w:sz w:val="24"/>
          <w:szCs w:val="24"/>
        </w:rPr>
        <w:t>;no</w:t>
      </w:r>
      <w:proofErr w:type="spellEnd"/>
      <w:proofErr w:type="gramEnd"/>
      <w:r w:rsidRPr="00395289">
        <w:rPr>
          <w:rFonts w:ascii="Times New Roman" w:hAnsi="Times New Roman" w:cs="Times New Roman"/>
          <w:sz w:val="24"/>
          <w:szCs w:val="24"/>
        </w:rPr>
        <w:t xml:space="preserve"> obstante, las variaciones dadas es se deben </w:t>
      </w:r>
      <w:r w:rsidR="0053493C" w:rsidRPr="00395289">
        <w:rPr>
          <w:rFonts w:ascii="Times New Roman" w:hAnsi="Times New Roman" w:cs="Times New Roman"/>
          <w:sz w:val="24"/>
          <w:szCs w:val="24"/>
        </w:rPr>
        <w:t>principalmente al</w:t>
      </w:r>
      <w:r w:rsidRPr="00395289">
        <w:rPr>
          <w:rFonts w:ascii="Times New Roman" w:hAnsi="Times New Roman" w:cs="Times New Roman"/>
          <w:sz w:val="24"/>
          <w:szCs w:val="24"/>
        </w:rPr>
        <w:t xml:space="preserve"> efecto poblacional. Así, en el 2015 el indicador señala que existen aproximadamente 55 personas auxiliares por cada 100 mil habitantes.</w:t>
      </w:r>
    </w:p>
    <w:p w:rsidR="00E9575C" w:rsidRPr="00684DCA" w:rsidRDefault="00E9575C" w:rsidP="00E9575C">
      <w:pPr>
        <w:pStyle w:val="Ttulo2"/>
        <w:jc w:val="both"/>
        <w:rPr>
          <w:rFonts w:ascii="Times New Roman" w:hAnsi="Times New Roman" w:cs="Times New Roman"/>
          <w:i w:val="0"/>
          <w:sz w:val="24"/>
          <w:szCs w:val="24"/>
        </w:rPr>
      </w:pPr>
      <w:r w:rsidRPr="00684DCA">
        <w:rPr>
          <w:rFonts w:ascii="Times New Roman" w:hAnsi="Times New Roman" w:cs="Times New Roman"/>
          <w:i w:val="0"/>
          <w:sz w:val="24"/>
          <w:szCs w:val="24"/>
        </w:rPr>
        <w:lastRenderedPageBreak/>
        <w:t>1.11</w:t>
      </w:r>
      <w:r w:rsidRPr="00684DCA">
        <w:rPr>
          <w:rFonts w:ascii="Times New Roman" w:hAnsi="Times New Roman" w:cs="Times New Roman"/>
          <w:i w:val="0"/>
          <w:sz w:val="24"/>
          <w:szCs w:val="24"/>
        </w:rPr>
        <w:tab/>
        <w:t>Fiscalas y Fiscales por 100 mil habitantes</w:t>
      </w:r>
    </w:p>
    <w:p w:rsidR="00E9575C" w:rsidRPr="00951A97" w:rsidRDefault="00E9575C" w:rsidP="00E9575C">
      <w:pPr>
        <w:pStyle w:val="Textoindependiente"/>
        <w:spacing w:line="360" w:lineRule="auto"/>
        <w:rPr>
          <w:rFonts w:ascii="Times New Roman" w:hAnsi="Times New Roman" w:cs="Times New Roman"/>
          <w:sz w:val="24"/>
          <w:szCs w:val="24"/>
        </w:rPr>
      </w:pPr>
    </w:p>
    <w:p w:rsidR="00E9575C" w:rsidRPr="00951A97" w:rsidRDefault="00E9575C" w:rsidP="00E9575C">
      <w:pPr>
        <w:pStyle w:val="Textoindependiente"/>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cálculo para este indicador  determina que en el 2015 hay 11,3 </w:t>
      </w:r>
      <w:r w:rsidRPr="00951A97">
        <w:rPr>
          <w:rFonts w:ascii="Times New Roman" w:hAnsi="Times New Roman" w:cs="Times New Roman"/>
          <w:sz w:val="24"/>
          <w:szCs w:val="24"/>
        </w:rPr>
        <w:t xml:space="preserve">fiscalas o fiscales por cada 100 mil habitantes, </w:t>
      </w:r>
      <w:r>
        <w:rPr>
          <w:rFonts w:ascii="Times New Roman" w:hAnsi="Times New Roman" w:cs="Times New Roman"/>
          <w:sz w:val="24"/>
          <w:szCs w:val="24"/>
        </w:rPr>
        <w:t>las cuales se encargan de</w:t>
      </w:r>
      <w:r w:rsidRPr="00951A97">
        <w:rPr>
          <w:rFonts w:ascii="Times New Roman" w:hAnsi="Times New Roman" w:cs="Times New Roman"/>
          <w:sz w:val="24"/>
          <w:szCs w:val="24"/>
        </w:rPr>
        <w:t xml:space="preserve"> impulsar el litigio como parte acusatoria.</w:t>
      </w:r>
    </w:p>
    <w:p w:rsidR="00E9575C" w:rsidRPr="00951A97" w:rsidRDefault="00E9575C" w:rsidP="00E9575C">
      <w:pPr>
        <w:pStyle w:val="Textoindependiente"/>
        <w:spacing w:line="360" w:lineRule="auto"/>
        <w:rPr>
          <w:rFonts w:ascii="Times New Roman" w:hAnsi="Times New Roman" w:cs="Times New Roman"/>
          <w:sz w:val="24"/>
          <w:szCs w:val="24"/>
        </w:rPr>
      </w:pPr>
    </w:p>
    <w:p w:rsidR="00E9575C" w:rsidRPr="00684DCA" w:rsidRDefault="00E9575C" w:rsidP="00E9575C">
      <w:pPr>
        <w:pStyle w:val="Ttulo2"/>
        <w:jc w:val="both"/>
        <w:rPr>
          <w:rFonts w:ascii="Times New Roman" w:hAnsi="Times New Roman" w:cs="Times New Roman"/>
          <w:i w:val="0"/>
          <w:sz w:val="24"/>
          <w:szCs w:val="24"/>
        </w:rPr>
      </w:pPr>
      <w:r w:rsidRPr="00684DCA">
        <w:rPr>
          <w:rFonts w:ascii="Times New Roman" w:hAnsi="Times New Roman" w:cs="Times New Roman"/>
          <w:i w:val="0"/>
          <w:sz w:val="24"/>
          <w:szCs w:val="24"/>
        </w:rPr>
        <w:t>1.12</w:t>
      </w:r>
      <w:r w:rsidRPr="00684DCA">
        <w:rPr>
          <w:rFonts w:ascii="Times New Roman" w:hAnsi="Times New Roman" w:cs="Times New Roman"/>
          <w:i w:val="0"/>
          <w:sz w:val="24"/>
          <w:szCs w:val="24"/>
        </w:rPr>
        <w:tab/>
        <w:t>Defensoras y Defensores públicos por 100 mil habitantes</w:t>
      </w:r>
    </w:p>
    <w:p w:rsidR="00E9575C" w:rsidRPr="00951A97" w:rsidRDefault="00E9575C" w:rsidP="00E9575C">
      <w:pPr>
        <w:pStyle w:val="Textoindependiente"/>
        <w:spacing w:line="360" w:lineRule="auto"/>
        <w:rPr>
          <w:rFonts w:ascii="Times New Roman" w:hAnsi="Times New Roman" w:cs="Times New Roman"/>
          <w:b/>
          <w:bCs/>
          <w:sz w:val="24"/>
          <w:szCs w:val="24"/>
        </w:rPr>
      </w:pPr>
    </w:p>
    <w:p w:rsidR="009B442B" w:rsidRDefault="00E9575C" w:rsidP="00E9575C">
      <w:pPr>
        <w:pStyle w:val="Textoindependiente"/>
        <w:spacing w:line="360" w:lineRule="auto"/>
        <w:jc w:val="both"/>
        <w:rPr>
          <w:rFonts w:ascii="Times New Roman" w:hAnsi="Times New Roman" w:cs="Times New Roman"/>
          <w:sz w:val="24"/>
          <w:szCs w:val="24"/>
        </w:rPr>
      </w:pPr>
      <w:r w:rsidRPr="00E44067">
        <w:rPr>
          <w:rFonts w:ascii="Times New Roman" w:hAnsi="Times New Roman" w:cs="Times New Roman"/>
          <w:sz w:val="24"/>
          <w:szCs w:val="24"/>
        </w:rPr>
        <w:t xml:space="preserve">En lo que a la defensoría pública se refiere, se registran aproximadamente </w:t>
      </w:r>
      <w:r w:rsidR="00500717">
        <w:rPr>
          <w:rFonts w:ascii="Times New Roman" w:hAnsi="Times New Roman" w:cs="Times New Roman"/>
          <w:sz w:val="24"/>
          <w:szCs w:val="24"/>
        </w:rPr>
        <w:t>9.5</w:t>
      </w:r>
      <w:r w:rsidRPr="00E44067">
        <w:rPr>
          <w:rFonts w:ascii="Times New Roman" w:hAnsi="Times New Roman" w:cs="Times New Roman"/>
          <w:sz w:val="24"/>
          <w:szCs w:val="24"/>
        </w:rPr>
        <w:t xml:space="preserve"> defensoras o</w:t>
      </w:r>
      <w:r w:rsidRPr="00951A97">
        <w:rPr>
          <w:rFonts w:ascii="Times New Roman" w:hAnsi="Times New Roman" w:cs="Times New Roman"/>
          <w:sz w:val="24"/>
          <w:szCs w:val="24"/>
        </w:rPr>
        <w:t xml:space="preserve"> defensores por cada 100 mil habitantes.   </w:t>
      </w:r>
    </w:p>
    <w:p w:rsidR="00AB510F" w:rsidRPr="00951A97" w:rsidRDefault="00AB510F" w:rsidP="00E9575C">
      <w:pPr>
        <w:pStyle w:val="Textoindependiente"/>
        <w:spacing w:line="360" w:lineRule="auto"/>
        <w:jc w:val="both"/>
        <w:rPr>
          <w:rFonts w:ascii="Times New Roman" w:hAnsi="Times New Roman" w:cs="Times New Roman"/>
          <w:sz w:val="24"/>
          <w:szCs w:val="24"/>
        </w:rPr>
      </w:pPr>
    </w:p>
    <w:p w:rsidR="00E9575C" w:rsidRPr="00951A97" w:rsidRDefault="00AB510F" w:rsidP="00AB510F">
      <w:pPr>
        <w:pStyle w:val="Textoindependiente"/>
        <w:spacing w:line="360" w:lineRule="auto"/>
        <w:jc w:val="center"/>
        <w:rPr>
          <w:rFonts w:ascii="Times New Roman" w:hAnsi="Times New Roman" w:cs="Times New Roman"/>
          <w:sz w:val="24"/>
          <w:szCs w:val="24"/>
        </w:rPr>
      </w:pPr>
      <w:r w:rsidRPr="00951A97">
        <w:rPr>
          <w:rFonts w:ascii="Times New Roman" w:hAnsi="Times New Roman" w:cs="Times New Roman"/>
          <w:noProof/>
          <w:sz w:val="24"/>
          <w:szCs w:val="24"/>
          <w:lang w:val="es-CR" w:eastAsia="es-CR"/>
        </w:rPr>
        <w:drawing>
          <wp:inline distT="0" distB="0" distL="0" distR="0">
            <wp:extent cx="4511040" cy="3025140"/>
            <wp:effectExtent l="0" t="0" r="0" b="0"/>
            <wp:docPr id="95" name="Gráfico 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9575C" w:rsidRPr="00951A97" w:rsidRDefault="00E9575C" w:rsidP="00E9575C">
      <w:pPr>
        <w:pStyle w:val="Textoindependiente"/>
        <w:spacing w:line="360" w:lineRule="auto"/>
        <w:jc w:val="center"/>
        <w:rPr>
          <w:rFonts w:ascii="Times New Roman" w:hAnsi="Times New Roman" w:cs="Times New Roman"/>
          <w:sz w:val="24"/>
          <w:szCs w:val="24"/>
        </w:rPr>
      </w:pPr>
    </w:p>
    <w:p w:rsidR="00E9575C" w:rsidRDefault="00E9575C" w:rsidP="00E9575C">
      <w:pPr>
        <w:pStyle w:val="Textoindependiente"/>
        <w:spacing w:line="360" w:lineRule="auto"/>
        <w:rPr>
          <w:rFonts w:ascii="Times New Roman" w:hAnsi="Times New Roman" w:cs="Times New Roman"/>
          <w:sz w:val="24"/>
          <w:szCs w:val="24"/>
        </w:rPr>
      </w:pPr>
    </w:p>
    <w:p w:rsidR="00DE3441" w:rsidRDefault="00B054C9" w:rsidP="00E9575C">
      <w:pPr>
        <w:pStyle w:val="Textoindependiente"/>
        <w:spacing w:line="360" w:lineRule="auto"/>
        <w:rPr>
          <w:rFonts w:ascii="Times New Roman" w:hAnsi="Times New Roman" w:cs="Times New Roman"/>
          <w:sz w:val="24"/>
          <w:szCs w:val="24"/>
        </w:rPr>
      </w:pPr>
      <w:r>
        <w:rPr>
          <w:rFonts w:ascii="Times New Roman" w:hAnsi="Times New Roman" w:cs="Times New Roman"/>
          <w:noProof/>
          <w:sz w:val="24"/>
          <w:szCs w:val="24"/>
          <w:lang w:val="es-CR" w:eastAsia="es-CR"/>
        </w:rPr>
        <w:lastRenderedPageBreak/>
        <w:drawing>
          <wp:inline distT="0" distB="0" distL="0" distR="0">
            <wp:extent cx="4511040" cy="3025140"/>
            <wp:effectExtent l="19050" t="0" r="22860" b="3810"/>
            <wp:docPr id="10" name="Objeto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E3441" w:rsidRPr="00951A97" w:rsidRDefault="00DE3441" w:rsidP="00E9575C">
      <w:pPr>
        <w:pStyle w:val="Textoindependiente"/>
        <w:spacing w:line="360" w:lineRule="auto"/>
        <w:rPr>
          <w:rFonts w:ascii="Times New Roman" w:hAnsi="Times New Roman" w:cs="Times New Roman"/>
          <w:sz w:val="24"/>
          <w:szCs w:val="24"/>
        </w:rPr>
      </w:pPr>
    </w:p>
    <w:p w:rsidR="00E9575C" w:rsidRDefault="00E9575C" w:rsidP="00E9575C">
      <w:pPr>
        <w:pStyle w:val="Textoindependiente"/>
        <w:spacing w:line="360" w:lineRule="auto"/>
        <w:jc w:val="both"/>
        <w:rPr>
          <w:rFonts w:ascii="Times New Roman" w:hAnsi="Times New Roman" w:cs="Times New Roman"/>
          <w:sz w:val="24"/>
          <w:szCs w:val="24"/>
        </w:rPr>
      </w:pPr>
      <w:r>
        <w:rPr>
          <w:rFonts w:ascii="Times New Roman" w:hAnsi="Times New Roman" w:cs="Times New Roman"/>
          <w:sz w:val="24"/>
          <w:szCs w:val="24"/>
        </w:rPr>
        <w:t>Es importante señalar, que en estos últimos cuatro indicadores, las variables que se utilizan para su cálculo han venido creciendo en el transcurso de los años, ello como parte del compromiso del Poder Judicial con la ciudadanía en general</w:t>
      </w:r>
      <w:r w:rsidR="009B442B">
        <w:rPr>
          <w:rFonts w:ascii="Times New Roman" w:hAnsi="Times New Roman" w:cs="Times New Roman"/>
          <w:sz w:val="24"/>
          <w:szCs w:val="24"/>
        </w:rPr>
        <w:t>.</w:t>
      </w:r>
    </w:p>
    <w:p w:rsidR="009030AD" w:rsidRPr="009030AD" w:rsidRDefault="009030AD" w:rsidP="009030AD">
      <w:pPr>
        <w:keepNext/>
        <w:widowControl/>
        <w:pBdr>
          <w:top w:val="single" w:sz="4" w:space="1" w:color="000000"/>
          <w:left w:val="single" w:sz="4" w:space="4" w:color="000000"/>
          <w:bottom w:val="single" w:sz="4" w:space="1" w:color="000000"/>
          <w:right w:val="single" w:sz="4" w:space="4" w:color="000000"/>
        </w:pBdr>
        <w:shd w:val="clear" w:color="auto" w:fill="000000"/>
        <w:tabs>
          <w:tab w:val="left" w:pos="360"/>
          <w:tab w:val="left" w:pos="720"/>
          <w:tab w:val="left" w:pos="900"/>
        </w:tabs>
        <w:suppressAutoHyphens/>
        <w:autoSpaceDE/>
        <w:autoSpaceDN/>
        <w:adjustRightInd/>
        <w:spacing w:line="480" w:lineRule="atLeast"/>
        <w:jc w:val="center"/>
        <w:outlineLvl w:val="0"/>
        <w:rPr>
          <w:rFonts w:ascii="Times New Roman" w:hAnsi="Times New Roman" w:cs="Times New Roman"/>
          <w:b/>
          <w:bCs/>
          <w:iCs/>
          <w:color w:val="FFFFFF"/>
          <w:spacing w:val="-3"/>
          <w:sz w:val="28"/>
          <w:szCs w:val="28"/>
          <w:u w:color="000000"/>
          <w:lang w:eastAsia="ar-SA"/>
        </w:rPr>
      </w:pPr>
      <w:r w:rsidRPr="009030AD">
        <w:rPr>
          <w:rFonts w:ascii="Times New Roman" w:hAnsi="Times New Roman" w:cs="Times New Roman"/>
          <w:b/>
          <w:bCs/>
          <w:iCs/>
          <w:color w:val="FFFFFF"/>
          <w:spacing w:val="-3"/>
          <w:sz w:val="28"/>
          <w:szCs w:val="28"/>
          <w:u w:color="000000"/>
          <w:lang w:eastAsia="ar-SA"/>
        </w:rPr>
        <w:t xml:space="preserve">2. </w:t>
      </w:r>
      <w:r w:rsidRPr="009030AD">
        <w:rPr>
          <w:rFonts w:ascii="Times New Roman" w:hAnsi="Times New Roman" w:cs="Times New Roman"/>
          <w:b/>
          <w:bCs/>
          <w:iCs/>
          <w:color w:val="FFFFFF"/>
          <w:spacing w:val="-3"/>
          <w:sz w:val="28"/>
          <w:szCs w:val="28"/>
          <w:u w:color="000000"/>
          <w:lang w:eastAsia="ar-SA"/>
        </w:rPr>
        <w:tab/>
      </w:r>
      <w:r w:rsidRPr="009030AD">
        <w:rPr>
          <w:rFonts w:ascii="Times New Roman" w:hAnsi="Times New Roman" w:cs="Times New Roman"/>
          <w:b/>
          <w:bCs/>
          <w:iCs/>
          <w:color w:val="FFFFFF"/>
          <w:spacing w:val="-3"/>
          <w:sz w:val="28"/>
          <w:szCs w:val="28"/>
          <w:u w:color="000000"/>
          <w:lang w:eastAsia="ar-SA"/>
        </w:rPr>
        <w:tab/>
        <w:t>LITIGIOSIDAD Y CARGA DE TRABAJO</w:t>
      </w:r>
    </w:p>
    <w:p w:rsidR="009030AD" w:rsidRPr="009030AD" w:rsidRDefault="009030AD" w:rsidP="009030AD">
      <w:pPr>
        <w:spacing w:line="360" w:lineRule="auto"/>
        <w:jc w:val="both"/>
        <w:rPr>
          <w:rFonts w:ascii="Times New Roman" w:hAnsi="Times New Roman" w:cs="Times New Roman"/>
          <w:lang w:eastAsia="ar-SA"/>
        </w:rPr>
      </w:pPr>
    </w:p>
    <w:p w:rsidR="009030AD" w:rsidRPr="009030AD" w:rsidRDefault="009030AD" w:rsidP="009030AD">
      <w:pPr>
        <w:spacing w:line="360" w:lineRule="auto"/>
        <w:jc w:val="both"/>
        <w:rPr>
          <w:rFonts w:ascii="Times New Roman" w:hAnsi="Times New Roman" w:cs="Times New Roman"/>
        </w:rPr>
      </w:pPr>
      <w:r w:rsidRPr="009030AD">
        <w:rPr>
          <w:rFonts w:ascii="Times New Roman" w:hAnsi="Times New Roman" w:cs="Times New Roman"/>
        </w:rPr>
        <w:t xml:space="preserve">En este apartado se examina el comportamiento de nueve indicadores judiciales, mediante los cuales se pretende diagnosticar la posibilidad y la disposición, por parte de la población nacional, para acudir a los servicios del sistema judicial, en la resolución de sus conflictos. </w:t>
      </w:r>
    </w:p>
    <w:p w:rsidR="009030AD" w:rsidRPr="009030AD" w:rsidRDefault="009030AD" w:rsidP="009030AD">
      <w:pPr>
        <w:spacing w:line="360" w:lineRule="auto"/>
        <w:rPr>
          <w:rFonts w:ascii="Times New Roman" w:hAnsi="Times New Roman" w:cs="Times New Roman"/>
        </w:rPr>
      </w:pPr>
    </w:p>
    <w:p w:rsidR="009030AD" w:rsidRPr="009030AD" w:rsidRDefault="009030AD" w:rsidP="009030AD">
      <w:pPr>
        <w:spacing w:line="360" w:lineRule="auto"/>
        <w:jc w:val="both"/>
        <w:rPr>
          <w:rFonts w:ascii="Times New Roman" w:hAnsi="Times New Roman" w:cs="Times New Roman"/>
        </w:rPr>
      </w:pPr>
      <w:r w:rsidRPr="009030AD">
        <w:rPr>
          <w:rFonts w:ascii="Times New Roman" w:hAnsi="Times New Roman" w:cs="Times New Roman"/>
        </w:rPr>
        <w:t xml:space="preserve">Asimismo, se resume la situación de los procesos interpuestos por la ciudadanía, ante el Poder Judicial de </w:t>
      </w:r>
      <w:smartTag w:uri="urn:schemas-microsoft-com:office:smarttags" w:element="PersonName">
        <w:smartTagPr>
          <w:attr w:name="ProductID" w:val="la República"/>
        </w:smartTagPr>
        <w:r w:rsidRPr="009030AD">
          <w:rPr>
            <w:rFonts w:ascii="Times New Roman" w:hAnsi="Times New Roman" w:cs="Times New Roman"/>
          </w:rPr>
          <w:t>la República</w:t>
        </w:r>
      </w:smartTag>
      <w:r w:rsidRPr="009030AD">
        <w:rPr>
          <w:rFonts w:ascii="Times New Roman" w:hAnsi="Times New Roman" w:cs="Times New Roman"/>
        </w:rPr>
        <w:t xml:space="preserve"> de Costa Rica, en busca de una justicia pronta y cumplida.</w:t>
      </w:r>
    </w:p>
    <w:p w:rsidR="009030AD" w:rsidRPr="009030AD" w:rsidRDefault="009030AD" w:rsidP="009030AD">
      <w:pPr>
        <w:rPr>
          <w:rFonts w:ascii="Times New Roman" w:hAnsi="Times New Roman" w:cs="Times New Roman"/>
          <w:b/>
          <w:bCs/>
        </w:rPr>
      </w:pPr>
    </w:p>
    <w:p w:rsidR="009030AD" w:rsidRPr="009030AD" w:rsidRDefault="009030AD" w:rsidP="009030AD">
      <w:pPr>
        <w:keepNext/>
        <w:spacing w:before="240" w:after="60"/>
        <w:jc w:val="both"/>
        <w:outlineLvl w:val="1"/>
        <w:rPr>
          <w:rFonts w:ascii="Times New Roman" w:hAnsi="Times New Roman" w:cs="Times New Roman"/>
          <w:b/>
          <w:bCs/>
          <w:iCs/>
        </w:rPr>
      </w:pPr>
      <w:r w:rsidRPr="009030AD">
        <w:rPr>
          <w:rFonts w:ascii="Times New Roman" w:hAnsi="Times New Roman" w:cs="Times New Roman"/>
          <w:b/>
          <w:bCs/>
          <w:iCs/>
        </w:rPr>
        <w:t>2.1</w:t>
      </w:r>
      <w:r w:rsidRPr="009030AD">
        <w:rPr>
          <w:rFonts w:ascii="Times New Roman" w:hAnsi="Times New Roman" w:cs="Times New Roman"/>
          <w:b/>
          <w:bCs/>
          <w:iCs/>
        </w:rPr>
        <w:tab/>
        <w:t>Casos entrados por cada 100 mil habitantes</w:t>
      </w:r>
    </w:p>
    <w:p w:rsidR="009030AD" w:rsidRPr="009030AD" w:rsidRDefault="009030AD" w:rsidP="009030AD">
      <w:pPr>
        <w:jc w:val="both"/>
        <w:rPr>
          <w:rFonts w:ascii="Times New Roman" w:hAnsi="Times New Roman" w:cs="Times New Roman"/>
        </w:rPr>
      </w:pPr>
    </w:p>
    <w:p w:rsidR="009030AD" w:rsidRPr="009030AD" w:rsidRDefault="009030AD" w:rsidP="009030AD">
      <w:pPr>
        <w:spacing w:line="360" w:lineRule="auto"/>
        <w:jc w:val="both"/>
        <w:rPr>
          <w:rFonts w:ascii="Times New Roman" w:hAnsi="Times New Roman" w:cs="Times New Roman"/>
        </w:rPr>
      </w:pPr>
      <w:r w:rsidRPr="009030AD">
        <w:rPr>
          <w:rFonts w:ascii="Times New Roman" w:hAnsi="Times New Roman" w:cs="Times New Roman"/>
        </w:rPr>
        <w:lastRenderedPageBreak/>
        <w:t>El cálculo de este indicador no considera el efecto de las incompetencias</w:t>
      </w:r>
      <w:r w:rsidRPr="009030AD">
        <w:rPr>
          <w:rFonts w:ascii="Times New Roman" w:hAnsi="Times New Roman" w:cs="Times New Roman"/>
          <w:vertAlign w:val="superscript"/>
        </w:rPr>
        <w:footnoteReference w:id="2"/>
      </w:r>
      <w:r w:rsidRPr="009030AD">
        <w:rPr>
          <w:rFonts w:ascii="Times New Roman" w:hAnsi="Times New Roman" w:cs="Times New Roman"/>
        </w:rPr>
        <w:t>. Por lo tanto, su análisis se basa en la entrada neta en los despachos judiciales de primera instancia, que conocen las materias Civil, Agraria, Familia, Contenciosa Administrativa, Penal, Trabajo, Contravencional, Tránsito, Pensiones Alimentarias, Penal Juvenil, Violencia Doméstica,  Constitucional y Notarial</w:t>
      </w:r>
      <w:r w:rsidRPr="009030AD">
        <w:rPr>
          <w:rFonts w:ascii="Times New Roman" w:hAnsi="Times New Roman" w:cs="Times New Roman"/>
          <w:vertAlign w:val="superscript"/>
        </w:rPr>
        <w:footnoteReference w:id="3"/>
      </w:r>
      <w:r w:rsidRPr="009030AD">
        <w:rPr>
          <w:rFonts w:ascii="Times New Roman" w:hAnsi="Times New Roman" w:cs="Times New Roman"/>
        </w:rPr>
        <w:t xml:space="preserve">. </w:t>
      </w:r>
    </w:p>
    <w:p w:rsidR="009030AD" w:rsidRPr="009030AD" w:rsidRDefault="009030AD" w:rsidP="009030AD">
      <w:pPr>
        <w:spacing w:line="360" w:lineRule="auto"/>
        <w:jc w:val="both"/>
        <w:rPr>
          <w:rFonts w:ascii="Times New Roman" w:hAnsi="Times New Roman" w:cs="Times New Roman"/>
        </w:rPr>
      </w:pPr>
    </w:p>
    <w:p w:rsidR="009030AD" w:rsidRPr="009030AD" w:rsidRDefault="009030AD" w:rsidP="009030AD">
      <w:pPr>
        <w:spacing w:line="360" w:lineRule="auto"/>
        <w:jc w:val="both"/>
        <w:rPr>
          <w:rFonts w:ascii="Times New Roman" w:hAnsi="Times New Roman" w:cs="Times New Roman"/>
        </w:rPr>
      </w:pPr>
      <w:r w:rsidRPr="009030AD">
        <w:rPr>
          <w:rFonts w:ascii="Times New Roman" w:hAnsi="Times New Roman" w:cs="Times New Roman"/>
        </w:rPr>
        <w:t xml:space="preserve">Los resultados contenidos en el siguiente gráfico evidencian una pequeña baja en el cálculo actual, que llegó a 12.631, manteniéndose una cierta estabilidad desde el año 2012.   </w:t>
      </w:r>
    </w:p>
    <w:p w:rsidR="009030AD" w:rsidRPr="009030AD" w:rsidRDefault="009030AD" w:rsidP="009030AD">
      <w:pPr>
        <w:spacing w:line="360" w:lineRule="auto"/>
        <w:jc w:val="both"/>
        <w:rPr>
          <w:rFonts w:ascii="Times New Roman" w:hAnsi="Times New Roman" w:cs="Times New Roman"/>
        </w:rPr>
      </w:pPr>
    </w:p>
    <w:p w:rsidR="009030AD" w:rsidRPr="009030AD" w:rsidRDefault="009030AD" w:rsidP="009030AD">
      <w:pPr>
        <w:spacing w:line="360" w:lineRule="auto"/>
        <w:jc w:val="both"/>
        <w:rPr>
          <w:rFonts w:ascii="Times New Roman" w:hAnsi="Times New Roman" w:cs="Times New Roman"/>
        </w:rPr>
      </w:pPr>
      <w:r w:rsidRPr="009030AD">
        <w:rPr>
          <w:rFonts w:ascii="Times New Roman" w:hAnsi="Times New Roman" w:cs="Times New Roman"/>
        </w:rPr>
        <w:t xml:space="preserve">De esta manera, durante el 2015 se presentaron unos 12.631 expedientes a la corriente judicial, por cada 100.000 habitantes.  </w:t>
      </w:r>
    </w:p>
    <w:p w:rsidR="009030AD" w:rsidRPr="009030AD" w:rsidRDefault="009030AD" w:rsidP="009030AD">
      <w:pPr>
        <w:spacing w:line="360" w:lineRule="auto"/>
        <w:jc w:val="both"/>
        <w:rPr>
          <w:rFonts w:ascii="Times New Roman" w:hAnsi="Times New Roman" w:cs="Times New Roman"/>
        </w:rPr>
      </w:pPr>
    </w:p>
    <w:p w:rsidR="009030AD" w:rsidRPr="009030AD" w:rsidRDefault="009030AD" w:rsidP="009030AD">
      <w:pPr>
        <w:spacing w:line="360" w:lineRule="auto"/>
        <w:jc w:val="both"/>
        <w:rPr>
          <w:rFonts w:ascii="Times New Roman" w:hAnsi="Times New Roman" w:cs="Times New Roman"/>
        </w:rPr>
      </w:pPr>
    </w:p>
    <w:p w:rsidR="009030AD" w:rsidRPr="009030AD" w:rsidRDefault="003A1B7B" w:rsidP="009030AD">
      <w:pPr>
        <w:spacing w:line="360" w:lineRule="auto"/>
        <w:jc w:val="center"/>
        <w:rPr>
          <w:rFonts w:ascii="Times New Roman" w:hAnsi="Times New Roman" w:cs="Times New Roman"/>
        </w:rPr>
      </w:pPr>
      <w:r>
        <w:rPr>
          <w:rFonts w:ascii="Times New Roman" w:hAnsi="Times New Roman" w:cs="Times New Roman"/>
          <w:noProof/>
          <w:lang w:val="es-CR" w:eastAsia="es-CR"/>
        </w:rPr>
        <w:pict>
          <v:shapetype id="_x0000_t202" coordsize="21600,21600" o:spt="202" path="m,l,21600r21600,l21600,xe">
            <v:stroke joinstyle="miter"/>
            <v:path gradientshapeok="t" o:connecttype="rect"/>
          </v:shapetype>
          <v:shape id="Cuadro de texto 160" o:spid="_x0000_s1026" type="#_x0000_t202" style="position:absolute;left:0;text-align:left;margin-left:50.3pt;margin-top:3in;width:338.7pt;height:15.3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" filled="f" stroked="f">
            <v:textbox>
              <w:txbxContent>
                <w:p w:rsidR="00071467" w:rsidRDefault="00071467" w:rsidP="009030AD">
                  <w:pPr>
                    <w:rPr>
                      <w:sz w:val="14"/>
                      <w:szCs w:val="14"/>
                    </w:rPr>
                  </w:pPr>
                  <w:r>
                    <w:rPr>
                      <w:sz w:val="14"/>
                      <w:szCs w:val="14"/>
                    </w:rPr>
                    <w:t>Fuente: Sección de Estadística, Dirección de Planificación  Instituto Nacional de Estadística y Censos.</w:t>
                  </w:r>
                </w:p>
              </w:txbxContent>
            </v:textbox>
          </v:shape>
        </w:pict>
      </w:r>
      <w:r w:rsidR="009030AD" w:rsidRPr="009030AD">
        <w:rPr>
          <w:rFonts w:ascii="Times New Roman" w:hAnsi="Times New Roman" w:cs="Times New Roman"/>
          <w:noProof/>
          <w:lang w:val="es-CR" w:eastAsia="es-CR"/>
        </w:rPr>
        <w:drawing>
          <wp:inline distT="0" distB="0" distL="0" distR="0">
            <wp:extent cx="4562475" cy="3076575"/>
            <wp:effectExtent l="0" t="0" r="0" b="0"/>
            <wp:docPr id="143" name="Objeto 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030AD" w:rsidRPr="009030AD" w:rsidRDefault="009030AD" w:rsidP="009030AD">
      <w:pPr>
        <w:spacing w:line="360" w:lineRule="auto"/>
        <w:rPr>
          <w:rFonts w:ascii="Times New Roman" w:hAnsi="Times New Roman" w:cs="Times New Roman"/>
        </w:rPr>
      </w:pPr>
    </w:p>
    <w:p w:rsidR="009030AD" w:rsidRPr="009030AD" w:rsidRDefault="009030AD" w:rsidP="009030AD">
      <w:pPr>
        <w:keepNext/>
        <w:spacing w:before="240" w:after="60"/>
        <w:jc w:val="both"/>
        <w:outlineLvl w:val="1"/>
        <w:rPr>
          <w:rFonts w:ascii="Times New Roman" w:hAnsi="Times New Roman" w:cs="Times New Roman"/>
          <w:b/>
          <w:bCs/>
          <w:iCs/>
        </w:rPr>
      </w:pPr>
      <w:r w:rsidRPr="009030AD">
        <w:rPr>
          <w:rFonts w:ascii="Times New Roman" w:hAnsi="Times New Roman" w:cs="Times New Roman"/>
          <w:b/>
          <w:bCs/>
          <w:iCs/>
        </w:rPr>
        <w:lastRenderedPageBreak/>
        <w:t>2.2</w:t>
      </w:r>
      <w:r w:rsidRPr="009030AD">
        <w:rPr>
          <w:rFonts w:ascii="Times New Roman" w:hAnsi="Times New Roman" w:cs="Times New Roman"/>
          <w:b/>
          <w:bCs/>
          <w:iCs/>
        </w:rPr>
        <w:tab/>
        <w:t xml:space="preserve">Asuntos entrados en primera instancia por Jueza o por Juez </w:t>
      </w:r>
    </w:p>
    <w:p w:rsidR="009030AD" w:rsidRPr="009030AD" w:rsidRDefault="009030AD" w:rsidP="009030AD">
      <w:pPr>
        <w:spacing w:line="360" w:lineRule="auto"/>
        <w:jc w:val="both"/>
        <w:rPr>
          <w:rFonts w:ascii="Times New Roman" w:hAnsi="Times New Roman" w:cs="Times New Roman"/>
        </w:rPr>
      </w:pPr>
    </w:p>
    <w:p w:rsidR="009030AD" w:rsidRPr="009030AD" w:rsidRDefault="009030AD" w:rsidP="009030AD">
      <w:pPr>
        <w:spacing w:line="360" w:lineRule="auto"/>
        <w:jc w:val="both"/>
        <w:rPr>
          <w:rFonts w:ascii="Book Antiqua" w:hAnsi="Book Antiqua" w:cs="Book Antiqua"/>
          <w:sz w:val="22"/>
          <w:szCs w:val="22"/>
        </w:rPr>
      </w:pPr>
      <w:r w:rsidRPr="009030AD">
        <w:rPr>
          <w:rFonts w:ascii="Book Antiqua" w:hAnsi="Book Antiqua" w:cs="Book Antiqua"/>
          <w:sz w:val="22"/>
          <w:szCs w:val="22"/>
        </w:rPr>
        <w:t xml:space="preserve">Este indicador considera los procesos que ingresan por primera vez a la esfera judicial, una vez deducidas las incompetencias y que le conciernen a cada Jueza o a cada Juez. </w:t>
      </w:r>
    </w:p>
    <w:p w:rsidR="009030AD" w:rsidRPr="009030AD" w:rsidRDefault="009030AD" w:rsidP="009030AD">
      <w:pPr>
        <w:spacing w:line="360" w:lineRule="auto"/>
        <w:jc w:val="both"/>
        <w:rPr>
          <w:rFonts w:ascii="Book Antiqua" w:hAnsi="Book Antiqua" w:cs="Book Antiqua"/>
          <w:sz w:val="22"/>
          <w:szCs w:val="22"/>
        </w:rPr>
      </w:pPr>
    </w:p>
    <w:p w:rsidR="009030AD" w:rsidRPr="009030AD" w:rsidRDefault="009030AD" w:rsidP="009030AD">
      <w:pPr>
        <w:spacing w:line="360" w:lineRule="auto"/>
        <w:jc w:val="both"/>
        <w:rPr>
          <w:rFonts w:ascii="Book Antiqua" w:hAnsi="Book Antiqua" w:cs="Book Antiqua"/>
          <w:sz w:val="22"/>
          <w:szCs w:val="22"/>
        </w:rPr>
      </w:pPr>
    </w:p>
    <w:tbl>
      <w:tblPr>
        <w:tblW w:w="7200" w:type="dxa"/>
        <w:jc w:val="center"/>
        <w:tblCellMar>
          <w:left w:w="70" w:type="dxa"/>
          <w:right w:w="70" w:type="dxa"/>
        </w:tblCellMar>
        <w:tblLook w:val="04A0"/>
      </w:tblPr>
      <w:tblGrid>
        <w:gridCol w:w="1089"/>
        <w:gridCol w:w="1223"/>
        <w:gridCol w:w="1222"/>
        <w:gridCol w:w="1222"/>
        <w:gridCol w:w="1222"/>
        <w:gridCol w:w="1222"/>
      </w:tblGrid>
      <w:tr w:rsidR="009030AD" w:rsidRPr="009030AD" w:rsidTr="00BA4368">
        <w:trPr>
          <w:trHeight w:val="315"/>
          <w:jc w:val="center"/>
        </w:trPr>
        <w:tc>
          <w:tcPr>
            <w:tcW w:w="7200" w:type="dxa"/>
            <w:gridSpan w:val="6"/>
            <w:tcBorders>
              <w:top w:val="nil"/>
              <w:left w:val="nil"/>
              <w:bottom w:val="single" w:sz="4" w:space="0" w:color="auto"/>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b/>
                <w:bCs/>
                <w:color w:val="000000"/>
                <w:sz w:val="22"/>
              </w:rPr>
            </w:pPr>
            <w:r w:rsidRPr="009030AD">
              <w:rPr>
                <w:rFonts w:ascii="Times New Roman" w:hAnsi="Times New Roman" w:cs="Times New Roman"/>
                <w:b/>
                <w:bCs/>
                <w:color w:val="000000"/>
                <w:sz w:val="22"/>
                <w:szCs w:val="22"/>
              </w:rPr>
              <w:t>Casos entrados en primera instancia en el Poder Judicial</w:t>
            </w:r>
          </w:p>
        </w:tc>
      </w:tr>
      <w:tr w:rsidR="009030AD" w:rsidRPr="009030AD" w:rsidTr="00BA4368">
        <w:trPr>
          <w:trHeight w:val="315"/>
          <w:jc w:val="center"/>
        </w:trPr>
        <w:tc>
          <w:tcPr>
            <w:tcW w:w="1089" w:type="dxa"/>
            <w:tcBorders>
              <w:top w:val="nil"/>
              <w:left w:val="nil"/>
              <w:bottom w:val="single" w:sz="4" w:space="0" w:color="auto"/>
              <w:right w:val="single" w:sz="4" w:space="0" w:color="000000"/>
            </w:tcBorders>
            <w:shd w:val="clear" w:color="auto" w:fill="auto"/>
            <w:noWrap/>
            <w:vAlign w:val="center"/>
          </w:tcPr>
          <w:p w:rsidR="009030AD" w:rsidRPr="009030AD" w:rsidRDefault="009030AD" w:rsidP="009030AD">
            <w:pPr>
              <w:widowControl/>
              <w:autoSpaceDE/>
              <w:autoSpaceDN/>
              <w:adjustRightInd/>
              <w:rPr>
                <w:rFonts w:ascii="Times New Roman" w:hAnsi="Times New Roman" w:cs="Times New Roman"/>
                <w:b/>
                <w:bCs/>
                <w:color w:val="000000"/>
                <w:sz w:val="22"/>
              </w:rPr>
            </w:pPr>
            <w:r w:rsidRPr="009030AD">
              <w:rPr>
                <w:rFonts w:ascii="Times New Roman" w:hAnsi="Times New Roman" w:cs="Times New Roman"/>
                <w:b/>
                <w:bCs/>
                <w:color w:val="000000"/>
                <w:sz w:val="22"/>
                <w:szCs w:val="22"/>
              </w:rPr>
              <w:t>Año</w:t>
            </w:r>
          </w:p>
        </w:tc>
        <w:tc>
          <w:tcPr>
            <w:tcW w:w="1223" w:type="dxa"/>
            <w:tcBorders>
              <w:top w:val="nil"/>
              <w:left w:val="nil"/>
              <w:bottom w:val="single" w:sz="4" w:space="0" w:color="auto"/>
              <w:right w:val="nil"/>
            </w:tcBorders>
            <w:shd w:val="clear" w:color="auto" w:fill="auto"/>
            <w:vAlign w:val="center"/>
          </w:tcPr>
          <w:p w:rsidR="009030AD" w:rsidRPr="009030AD" w:rsidRDefault="009030AD" w:rsidP="009030AD">
            <w:pPr>
              <w:widowControl/>
              <w:autoSpaceDE/>
              <w:autoSpaceDN/>
              <w:adjustRightInd/>
              <w:jc w:val="center"/>
              <w:rPr>
                <w:rFonts w:ascii="Times New Roman" w:hAnsi="Times New Roman" w:cs="Times New Roman"/>
                <w:b/>
                <w:bCs/>
                <w:sz w:val="22"/>
              </w:rPr>
            </w:pPr>
            <w:r w:rsidRPr="009030AD">
              <w:rPr>
                <w:rFonts w:ascii="Times New Roman" w:hAnsi="Times New Roman" w:cs="Times New Roman"/>
                <w:b/>
                <w:bCs/>
                <w:sz w:val="22"/>
                <w:szCs w:val="22"/>
              </w:rPr>
              <w:t>2011</w:t>
            </w:r>
          </w:p>
        </w:tc>
        <w:tc>
          <w:tcPr>
            <w:tcW w:w="1222" w:type="dxa"/>
            <w:tcBorders>
              <w:top w:val="nil"/>
              <w:left w:val="single" w:sz="4" w:space="0" w:color="auto"/>
              <w:bottom w:val="single" w:sz="4" w:space="0" w:color="auto"/>
              <w:right w:val="single" w:sz="4" w:space="0" w:color="auto"/>
            </w:tcBorders>
            <w:shd w:val="clear" w:color="auto" w:fill="auto"/>
            <w:vAlign w:val="center"/>
          </w:tcPr>
          <w:p w:rsidR="009030AD" w:rsidRPr="009030AD" w:rsidRDefault="009030AD" w:rsidP="009030AD">
            <w:pPr>
              <w:widowControl/>
              <w:autoSpaceDE/>
              <w:autoSpaceDN/>
              <w:adjustRightInd/>
              <w:jc w:val="center"/>
              <w:rPr>
                <w:rFonts w:ascii="Times New Roman" w:hAnsi="Times New Roman" w:cs="Times New Roman"/>
                <w:b/>
                <w:bCs/>
                <w:sz w:val="22"/>
              </w:rPr>
            </w:pPr>
            <w:r w:rsidRPr="009030AD">
              <w:rPr>
                <w:rFonts w:ascii="Times New Roman" w:hAnsi="Times New Roman" w:cs="Times New Roman"/>
                <w:b/>
                <w:bCs/>
                <w:sz w:val="22"/>
                <w:szCs w:val="22"/>
              </w:rPr>
              <w:t>2012</w:t>
            </w:r>
          </w:p>
        </w:tc>
        <w:tc>
          <w:tcPr>
            <w:tcW w:w="1222" w:type="dxa"/>
            <w:tcBorders>
              <w:top w:val="nil"/>
              <w:left w:val="nil"/>
              <w:bottom w:val="single" w:sz="4" w:space="0" w:color="auto"/>
              <w:right w:val="nil"/>
            </w:tcBorders>
            <w:shd w:val="clear" w:color="auto" w:fill="auto"/>
            <w:vAlign w:val="center"/>
          </w:tcPr>
          <w:p w:rsidR="009030AD" w:rsidRPr="009030AD" w:rsidRDefault="009030AD" w:rsidP="009030AD">
            <w:pPr>
              <w:widowControl/>
              <w:autoSpaceDE/>
              <w:autoSpaceDN/>
              <w:adjustRightInd/>
              <w:jc w:val="center"/>
              <w:rPr>
                <w:rFonts w:ascii="Times New Roman" w:hAnsi="Times New Roman" w:cs="Times New Roman"/>
                <w:b/>
                <w:bCs/>
                <w:sz w:val="22"/>
              </w:rPr>
            </w:pPr>
            <w:r w:rsidRPr="009030AD">
              <w:rPr>
                <w:rFonts w:ascii="Times New Roman" w:hAnsi="Times New Roman" w:cs="Times New Roman"/>
                <w:b/>
                <w:bCs/>
                <w:sz w:val="22"/>
                <w:szCs w:val="22"/>
              </w:rPr>
              <w:t>2013</w:t>
            </w:r>
          </w:p>
        </w:tc>
        <w:tc>
          <w:tcPr>
            <w:tcW w:w="1222" w:type="dxa"/>
            <w:tcBorders>
              <w:top w:val="nil"/>
              <w:left w:val="single" w:sz="4" w:space="0" w:color="auto"/>
              <w:bottom w:val="single" w:sz="4" w:space="0" w:color="auto"/>
              <w:right w:val="single" w:sz="4" w:space="0" w:color="auto"/>
            </w:tcBorders>
            <w:shd w:val="clear" w:color="auto" w:fill="auto"/>
            <w:vAlign w:val="center"/>
          </w:tcPr>
          <w:p w:rsidR="009030AD" w:rsidRPr="009030AD" w:rsidRDefault="009030AD" w:rsidP="009030AD">
            <w:pPr>
              <w:widowControl/>
              <w:autoSpaceDE/>
              <w:autoSpaceDN/>
              <w:adjustRightInd/>
              <w:jc w:val="center"/>
              <w:rPr>
                <w:rFonts w:ascii="Times New Roman" w:hAnsi="Times New Roman" w:cs="Times New Roman"/>
                <w:b/>
                <w:bCs/>
                <w:sz w:val="22"/>
              </w:rPr>
            </w:pPr>
            <w:r w:rsidRPr="009030AD">
              <w:rPr>
                <w:rFonts w:ascii="Times New Roman" w:hAnsi="Times New Roman" w:cs="Times New Roman"/>
                <w:b/>
                <w:bCs/>
                <w:sz w:val="22"/>
                <w:szCs w:val="22"/>
              </w:rPr>
              <w:t>2014</w:t>
            </w:r>
          </w:p>
        </w:tc>
        <w:tc>
          <w:tcPr>
            <w:tcW w:w="1222" w:type="dxa"/>
            <w:tcBorders>
              <w:top w:val="nil"/>
              <w:left w:val="nil"/>
              <w:bottom w:val="single" w:sz="4" w:space="0" w:color="auto"/>
              <w:right w:val="nil"/>
            </w:tcBorders>
            <w:shd w:val="clear" w:color="auto" w:fill="auto"/>
            <w:vAlign w:val="center"/>
          </w:tcPr>
          <w:p w:rsidR="009030AD" w:rsidRPr="009030AD" w:rsidRDefault="009030AD" w:rsidP="009030AD">
            <w:pPr>
              <w:widowControl/>
              <w:autoSpaceDE/>
              <w:autoSpaceDN/>
              <w:adjustRightInd/>
              <w:jc w:val="center"/>
              <w:rPr>
                <w:rFonts w:ascii="Times New Roman" w:hAnsi="Times New Roman" w:cs="Times New Roman"/>
                <w:b/>
                <w:bCs/>
                <w:sz w:val="22"/>
              </w:rPr>
            </w:pPr>
            <w:r w:rsidRPr="009030AD">
              <w:rPr>
                <w:rFonts w:ascii="Times New Roman" w:hAnsi="Times New Roman" w:cs="Times New Roman"/>
                <w:b/>
                <w:bCs/>
                <w:sz w:val="22"/>
                <w:szCs w:val="22"/>
              </w:rPr>
              <w:t>2015</w:t>
            </w:r>
          </w:p>
        </w:tc>
      </w:tr>
      <w:tr w:rsidR="009030AD" w:rsidRPr="009030AD" w:rsidTr="00BA4368">
        <w:trPr>
          <w:trHeight w:val="315"/>
          <w:jc w:val="center"/>
        </w:trPr>
        <w:tc>
          <w:tcPr>
            <w:tcW w:w="1089" w:type="dxa"/>
            <w:tcBorders>
              <w:top w:val="nil"/>
              <w:left w:val="nil"/>
              <w:bottom w:val="single" w:sz="4" w:space="0" w:color="auto"/>
              <w:right w:val="single" w:sz="4" w:space="0" w:color="000000"/>
            </w:tcBorders>
            <w:shd w:val="clear" w:color="auto" w:fill="auto"/>
            <w:noWrap/>
            <w:vAlign w:val="center"/>
          </w:tcPr>
          <w:p w:rsidR="009030AD" w:rsidRPr="009030AD" w:rsidRDefault="009030AD" w:rsidP="009030AD">
            <w:pPr>
              <w:widowControl/>
              <w:autoSpaceDE/>
              <w:autoSpaceDN/>
              <w:adjustRightInd/>
              <w:rPr>
                <w:rFonts w:ascii="Times New Roman" w:hAnsi="Times New Roman" w:cs="Times New Roman"/>
                <w:b/>
                <w:bCs/>
                <w:color w:val="000000"/>
                <w:sz w:val="22"/>
              </w:rPr>
            </w:pPr>
            <w:r w:rsidRPr="009030AD">
              <w:rPr>
                <w:rFonts w:ascii="Times New Roman" w:hAnsi="Times New Roman" w:cs="Times New Roman"/>
                <w:b/>
                <w:bCs/>
                <w:color w:val="000000"/>
                <w:sz w:val="22"/>
                <w:szCs w:val="22"/>
              </w:rPr>
              <w:t>Entrados</w:t>
            </w:r>
          </w:p>
        </w:tc>
        <w:tc>
          <w:tcPr>
            <w:tcW w:w="1223" w:type="dxa"/>
            <w:tcBorders>
              <w:top w:val="nil"/>
              <w:left w:val="nil"/>
              <w:bottom w:val="single" w:sz="4" w:space="0" w:color="auto"/>
              <w:right w:val="nil"/>
            </w:tcBorders>
            <w:shd w:val="clear" w:color="auto" w:fill="auto"/>
            <w:vAlign w:val="center"/>
          </w:tcPr>
          <w:p w:rsidR="009030AD" w:rsidRPr="009030AD" w:rsidRDefault="009030AD" w:rsidP="009030AD">
            <w:pPr>
              <w:widowControl/>
              <w:autoSpaceDE/>
              <w:autoSpaceDN/>
              <w:adjustRightInd/>
              <w:jc w:val="center"/>
              <w:rPr>
                <w:rFonts w:ascii="Times New Roman" w:hAnsi="Times New Roman" w:cs="Times New Roman"/>
                <w:b/>
                <w:bCs/>
                <w:sz w:val="22"/>
              </w:rPr>
            </w:pPr>
            <w:r w:rsidRPr="009030AD">
              <w:rPr>
                <w:rFonts w:ascii="Times New Roman" w:hAnsi="Times New Roman" w:cs="Times New Roman"/>
                <w:b/>
                <w:bCs/>
                <w:sz w:val="22"/>
                <w:szCs w:val="22"/>
              </w:rPr>
              <w:t>690.610</w:t>
            </w:r>
          </w:p>
        </w:tc>
        <w:tc>
          <w:tcPr>
            <w:tcW w:w="1222" w:type="dxa"/>
            <w:tcBorders>
              <w:top w:val="nil"/>
              <w:left w:val="single" w:sz="4" w:space="0" w:color="auto"/>
              <w:bottom w:val="single" w:sz="4" w:space="0" w:color="auto"/>
              <w:right w:val="single" w:sz="4" w:space="0" w:color="auto"/>
            </w:tcBorders>
            <w:shd w:val="clear" w:color="auto" w:fill="auto"/>
            <w:vAlign w:val="center"/>
          </w:tcPr>
          <w:p w:rsidR="009030AD" w:rsidRPr="009030AD" w:rsidRDefault="009030AD" w:rsidP="009030AD">
            <w:pPr>
              <w:widowControl/>
              <w:autoSpaceDE/>
              <w:autoSpaceDN/>
              <w:adjustRightInd/>
              <w:jc w:val="center"/>
              <w:rPr>
                <w:rFonts w:ascii="Times New Roman" w:hAnsi="Times New Roman" w:cs="Times New Roman"/>
                <w:b/>
                <w:bCs/>
                <w:sz w:val="22"/>
              </w:rPr>
            </w:pPr>
            <w:r w:rsidRPr="009030AD">
              <w:rPr>
                <w:rFonts w:ascii="Times New Roman" w:hAnsi="Times New Roman" w:cs="Times New Roman"/>
                <w:b/>
                <w:bCs/>
                <w:sz w:val="22"/>
                <w:szCs w:val="22"/>
              </w:rPr>
              <w:t>622.152</w:t>
            </w:r>
          </w:p>
        </w:tc>
        <w:tc>
          <w:tcPr>
            <w:tcW w:w="1222" w:type="dxa"/>
            <w:tcBorders>
              <w:top w:val="nil"/>
              <w:left w:val="nil"/>
              <w:bottom w:val="single" w:sz="4" w:space="0" w:color="auto"/>
              <w:right w:val="nil"/>
            </w:tcBorders>
            <w:shd w:val="clear" w:color="auto" w:fill="auto"/>
            <w:vAlign w:val="center"/>
          </w:tcPr>
          <w:p w:rsidR="009030AD" w:rsidRPr="009030AD" w:rsidRDefault="009030AD" w:rsidP="009030AD">
            <w:pPr>
              <w:widowControl/>
              <w:autoSpaceDE/>
              <w:autoSpaceDN/>
              <w:adjustRightInd/>
              <w:jc w:val="center"/>
              <w:rPr>
                <w:rFonts w:ascii="Times New Roman" w:hAnsi="Times New Roman" w:cs="Times New Roman"/>
                <w:b/>
                <w:bCs/>
                <w:sz w:val="22"/>
              </w:rPr>
            </w:pPr>
            <w:r w:rsidRPr="009030AD">
              <w:rPr>
                <w:rFonts w:ascii="Times New Roman" w:hAnsi="Times New Roman" w:cs="Times New Roman"/>
                <w:b/>
                <w:bCs/>
                <w:sz w:val="22"/>
                <w:szCs w:val="22"/>
              </w:rPr>
              <w:t>629.757</w:t>
            </w:r>
          </w:p>
        </w:tc>
        <w:tc>
          <w:tcPr>
            <w:tcW w:w="1222" w:type="dxa"/>
            <w:tcBorders>
              <w:top w:val="nil"/>
              <w:left w:val="single" w:sz="4" w:space="0" w:color="auto"/>
              <w:bottom w:val="single" w:sz="4" w:space="0" w:color="auto"/>
              <w:right w:val="single" w:sz="4" w:space="0" w:color="auto"/>
            </w:tcBorders>
            <w:shd w:val="clear" w:color="auto" w:fill="auto"/>
            <w:vAlign w:val="center"/>
          </w:tcPr>
          <w:p w:rsidR="009030AD" w:rsidRPr="009030AD" w:rsidRDefault="009030AD" w:rsidP="009030AD">
            <w:pPr>
              <w:widowControl/>
              <w:autoSpaceDE/>
              <w:autoSpaceDN/>
              <w:adjustRightInd/>
              <w:jc w:val="center"/>
              <w:rPr>
                <w:rFonts w:ascii="Times New Roman" w:hAnsi="Times New Roman" w:cs="Times New Roman"/>
                <w:b/>
                <w:bCs/>
                <w:sz w:val="22"/>
              </w:rPr>
            </w:pPr>
            <w:r w:rsidRPr="009030AD">
              <w:rPr>
                <w:rFonts w:ascii="Times New Roman" w:hAnsi="Times New Roman" w:cs="Times New Roman"/>
                <w:b/>
                <w:bCs/>
                <w:sz w:val="22"/>
                <w:szCs w:val="22"/>
              </w:rPr>
              <w:t>644.873</w:t>
            </w:r>
          </w:p>
        </w:tc>
        <w:tc>
          <w:tcPr>
            <w:tcW w:w="1222" w:type="dxa"/>
            <w:tcBorders>
              <w:top w:val="nil"/>
              <w:left w:val="nil"/>
              <w:bottom w:val="single" w:sz="4" w:space="0" w:color="auto"/>
              <w:right w:val="nil"/>
            </w:tcBorders>
            <w:shd w:val="clear" w:color="auto" w:fill="auto"/>
            <w:vAlign w:val="center"/>
          </w:tcPr>
          <w:p w:rsidR="009030AD" w:rsidRPr="009030AD" w:rsidRDefault="009030AD" w:rsidP="009030AD">
            <w:pPr>
              <w:widowControl/>
              <w:autoSpaceDE/>
              <w:autoSpaceDN/>
              <w:adjustRightInd/>
              <w:jc w:val="center"/>
              <w:rPr>
                <w:rFonts w:ascii="Times New Roman" w:hAnsi="Times New Roman" w:cs="Times New Roman"/>
                <w:b/>
                <w:bCs/>
                <w:sz w:val="22"/>
              </w:rPr>
            </w:pPr>
            <w:r w:rsidRPr="009030AD">
              <w:rPr>
                <w:rFonts w:ascii="Times New Roman" w:hAnsi="Times New Roman" w:cs="Times New Roman"/>
                <w:b/>
                <w:bCs/>
                <w:sz w:val="22"/>
                <w:szCs w:val="22"/>
              </w:rPr>
              <w:t>638.357</w:t>
            </w:r>
          </w:p>
        </w:tc>
      </w:tr>
    </w:tbl>
    <w:p w:rsidR="009030AD" w:rsidRPr="009030AD" w:rsidRDefault="009030AD" w:rsidP="009030AD">
      <w:pPr>
        <w:spacing w:line="360" w:lineRule="auto"/>
        <w:jc w:val="both"/>
        <w:rPr>
          <w:rFonts w:ascii="Book Antiqua" w:hAnsi="Book Antiqua" w:cs="Book Antiqua"/>
          <w:sz w:val="22"/>
          <w:szCs w:val="22"/>
        </w:rPr>
      </w:pPr>
    </w:p>
    <w:p w:rsidR="001017FD" w:rsidRPr="009030AD" w:rsidRDefault="009030AD" w:rsidP="009030AD">
      <w:pPr>
        <w:spacing w:line="360" w:lineRule="auto"/>
        <w:jc w:val="both"/>
        <w:rPr>
          <w:rFonts w:ascii="Book Antiqua" w:hAnsi="Book Antiqua" w:cs="Book Antiqua"/>
          <w:sz w:val="22"/>
          <w:szCs w:val="22"/>
        </w:rPr>
      </w:pPr>
      <w:r w:rsidRPr="009030AD">
        <w:rPr>
          <w:rFonts w:ascii="Book Antiqua" w:hAnsi="Book Antiqua" w:cs="Book Antiqua"/>
          <w:sz w:val="22"/>
          <w:szCs w:val="22"/>
        </w:rPr>
        <w:t>No obstante, la mayor asignación de recurso humano profesional en los despachos ha provocado que este indicador persista con su tendencia decreciente en los últimos años.</w:t>
      </w:r>
    </w:p>
    <w:p w:rsidR="009030AD" w:rsidRPr="009030AD" w:rsidRDefault="009030AD" w:rsidP="009030AD">
      <w:pPr>
        <w:spacing w:line="360" w:lineRule="auto"/>
        <w:jc w:val="both"/>
        <w:rPr>
          <w:rFonts w:ascii="Book Antiqua" w:hAnsi="Book Antiqua" w:cs="Book Antiqua"/>
          <w:sz w:val="22"/>
          <w:szCs w:val="22"/>
        </w:rPr>
      </w:pPr>
    </w:p>
    <w:p w:rsidR="009030AD" w:rsidRPr="009030AD" w:rsidRDefault="009030AD" w:rsidP="009030AD">
      <w:pPr>
        <w:spacing w:line="360" w:lineRule="auto"/>
        <w:jc w:val="both"/>
        <w:rPr>
          <w:rFonts w:ascii="Times New Roman" w:hAnsi="Times New Roman" w:cs="Times New Roman"/>
        </w:rPr>
      </w:pPr>
      <w:r w:rsidRPr="009030AD">
        <w:rPr>
          <w:rFonts w:ascii="Times New Roman" w:hAnsi="Times New Roman" w:cs="Times New Roman"/>
        </w:rPr>
        <w:t xml:space="preserve">Para este último período, se registra un cociente de 571 casos entrados por Jueza o por Juez, en primera instancia. </w:t>
      </w:r>
    </w:p>
    <w:p w:rsidR="009030AD" w:rsidRPr="009030AD" w:rsidRDefault="009030AD" w:rsidP="009030AD">
      <w:pPr>
        <w:spacing w:line="360" w:lineRule="auto"/>
        <w:rPr>
          <w:rFonts w:ascii="Times New Roman" w:hAnsi="Times New Roman" w:cs="Times New Roman"/>
        </w:rPr>
      </w:pPr>
    </w:p>
    <w:p w:rsidR="009030AD" w:rsidRPr="009030AD" w:rsidRDefault="003A1B7B" w:rsidP="009030AD">
      <w:pPr>
        <w:spacing w:line="360" w:lineRule="auto"/>
        <w:jc w:val="center"/>
        <w:rPr>
          <w:rFonts w:ascii="Times New Roman" w:hAnsi="Times New Roman" w:cs="Times New Roman"/>
        </w:rPr>
      </w:pPr>
      <w:r>
        <w:rPr>
          <w:rFonts w:ascii="Times New Roman" w:hAnsi="Times New Roman" w:cs="Times New Roman"/>
          <w:noProof/>
          <w:lang w:val="es-CR" w:eastAsia="es-CR"/>
        </w:rPr>
        <w:pict>
          <v:shape id="Cuadro de texto 159" o:spid="_x0000_s1027" type="#_x0000_t202" style="position:absolute;left:0;text-align:left;margin-left:54.95pt;margin-top:201.95pt;width:297pt;height:15.1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" filled="f" stroked="f">
            <v:textbox>
              <w:txbxContent>
                <w:p w:rsidR="00071467" w:rsidRDefault="00071467" w:rsidP="009030AD">
                  <w:pPr>
                    <w:rPr>
                      <w:sz w:val="14"/>
                      <w:szCs w:val="14"/>
                    </w:rPr>
                  </w:pPr>
                  <w:r>
                    <w:rPr>
                      <w:sz w:val="14"/>
                      <w:szCs w:val="14"/>
                    </w:rPr>
                    <w:t>Elaborado por: Sección de Estadística,  Dirección de Planificación.</w:t>
                  </w:r>
                </w:p>
              </w:txbxContent>
            </v:textbox>
          </v:shape>
        </w:pict>
      </w:r>
      <w:r w:rsidR="009030AD" w:rsidRPr="009030AD">
        <w:rPr>
          <w:rFonts w:ascii="Times New Roman" w:hAnsi="Times New Roman" w:cs="Times New Roman"/>
          <w:noProof/>
          <w:lang w:val="es-CR" w:eastAsia="es-CR"/>
        </w:rPr>
        <w:drawing>
          <wp:inline distT="0" distB="0" distL="0" distR="0">
            <wp:extent cx="4676775" cy="2867025"/>
            <wp:effectExtent l="0" t="0" r="0" b="0"/>
            <wp:docPr id="144" name="Objeto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030AD" w:rsidRPr="009030AD" w:rsidRDefault="009030AD" w:rsidP="009030AD">
      <w:pPr>
        <w:keepNext/>
        <w:spacing w:before="240" w:after="60"/>
        <w:jc w:val="both"/>
        <w:outlineLvl w:val="1"/>
        <w:rPr>
          <w:rFonts w:ascii="Times New Roman" w:hAnsi="Times New Roman" w:cs="Times New Roman"/>
          <w:b/>
          <w:bCs/>
          <w:iCs/>
        </w:rPr>
      </w:pPr>
      <w:r w:rsidRPr="009030AD">
        <w:rPr>
          <w:rFonts w:ascii="Times New Roman" w:hAnsi="Times New Roman" w:cs="Times New Roman"/>
          <w:b/>
          <w:bCs/>
          <w:iCs/>
        </w:rPr>
        <w:t>2.3</w:t>
      </w:r>
      <w:r w:rsidRPr="009030AD">
        <w:rPr>
          <w:rFonts w:ascii="Times New Roman" w:hAnsi="Times New Roman" w:cs="Times New Roman"/>
          <w:b/>
          <w:bCs/>
          <w:iCs/>
        </w:rPr>
        <w:tab/>
        <w:t xml:space="preserve">Tasa de crecimiento de los asuntos registrados </w:t>
      </w:r>
    </w:p>
    <w:p w:rsidR="009030AD" w:rsidRPr="009030AD" w:rsidRDefault="009030AD" w:rsidP="009030AD">
      <w:pPr>
        <w:jc w:val="both"/>
        <w:rPr>
          <w:rFonts w:ascii="Times New Roman" w:hAnsi="Times New Roman" w:cs="Times New Roman"/>
        </w:rPr>
      </w:pPr>
    </w:p>
    <w:p w:rsidR="009030AD" w:rsidRPr="009030AD" w:rsidRDefault="009030AD" w:rsidP="009030AD">
      <w:pPr>
        <w:spacing w:line="360" w:lineRule="auto"/>
        <w:jc w:val="both"/>
        <w:rPr>
          <w:rFonts w:ascii="Times New Roman" w:hAnsi="Times New Roman" w:cs="Times New Roman"/>
        </w:rPr>
      </w:pPr>
      <w:r w:rsidRPr="009030AD">
        <w:rPr>
          <w:rFonts w:ascii="Times New Roman" w:hAnsi="Times New Roman" w:cs="Times New Roman"/>
        </w:rPr>
        <w:lastRenderedPageBreak/>
        <w:t>Para la obtención de este indicador se utiliza la carga de trabajo; es decir, la sumatoria del circulante inicial, así como de los casos ingresados por primera vez,  los casos reentrados y la apertura de testimonios de piezas.</w:t>
      </w:r>
    </w:p>
    <w:p w:rsidR="009030AD" w:rsidRPr="009030AD" w:rsidRDefault="009030AD" w:rsidP="009030AD">
      <w:pPr>
        <w:spacing w:line="360" w:lineRule="auto"/>
        <w:jc w:val="both"/>
        <w:rPr>
          <w:rFonts w:ascii="Times New Roman" w:hAnsi="Times New Roman" w:cs="Times New Roman"/>
        </w:rPr>
      </w:pPr>
    </w:p>
    <w:p w:rsidR="009030AD" w:rsidRPr="009030AD" w:rsidRDefault="003A1B7B" w:rsidP="009030AD">
      <w:pPr>
        <w:spacing w:line="360" w:lineRule="auto"/>
        <w:jc w:val="center"/>
        <w:rPr>
          <w:rFonts w:ascii="Times New Roman" w:hAnsi="Times New Roman" w:cs="Times New Roman"/>
        </w:rPr>
      </w:pPr>
      <w:r>
        <w:rPr>
          <w:rFonts w:ascii="Times New Roman" w:hAnsi="Times New Roman" w:cs="Times New Roman"/>
          <w:noProof/>
          <w:lang w:val="es-CR" w:eastAsia="es-CR"/>
        </w:rPr>
        <w:pict>
          <v:shape id="Cuadro de texto 158" o:spid="_x0000_s1028" type="#_x0000_t202" style="position:absolute;left:0;text-align:left;margin-left:63pt;margin-top:207pt;width:279pt;height:16.0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" filled="f" stroked="f">
            <v:textbox>
              <w:txbxContent>
                <w:p w:rsidR="00071467" w:rsidRDefault="00071467" w:rsidP="009030AD">
                  <w:pPr>
                    <w:rPr>
                      <w:sz w:val="14"/>
                      <w:szCs w:val="14"/>
                    </w:rPr>
                  </w:pPr>
                  <w:r>
                    <w:rPr>
                      <w:sz w:val="14"/>
                      <w:szCs w:val="14"/>
                    </w:rPr>
                    <w:t>Elaborado por: Sección de Estadística,  Dirección de Planificación.</w:t>
                  </w:r>
                </w:p>
              </w:txbxContent>
            </v:textbox>
          </v:shape>
        </w:pict>
      </w:r>
      <w:r w:rsidR="009030AD" w:rsidRPr="009030AD">
        <w:rPr>
          <w:rFonts w:ascii="Times New Roman" w:hAnsi="Times New Roman" w:cs="Times New Roman"/>
          <w:noProof/>
          <w:lang w:val="es-CR" w:eastAsia="es-CR"/>
        </w:rPr>
        <w:drawing>
          <wp:inline distT="0" distB="0" distL="0" distR="0">
            <wp:extent cx="4505325" cy="2971800"/>
            <wp:effectExtent l="0" t="0" r="0" b="0"/>
            <wp:docPr id="145" name="Objeto 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030AD" w:rsidRPr="009030AD" w:rsidRDefault="009030AD" w:rsidP="009030AD">
      <w:pPr>
        <w:spacing w:line="360" w:lineRule="auto"/>
        <w:jc w:val="both"/>
        <w:rPr>
          <w:rFonts w:ascii="Times New Roman" w:hAnsi="Times New Roman" w:cs="Times New Roman"/>
        </w:rPr>
      </w:pPr>
    </w:p>
    <w:p w:rsidR="009030AD" w:rsidRPr="009030AD" w:rsidRDefault="009030AD" w:rsidP="009030AD">
      <w:pPr>
        <w:spacing w:line="360" w:lineRule="auto"/>
        <w:jc w:val="both"/>
        <w:rPr>
          <w:rFonts w:ascii="Times New Roman" w:hAnsi="Times New Roman" w:cs="Times New Roman"/>
        </w:rPr>
      </w:pPr>
    </w:p>
    <w:p w:rsidR="009030AD" w:rsidRPr="009030AD" w:rsidRDefault="009030AD" w:rsidP="009030AD">
      <w:pPr>
        <w:spacing w:line="360" w:lineRule="auto"/>
        <w:jc w:val="both"/>
        <w:rPr>
          <w:rFonts w:ascii="Times New Roman" w:hAnsi="Times New Roman" w:cs="Times New Roman"/>
        </w:rPr>
      </w:pPr>
      <w:r w:rsidRPr="009030AD">
        <w:rPr>
          <w:rFonts w:ascii="Times New Roman" w:hAnsi="Times New Roman" w:cs="Times New Roman"/>
        </w:rPr>
        <w:t xml:space="preserve">En esta oportunidad, la carga de trabajo asignada a las juezas y a los jueces se incrementó en un 1,6% en comparación con el registro asociado al 2014, variable que resulta de extrema importancia, por cuanto refleja el volumen de trabajo por resolver, siendo éste el crecimiento relativo más moderado de los últimos períodos (en el 2012 se decretó una reducción de 3,6%). </w:t>
      </w:r>
    </w:p>
    <w:p w:rsidR="009030AD" w:rsidRPr="009030AD" w:rsidRDefault="009030AD" w:rsidP="009030AD">
      <w:pPr>
        <w:spacing w:line="360" w:lineRule="auto"/>
        <w:jc w:val="both"/>
        <w:rPr>
          <w:rFonts w:ascii="Times New Roman" w:hAnsi="Times New Roman" w:cs="Times New Roman"/>
        </w:rPr>
      </w:pPr>
    </w:p>
    <w:p w:rsidR="009030AD" w:rsidRPr="009030AD" w:rsidRDefault="009030AD" w:rsidP="009030AD">
      <w:pPr>
        <w:keepNext/>
        <w:spacing w:before="240" w:after="60"/>
        <w:jc w:val="both"/>
        <w:outlineLvl w:val="1"/>
        <w:rPr>
          <w:rFonts w:ascii="Times New Roman" w:hAnsi="Times New Roman" w:cs="Times New Roman"/>
          <w:b/>
          <w:bCs/>
          <w:iCs/>
          <w:highlight w:val="green"/>
        </w:rPr>
      </w:pPr>
      <w:r w:rsidRPr="009030AD">
        <w:rPr>
          <w:rFonts w:ascii="Times New Roman" w:hAnsi="Times New Roman" w:cs="Times New Roman"/>
          <w:b/>
          <w:bCs/>
          <w:iCs/>
        </w:rPr>
        <w:t>2.4</w:t>
      </w:r>
      <w:r w:rsidRPr="009030AD">
        <w:rPr>
          <w:rFonts w:ascii="Times New Roman" w:hAnsi="Times New Roman" w:cs="Times New Roman"/>
          <w:b/>
          <w:bCs/>
          <w:iCs/>
        </w:rPr>
        <w:tab/>
        <w:t>Carga de trabajo por Jueza y/o por Juez en instancias primera y superior</w:t>
      </w:r>
    </w:p>
    <w:p w:rsidR="009030AD" w:rsidRPr="009030AD" w:rsidRDefault="009030AD" w:rsidP="009030AD">
      <w:pPr>
        <w:spacing w:line="360" w:lineRule="auto"/>
        <w:jc w:val="both"/>
        <w:rPr>
          <w:rFonts w:ascii="Times New Roman" w:hAnsi="Times New Roman" w:cs="Times New Roman"/>
          <w:highlight w:val="green"/>
        </w:rPr>
      </w:pPr>
    </w:p>
    <w:p w:rsidR="009030AD" w:rsidRPr="009030AD" w:rsidRDefault="009030AD" w:rsidP="009030AD">
      <w:pPr>
        <w:spacing w:line="360" w:lineRule="auto"/>
        <w:jc w:val="both"/>
        <w:rPr>
          <w:rFonts w:ascii="Times New Roman" w:hAnsi="Times New Roman" w:cs="Times New Roman"/>
          <w:highlight w:val="green"/>
        </w:rPr>
      </w:pPr>
      <w:r w:rsidRPr="009030AD">
        <w:rPr>
          <w:rFonts w:ascii="Times New Roman" w:hAnsi="Times New Roman" w:cs="Times New Roman"/>
        </w:rPr>
        <w:t xml:space="preserve">Para la primera instancia, el cálculo de este indicador considera algunas variables tales como: el circulante inicial (casos pendientes de años previos), los casos entrados, los casos reentrados y la apertura de testimonios de piezas, además del recurso profesional asignado a los despachos judiciales.   </w:t>
      </w:r>
    </w:p>
    <w:p w:rsidR="009030AD" w:rsidRPr="009030AD" w:rsidRDefault="009030AD" w:rsidP="009030AD">
      <w:pPr>
        <w:spacing w:line="360" w:lineRule="auto"/>
        <w:rPr>
          <w:rFonts w:ascii="Times New Roman" w:hAnsi="Times New Roman" w:cs="Times New Roman"/>
        </w:rPr>
      </w:pPr>
    </w:p>
    <w:p w:rsidR="009030AD" w:rsidRPr="009030AD" w:rsidRDefault="009030AD" w:rsidP="009030AD">
      <w:pPr>
        <w:spacing w:line="360" w:lineRule="auto"/>
        <w:jc w:val="both"/>
        <w:rPr>
          <w:rFonts w:ascii="Times New Roman" w:hAnsi="Times New Roman" w:cs="Times New Roman"/>
        </w:rPr>
      </w:pPr>
      <w:r w:rsidRPr="009030AD">
        <w:rPr>
          <w:rFonts w:ascii="Times New Roman" w:hAnsi="Times New Roman" w:cs="Times New Roman"/>
        </w:rPr>
        <w:t xml:space="preserve">Este indicador llegó a 1.608 procesos judiciales por Jueza o por Juez durante el 2015, mostrando una baja, pero sin definir un patrón estable en el último quinquenio. </w:t>
      </w:r>
    </w:p>
    <w:p w:rsidR="009030AD" w:rsidRPr="009030AD" w:rsidRDefault="009030AD" w:rsidP="009030AD">
      <w:pPr>
        <w:spacing w:line="360" w:lineRule="auto"/>
        <w:jc w:val="both"/>
        <w:rPr>
          <w:rFonts w:ascii="Times New Roman" w:hAnsi="Times New Roman" w:cs="Times New Roman"/>
        </w:rPr>
      </w:pPr>
    </w:p>
    <w:p w:rsidR="009030AD" w:rsidRPr="009030AD" w:rsidRDefault="003A1B7B" w:rsidP="009030AD">
      <w:pPr>
        <w:spacing w:line="360" w:lineRule="auto"/>
        <w:jc w:val="center"/>
        <w:rPr>
          <w:rFonts w:ascii="Times New Roman" w:hAnsi="Times New Roman" w:cs="Times New Roman"/>
        </w:rPr>
      </w:pPr>
      <w:r>
        <w:rPr>
          <w:rFonts w:ascii="Times New Roman" w:hAnsi="Times New Roman" w:cs="Times New Roman"/>
          <w:noProof/>
          <w:lang w:val="es-CR" w:eastAsia="es-CR"/>
        </w:rPr>
        <w:pict>
          <v:shape id="Cuadro de texto 157" o:spid="_x0000_s1029" type="#_x0000_t202" style="position:absolute;left:0;text-align:left;margin-left:56.75pt;margin-top:203.35pt;width:309pt;height:13.8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" filled="f" stroked="f">
            <v:textbox>
              <w:txbxContent>
                <w:p w:rsidR="00071467" w:rsidRDefault="00071467" w:rsidP="009030AD">
                  <w:pPr>
                    <w:rPr>
                      <w:sz w:val="14"/>
                      <w:szCs w:val="14"/>
                    </w:rPr>
                  </w:pPr>
                  <w:r>
                    <w:rPr>
                      <w:sz w:val="14"/>
                      <w:szCs w:val="14"/>
                    </w:rPr>
                    <w:t>Elaborado por: Sección de Estadística, Dirección de Planificación.</w:t>
                  </w:r>
                </w:p>
              </w:txbxContent>
            </v:textbox>
          </v:shape>
        </w:pict>
      </w:r>
      <w:r w:rsidR="009030AD" w:rsidRPr="009030AD">
        <w:rPr>
          <w:rFonts w:ascii="Times New Roman" w:hAnsi="Times New Roman" w:cs="Times New Roman"/>
          <w:noProof/>
          <w:lang w:val="es-CR" w:eastAsia="es-CR"/>
        </w:rPr>
        <w:drawing>
          <wp:inline distT="0" distB="0" distL="0" distR="0">
            <wp:extent cx="4476750" cy="2876550"/>
            <wp:effectExtent l="0" t="0" r="0" b="0"/>
            <wp:docPr id="146" name="Objeto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030AD" w:rsidRPr="009030AD" w:rsidRDefault="009030AD" w:rsidP="009030AD">
      <w:pPr>
        <w:spacing w:line="360" w:lineRule="auto"/>
        <w:rPr>
          <w:rFonts w:ascii="Times New Roman" w:hAnsi="Times New Roman" w:cs="Times New Roman"/>
        </w:rPr>
      </w:pPr>
    </w:p>
    <w:p w:rsidR="009030AD" w:rsidRPr="009030AD" w:rsidRDefault="009030AD" w:rsidP="009030AD">
      <w:pPr>
        <w:spacing w:line="360" w:lineRule="auto"/>
        <w:rPr>
          <w:rFonts w:ascii="Times New Roman" w:hAnsi="Times New Roman" w:cs="Times New Roman"/>
        </w:rPr>
      </w:pPr>
    </w:p>
    <w:p w:rsidR="009030AD" w:rsidRPr="009030AD" w:rsidRDefault="009030AD" w:rsidP="009030AD">
      <w:pPr>
        <w:spacing w:line="360" w:lineRule="auto"/>
        <w:rPr>
          <w:rFonts w:ascii="Times New Roman" w:hAnsi="Times New Roman" w:cs="Times New Roman"/>
        </w:rPr>
      </w:pPr>
      <w:r w:rsidRPr="009030AD">
        <w:rPr>
          <w:rFonts w:ascii="Times New Roman" w:hAnsi="Times New Roman" w:cs="Times New Roman"/>
        </w:rPr>
        <w:t>Por su parte, el indicador relacionado con la instancia superior</w:t>
      </w:r>
      <w:r w:rsidRPr="009030AD">
        <w:rPr>
          <w:rFonts w:ascii="Times New Roman" w:hAnsi="Times New Roman" w:cs="Times New Roman"/>
          <w:vertAlign w:val="superscript"/>
        </w:rPr>
        <w:footnoteReference w:id="4"/>
      </w:r>
      <w:r w:rsidRPr="009030AD">
        <w:rPr>
          <w:rFonts w:ascii="Times New Roman" w:hAnsi="Times New Roman" w:cs="Times New Roman"/>
        </w:rPr>
        <w:t xml:space="preserve"> se calculó ahora en 180, exteriorizando una tendencia hacia la baja, aunque con variaciones muy discretas en el último bienio. </w:t>
      </w:r>
    </w:p>
    <w:p w:rsidR="009030AD" w:rsidRPr="009030AD" w:rsidRDefault="009030AD" w:rsidP="009030AD">
      <w:pPr>
        <w:spacing w:line="360" w:lineRule="auto"/>
        <w:rPr>
          <w:rFonts w:ascii="Times New Roman" w:hAnsi="Times New Roman" w:cs="Times New Roman"/>
        </w:rPr>
      </w:pPr>
    </w:p>
    <w:p w:rsidR="009030AD" w:rsidRPr="009030AD" w:rsidRDefault="003A1B7B" w:rsidP="009030AD">
      <w:pPr>
        <w:spacing w:line="360" w:lineRule="auto"/>
        <w:jc w:val="center"/>
        <w:rPr>
          <w:rFonts w:ascii="Times New Roman" w:hAnsi="Times New Roman" w:cs="Times New Roman"/>
        </w:rPr>
      </w:pPr>
      <w:r>
        <w:rPr>
          <w:rFonts w:ascii="Times New Roman" w:hAnsi="Times New Roman" w:cs="Times New Roman"/>
          <w:noProof/>
          <w:lang w:val="es-CR" w:eastAsia="es-CR"/>
        </w:rPr>
        <w:lastRenderedPageBreak/>
        <w:pict>
          <v:shape id="Cuadro de texto 156" o:spid="_x0000_s1030" type="#_x0000_t202" style="position:absolute;left:0;text-align:left;margin-left:57.25pt;margin-top:209.95pt;width:285pt;height:18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" filled="f" stroked="f">
            <v:textbox>
              <w:txbxContent>
                <w:p w:rsidR="00071467" w:rsidRDefault="00071467" w:rsidP="009030AD">
                  <w:pPr>
                    <w:rPr>
                      <w:sz w:val="14"/>
                      <w:szCs w:val="14"/>
                    </w:rPr>
                  </w:pPr>
                  <w:r>
                    <w:rPr>
                      <w:sz w:val="14"/>
                      <w:szCs w:val="14"/>
                    </w:rPr>
                    <w:t>Elaborado por: Sección de Estadística,  Dirección de Planificación.</w:t>
                  </w:r>
                </w:p>
              </w:txbxContent>
            </v:textbox>
          </v:shape>
        </w:pict>
      </w:r>
      <w:r w:rsidR="009030AD" w:rsidRPr="009030AD">
        <w:rPr>
          <w:rFonts w:ascii="Times New Roman" w:hAnsi="Times New Roman" w:cs="Times New Roman"/>
          <w:noProof/>
          <w:lang w:val="es-CR" w:eastAsia="es-CR"/>
        </w:rPr>
        <w:drawing>
          <wp:inline distT="0" distB="0" distL="0" distR="0">
            <wp:extent cx="4505325" cy="2962275"/>
            <wp:effectExtent l="0" t="0" r="0" b="0"/>
            <wp:docPr id="147" name="Objeto 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030AD" w:rsidRPr="009030AD" w:rsidRDefault="009030AD" w:rsidP="009030AD"/>
    <w:p w:rsidR="009030AD" w:rsidRPr="009030AD" w:rsidRDefault="009030AD" w:rsidP="009030AD">
      <w:pPr>
        <w:keepNext/>
        <w:spacing w:before="240" w:after="60"/>
        <w:jc w:val="both"/>
        <w:outlineLvl w:val="1"/>
        <w:rPr>
          <w:rFonts w:ascii="Times New Roman" w:hAnsi="Times New Roman" w:cs="Times New Roman"/>
          <w:b/>
          <w:bCs/>
          <w:iCs/>
        </w:rPr>
      </w:pPr>
      <w:r w:rsidRPr="009030AD">
        <w:rPr>
          <w:rFonts w:ascii="Times New Roman" w:hAnsi="Times New Roman" w:cs="Times New Roman"/>
          <w:b/>
          <w:bCs/>
          <w:iCs/>
        </w:rPr>
        <w:t>2.5</w:t>
      </w:r>
      <w:r w:rsidRPr="009030AD">
        <w:rPr>
          <w:rFonts w:ascii="Times New Roman" w:hAnsi="Times New Roman" w:cs="Times New Roman"/>
          <w:b/>
          <w:bCs/>
          <w:iCs/>
        </w:rPr>
        <w:tab/>
        <w:t>Razón de congestión en primera instancia</w:t>
      </w:r>
    </w:p>
    <w:p w:rsidR="009030AD" w:rsidRPr="009030AD" w:rsidRDefault="009030AD" w:rsidP="009030AD">
      <w:pPr>
        <w:spacing w:line="360" w:lineRule="auto"/>
        <w:jc w:val="both"/>
        <w:rPr>
          <w:rFonts w:ascii="Times New Roman" w:hAnsi="Times New Roman" w:cs="Times New Roman"/>
        </w:rPr>
      </w:pPr>
    </w:p>
    <w:p w:rsidR="009030AD" w:rsidRPr="009030AD" w:rsidRDefault="009030AD" w:rsidP="009030AD">
      <w:pPr>
        <w:spacing w:line="360" w:lineRule="auto"/>
        <w:jc w:val="both"/>
        <w:rPr>
          <w:rFonts w:ascii="Times New Roman" w:hAnsi="Times New Roman" w:cs="Times New Roman"/>
        </w:rPr>
      </w:pPr>
      <w:r w:rsidRPr="009030AD">
        <w:rPr>
          <w:rFonts w:ascii="Times New Roman" w:hAnsi="Times New Roman" w:cs="Times New Roman"/>
        </w:rPr>
        <w:t>La razón de congestión mide el grado de saturación o de retraso en los despachos judiciales, en cuyo cálculo se divide la carga de trabajo entre el total de asuntos resueltos durante un año en particular. Es importante señalar que esta operación toma en cuenta la etapa de ejecución de los expedientes.</w:t>
      </w:r>
    </w:p>
    <w:p w:rsidR="009030AD" w:rsidRPr="009030AD" w:rsidRDefault="009030AD" w:rsidP="009030AD">
      <w:pPr>
        <w:spacing w:line="360" w:lineRule="auto"/>
        <w:jc w:val="both"/>
        <w:rPr>
          <w:rFonts w:ascii="Times New Roman" w:hAnsi="Times New Roman" w:cs="Times New Roman"/>
        </w:rPr>
      </w:pPr>
    </w:p>
    <w:p w:rsidR="009030AD" w:rsidRPr="009030AD" w:rsidRDefault="009030AD" w:rsidP="009030AD">
      <w:pPr>
        <w:spacing w:line="360" w:lineRule="auto"/>
        <w:rPr>
          <w:rFonts w:ascii="Times New Roman" w:hAnsi="Times New Roman" w:cs="Times New Roman"/>
        </w:rPr>
      </w:pPr>
      <w:r w:rsidRPr="009030AD">
        <w:rPr>
          <w:rFonts w:ascii="Times New Roman" w:hAnsi="Times New Roman" w:cs="Times New Roman"/>
        </w:rPr>
        <w:t>La forma de interpretar este indicador es la siguiente:</w:t>
      </w:r>
    </w:p>
    <w:p w:rsidR="009030AD" w:rsidRPr="009030AD" w:rsidRDefault="009030AD" w:rsidP="009030AD">
      <w:pPr>
        <w:spacing w:line="360" w:lineRule="auto"/>
        <w:rPr>
          <w:rFonts w:ascii="Times New Roman" w:hAnsi="Times New Roman" w:cs="Times New Roman"/>
        </w:rPr>
      </w:pPr>
    </w:p>
    <w:p w:rsidR="009030AD" w:rsidRPr="009030AD" w:rsidRDefault="009030AD" w:rsidP="009030AD">
      <w:pPr>
        <w:spacing w:line="360" w:lineRule="auto"/>
        <w:ind w:left="900"/>
        <w:jc w:val="both"/>
        <w:rPr>
          <w:rFonts w:ascii="Times New Roman" w:hAnsi="Times New Roman" w:cs="Times New Roman"/>
          <w:i/>
          <w:iCs/>
          <w:color w:val="000000"/>
          <w:u w:color="000000"/>
          <w:shd w:val="clear" w:color="auto" w:fill="FFFFFF"/>
        </w:rPr>
      </w:pPr>
      <w:r w:rsidRPr="009030AD">
        <w:rPr>
          <w:rFonts w:ascii="Times New Roman" w:hAnsi="Times New Roman" w:cs="Times New Roman"/>
          <w:i/>
          <w:iCs/>
          <w:color w:val="000000"/>
          <w:u w:color="000000"/>
          <w:shd w:val="clear" w:color="auto" w:fill="FFFFFF"/>
        </w:rPr>
        <w:t xml:space="preserve">“Si la razón de congestión es mayor a 1 (uno), existe congestión en un despacho,  materia o sistema judicial. Si la razón de congestión es igual a 1 (uno), no se registra congestión, lo cual implica que se le ha aplicado trámite a todos los procesos ingresados y pendientes en el período estudiado; esto significa que no existen casos pendientes para el año entrante. También es importante indicar que la razón de congestión no puede arrojar valores negativos.  </w:t>
      </w:r>
    </w:p>
    <w:p w:rsidR="009030AD" w:rsidRPr="009030AD" w:rsidRDefault="009030AD" w:rsidP="009030AD">
      <w:pPr>
        <w:spacing w:line="360" w:lineRule="auto"/>
        <w:ind w:left="900"/>
        <w:jc w:val="both"/>
        <w:rPr>
          <w:rFonts w:ascii="Times New Roman" w:hAnsi="Times New Roman" w:cs="Times New Roman"/>
          <w:iCs/>
          <w:color w:val="000000"/>
          <w:u w:color="000000"/>
          <w:shd w:val="clear" w:color="auto" w:fill="FFFFFF"/>
        </w:rPr>
      </w:pPr>
    </w:p>
    <w:p w:rsidR="009030AD" w:rsidRPr="009030AD" w:rsidRDefault="009030AD" w:rsidP="009030AD">
      <w:pPr>
        <w:spacing w:line="360" w:lineRule="auto"/>
        <w:ind w:left="900"/>
        <w:jc w:val="both"/>
        <w:rPr>
          <w:rFonts w:ascii="Times New Roman" w:hAnsi="Times New Roman" w:cs="Times New Roman"/>
          <w:i/>
          <w:iCs/>
          <w:color w:val="000000"/>
          <w:u w:color="000000"/>
          <w:shd w:val="clear" w:color="auto" w:fill="FFFFFF"/>
        </w:rPr>
      </w:pPr>
      <w:r w:rsidRPr="009030AD">
        <w:rPr>
          <w:rFonts w:ascii="Times New Roman" w:hAnsi="Times New Roman" w:cs="Times New Roman"/>
          <w:i/>
          <w:iCs/>
          <w:color w:val="000000"/>
          <w:u w:color="000000"/>
          <w:shd w:val="clear" w:color="auto" w:fill="FFFFFF"/>
        </w:rPr>
        <w:lastRenderedPageBreak/>
        <w:t xml:space="preserve">La interpretación de este resultado refiere el número de veces necesario, de los casos que un órgano judicial debe resolver en un año específico, para que no acuse congestión en su carga de trabajo. En otras palabras, si la razón de congestión de un despacho es “n”, entonces tuvo que tramitar “n” veces de lo que resolvió en el período, para conseguir la no saturación. </w:t>
      </w:r>
    </w:p>
    <w:p w:rsidR="009030AD" w:rsidRPr="009030AD" w:rsidRDefault="009030AD" w:rsidP="009030AD">
      <w:pPr>
        <w:spacing w:line="360" w:lineRule="auto"/>
        <w:jc w:val="both"/>
        <w:rPr>
          <w:rFonts w:ascii="Times New Roman" w:hAnsi="Times New Roman" w:cs="Times New Roman"/>
        </w:rPr>
      </w:pPr>
    </w:p>
    <w:p w:rsidR="009030AD" w:rsidRPr="009030AD" w:rsidRDefault="009030AD" w:rsidP="009030AD">
      <w:pPr>
        <w:spacing w:line="360" w:lineRule="auto"/>
        <w:jc w:val="both"/>
        <w:rPr>
          <w:rFonts w:ascii="Times New Roman" w:hAnsi="Times New Roman" w:cs="Times New Roman"/>
        </w:rPr>
      </w:pPr>
      <w:r w:rsidRPr="009030AD">
        <w:rPr>
          <w:rFonts w:ascii="Times New Roman" w:hAnsi="Times New Roman" w:cs="Times New Roman"/>
        </w:rPr>
        <w:t xml:space="preserve">Para el caso concreto del 2015, se obtuvo una razón de congestión de 2,97, lo cual implica que si los despachos judiciales de primera instancia hubiesen atendido casi el triple de lo diligenciado en este año, no se registraría saturación alguna. </w:t>
      </w:r>
    </w:p>
    <w:p w:rsidR="009030AD" w:rsidRPr="009030AD" w:rsidRDefault="009030AD" w:rsidP="009030AD">
      <w:pPr>
        <w:spacing w:line="360" w:lineRule="auto"/>
        <w:jc w:val="both"/>
        <w:rPr>
          <w:rFonts w:ascii="Times New Roman" w:hAnsi="Times New Roman" w:cs="Times New Roman"/>
        </w:rPr>
      </w:pPr>
    </w:p>
    <w:p w:rsidR="009030AD" w:rsidRPr="009030AD" w:rsidRDefault="003A1B7B" w:rsidP="009030AD">
      <w:pPr>
        <w:spacing w:line="360" w:lineRule="auto"/>
        <w:jc w:val="center"/>
        <w:rPr>
          <w:rFonts w:ascii="Times New Roman" w:hAnsi="Times New Roman" w:cs="Times New Roman"/>
        </w:rPr>
      </w:pPr>
      <w:r>
        <w:rPr>
          <w:rFonts w:ascii="Times New Roman" w:hAnsi="Times New Roman" w:cs="Times New Roman"/>
          <w:noProof/>
          <w:lang w:val="es-CR" w:eastAsia="es-CR"/>
        </w:rPr>
        <w:pict>
          <v:shape id="Cuadro de texto 155" o:spid="_x0000_s1031" type="#_x0000_t202" style="position:absolute;left:0;text-align:left;margin-left:58.15pt;margin-top:205pt;width:307.5pt;height:16.3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" filled="f" stroked="f">
            <v:textbox>
              <w:txbxContent>
                <w:p w:rsidR="00071467" w:rsidRDefault="00071467" w:rsidP="009030AD">
                  <w:pPr>
                    <w:rPr>
                      <w:sz w:val="14"/>
                      <w:szCs w:val="14"/>
                    </w:rPr>
                  </w:pPr>
                  <w:r>
                    <w:rPr>
                      <w:sz w:val="14"/>
                      <w:szCs w:val="14"/>
                    </w:rPr>
                    <w:t>Elaborado por: Sección de Estadística,  Dirección de Planificación.</w:t>
                  </w:r>
                </w:p>
              </w:txbxContent>
            </v:textbox>
          </v:shape>
        </w:pict>
      </w:r>
      <w:r w:rsidR="009030AD" w:rsidRPr="009030AD">
        <w:rPr>
          <w:rFonts w:ascii="Times New Roman" w:hAnsi="Times New Roman" w:cs="Times New Roman"/>
          <w:noProof/>
          <w:lang w:val="es-CR" w:eastAsia="es-CR"/>
        </w:rPr>
        <w:drawing>
          <wp:inline distT="0" distB="0" distL="0" distR="0">
            <wp:extent cx="4457700" cy="2952750"/>
            <wp:effectExtent l="0" t="0" r="0" b="0"/>
            <wp:docPr id="148" name="Objeto 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030AD" w:rsidRPr="009030AD" w:rsidRDefault="009030AD" w:rsidP="009030AD">
      <w:pPr>
        <w:spacing w:line="360" w:lineRule="auto"/>
        <w:jc w:val="both"/>
        <w:rPr>
          <w:rFonts w:ascii="Times New Roman" w:hAnsi="Times New Roman" w:cs="Times New Roman"/>
        </w:rPr>
      </w:pPr>
    </w:p>
    <w:p w:rsidR="009030AD" w:rsidRDefault="009030AD" w:rsidP="009030AD">
      <w:pPr>
        <w:spacing w:line="360" w:lineRule="auto"/>
        <w:jc w:val="both"/>
        <w:rPr>
          <w:rFonts w:ascii="Times New Roman" w:hAnsi="Times New Roman" w:cs="Times New Roman"/>
        </w:rPr>
      </w:pPr>
      <w:r w:rsidRPr="009030AD">
        <w:rPr>
          <w:rFonts w:ascii="Times New Roman" w:hAnsi="Times New Roman" w:cs="Times New Roman"/>
        </w:rPr>
        <w:t xml:space="preserve">Asimismo, se confirma la gran estabilidad mostrada por este indicador en los últimos años, a pesar de que en algunas materias el impulso de los asuntos no depende de la gestión exclusiva del personal de los despachos, sino del interés de las partes involucradas en los procesos judiciales. </w:t>
      </w:r>
    </w:p>
    <w:p w:rsidR="009030AD" w:rsidRDefault="009030AD" w:rsidP="009030AD">
      <w:pPr>
        <w:spacing w:line="360" w:lineRule="auto"/>
        <w:jc w:val="both"/>
        <w:rPr>
          <w:rFonts w:ascii="Times New Roman" w:hAnsi="Times New Roman" w:cs="Times New Roman"/>
        </w:rPr>
      </w:pPr>
    </w:p>
    <w:p w:rsidR="000468A0" w:rsidRDefault="000468A0" w:rsidP="009030AD">
      <w:pPr>
        <w:spacing w:line="360" w:lineRule="auto"/>
        <w:jc w:val="both"/>
        <w:rPr>
          <w:rFonts w:ascii="Times New Roman" w:hAnsi="Times New Roman" w:cs="Times New Roman"/>
        </w:rPr>
      </w:pPr>
    </w:p>
    <w:p w:rsidR="000468A0" w:rsidRPr="009030AD" w:rsidRDefault="000468A0" w:rsidP="009030AD">
      <w:pPr>
        <w:spacing w:line="360" w:lineRule="auto"/>
        <w:jc w:val="both"/>
        <w:rPr>
          <w:rFonts w:ascii="Times New Roman" w:hAnsi="Times New Roman" w:cs="Times New Roman"/>
        </w:rPr>
      </w:pPr>
    </w:p>
    <w:p w:rsidR="009030AD" w:rsidRPr="009030AD" w:rsidRDefault="009030AD" w:rsidP="009030AD">
      <w:pPr>
        <w:keepNext/>
        <w:spacing w:before="240" w:after="60"/>
        <w:jc w:val="both"/>
        <w:outlineLvl w:val="1"/>
        <w:rPr>
          <w:rFonts w:ascii="Times New Roman" w:hAnsi="Times New Roman" w:cs="Times New Roman"/>
          <w:b/>
          <w:bCs/>
          <w:iCs/>
        </w:rPr>
      </w:pPr>
      <w:r w:rsidRPr="009030AD">
        <w:rPr>
          <w:rFonts w:ascii="Times New Roman" w:hAnsi="Times New Roman" w:cs="Times New Roman"/>
          <w:b/>
          <w:bCs/>
          <w:iCs/>
        </w:rPr>
        <w:lastRenderedPageBreak/>
        <w:t>2.6</w:t>
      </w:r>
      <w:r w:rsidRPr="009030AD">
        <w:rPr>
          <w:rFonts w:ascii="Times New Roman" w:hAnsi="Times New Roman" w:cs="Times New Roman"/>
          <w:b/>
          <w:bCs/>
          <w:iCs/>
        </w:rPr>
        <w:tab/>
        <w:t>Tasa de apelación (materias no penales)</w:t>
      </w:r>
    </w:p>
    <w:p w:rsidR="009030AD" w:rsidRPr="009030AD" w:rsidRDefault="009030AD" w:rsidP="009030AD">
      <w:pPr>
        <w:spacing w:line="360" w:lineRule="auto"/>
        <w:jc w:val="both"/>
        <w:rPr>
          <w:rFonts w:ascii="Times New Roman" w:hAnsi="Times New Roman" w:cs="Times New Roman"/>
        </w:rPr>
      </w:pPr>
    </w:p>
    <w:p w:rsidR="009030AD" w:rsidRPr="009030AD" w:rsidRDefault="009030AD" w:rsidP="009030AD">
      <w:pPr>
        <w:spacing w:line="360" w:lineRule="auto"/>
        <w:jc w:val="both"/>
        <w:rPr>
          <w:rFonts w:ascii="Times New Roman" w:hAnsi="Times New Roman" w:cs="Times New Roman"/>
        </w:rPr>
      </w:pPr>
      <w:r w:rsidRPr="009030AD">
        <w:rPr>
          <w:rFonts w:ascii="Times New Roman" w:hAnsi="Times New Roman" w:cs="Times New Roman"/>
        </w:rPr>
        <w:t xml:space="preserve">Este indicador se propone para efectos de determinar la disconformidad de las personas usuarias, ante las resoluciones dictadas en las dependencias de primera instancia, con lo cual procuran, mediante la apelación del fallo, que el despacho de instancia superior revoque, enmiende o anule lo resuelto en la instancia previa. </w:t>
      </w:r>
    </w:p>
    <w:p w:rsidR="009030AD" w:rsidRPr="009030AD" w:rsidRDefault="009030AD" w:rsidP="009030AD">
      <w:pPr>
        <w:spacing w:line="360" w:lineRule="auto"/>
        <w:jc w:val="both"/>
        <w:rPr>
          <w:rFonts w:ascii="Times New Roman" w:hAnsi="Times New Roman" w:cs="Times New Roman"/>
        </w:rPr>
      </w:pPr>
    </w:p>
    <w:p w:rsidR="009030AD" w:rsidRPr="009030AD" w:rsidRDefault="009030AD" w:rsidP="009030AD">
      <w:pPr>
        <w:spacing w:line="360" w:lineRule="auto"/>
        <w:jc w:val="both"/>
        <w:rPr>
          <w:rFonts w:ascii="Times New Roman" w:hAnsi="Times New Roman" w:cs="Times New Roman"/>
        </w:rPr>
      </w:pPr>
      <w:r w:rsidRPr="009030AD">
        <w:rPr>
          <w:rFonts w:ascii="Times New Roman" w:hAnsi="Times New Roman" w:cs="Times New Roman"/>
        </w:rPr>
        <w:t xml:space="preserve">En específico, su cálculo se establece al dividir los casos entrados en instancia superior (sin considerar la materia Penal), respecto al número de sentencias dictadas en primera instancia (no se incluye lo dictaminado en las materias Penal y Penal Juvenil). </w:t>
      </w:r>
    </w:p>
    <w:p w:rsidR="009030AD" w:rsidRPr="009030AD" w:rsidRDefault="009030AD" w:rsidP="009030AD">
      <w:pPr>
        <w:jc w:val="both"/>
        <w:rPr>
          <w:rFonts w:ascii="Times New Roman" w:hAnsi="Times New Roman" w:cs="Times New Roman"/>
        </w:rPr>
      </w:pPr>
    </w:p>
    <w:p w:rsidR="009030AD" w:rsidRPr="009030AD" w:rsidRDefault="009030AD" w:rsidP="009030AD">
      <w:pPr>
        <w:spacing w:line="360" w:lineRule="auto"/>
        <w:jc w:val="both"/>
        <w:rPr>
          <w:rFonts w:ascii="Times New Roman" w:hAnsi="Times New Roman" w:cs="Times New Roman"/>
        </w:rPr>
      </w:pPr>
      <w:r w:rsidRPr="009030AD">
        <w:rPr>
          <w:rFonts w:ascii="Times New Roman" w:hAnsi="Times New Roman" w:cs="Times New Roman"/>
        </w:rPr>
        <w:t>La información evidenciada en el siguiente gráfico señala un comportamiento completamente oscilante, alcanzando su valor actual en 12,0.</w:t>
      </w:r>
    </w:p>
    <w:p w:rsidR="009030AD" w:rsidRPr="009030AD" w:rsidRDefault="009030AD" w:rsidP="009030AD">
      <w:pPr>
        <w:jc w:val="both"/>
        <w:rPr>
          <w:rFonts w:ascii="Times New Roman" w:hAnsi="Times New Roman" w:cs="Times New Roman"/>
        </w:rPr>
      </w:pPr>
    </w:p>
    <w:p w:rsidR="009030AD" w:rsidRPr="009030AD" w:rsidRDefault="009030AD" w:rsidP="009030AD">
      <w:pPr>
        <w:jc w:val="both"/>
        <w:rPr>
          <w:rFonts w:ascii="Times New Roman" w:hAnsi="Times New Roman" w:cs="Times New Roman"/>
        </w:rPr>
      </w:pPr>
    </w:p>
    <w:p w:rsidR="009030AD" w:rsidRPr="009030AD" w:rsidRDefault="003A1B7B" w:rsidP="009030AD">
      <w:pPr>
        <w:jc w:val="center"/>
        <w:rPr>
          <w:rFonts w:ascii="Times New Roman" w:hAnsi="Times New Roman" w:cs="Times New Roman"/>
        </w:rPr>
      </w:pPr>
      <w:r>
        <w:rPr>
          <w:rFonts w:ascii="Times New Roman" w:hAnsi="Times New Roman" w:cs="Times New Roman"/>
          <w:noProof/>
          <w:lang w:val="es-CR" w:eastAsia="es-CR"/>
        </w:rPr>
        <w:pict>
          <v:shape id="Cuadro de texto 154" o:spid="_x0000_s1032" type="#_x0000_t202" style="position:absolute;left:0;text-align:left;margin-left:80.15pt;margin-top:199.3pt;width:224.15pt;height:2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" filled="f" stroked="f">
            <v:textbox>
              <w:txbxContent>
                <w:p w:rsidR="00071467" w:rsidRDefault="00071467" w:rsidP="009030AD">
                  <w:pPr>
                    <w:rPr>
                      <w:sz w:val="12"/>
                      <w:szCs w:val="12"/>
                    </w:rPr>
                  </w:pPr>
                  <w:r>
                    <w:rPr>
                      <w:sz w:val="12"/>
                      <w:szCs w:val="12"/>
                    </w:rPr>
                    <w:t xml:space="preserve">*No incluye la materia Penal ni  </w:t>
                  </w:r>
                  <w:smartTag w:uri="urn:schemas-microsoft-com:office:smarttags" w:element="PersonName">
                    <w:smartTagPr>
                      <w:attr w:name="ProductID" w:val="la Penal Juvenil"/>
                    </w:smartTagPr>
                    <w:r>
                      <w:rPr>
                        <w:sz w:val="12"/>
                        <w:szCs w:val="12"/>
                      </w:rPr>
                      <w:t>la Penal Juvenil</w:t>
                    </w:r>
                  </w:smartTag>
                </w:p>
                <w:p w:rsidR="00071467" w:rsidRPr="008C63C2" w:rsidRDefault="00071467" w:rsidP="009030AD">
                  <w:pPr>
                    <w:rPr>
                      <w:sz w:val="12"/>
                      <w:szCs w:val="12"/>
                    </w:rPr>
                  </w:pPr>
                  <w:r w:rsidRPr="008C63C2">
                    <w:rPr>
                      <w:sz w:val="12"/>
                      <w:szCs w:val="12"/>
                    </w:rPr>
                    <w:t>Elaborado por: Sección de Estadística, Dirección de Planificación.</w:t>
                  </w:r>
                </w:p>
              </w:txbxContent>
            </v:textbox>
          </v:shape>
        </w:pict>
      </w:r>
      <w:r w:rsidR="009030AD" w:rsidRPr="009030AD">
        <w:rPr>
          <w:rFonts w:ascii="Times New Roman" w:hAnsi="Times New Roman" w:cs="Times New Roman"/>
          <w:noProof/>
          <w:lang w:val="es-CR" w:eastAsia="es-CR"/>
        </w:rPr>
        <w:drawing>
          <wp:inline distT="0" distB="0" distL="0" distR="0">
            <wp:extent cx="4429125" cy="2971800"/>
            <wp:effectExtent l="0" t="0" r="0" b="0"/>
            <wp:docPr id="149" name="Objeto 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030AD" w:rsidRPr="009030AD" w:rsidRDefault="009030AD" w:rsidP="009030AD">
      <w:pPr>
        <w:spacing w:line="360" w:lineRule="auto"/>
        <w:rPr>
          <w:rFonts w:ascii="Times New Roman" w:hAnsi="Times New Roman" w:cs="Times New Roman"/>
          <w:highlight w:val="yellow"/>
        </w:rPr>
      </w:pPr>
    </w:p>
    <w:p w:rsidR="009030AD" w:rsidRPr="009030AD" w:rsidRDefault="009030AD" w:rsidP="009030AD">
      <w:pPr>
        <w:spacing w:line="360" w:lineRule="auto"/>
        <w:rPr>
          <w:rFonts w:ascii="Times New Roman" w:hAnsi="Times New Roman" w:cs="Times New Roman"/>
          <w:highlight w:val="yellow"/>
        </w:rPr>
      </w:pPr>
    </w:p>
    <w:p w:rsidR="009030AD" w:rsidRPr="009030AD" w:rsidRDefault="009030AD" w:rsidP="009030AD">
      <w:pPr>
        <w:spacing w:line="360" w:lineRule="auto"/>
        <w:rPr>
          <w:rFonts w:ascii="Times New Roman" w:hAnsi="Times New Roman" w:cs="Times New Roman"/>
          <w:highlight w:val="yellow"/>
        </w:rPr>
      </w:pPr>
    </w:p>
    <w:p w:rsidR="009030AD" w:rsidRPr="009030AD" w:rsidRDefault="009030AD" w:rsidP="009030AD">
      <w:pPr>
        <w:keepNext/>
        <w:spacing w:before="240" w:after="60"/>
        <w:jc w:val="both"/>
        <w:outlineLvl w:val="1"/>
        <w:rPr>
          <w:rFonts w:ascii="Times New Roman" w:hAnsi="Times New Roman" w:cs="Times New Roman"/>
          <w:b/>
          <w:bCs/>
          <w:iCs/>
        </w:rPr>
      </w:pPr>
      <w:r w:rsidRPr="009030AD">
        <w:rPr>
          <w:rFonts w:ascii="Times New Roman" w:hAnsi="Times New Roman" w:cs="Times New Roman"/>
          <w:b/>
          <w:bCs/>
          <w:iCs/>
        </w:rPr>
        <w:lastRenderedPageBreak/>
        <w:t>2.7</w:t>
      </w:r>
      <w:r w:rsidRPr="009030AD">
        <w:rPr>
          <w:rFonts w:ascii="Times New Roman" w:hAnsi="Times New Roman" w:cs="Times New Roman"/>
          <w:b/>
          <w:bCs/>
          <w:iCs/>
        </w:rPr>
        <w:tab/>
        <w:t>Tasa de apelación de sentencia (materia Penal)</w:t>
      </w:r>
    </w:p>
    <w:p w:rsidR="009030AD" w:rsidRPr="009030AD" w:rsidRDefault="009030AD" w:rsidP="009030AD">
      <w:pPr>
        <w:spacing w:line="360" w:lineRule="auto"/>
        <w:jc w:val="both"/>
        <w:rPr>
          <w:rFonts w:ascii="Times New Roman" w:hAnsi="Times New Roman" w:cs="Times New Roman"/>
        </w:rPr>
      </w:pPr>
    </w:p>
    <w:p w:rsidR="009030AD" w:rsidRPr="009030AD" w:rsidRDefault="009030AD" w:rsidP="009030AD">
      <w:pPr>
        <w:spacing w:line="360" w:lineRule="auto"/>
        <w:jc w:val="both"/>
        <w:rPr>
          <w:rFonts w:ascii="Times New Roman" w:hAnsi="Times New Roman" w:cs="Times New Roman"/>
        </w:rPr>
      </w:pPr>
      <w:r w:rsidRPr="009030AD">
        <w:rPr>
          <w:rFonts w:ascii="Times New Roman" w:hAnsi="Times New Roman" w:cs="Times New Roman"/>
        </w:rPr>
        <w:t xml:space="preserve">Este indicador refiere el nivel de inconformidad de las personas usuarias, en los procesos fallados con sentencia en los Tribunales Penales. </w:t>
      </w:r>
    </w:p>
    <w:p w:rsidR="009030AD" w:rsidRPr="009030AD" w:rsidRDefault="009030AD" w:rsidP="009030AD">
      <w:pPr>
        <w:spacing w:line="360" w:lineRule="auto"/>
        <w:jc w:val="both"/>
        <w:rPr>
          <w:rFonts w:ascii="Times New Roman" w:hAnsi="Times New Roman" w:cs="Times New Roman"/>
        </w:rPr>
      </w:pPr>
    </w:p>
    <w:p w:rsidR="009030AD" w:rsidRPr="009030AD" w:rsidRDefault="009030AD" w:rsidP="009030AD">
      <w:pPr>
        <w:spacing w:line="360" w:lineRule="auto"/>
        <w:jc w:val="both"/>
        <w:rPr>
          <w:rFonts w:ascii="Times New Roman" w:hAnsi="Times New Roman" w:cs="Times New Roman"/>
        </w:rPr>
      </w:pPr>
      <w:r w:rsidRPr="009030AD">
        <w:rPr>
          <w:rFonts w:ascii="Times New Roman" w:hAnsi="Times New Roman" w:cs="Times New Roman"/>
        </w:rPr>
        <w:t xml:space="preserve">Su cálculo se deduce del cociente de los recursos ingresados en los tribunales de apelación de sentencia penal, entre la cantidad de sentencias dictadas en los tribunales penales de primera instancia. </w:t>
      </w:r>
    </w:p>
    <w:p w:rsidR="009030AD" w:rsidRPr="009030AD" w:rsidRDefault="009030AD" w:rsidP="009030AD">
      <w:pPr>
        <w:spacing w:line="360" w:lineRule="auto"/>
        <w:jc w:val="both"/>
        <w:rPr>
          <w:rFonts w:ascii="Times New Roman" w:hAnsi="Times New Roman" w:cs="Times New Roman"/>
        </w:rPr>
      </w:pPr>
    </w:p>
    <w:p w:rsidR="001017FD" w:rsidRPr="009030AD" w:rsidRDefault="009030AD" w:rsidP="009030AD">
      <w:pPr>
        <w:spacing w:line="360" w:lineRule="auto"/>
        <w:jc w:val="both"/>
        <w:rPr>
          <w:rFonts w:ascii="Times New Roman" w:hAnsi="Times New Roman" w:cs="Times New Roman"/>
        </w:rPr>
      </w:pPr>
      <w:r w:rsidRPr="009030AD">
        <w:rPr>
          <w:rFonts w:ascii="Times New Roman" w:hAnsi="Times New Roman" w:cs="Times New Roman"/>
        </w:rPr>
        <w:t xml:space="preserve">El resultado de este indicador se obtuvo en 25,6 para el presente período, lo cual denota la segunda baja anual consecutiva. Sin embargo, se debe advertir que el seguimiento estadístico de este indicador apenas contempla su cuarto valor anual. </w:t>
      </w:r>
    </w:p>
    <w:p w:rsidR="009030AD" w:rsidRPr="009030AD" w:rsidRDefault="009030AD" w:rsidP="009030AD">
      <w:pPr>
        <w:spacing w:line="360" w:lineRule="auto"/>
        <w:jc w:val="both"/>
        <w:rPr>
          <w:rFonts w:ascii="Times New Roman" w:hAnsi="Times New Roman" w:cs="Times New Roman"/>
        </w:rPr>
      </w:pPr>
    </w:p>
    <w:p w:rsidR="009030AD" w:rsidRPr="009030AD" w:rsidRDefault="003A1B7B" w:rsidP="009030AD">
      <w:pPr>
        <w:spacing w:line="360" w:lineRule="auto"/>
        <w:jc w:val="center"/>
        <w:rPr>
          <w:rFonts w:ascii="Times New Roman" w:hAnsi="Times New Roman" w:cs="Times New Roman"/>
        </w:rPr>
      </w:pPr>
      <w:r>
        <w:rPr>
          <w:rFonts w:ascii="Times New Roman" w:hAnsi="Times New Roman" w:cs="Times New Roman"/>
          <w:noProof/>
          <w:lang w:val="es-CR" w:eastAsia="es-CR"/>
        </w:rPr>
        <w:pict>
          <v:shape id="Cuadro de texto 153" o:spid="_x0000_s1033" type="#_x0000_t202" style="position:absolute;left:0;text-align:left;margin-left:56.15pt;margin-top:208.25pt;width:224.15pt;height:19.6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" filled="f" stroked="f">
            <v:textbox>
              <w:txbxContent>
                <w:p w:rsidR="00071467" w:rsidRDefault="00071467" w:rsidP="009030AD">
                  <w:pPr>
                    <w:rPr>
                      <w:sz w:val="12"/>
                      <w:szCs w:val="12"/>
                    </w:rPr>
                  </w:pPr>
                  <w:r>
                    <w:rPr>
                      <w:sz w:val="12"/>
                      <w:szCs w:val="12"/>
                    </w:rPr>
                    <w:t xml:space="preserve">* Solo incluye la materia </w:t>
                  </w:r>
                  <w:proofErr w:type="gramStart"/>
                  <w:r>
                    <w:rPr>
                      <w:sz w:val="12"/>
                      <w:szCs w:val="12"/>
                    </w:rPr>
                    <w:t>Penal ,</w:t>
                  </w:r>
                  <w:proofErr w:type="gramEnd"/>
                </w:p>
                <w:p w:rsidR="00071467" w:rsidRPr="008C63C2" w:rsidRDefault="00071467" w:rsidP="009030AD">
                  <w:pPr>
                    <w:rPr>
                      <w:sz w:val="12"/>
                      <w:szCs w:val="12"/>
                    </w:rPr>
                  </w:pPr>
                  <w:r w:rsidRPr="008C63C2">
                    <w:rPr>
                      <w:sz w:val="12"/>
                      <w:szCs w:val="12"/>
                    </w:rPr>
                    <w:t>Elaborado por: Sección de Estadística, Dirección de Planificación.</w:t>
                  </w:r>
                </w:p>
              </w:txbxContent>
            </v:textbox>
          </v:shape>
        </w:pict>
      </w:r>
      <w:r w:rsidR="009030AD" w:rsidRPr="009030AD">
        <w:rPr>
          <w:rFonts w:ascii="Times New Roman" w:hAnsi="Times New Roman" w:cs="Times New Roman"/>
          <w:noProof/>
          <w:lang w:val="es-CR" w:eastAsia="es-CR"/>
        </w:rPr>
        <w:drawing>
          <wp:inline distT="0" distB="0" distL="0" distR="0">
            <wp:extent cx="4429125" cy="2971800"/>
            <wp:effectExtent l="0" t="0" r="28575" b="38100"/>
            <wp:docPr id="150" name="Objeto 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030AD" w:rsidRPr="009030AD" w:rsidRDefault="009030AD" w:rsidP="009030AD">
      <w:pPr>
        <w:spacing w:line="360" w:lineRule="auto"/>
        <w:jc w:val="both"/>
        <w:rPr>
          <w:rFonts w:ascii="Times New Roman" w:hAnsi="Times New Roman" w:cs="Times New Roman"/>
        </w:rPr>
      </w:pPr>
    </w:p>
    <w:p w:rsidR="009030AD" w:rsidRPr="009030AD" w:rsidRDefault="009030AD" w:rsidP="009030AD">
      <w:pPr>
        <w:keepNext/>
        <w:spacing w:before="240" w:after="60"/>
        <w:jc w:val="both"/>
        <w:outlineLvl w:val="1"/>
        <w:rPr>
          <w:rFonts w:ascii="Times New Roman" w:hAnsi="Times New Roman" w:cs="Times New Roman"/>
          <w:b/>
          <w:bCs/>
          <w:iCs/>
        </w:rPr>
      </w:pPr>
      <w:r w:rsidRPr="009030AD">
        <w:rPr>
          <w:rFonts w:ascii="Times New Roman" w:hAnsi="Times New Roman" w:cs="Times New Roman"/>
          <w:b/>
          <w:bCs/>
          <w:iCs/>
        </w:rPr>
        <w:t>2.8</w:t>
      </w:r>
      <w:r w:rsidRPr="009030AD">
        <w:rPr>
          <w:rFonts w:ascii="Times New Roman" w:hAnsi="Times New Roman" w:cs="Times New Roman"/>
          <w:b/>
          <w:bCs/>
          <w:iCs/>
        </w:rPr>
        <w:tab/>
        <w:t>Distribución porcentual de los asuntos entrados por materia (en primera instancia)</w:t>
      </w:r>
    </w:p>
    <w:p w:rsidR="009030AD" w:rsidRPr="009030AD" w:rsidRDefault="009030AD" w:rsidP="009030AD">
      <w:pPr>
        <w:spacing w:line="360" w:lineRule="auto"/>
        <w:jc w:val="both"/>
        <w:rPr>
          <w:rFonts w:ascii="Times New Roman" w:hAnsi="Times New Roman" w:cs="Times New Roman"/>
        </w:rPr>
      </w:pPr>
    </w:p>
    <w:p w:rsidR="009030AD" w:rsidRPr="009030AD" w:rsidRDefault="009030AD" w:rsidP="009030AD">
      <w:pPr>
        <w:spacing w:line="360" w:lineRule="auto"/>
        <w:jc w:val="both"/>
        <w:rPr>
          <w:rFonts w:ascii="Times New Roman" w:hAnsi="Times New Roman" w:cs="Times New Roman"/>
        </w:rPr>
      </w:pPr>
      <w:r w:rsidRPr="009030AD">
        <w:rPr>
          <w:rFonts w:ascii="Times New Roman" w:hAnsi="Times New Roman" w:cs="Times New Roman"/>
        </w:rPr>
        <w:t xml:space="preserve">Las representaciones porcentuales de los casos entados en las materias Penal, Civil y Tránsito de </w:t>
      </w:r>
      <w:r w:rsidRPr="009030AD">
        <w:rPr>
          <w:rFonts w:ascii="Times New Roman" w:hAnsi="Times New Roman" w:cs="Times New Roman"/>
        </w:rPr>
        <w:lastRenderedPageBreak/>
        <w:t xml:space="preserve">primera instancia continúan siendo las de mayor relevancia en los últimos años, con el 27,7%, 23,9% y 11,9% respectivamente, en el presente año. </w:t>
      </w:r>
    </w:p>
    <w:p w:rsidR="009030AD" w:rsidRPr="009030AD" w:rsidRDefault="009030AD" w:rsidP="009030AD">
      <w:pPr>
        <w:spacing w:line="360" w:lineRule="auto"/>
        <w:jc w:val="both"/>
        <w:rPr>
          <w:rFonts w:ascii="Times New Roman" w:hAnsi="Times New Roman" w:cs="Times New Roman"/>
        </w:rPr>
      </w:pPr>
    </w:p>
    <w:tbl>
      <w:tblPr>
        <w:tblW w:w="7424" w:type="dxa"/>
        <w:jc w:val="center"/>
        <w:tblCellMar>
          <w:left w:w="70" w:type="dxa"/>
          <w:right w:w="70" w:type="dxa"/>
        </w:tblCellMar>
        <w:tblLook w:val="04A0"/>
      </w:tblPr>
      <w:tblGrid>
        <w:gridCol w:w="2824"/>
        <w:gridCol w:w="920"/>
        <w:gridCol w:w="920"/>
        <w:gridCol w:w="920"/>
        <w:gridCol w:w="920"/>
        <w:gridCol w:w="920"/>
      </w:tblGrid>
      <w:tr w:rsidR="009030AD" w:rsidRPr="009030AD" w:rsidTr="00BA4368">
        <w:trPr>
          <w:trHeight w:val="315"/>
          <w:tblHeader/>
          <w:jc w:val="center"/>
        </w:trPr>
        <w:tc>
          <w:tcPr>
            <w:tcW w:w="2824" w:type="dxa"/>
            <w:tcBorders>
              <w:top w:val="single" w:sz="4" w:space="0" w:color="auto"/>
              <w:left w:val="nil"/>
              <w:bottom w:val="nil"/>
              <w:right w:val="nil"/>
            </w:tcBorders>
            <w:shd w:val="clear" w:color="auto" w:fill="auto"/>
            <w:noWrap/>
            <w:vAlign w:val="center"/>
          </w:tcPr>
          <w:p w:rsidR="009030AD" w:rsidRPr="009030AD" w:rsidRDefault="009030AD" w:rsidP="009030AD">
            <w:pPr>
              <w:widowControl/>
              <w:autoSpaceDE/>
              <w:autoSpaceDN/>
              <w:adjustRightInd/>
              <w:rPr>
                <w:rFonts w:ascii="Times New Roman" w:hAnsi="Times New Roman" w:cs="Times New Roman"/>
                <w:color w:val="000000"/>
                <w:sz w:val="22"/>
              </w:rPr>
            </w:pPr>
            <w:r w:rsidRPr="009030AD">
              <w:rPr>
                <w:rFonts w:ascii="Times New Roman" w:hAnsi="Times New Roman" w:cs="Times New Roman"/>
                <w:color w:val="000000"/>
                <w:sz w:val="22"/>
                <w:szCs w:val="22"/>
              </w:rPr>
              <w:t> </w:t>
            </w:r>
          </w:p>
        </w:tc>
        <w:tc>
          <w:tcPr>
            <w:tcW w:w="4600" w:type="dxa"/>
            <w:gridSpan w:val="5"/>
            <w:tcBorders>
              <w:top w:val="single" w:sz="4" w:space="0" w:color="auto"/>
              <w:left w:val="nil"/>
              <w:bottom w:val="single" w:sz="4" w:space="0" w:color="auto"/>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b/>
                <w:bCs/>
                <w:color w:val="000000"/>
                <w:sz w:val="22"/>
              </w:rPr>
            </w:pPr>
            <w:r w:rsidRPr="009030AD">
              <w:rPr>
                <w:rFonts w:ascii="Times New Roman" w:hAnsi="Times New Roman" w:cs="Times New Roman"/>
                <w:b/>
                <w:bCs/>
                <w:color w:val="000000"/>
                <w:sz w:val="22"/>
                <w:szCs w:val="22"/>
              </w:rPr>
              <w:t>Porcentajes de Casos Entrados por Año</w:t>
            </w:r>
          </w:p>
        </w:tc>
      </w:tr>
      <w:tr w:rsidR="009030AD" w:rsidRPr="009030AD" w:rsidTr="00BA4368">
        <w:trPr>
          <w:trHeight w:val="315"/>
          <w:tblHeader/>
          <w:jc w:val="center"/>
        </w:trPr>
        <w:tc>
          <w:tcPr>
            <w:tcW w:w="2824" w:type="dxa"/>
            <w:tcBorders>
              <w:top w:val="nil"/>
              <w:left w:val="nil"/>
              <w:bottom w:val="single" w:sz="4" w:space="0" w:color="auto"/>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b/>
                <w:bCs/>
                <w:color w:val="000000"/>
                <w:sz w:val="22"/>
              </w:rPr>
            </w:pPr>
            <w:r w:rsidRPr="009030AD">
              <w:rPr>
                <w:rFonts w:ascii="Times New Roman" w:hAnsi="Times New Roman" w:cs="Times New Roman"/>
                <w:b/>
                <w:bCs/>
                <w:color w:val="000000"/>
                <w:sz w:val="22"/>
                <w:szCs w:val="22"/>
              </w:rPr>
              <w:t>Materia</w:t>
            </w:r>
          </w:p>
        </w:tc>
        <w:tc>
          <w:tcPr>
            <w:tcW w:w="920" w:type="dxa"/>
            <w:tcBorders>
              <w:top w:val="nil"/>
              <w:left w:val="nil"/>
              <w:bottom w:val="single" w:sz="4" w:space="0" w:color="auto"/>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b/>
                <w:bCs/>
                <w:color w:val="000000"/>
                <w:sz w:val="22"/>
              </w:rPr>
            </w:pPr>
            <w:r w:rsidRPr="009030AD">
              <w:rPr>
                <w:rFonts w:ascii="Times New Roman" w:hAnsi="Times New Roman" w:cs="Times New Roman"/>
                <w:b/>
                <w:bCs/>
                <w:color w:val="000000"/>
                <w:sz w:val="22"/>
                <w:szCs w:val="22"/>
              </w:rPr>
              <w:t>2011</w:t>
            </w:r>
          </w:p>
        </w:tc>
        <w:tc>
          <w:tcPr>
            <w:tcW w:w="920" w:type="dxa"/>
            <w:tcBorders>
              <w:top w:val="nil"/>
              <w:left w:val="nil"/>
              <w:bottom w:val="single" w:sz="4" w:space="0" w:color="auto"/>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b/>
                <w:bCs/>
                <w:color w:val="000000"/>
                <w:sz w:val="22"/>
              </w:rPr>
            </w:pPr>
            <w:r w:rsidRPr="009030AD">
              <w:rPr>
                <w:rFonts w:ascii="Times New Roman" w:hAnsi="Times New Roman" w:cs="Times New Roman"/>
                <w:b/>
                <w:bCs/>
                <w:color w:val="000000"/>
                <w:sz w:val="22"/>
                <w:szCs w:val="22"/>
              </w:rPr>
              <w:t>2012</w:t>
            </w:r>
          </w:p>
        </w:tc>
        <w:tc>
          <w:tcPr>
            <w:tcW w:w="920" w:type="dxa"/>
            <w:tcBorders>
              <w:top w:val="nil"/>
              <w:left w:val="nil"/>
              <w:bottom w:val="single" w:sz="4" w:space="0" w:color="auto"/>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b/>
                <w:bCs/>
                <w:color w:val="000000"/>
                <w:sz w:val="22"/>
              </w:rPr>
            </w:pPr>
            <w:r w:rsidRPr="009030AD">
              <w:rPr>
                <w:rFonts w:ascii="Times New Roman" w:hAnsi="Times New Roman" w:cs="Times New Roman"/>
                <w:b/>
                <w:bCs/>
                <w:color w:val="000000"/>
                <w:sz w:val="22"/>
                <w:szCs w:val="22"/>
              </w:rPr>
              <w:t>2013</w:t>
            </w:r>
          </w:p>
        </w:tc>
        <w:tc>
          <w:tcPr>
            <w:tcW w:w="920" w:type="dxa"/>
            <w:tcBorders>
              <w:top w:val="nil"/>
              <w:left w:val="nil"/>
              <w:bottom w:val="single" w:sz="4" w:space="0" w:color="auto"/>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b/>
                <w:bCs/>
                <w:color w:val="000000"/>
                <w:sz w:val="22"/>
              </w:rPr>
            </w:pPr>
            <w:r w:rsidRPr="009030AD">
              <w:rPr>
                <w:rFonts w:ascii="Times New Roman" w:hAnsi="Times New Roman" w:cs="Times New Roman"/>
                <w:b/>
                <w:bCs/>
                <w:color w:val="000000"/>
                <w:sz w:val="22"/>
                <w:szCs w:val="22"/>
              </w:rPr>
              <w:t>2014</w:t>
            </w:r>
          </w:p>
        </w:tc>
        <w:tc>
          <w:tcPr>
            <w:tcW w:w="920" w:type="dxa"/>
            <w:tcBorders>
              <w:top w:val="nil"/>
              <w:left w:val="nil"/>
              <w:bottom w:val="single" w:sz="4" w:space="0" w:color="auto"/>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b/>
                <w:bCs/>
                <w:color w:val="000000"/>
                <w:sz w:val="22"/>
              </w:rPr>
            </w:pPr>
            <w:r w:rsidRPr="009030AD">
              <w:rPr>
                <w:rFonts w:ascii="Times New Roman" w:hAnsi="Times New Roman" w:cs="Times New Roman"/>
                <w:b/>
                <w:bCs/>
                <w:color w:val="000000"/>
                <w:sz w:val="22"/>
                <w:szCs w:val="22"/>
              </w:rPr>
              <w:t>2015</w:t>
            </w:r>
          </w:p>
        </w:tc>
      </w:tr>
      <w:tr w:rsidR="009030AD" w:rsidRPr="009030AD" w:rsidTr="00BA4368">
        <w:trPr>
          <w:trHeight w:val="315"/>
          <w:jc w:val="center"/>
        </w:trPr>
        <w:tc>
          <w:tcPr>
            <w:tcW w:w="2824"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rPr>
                <w:rFonts w:ascii="Times New Roman" w:hAnsi="Times New Roman" w:cs="Times New Roman"/>
                <w:color w:val="000000"/>
                <w:sz w:val="22"/>
              </w:rPr>
            </w:pP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rPr>
                <w:rFonts w:ascii="Times New Roman" w:hAnsi="Times New Roman" w:cs="Times New Roman"/>
                <w:color w:val="000000"/>
                <w:sz w:val="22"/>
              </w:rPr>
            </w:pP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rPr>
                <w:rFonts w:ascii="Times New Roman" w:hAnsi="Times New Roman" w:cs="Times New Roman"/>
                <w:color w:val="000000"/>
                <w:sz w:val="22"/>
              </w:rPr>
            </w:pP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rPr>
                <w:rFonts w:ascii="Times New Roman" w:hAnsi="Times New Roman" w:cs="Times New Roman"/>
                <w:color w:val="000000"/>
                <w:sz w:val="22"/>
              </w:rPr>
            </w:pP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rPr>
                <w:rFonts w:ascii="Times New Roman" w:hAnsi="Times New Roman" w:cs="Times New Roman"/>
                <w:color w:val="000000"/>
                <w:sz w:val="22"/>
              </w:rPr>
            </w:pP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rPr>
                <w:rFonts w:ascii="Times New Roman" w:hAnsi="Times New Roman" w:cs="Times New Roman"/>
                <w:color w:val="000000"/>
                <w:sz w:val="22"/>
              </w:rPr>
            </w:pPr>
          </w:p>
        </w:tc>
      </w:tr>
      <w:tr w:rsidR="009030AD" w:rsidRPr="009030AD" w:rsidTr="00BA4368">
        <w:trPr>
          <w:trHeight w:val="315"/>
          <w:jc w:val="center"/>
        </w:trPr>
        <w:tc>
          <w:tcPr>
            <w:tcW w:w="2824"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rPr>
                <w:rFonts w:ascii="Times New Roman" w:hAnsi="Times New Roman" w:cs="Times New Roman"/>
                <w:color w:val="000000"/>
                <w:sz w:val="22"/>
              </w:rPr>
            </w:pPr>
            <w:r w:rsidRPr="009030AD">
              <w:rPr>
                <w:rFonts w:ascii="Times New Roman" w:hAnsi="Times New Roman" w:cs="Times New Roman"/>
                <w:color w:val="000000"/>
                <w:sz w:val="22"/>
                <w:szCs w:val="22"/>
              </w:rPr>
              <w:t>Penal</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35,1</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26,2</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28,4</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29,3</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27,7</w:t>
            </w:r>
          </w:p>
        </w:tc>
      </w:tr>
      <w:tr w:rsidR="009030AD" w:rsidRPr="009030AD" w:rsidTr="00BA4368">
        <w:trPr>
          <w:trHeight w:val="315"/>
          <w:jc w:val="center"/>
        </w:trPr>
        <w:tc>
          <w:tcPr>
            <w:tcW w:w="2824"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rPr>
                <w:rFonts w:ascii="Times New Roman" w:hAnsi="Times New Roman" w:cs="Times New Roman"/>
                <w:color w:val="000000"/>
                <w:sz w:val="22"/>
              </w:rPr>
            </w:pPr>
            <w:r w:rsidRPr="009030AD">
              <w:rPr>
                <w:rFonts w:ascii="Times New Roman" w:hAnsi="Times New Roman" w:cs="Times New Roman"/>
                <w:color w:val="000000"/>
                <w:sz w:val="22"/>
                <w:szCs w:val="22"/>
              </w:rPr>
              <w:t>Civil</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25,1</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28,7</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26,5</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25,1</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23,9</w:t>
            </w:r>
          </w:p>
        </w:tc>
      </w:tr>
      <w:tr w:rsidR="009030AD" w:rsidRPr="009030AD" w:rsidTr="00BA4368">
        <w:trPr>
          <w:trHeight w:val="315"/>
          <w:jc w:val="center"/>
        </w:trPr>
        <w:tc>
          <w:tcPr>
            <w:tcW w:w="2824"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rPr>
                <w:rFonts w:ascii="Times New Roman" w:hAnsi="Times New Roman" w:cs="Times New Roman"/>
                <w:color w:val="000000"/>
                <w:sz w:val="22"/>
              </w:rPr>
            </w:pPr>
            <w:r w:rsidRPr="009030AD">
              <w:rPr>
                <w:rFonts w:ascii="Times New Roman" w:hAnsi="Times New Roman" w:cs="Times New Roman"/>
                <w:color w:val="000000"/>
                <w:sz w:val="22"/>
                <w:szCs w:val="22"/>
              </w:rPr>
              <w:t xml:space="preserve">        Civil Ordinario</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2,3</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2,2</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2,2</w:t>
            </w:r>
          </w:p>
        </w:tc>
      </w:tr>
      <w:tr w:rsidR="009030AD" w:rsidRPr="009030AD" w:rsidTr="00BA4368">
        <w:trPr>
          <w:trHeight w:val="315"/>
          <w:jc w:val="center"/>
        </w:trPr>
        <w:tc>
          <w:tcPr>
            <w:tcW w:w="2824"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rPr>
                <w:rFonts w:ascii="Times New Roman" w:hAnsi="Times New Roman" w:cs="Times New Roman"/>
                <w:color w:val="000000"/>
                <w:sz w:val="22"/>
              </w:rPr>
            </w:pPr>
            <w:r w:rsidRPr="009030AD">
              <w:rPr>
                <w:rFonts w:ascii="Times New Roman" w:hAnsi="Times New Roman" w:cs="Times New Roman"/>
                <w:color w:val="000000"/>
                <w:sz w:val="22"/>
                <w:szCs w:val="22"/>
              </w:rPr>
              <w:t xml:space="preserve">        Cobro Judicial</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24,2</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22,9</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21,8</w:t>
            </w:r>
          </w:p>
        </w:tc>
      </w:tr>
      <w:tr w:rsidR="009030AD" w:rsidRPr="009030AD" w:rsidTr="00BA4368">
        <w:trPr>
          <w:trHeight w:val="315"/>
          <w:jc w:val="center"/>
        </w:trPr>
        <w:tc>
          <w:tcPr>
            <w:tcW w:w="2824"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rPr>
                <w:rFonts w:ascii="Times New Roman" w:hAnsi="Times New Roman" w:cs="Times New Roman"/>
                <w:color w:val="000000"/>
                <w:sz w:val="22"/>
              </w:rPr>
            </w:pPr>
            <w:r w:rsidRPr="009030AD">
              <w:rPr>
                <w:rFonts w:ascii="Times New Roman" w:hAnsi="Times New Roman" w:cs="Times New Roman"/>
                <w:color w:val="000000"/>
                <w:sz w:val="22"/>
                <w:szCs w:val="22"/>
              </w:rPr>
              <w:t>Tránsito</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7,7</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9,3</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9,6</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10,1</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11,9</w:t>
            </w:r>
          </w:p>
        </w:tc>
      </w:tr>
      <w:tr w:rsidR="009030AD" w:rsidRPr="009030AD" w:rsidTr="00BA4368">
        <w:trPr>
          <w:trHeight w:val="315"/>
          <w:jc w:val="center"/>
        </w:trPr>
        <w:tc>
          <w:tcPr>
            <w:tcW w:w="2824"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rPr>
                <w:rFonts w:ascii="Times New Roman" w:hAnsi="Times New Roman" w:cs="Times New Roman"/>
                <w:color w:val="000000"/>
                <w:sz w:val="22"/>
              </w:rPr>
            </w:pPr>
            <w:r w:rsidRPr="009030AD">
              <w:rPr>
                <w:rFonts w:ascii="Times New Roman" w:hAnsi="Times New Roman" w:cs="Times New Roman"/>
                <w:color w:val="000000"/>
                <w:sz w:val="22"/>
                <w:szCs w:val="22"/>
              </w:rPr>
              <w:t>Violencia Doméstica</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6,2</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7,5</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7,4</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7,2</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7,4</w:t>
            </w:r>
          </w:p>
        </w:tc>
      </w:tr>
      <w:tr w:rsidR="009030AD" w:rsidRPr="009030AD" w:rsidTr="00BA4368">
        <w:trPr>
          <w:trHeight w:val="315"/>
          <w:jc w:val="center"/>
        </w:trPr>
        <w:tc>
          <w:tcPr>
            <w:tcW w:w="2824"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rPr>
                <w:rFonts w:ascii="Times New Roman" w:hAnsi="Times New Roman" w:cs="Times New Roman"/>
                <w:color w:val="000000"/>
                <w:sz w:val="22"/>
              </w:rPr>
            </w:pPr>
            <w:r w:rsidRPr="009030AD">
              <w:rPr>
                <w:rFonts w:ascii="Times New Roman" w:hAnsi="Times New Roman" w:cs="Times New Roman"/>
                <w:color w:val="000000"/>
                <w:sz w:val="22"/>
                <w:szCs w:val="22"/>
              </w:rPr>
              <w:t>Contravenciones</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6,8</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7,7</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7,0</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6,4</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6,4</w:t>
            </w:r>
          </w:p>
        </w:tc>
      </w:tr>
      <w:tr w:rsidR="009030AD" w:rsidRPr="009030AD" w:rsidTr="00BA4368">
        <w:trPr>
          <w:trHeight w:val="315"/>
          <w:jc w:val="center"/>
        </w:trPr>
        <w:tc>
          <w:tcPr>
            <w:tcW w:w="2824"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rPr>
                <w:rFonts w:ascii="Times New Roman" w:hAnsi="Times New Roman" w:cs="Times New Roman"/>
                <w:color w:val="000000"/>
                <w:sz w:val="22"/>
              </w:rPr>
            </w:pPr>
            <w:r w:rsidRPr="009030AD">
              <w:rPr>
                <w:rFonts w:ascii="Times New Roman" w:hAnsi="Times New Roman" w:cs="Times New Roman"/>
                <w:color w:val="000000"/>
                <w:sz w:val="22"/>
                <w:szCs w:val="22"/>
              </w:rPr>
              <w:t>Pensiones Alimentarias</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4,0</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5,1</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5,5</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5,4</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5,8</w:t>
            </w:r>
          </w:p>
        </w:tc>
      </w:tr>
      <w:tr w:rsidR="009030AD" w:rsidRPr="009030AD" w:rsidTr="00BA4368">
        <w:trPr>
          <w:trHeight w:val="315"/>
          <w:jc w:val="center"/>
        </w:trPr>
        <w:tc>
          <w:tcPr>
            <w:tcW w:w="2824"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rPr>
                <w:rFonts w:ascii="Times New Roman" w:hAnsi="Times New Roman" w:cs="Times New Roman"/>
                <w:color w:val="000000"/>
                <w:sz w:val="22"/>
              </w:rPr>
            </w:pPr>
            <w:r w:rsidRPr="009030AD">
              <w:rPr>
                <w:rFonts w:ascii="Times New Roman" w:hAnsi="Times New Roman" w:cs="Times New Roman"/>
                <w:color w:val="000000"/>
                <w:sz w:val="22"/>
                <w:szCs w:val="22"/>
              </w:rPr>
              <w:t>Trabajo</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4,3</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4,5</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4,7</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4,7</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5,0</w:t>
            </w:r>
          </w:p>
        </w:tc>
      </w:tr>
      <w:tr w:rsidR="009030AD" w:rsidRPr="009030AD" w:rsidTr="00BA4368">
        <w:trPr>
          <w:trHeight w:val="315"/>
          <w:jc w:val="center"/>
        </w:trPr>
        <w:tc>
          <w:tcPr>
            <w:tcW w:w="2824"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rPr>
                <w:rFonts w:ascii="Times New Roman" w:hAnsi="Times New Roman" w:cs="Times New Roman"/>
                <w:color w:val="000000"/>
                <w:sz w:val="22"/>
              </w:rPr>
            </w:pPr>
            <w:r w:rsidRPr="009030AD">
              <w:rPr>
                <w:rFonts w:ascii="Times New Roman" w:hAnsi="Times New Roman" w:cs="Times New Roman"/>
                <w:color w:val="000000"/>
                <w:sz w:val="22"/>
                <w:szCs w:val="22"/>
              </w:rPr>
              <w:t>Familia</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3,9</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4,4</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4,4</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4,4</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4,7</w:t>
            </w:r>
          </w:p>
        </w:tc>
      </w:tr>
      <w:tr w:rsidR="009030AD" w:rsidRPr="009030AD" w:rsidTr="00BA4368">
        <w:trPr>
          <w:trHeight w:val="315"/>
          <w:jc w:val="center"/>
        </w:trPr>
        <w:tc>
          <w:tcPr>
            <w:tcW w:w="2824"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rPr>
                <w:rFonts w:ascii="Times New Roman" w:hAnsi="Times New Roman" w:cs="Times New Roman"/>
                <w:color w:val="000000"/>
                <w:sz w:val="22"/>
              </w:rPr>
            </w:pPr>
            <w:r w:rsidRPr="009030AD">
              <w:rPr>
                <w:rFonts w:ascii="Times New Roman" w:hAnsi="Times New Roman" w:cs="Times New Roman"/>
                <w:color w:val="000000"/>
                <w:sz w:val="22"/>
                <w:szCs w:val="22"/>
              </w:rPr>
              <w:t>Constitucional</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2,4</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2,8</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2,5</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3,1</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3,0</w:t>
            </w:r>
          </w:p>
        </w:tc>
      </w:tr>
      <w:tr w:rsidR="009030AD" w:rsidRPr="009030AD" w:rsidTr="00BA4368">
        <w:trPr>
          <w:trHeight w:val="315"/>
          <w:jc w:val="center"/>
        </w:trPr>
        <w:tc>
          <w:tcPr>
            <w:tcW w:w="2824"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rPr>
                <w:rFonts w:ascii="Times New Roman" w:hAnsi="Times New Roman" w:cs="Times New Roman"/>
                <w:color w:val="000000"/>
                <w:sz w:val="22"/>
              </w:rPr>
            </w:pPr>
            <w:r w:rsidRPr="009030AD">
              <w:rPr>
                <w:rFonts w:ascii="Times New Roman" w:hAnsi="Times New Roman" w:cs="Times New Roman"/>
                <w:color w:val="000000"/>
                <w:sz w:val="22"/>
                <w:szCs w:val="22"/>
              </w:rPr>
              <w:t>Penal Juvenil</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2,5</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1,8</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1,7</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1,5</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1,4</w:t>
            </w:r>
          </w:p>
        </w:tc>
      </w:tr>
      <w:tr w:rsidR="009030AD" w:rsidRPr="009030AD" w:rsidTr="00BA4368">
        <w:trPr>
          <w:trHeight w:val="315"/>
          <w:jc w:val="center"/>
        </w:trPr>
        <w:tc>
          <w:tcPr>
            <w:tcW w:w="2824"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rPr>
                <w:rFonts w:ascii="Times New Roman" w:hAnsi="Times New Roman" w:cs="Times New Roman"/>
                <w:color w:val="000000"/>
                <w:sz w:val="22"/>
              </w:rPr>
            </w:pPr>
            <w:r w:rsidRPr="009030AD">
              <w:rPr>
                <w:rFonts w:ascii="Times New Roman" w:hAnsi="Times New Roman" w:cs="Times New Roman"/>
                <w:color w:val="000000"/>
                <w:sz w:val="22"/>
                <w:szCs w:val="22"/>
              </w:rPr>
              <w:t>Contencioso Administrativa</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1,3</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1,3</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1,6</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2,2</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2,0</w:t>
            </w:r>
          </w:p>
        </w:tc>
      </w:tr>
      <w:tr w:rsidR="009030AD" w:rsidRPr="009030AD" w:rsidTr="00BA4368">
        <w:trPr>
          <w:trHeight w:val="315"/>
          <w:jc w:val="center"/>
        </w:trPr>
        <w:tc>
          <w:tcPr>
            <w:tcW w:w="2824"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rPr>
                <w:rFonts w:ascii="Times New Roman" w:hAnsi="Times New Roman" w:cs="Times New Roman"/>
                <w:color w:val="000000"/>
                <w:sz w:val="22"/>
              </w:rPr>
            </w:pPr>
            <w:r w:rsidRPr="009030AD">
              <w:rPr>
                <w:rFonts w:ascii="Times New Roman" w:hAnsi="Times New Roman" w:cs="Times New Roman"/>
                <w:color w:val="000000"/>
                <w:sz w:val="22"/>
                <w:szCs w:val="22"/>
              </w:rPr>
              <w:t>Agrario</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0,4</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0,4</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0,5</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0,4</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0,5</w:t>
            </w:r>
          </w:p>
        </w:tc>
      </w:tr>
      <w:tr w:rsidR="009030AD" w:rsidRPr="009030AD" w:rsidTr="00BA4368">
        <w:trPr>
          <w:trHeight w:val="315"/>
          <w:jc w:val="center"/>
        </w:trPr>
        <w:tc>
          <w:tcPr>
            <w:tcW w:w="2824"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rPr>
                <w:rFonts w:ascii="Times New Roman" w:hAnsi="Times New Roman" w:cs="Times New Roman"/>
                <w:color w:val="000000"/>
                <w:sz w:val="22"/>
              </w:rPr>
            </w:pPr>
            <w:r w:rsidRPr="009030AD">
              <w:rPr>
                <w:rFonts w:ascii="Times New Roman" w:hAnsi="Times New Roman" w:cs="Times New Roman"/>
                <w:color w:val="000000"/>
                <w:sz w:val="22"/>
                <w:szCs w:val="22"/>
              </w:rPr>
              <w:t>Notarial</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0,1</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0,2</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0,1</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0,2</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color w:val="000000"/>
                <w:sz w:val="22"/>
              </w:rPr>
            </w:pPr>
            <w:r w:rsidRPr="009030AD">
              <w:rPr>
                <w:rFonts w:ascii="Times New Roman" w:hAnsi="Times New Roman" w:cs="Times New Roman"/>
                <w:color w:val="000000"/>
                <w:sz w:val="22"/>
                <w:szCs w:val="22"/>
              </w:rPr>
              <w:t>0,1</w:t>
            </w:r>
          </w:p>
        </w:tc>
      </w:tr>
      <w:tr w:rsidR="009030AD" w:rsidRPr="009030AD" w:rsidTr="00BA4368">
        <w:trPr>
          <w:trHeight w:val="315"/>
          <w:jc w:val="center"/>
        </w:trPr>
        <w:tc>
          <w:tcPr>
            <w:tcW w:w="2824"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rPr>
                <w:rFonts w:ascii="Times New Roman" w:hAnsi="Times New Roman" w:cs="Times New Roman"/>
                <w:b/>
                <w:bCs/>
                <w:color w:val="000000"/>
                <w:sz w:val="22"/>
              </w:rPr>
            </w:pPr>
            <w:r w:rsidRPr="009030AD">
              <w:rPr>
                <w:rFonts w:ascii="Times New Roman" w:hAnsi="Times New Roman" w:cs="Times New Roman"/>
                <w:b/>
                <w:bCs/>
                <w:color w:val="000000"/>
                <w:sz w:val="22"/>
                <w:szCs w:val="22"/>
              </w:rPr>
              <w:t>Total</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b/>
                <w:bCs/>
                <w:color w:val="000000"/>
                <w:sz w:val="22"/>
              </w:rPr>
            </w:pPr>
            <w:r w:rsidRPr="009030AD">
              <w:rPr>
                <w:rFonts w:ascii="Times New Roman" w:hAnsi="Times New Roman" w:cs="Times New Roman"/>
                <w:b/>
                <w:bCs/>
                <w:color w:val="000000"/>
                <w:sz w:val="22"/>
                <w:szCs w:val="22"/>
              </w:rPr>
              <w:t>100,0</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b/>
                <w:bCs/>
                <w:color w:val="000000"/>
                <w:sz w:val="22"/>
              </w:rPr>
            </w:pPr>
            <w:r w:rsidRPr="009030AD">
              <w:rPr>
                <w:rFonts w:ascii="Times New Roman" w:hAnsi="Times New Roman" w:cs="Times New Roman"/>
                <w:b/>
                <w:bCs/>
                <w:color w:val="000000"/>
                <w:sz w:val="22"/>
                <w:szCs w:val="22"/>
              </w:rPr>
              <w:t>100,0</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b/>
                <w:bCs/>
                <w:color w:val="000000"/>
                <w:sz w:val="22"/>
              </w:rPr>
            </w:pPr>
            <w:r w:rsidRPr="009030AD">
              <w:rPr>
                <w:rFonts w:ascii="Times New Roman" w:hAnsi="Times New Roman" w:cs="Times New Roman"/>
                <w:b/>
                <w:bCs/>
                <w:color w:val="000000"/>
                <w:sz w:val="22"/>
                <w:szCs w:val="22"/>
              </w:rPr>
              <w:t>100,0</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b/>
                <w:bCs/>
                <w:color w:val="000000"/>
                <w:sz w:val="22"/>
              </w:rPr>
            </w:pPr>
            <w:r w:rsidRPr="009030AD">
              <w:rPr>
                <w:rFonts w:ascii="Times New Roman" w:hAnsi="Times New Roman" w:cs="Times New Roman"/>
                <w:b/>
                <w:bCs/>
                <w:color w:val="000000"/>
                <w:sz w:val="22"/>
                <w:szCs w:val="22"/>
              </w:rPr>
              <w:t>100,0</w:t>
            </w:r>
          </w:p>
        </w:tc>
        <w:tc>
          <w:tcPr>
            <w:tcW w:w="920" w:type="dxa"/>
            <w:tcBorders>
              <w:top w:val="nil"/>
              <w:left w:val="nil"/>
              <w:bottom w:val="nil"/>
              <w:right w:val="nil"/>
            </w:tcBorders>
            <w:shd w:val="clear" w:color="auto" w:fill="auto"/>
            <w:noWrap/>
            <w:vAlign w:val="center"/>
          </w:tcPr>
          <w:p w:rsidR="009030AD" w:rsidRPr="009030AD" w:rsidRDefault="009030AD" w:rsidP="009030AD">
            <w:pPr>
              <w:widowControl/>
              <w:autoSpaceDE/>
              <w:autoSpaceDN/>
              <w:adjustRightInd/>
              <w:jc w:val="center"/>
              <w:rPr>
                <w:rFonts w:ascii="Times New Roman" w:hAnsi="Times New Roman" w:cs="Times New Roman"/>
                <w:b/>
                <w:bCs/>
                <w:color w:val="000000"/>
                <w:sz w:val="22"/>
              </w:rPr>
            </w:pPr>
            <w:r w:rsidRPr="009030AD">
              <w:rPr>
                <w:rFonts w:ascii="Times New Roman" w:hAnsi="Times New Roman" w:cs="Times New Roman"/>
                <w:b/>
                <w:bCs/>
                <w:color w:val="000000"/>
                <w:sz w:val="22"/>
                <w:szCs w:val="22"/>
              </w:rPr>
              <w:t>100,0</w:t>
            </w:r>
          </w:p>
        </w:tc>
      </w:tr>
      <w:tr w:rsidR="009030AD" w:rsidRPr="009030AD" w:rsidTr="00BA4368">
        <w:trPr>
          <w:trHeight w:val="300"/>
          <w:jc w:val="center"/>
        </w:trPr>
        <w:tc>
          <w:tcPr>
            <w:tcW w:w="2824" w:type="dxa"/>
            <w:tcBorders>
              <w:top w:val="nil"/>
              <w:left w:val="nil"/>
              <w:bottom w:val="single" w:sz="4" w:space="0" w:color="auto"/>
              <w:right w:val="nil"/>
            </w:tcBorders>
            <w:shd w:val="clear" w:color="auto" w:fill="auto"/>
            <w:noWrap/>
            <w:vAlign w:val="center"/>
          </w:tcPr>
          <w:p w:rsidR="009030AD" w:rsidRPr="009030AD" w:rsidRDefault="009030AD" w:rsidP="009030AD">
            <w:pPr>
              <w:widowControl/>
              <w:autoSpaceDE/>
              <w:autoSpaceDN/>
              <w:adjustRightInd/>
              <w:rPr>
                <w:rFonts w:ascii="Times New Roman" w:hAnsi="Times New Roman" w:cs="Times New Roman"/>
                <w:color w:val="000000"/>
                <w:sz w:val="22"/>
              </w:rPr>
            </w:pPr>
            <w:r w:rsidRPr="009030AD">
              <w:rPr>
                <w:rFonts w:ascii="Times New Roman" w:hAnsi="Times New Roman" w:cs="Times New Roman"/>
                <w:color w:val="000000"/>
                <w:sz w:val="22"/>
                <w:szCs w:val="22"/>
              </w:rPr>
              <w:t> </w:t>
            </w:r>
          </w:p>
        </w:tc>
        <w:tc>
          <w:tcPr>
            <w:tcW w:w="920" w:type="dxa"/>
            <w:tcBorders>
              <w:top w:val="nil"/>
              <w:left w:val="nil"/>
              <w:bottom w:val="single" w:sz="4" w:space="0" w:color="auto"/>
              <w:right w:val="nil"/>
            </w:tcBorders>
            <w:shd w:val="clear" w:color="auto" w:fill="auto"/>
            <w:noWrap/>
            <w:vAlign w:val="center"/>
          </w:tcPr>
          <w:p w:rsidR="009030AD" w:rsidRPr="009030AD" w:rsidRDefault="009030AD" w:rsidP="009030AD">
            <w:pPr>
              <w:widowControl/>
              <w:autoSpaceDE/>
              <w:autoSpaceDN/>
              <w:adjustRightInd/>
              <w:rPr>
                <w:rFonts w:ascii="Times New Roman" w:hAnsi="Times New Roman" w:cs="Times New Roman"/>
                <w:color w:val="000000"/>
                <w:sz w:val="22"/>
              </w:rPr>
            </w:pPr>
            <w:r w:rsidRPr="009030AD">
              <w:rPr>
                <w:rFonts w:ascii="Times New Roman" w:hAnsi="Times New Roman" w:cs="Times New Roman"/>
                <w:color w:val="000000"/>
                <w:sz w:val="22"/>
                <w:szCs w:val="22"/>
              </w:rPr>
              <w:t> </w:t>
            </w:r>
          </w:p>
        </w:tc>
        <w:tc>
          <w:tcPr>
            <w:tcW w:w="920" w:type="dxa"/>
            <w:tcBorders>
              <w:top w:val="nil"/>
              <w:left w:val="nil"/>
              <w:bottom w:val="single" w:sz="4" w:space="0" w:color="auto"/>
              <w:right w:val="nil"/>
            </w:tcBorders>
            <w:shd w:val="clear" w:color="auto" w:fill="auto"/>
            <w:noWrap/>
            <w:vAlign w:val="center"/>
          </w:tcPr>
          <w:p w:rsidR="009030AD" w:rsidRPr="009030AD" w:rsidRDefault="009030AD" w:rsidP="009030AD">
            <w:pPr>
              <w:widowControl/>
              <w:autoSpaceDE/>
              <w:autoSpaceDN/>
              <w:adjustRightInd/>
              <w:rPr>
                <w:rFonts w:ascii="Times New Roman" w:hAnsi="Times New Roman" w:cs="Times New Roman"/>
                <w:color w:val="000000"/>
                <w:sz w:val="22"/>
              </w:rPr>
            </w:pPr>
            <w:r w:rsidRPr="009030AD">
              <w:rPr>
                <w:rFonts w:ascii="Times New Roman" w:hAnsi="Times New Roman" w:cs="Times New Roman"/>
                <w:color w:val="000000"/>
                <w:sz w:val="22"/>
                <w:szCs w:val="22"/>
              </w:rPr>
              <w:t> </w:t>
            </w:r>
          </w:p>
        </w:tc>
        <w:tc>
          <w:tcPr>
            <w:tcW w:w="920" w:type="dxa"/>
            <w:tcBorders>
              <w:top w:val="nil"/>
              <w:left w:val="nil"/>
              <w:bottom w:val="single" w:sz="4" w:space="0" w:color="auto"/>
              <w:right w:val="nil"/>
            </w:tcBorders>
            <w:shd w:val="clear" w:color="auto" w:fill="auto"/>
            <w:noWrap/>
            <w:vAlign w:val="center"/>
          </w:tcPr>
          <w:p w:rsidR="009030AD" w:rsidRPr="009030AD" w:rsidRDefault="009030AD" w:rsidP="009030AD">
            <w:pPr>
              <w:widowControl/>
              <w:autoSpaceDE/>
              <w:autoSpaceDN/>
              <w:adjustRightInd/>
              <w:rPr>
                <w:rFonts w:ascii="Times New Roman" w:hAnsi="Times New Roman" w:cs="Times New Roman"/>
                <w:color w:val="000000"/>
                <w:sz w:val="22"/>
              </w:rPr>
            </w:pPr>
            <w:r w:rsidRPr="009030AD">
              <w:rPr>
                <w:rFonts w:ascii="Times New Roman" w:hAnsi="Times New Roman" w:cs="Times New Roman"/>
                <w:color w:val="000000"/>
                <w:sz w:val="22"/>
                <w:szCs w:val="22"/>
              </w:rPr>
              <w:t> </w:t>
            </w:r>
          </w:p>
        </w:tc>
        <w:tc>
          <w:tcPr>
            <w:tcW w:w="920" w:type="dxa"/>
            <w:tcBorders>
              <w:top w:val="nil"/>
              <w:left w:val="nil"/>
              <w:bottom w:val="single" w:sz="4" w:space="0" w:color="auto"/>
              <w:right w:val="nil"/>
            </w:tcBorders>
            <w:shd w:val="clear" w:color="auto" w:fill="auto"/>
            <w:noWrap/>
            <w:vAlign w:val="center"/>
          </w:tcPr>
          <w:p w:rsidR="009030AD" w:rsidRPr="009030AD" w:rsidRDefault="009030AD" w:rsidP="009030AD">
            <w:pPr>
              <w:widowControl/>
              <w:autoSpaceDE/>
              <w:autoSpaceDN/>
              <w:adjustRightInd/>
              <w:rPr>
                <w:rFonts w:ascii="Times New Roman" w:hAnsi="Times New Roman" w:cs="Times New Roman"/>
                <w:color w:val="000000"/>
                <w:sz w:val="22"/>
              </w:rPr>
            </w:pPr>
            <w:r w:rsidRPr="009030AD">
              <w:rPr>
                <w:rFonts w:ascii="Times New Roman" w:hAnsi="Times New Roman" w:cs="Times New Roman"/>
                <w:color w:val="000000"/>
                <w:sz w:val="22"/>
                <w:szCs w:val="22"/>
              </w:rPr>
              <w:t> </w:t>
            </w:r>
          </w:p>
        </w:tc>
        <w:tc>
          <w:tcPr>
            <w:tcW w:w="920" w:type="dxa"/>
            <w:tcBorders>
              <w:top w:val="nil"/>
              <w:left w:val="nil"/>
              <w:bottom w:val="single" w:sz="4" w:space="0" w:color="auto"/>
              <w:right w:val="nil"/>
            </w:tcBorders>
            <w:shd w:val="clear" w:color="auto" w:fill="auto"/>
            <w:noWrap/>
            <w:vAlign w:val="center"/>
          </w:tcPr>
          <w:p w:rsidR="009030AD" w:rsidRPr="009030AD" w:rsidRDefault="009030AD" w:rsidP="009030AD">
            <w:pPr>
              <w:widowControl/>
              <w:autoSpaceDE/>
              <w:autoSpaceDN/>
              <w:adjustRightInd/>
              <w:rPr>
                <w:rFonts w:ascii="Times New Roman" w:hAnsi="Times New Roman" w:cs="Times New Roman"/>
                <w:color w:val="000000"/>
                <w:sz w:val="22"/>
              </w:rPr>
            </w:pPr>
            <w:r w:rsidRPr="009030AD">
              <w:rPr>
                <w:rFonts w:ascii="Times New Roman" w:hAnsi="Times New Roman" w:cs="Times New Roman"/>
                <w:color w:val="000000"/>
                <w:sz w:val="22"/>
                <w:szCs w:val="22"/>
              </w:rPr>
              <w:t> </w:t>
            </w:r>
          </w:p>
        </w:tc>
      </w:tr>
    </w:tbl>
    <w:p w:rsidR="009030AD" w:rsidRPr="009030AD" w:rsidRDefault="009030AD" w:rsidP="009030AD">
      <w:pPr>
        <w:spacing w:line="360" w:lineRule="auto"/>
        <w:jc w:val="both"/>
        <w:rPr>
          <w:rFonts w:ascii="Times New Roman" w:hAnsi="Times New Roman" w:cs="Times New Roman"/>
        </w:rPr>
      </w:pPr>
    </w:p>
    <w:p w:rsidR="009030AD" w:rsidRPr="009030AD" w:rsidRDefault="009030AD" w:rsidP="009030AD">
      <w:pPr>
        <w:spacing w:line="360" w:lineRule="auto"/>
        <w:jc w:val="both"/>
        <w:rPr>
          <w:rFonts w:ascii="Times New Roman" w:hAnsi="Times New Roman" w:cs="Times New Roman"/>
        </w:rPr>
      </w:pPr>
      <w:r w:rsidRPr="009030AD">
        <w:rPr>
          <w:rFonts w:ascii="Times New Roman" w:hAnsi="Times New Roman" w:cs="Times New Roman"/>
        </w:rPr>
        <w:t xml:space="preserve">Asimismo, la segregación en materia Civil establece que el 2,2% de los casos se refieren a demandas ordinarias y el 21,8% a litigios tramitados bajo la modalidad de cobro judicial. </w:t>
      </w:r>
    </w:p>
    <w:p w:rsidR="009030AD" w:rsidRPr="009030AD" w:rsidRDefault="009030AD" w:rsidP="009030AD">
      <w:pPr>
        <w:spacing w:line="360" w:lineRule="auto"/>
        <w:jc w:val="both"/>
        <w:rPr>
          <w:rFonts w:ascii="Times New Roman" w:hAnsi="Times New Roman" w:cs="Times New Roman"/>
        </w:rPr>
      </w:pPr>
    </w:p>
    <w:p w:rsidR="009030AD" w:rsidRPr="009030AD" w:rsidRDefault="009030AD" w:rsidP="009030AD">
      <w:pPr>
        <w:spacing w:line="360" w:lineRule="auto"/>
        <w:jc w:val="both"/>
        <w:rPr>
          <w:rFonts w:ascii="Times New Roman" w:hAnsi="Times New Roman" w:cs="Times New Roman"/>
        </w:rPr>
      </w:pPr>
      <w:r w:rsidRPr="009030AD">
        <w:rPr>
          <w:rFonts w:ascii="Times New Roman" w:hAnsi="Times New Roman" w:cs="Times New Roman"/>
        </w:rPr>
        <w:t xml:space="preserve">Por su parte, las materias Penal Juvenil, Agraria y Notarial se caracterizaron por exhibir los porcentajes más moderados en este sentido, con el 1,4%, 0,5% y 0,1%, en ese orden. </w:t>
      </w:r>
    </w:p>
    <w:p w:rsidR="009030AD" w:rsidRPr="009030AD" w:rsidRDefault="009030AD" w:rsidP="009030AD">
      <w:pPr>
        <w:spacing w:line="360" w:lineRule="auto"/>
        <w:jc w:val="both"/>
        <w:rPr>
          <w:rFonts w:ascii="Times New Roman" w:hAnsi="Times New Roman" w:cs="Times New Roman"/>
        </w:rPr>
      </w:pPr>
    </w:p>
    <w:p w:rsidR="009030AD" w:rsidRPr="009030AD" w:rsidRDefault="009030AD" w:rsidP="009030AD">
      <w:pPr>
        <w:spacing w:line="360" w:lineRule="auto"/>
        <w:jc w:val="both"/>
        <w:rPr>
          <w:rFonts w:ascii="Times New Roman" w:hAnsi="Times New Roman" w:cs="Times New Roman"/>
        </w:rPr>
      </w:pPr>
      <w:r w:rsidRPr="009030AD">
        <w:rPr>
          <w:rFonts w:ascii="Times New Roman" w:hAnsi="Times New Roman" w:cs="Times New Roman"/>
        </w:rPr>
        <w:t xml:space="preserve">En la parte introductoria del Anuario Estadístico Judicial del 2015 se desarrollará con mayor detalle esta temática.  </w:t>
      </w:r>
    </w:p>
    <w:p w:rsidR="009030AD" w:rsidRPr="009030AD" w:rsidRDefault="009030AD" w:rsidP="009030AD">
      <w:pPr>
        <w:spacing w:line="360" w:lineRule="auto"/>
        <w:jc w:val="both"/>
        <w:rPr>
          <w:rFonts w:ascii="Times New Roman" w:hAnsi="Times New Roman" w:cs="Times New Roman"/>
        </w:rPr>
      </w:pPr>
    </w:p>
    <w:p w:rsidR="009030AD" w:rsidRPr="009030AD" w:rsidRDefault="009030AD" w:rsidP="009030AD">
      <w:pPr>
        <w:keepNext/>
        <w:spacing w:before="240" w:after="60"/>
        <w:jc w:val="both"/>
        <w:outlineLvl w:val="1"/>
        <w:rPr>
          <w:rFonts w:ascii="Times New Roman" w:hAnsi="Times New Roman" w:cs="Times New Roman"/>
          <w:b/>
          <w:bCs/>
          <w:iCs/>
        </w:rPr>
      </w:pPr>
      <w:r w:rsidRPr="009030AD">
        <w:rPr>
          <w:rFonts w:ascii="Times New Roman" w:hAnsi="Times New Roman" w:cs="Times New Roman"/>
          <w:b/>
          <w:bCs/>
          <w:iCs/>
        </w:rPr>
        <w:lastRenderedPageBreak/>
        <w:t>2.9</w:t>
      </w:r>
      <w:r w:rsidRPr="009030AD">
        <w:rPr>
          <w:rFonts w:ascii="Times New Roman" w:hAnsi="Times New Roman" w:cs="Times New Roman"/>
          <w:b/>
          <w:bCs/>
          <w:iCs/>
        </w:rPr>
        <w:tab/>
        <w:t>Abogadas y abogados por cada 100 mil habitantes</w:t>
      </w:r>
    </w:p>
    <w:p w:rsidR="009030AD" w:rsidRPr="009030AD" w:rsidRDefault="009030AD" w:rsidP="009030AD">
      <w:pPr>
        <w:spacing w:line="360" w:lineRule="auto"/>
        <w:jc w:val="both"/>
        <w:rPr>
          <w:rFonts w:ascii="Times New Roman" w:hAnsi="Times New Roman" w:cs="Times New Roman"/>
        </w:rPr>
      </w:pPr>
    </w:p>
    <w:p w:rsidR="009030AD" w:rsidRPr="009030AD" w:rsidRDefault="009030AD" w:rsidP="009030AD">
      <w:pPr>
        <w:spacing w:line="360" w:lineRule="auto"/>
        <w:jc w:val="both"/>
        <w:rPr>
          <w:rFonts w:ascii="Times New Roman" w:hAnsi="Times New Roman" w:cs="Times New Roman"/>
        </w:rPr>
      </w:pPr>
      <w:r w:rsidRPr="009030AD">
        <w:rPr>
          <w:rFonts w:ascii="Times New Roman" w:hAnsi="Times New Roman" w:cs="Times New Roman"/>
        </w:rPr>
        <w:t>Este indicador exterioriza la cantidad de abogadas y de abogados existentes en el país, que se encuentran en condición activa al servicio de la población.</w:t>
      </w:r>
    </w:p>
    <w:p w:rsidR="009030AD" w:rsidRPr="009030AD" w:rsidRDefault="009030AD" w:rsidP="009030AD">
      <w:pPr>
        <w:spacing w:line="360" w:lineRule="auto"/>
        <w:jc w:val="both"/>
        <w:rPr>
          <w:rFonts w:ascii="Times New Roman" w:hAnsi="Times New Roman" w:cs="Times New Roman"/>
        </w:rPr>
      </w:pPr>
    </w:p>
    <w:p w:rsidR="009030AD" w:rsidRPr="009030AD" w:rsidRDefault="009030AD" w:rsidP="009030AD">
      <w:pPr>
        <w:spacing w:line="360" w:lineRule="auto"/>
        <w:jc w:val="both"/>
        <w:rPr>
          <w:rFonts w:ascii="Times New Roman" w:hAnsi="Times New Roman" w:cs="Times New Roman"/>
        </w:rPr>
      </w:pPr>
      <w:r w:rsidRPr="009030AD">
        <w:rPr>
          <w:rFonts w:ascii="Times New Roman" w:hAnsi="Times New Roman" w:cs="Times New Roman"/>
        </w:rPr>
        <w:t xml:space="preserve">Esta información permite medir el acceso de las posibles personas usuarias a este tipo de profesionales, con la especialidad en la rama del Derecho. </w:t>
      </w:r>
    </w:p>
    <w:p w:rsidR="009030AD" w:rsidRPr="009030AD" w:rsidRDefault="009030AD" w:rsidP="009030AD">
      <w:pPr>
        <w:spacing w:line="360" w:lineRule="auto"/>
        <w:jc w:val="both"/>
        <w:rPr>
          <w:rFonts w:ascii="Times New Roman" w:hAnsi="Times New Roman" w:cs="Times New Roman"/>
        </w:rPr>
      </w:pPr>
    </w:p>
    <w:p w:rsidR="009030AD" w:rsidRPr="009030AD" w:rsidRDefault="009030AD" w:rsidP="009030AD">
      <w:pPr>
        <w:spacing w:line="360" w:lineRule="auto"/>
        <w:jc w:val="both"/>
        <w:rPr>
          <w:rFonts w:ascii="Times New Roman" w:hAnsi="Times New Roman" w:cs="Times New Roman"/>
        </w:rPr>
      </w:pPr>
      <w:r w:rsidRPr="009030AD">
        <w:rPr>
          <w:rFonts w:ascii="Times New Roman" w:hAnsi="Times New Roman" w:cs="Times New Roman"/>
        </w:rPr>
        <w:t xml:space="preserve">Las cifras ilustradas en el siguiente gráfico expresan una pequeña reducción en el cálculo, obtenido ahora en 482profesionales por cada 100.000 habitantes, provocado por la disminución del recurso humano activo y por el incremento del tamaño de la población nacional.  </w:t>
      </w:r>
    </w:p>
    <w:p w:rsidR="009030AD" w:rsidRPr="009030AD" w:rsidRDefault="009030AD" w:rsidP="009030AD">
      <w:pPr>
        <w:spacing w:line="360" w:lineRule="auto"/>
        <w:jc w:val="both"/>
        <w:rPr>
          <w:rFonts w:ascii="Times New Roman" w:hAnsi="Times New Roman" w:cs="Times New Roman"/>
        </w:rPr>
      </w:pPr>
    </w:p>
    <w:p w:rsidR="009030AD" w:rsidRPr="009030AD" w:rsidRDefault="009030AD" w:rsidP="009030AD">
      <w:pPr>
        <w:spacing w:line="360" w:lineRule="auto"/>
        <w:jc w:val="both"/>
        <w:rPr>
          <w:rFonts w:ascii="Times New Roman" w:hAnsi="Times New Roman" w:cs="Times New Roman"/>
        </w:rPr>
      </w:pPr>
      <w:r w:rsidRPr="009030AD">
        <w:rPr>
          <w:rFonts w:ascii="Times New Roman" w:hAnsi="Times New Roman" w:cs="Times New Roman"/>
        </w:rPr>
        <w:t xml:space="preserve">Con ello, se interrumpe la tendencia creciente de los últimos períodos, mostrada por este indicador. </w:t>
      </w:r>
    </w:p>
    <w:p w:rsidR="009030AD" w:rsidRPr="009030AD" w:rsidRDefault="009030AD" w:rsidP="009030AD">
      <w:pPr>
        <w:spacing w:line="360" w:lineRule="auto"/>
        <w:jc w:val="both"/>
        <w:rPr>
          <w:rFonts w:ascii="Times New Roman" w:hAnsi="Times New Roman" w:cs="Times New Roman"/>
        </w:rPr>
      </w:pPr>
    </w:p>
    <w:p w:rsidR="009030AD" w:rsidRPr="009030AD" w:rsidRDefault="003A1B7B" w:rsidP="009030AD">
      <w:pPr>
        <w:spacing w:line="360" w:lineRule="auto"/>
        <w:jc w:val="center"/>
        <w:rPr>
          <w:rFonts w:ascii="Times New Roman" w:hAnsi="Times New Roman" w:cs="Times New Roman"/>
        </w:rPr>
      </w:pPr>
      <w:r>
        <w:rPr>
          <w:rFonts w:ascii="Times New Roman" w:hAnsi="Times New Roman" w:cs="Times New Roman"/>
          <w:noProof/>
          <w:lang w:val="es-CR" w:eastAsia="es-CR"/>
        </w:rPr>
        <w:pict>
          <v:shape id="Cuadro de texto 152" o:spid="_x0000_s1034" type="#_x0000_t202" style="position:absolute;left:0;text-align:left;margin-left:48pt;margin-top:212.15pt;width:300pt;height:20.6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" filled="f" stroked="f">
            <v:textbox>
              <w:txbxContent>
                <w:p w:rsidR="00071467" w:rsidRDefault="00071467" w:rsidP="009030AD">
                  <w:pPr>
                    <w:rPr>
                      <w:sz w:val="14"/>
                      <w:szCs w:val="14"/>
                    </w:rPr>
                  </w:pPr>
                  <w:r>
                    <w:rPr>
                      <w:sz w:val="14"/>
                      <w:szCs w:val="14"/>
                    </w:rPr>
                    <w:t xml:space="preserve">Fuente: Colegio de Abogados e Instituto Nacional de Estadística y Censos </w:t>
                  </w:r>
                </w:p>
              </w:txbxContent>
            </v:textbox>
          </v:shape>
        </w:pict>
      </w:r>
      <w:r w:rsidR="009030AD" w:rsidRPr="009030AD">
        <w:rPr>
          <w:rFonts w:ascii="Times New Roman" w:hAnsi="Times New Roman" w:cs="Times New Roman"/>
          <w:noProof/>
          <w:lang w:val="es-CR" w:eastAsia="es-CR"/>
        </w:rPr>
        <w:drawing>
          <wp:inline distT="0" distB="0" distL="0" distR="0">
            <wp:extent cx="4818380" cy="3021330"/>
            <wp:effectExtent l="0" t="0" r="39370" b="45720"/>
            <wp:docPr id="151" name="Objet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030AD" w:rsidRPr="009030AD" w:rsidRDefault="009030AD" w:rsidP="009030AD">
      <w:pPr>
        <w:spacing w:line="360" w:lineRule="auto"/>
        <w:jc w:val="both"/>
        <w:rPr>
          <w:rFonts w:ascii="Times New Roman" w:hAnsi="Times New Roman" w:cs="Times New Roman"/>
        </w:rPr>
      </w:pPr>
    </w:p>
    <w:p w:rsidR="009030AD" w:rsidRPr="009030AD" w:rsidRDefault="009030AD" w:rsidP="009030AD">
      <w:pPr>
        <w:spacing w:line="360" w:lineRule="auto"/>
        <w:jc w:val="both"/>
        <w:rPr>
          <w:rFonts w:ascii="Times New Roman" w:hAnsi="Times New Roman" w:cs="Times New Roman"/>
        </w:rPr>
      </w:pPr>
    </w:p>
    <w:p w:rsidR="009030AD" w:rsidRPr="009030AD" w:rsidRDefault="009030AD" w:rsidP="009030AD">
      <w:pPr>
        <w:spacing w:line="360" w:lineRule="auto"/>
        <w:jc w:val="both"/>
        <w:rPr>
          <w:rFonts w:ascii="Times New Roman" w:hAnsi="Times New Roman" w:cs="Times New Roman"/>
        </w:rPr>
      </w:pPr>
    </w:p>
    <w:p w:rsidR="00040478" w:rsidRPr="000F24B6" w:rsidRDefault="00040478" w:rsidP="00040478">
      <w:pPr>
        <w:pStyle w:val="Ttulo1"/>
        <w:widowControl/>
        <w:pBdr>
          <w:top w:val="single" w:sz="4" w:space="1" w:color="000000"/>
          <w:left w:val="single" w:sz="4" w:space="4" w:color="000000"/>
          <w:bottom w:val="single" w:sz="4" w:space="1" w:color="000000"/>
          <w:right w:val="single" w:sz="4" w:space="4" w:color="000000"/>
        </w:pBdr>
        <w:shd w:val="clear" w:color="auto" w:fill="000000"/>
        <w:tabs>
          <w:tab w:val="clear" w:pos="4680"/>
          <w:tab w:val="left" w:pos="360"/>
          <w:tab w:val="left" w:pos="720"/>
          <w:tab w:val="left" w:pos="900"/>
        </w:tabs>
        <w:suppressAutoHyphens/>
        <w:autoSpaceDE/>
        <w:autoSpaceDN/>
        <w:adjustRightInd/>
        <w:spacing w:line="480" w:lineRule="atLeast"/>
        <w:jc w:val="center"/>
        <w:rPr>
          <w:rFonts w:ascii="Times New Roman" w:hAnsi="Times New Roman" w:cs="Times New Roman"/>
          <w:i w:val="0"/>
          <w:color w:val="FFFFFF"/>
          <w:sz w:val="28"/>
          <w:szCs w:val="28"/>
          <w:lang w:eastAsia="ar-SA"/>
        </w:rPr>
      </w:pPr>
      <w:r w:rsidRPr="000F24B6">
        <w:rPr>
          <w:rFonts w:ascii="Times New Roman" w:hAnsi="Times New Roman" w:cs="Times New Roman"/>
          <w:i w:val="0"/>
          <w:color w:val="FFFFFF"/>
          <w:sz w:val="28"/>
          <w:szCs w:val="28"/>
          <w:lang w:eastAsia="ar-SA"/>
        </w:rPr>
        <w:t xml:space="preserve">3. </w:t>
      </w:r>
      <w:r w:rsidRPr="000F24B6">
        <w:rPr>
          <w:rFonts w:ascii="Times New Roman" w:hAnsi="Times New Roman" w:cs="Times New Roman"/>
          <w:i w:val="0"/>
          <w:color w:val="FFFFFF"/>
          <w:sz w:val="28"/>
          <w:szCs w:val="28"/>
          <w:lang w:eastAsia="ar-SA"/>
        </w:rPr>
        <w:tab/>
      </w:r>
      <w:r w:rsidRPr="000F24B6">
        <w:rPr>
          <w:rFonts w:ascii="Times New Roman" w:hAnsi="Times New Roman" w:cs="Times New Roman"/>
          <w:i w:val="0"/>
          <w:color w:val="FFFFFF"/>
          <w:sz w:val="28"/>
          <w:szCs w:val="28"/>
          <w:lang w:eastAsia="ar-SA"/>
        </w:rPr>
        <w:tab/>
        <w:t>PRODUCCIÓN, PRODUCTIVIDAD</w:t>
      </w:r>
    </w:p>
    <w:p w:rsidR="00040478" w:rsidRPr="000F24B6" w:rsidRDefault="00040478" w:rsidP="00040478">
      <w:pPr>
        <w:spacing w:line="360" w:lineRule="auto"/>
        <w:jc w:val="both"/>
        <w:rPr>
          <w:rFonts w:ascii="Times New Roman" w:hAnsi="Times New Roman" w:cs="Times New Roman"/>
          <w:lang w:eastAsia="ar-SA"/>
        </w:rPr>
      </w:pPr>
    </w:p>
    <w:p w:rsidR="00040478" w:rsidRPr="000F24B6" w:rsidRDefault="00040478" w:rsidP="00040478">
      <w:pPr>
        <w:pStyle w:val="Textoindependiente"/>
        <w:spacing w:line="360" w:lineRule="auto"/>
        <w:jc w:val="both"/>
        <w:rPr>
          <w:rFonts w:ascii="Times New Roman" w:hAnsi="Times New Roman" w:cs="Times New Roman"/>
          <w:sz w:val="24"/>
          <w:szCs w:val="24"/>
        </w:rPr>
      </w:pPr>
      <w:r w:rsidRPr="000F24B6">
        <w:rPr>
          <w:rFonts w:ascii="Times New Roman" w:hAnsi="Times New Roman" w:cs="Times New Roman"/>
          <w:sz w:val="24"/>
          <w:szCs w:val="24"/>
        </w:rPr>
        <w:t xml:space="preserve">Este campo temático se constituye por </w:t>
      </w:r>
      <w:proofErr w:type="spellStart"/>
      <w:r w:rsidRPr="000F24B6">
        <w:rPr>
          <w:rFonts w:ascii="Times New Roman" w:hAnsi="Times New Roman" w:cs="Times New Roman"/>
          <w:sz w:val="24"/>
          <w:szCs w:val="24"/>
        </w:rPr>
        <w:t>nueveindicadores</w:t>
      </w:r>
      <w:proofErr w:type="spellEnd"/>
      <w:r w:rsidRPr="000F24B6">
        <w:rPr>
          <w:rFonts w:ascii="Times New Roman" w:hAnsi="Times New Roman" w:cs="Times New Roman"/>
          <w:sz w:val="24"/>
          <w:szCs w:val="24"/>
        </w:rPr>
        <w:t xml:space="preserve">, que reflejan la efectividad del trabajo o la producción lograda, así como el grado de utilización de los insumos destinados al proceso de administración de la justicia, además de medir la gestión o el desempeño de los diferentes órganos jurisdiccionales.  </w:t>
      </w:r>
    </w:p>
    <w:p w:rsidR="00040478" w:rsidRPr="000F24B6" w:rsidRDefault="00040478" w:rsidP="00040478">
      <w:pPr>
        <w:pStyle w:val="Textoindependiente"/>
        <w:spacing w:line="360" w:lineRule="auto"/>
        <w:jc w:val="both"/>
        <w:rPr>
          <w:rFonts w:ascii="Times New Roman" w:hAnsi="Times New Roman" w:cs="Times New Roman"/>
          <w:sz w:val="24"/>
          <w:szCs w:val="24"/>
        </w:rPr>
      </w:pPr>
    </w:p>
    <w:p w:rsidR="00040478" w:rsidRPr="000F24B6" w:rsidRDefault="00040478" w:rsidP="00040478">
      <w:pPr>
        <w:pStyle w:val="Textoindependiente"/>
        <w:spacing w:line="360" w:lineRule="auto"/>
        <w:jc w:val="both"/>
        <w:rPr>
          <w:rFonts w:ascii="Times New Roman" w:hAnsi="Times New Roman" w:cs="Times New Roman"/>
          <w:sz w:val="24"/>
          <w:szCs w:val="24"/>
        </w:rPr>
      </w:pPr>
      <w:r w:rsidRPr="000F24B6">
        <w:rPr>
          <w:rFonts w:ascii="Times New Roman" w:hAnsi="Times New Roman" w:cs="Times New Roman"/>
          <w:sz w:val="24"/>
          <w:szCs w:val="24"/>
        </w:rPr>
        <w:t xml:space="preserve">De seguido se describen los resultados más recientes, en función de los resultados acaecidos en el último quinquenio. </w:t>
      </w:r>
    </w:p>
    <w:p w:rsidR="00040478" w:rsidRPr="000F24B6" w:rsidRDefault="00040478" w:rsidP="00040478">
      <w:pPr>
        <w:pStyle w:val="Ttulo2"/>
        <w:jc w:val="both"/>
        <w:rPr>
          <w:rFonts w:ascii="Times New Roman" w:hAnsi="Times New Roman" w:cs="Times New Roman"/>
          <w:i w:val="0"/>
          <w:sz w:val="24"/>
          <w:szCs w:val="24"/>
        </w:rPr>
      </w:pPr>
      <w:r w:rsidRPr="000F24B6">
        <w:rPr>
          <w:rFonts w:ascii="Times New Roman" w:hAnsi="Times New Roman" w:cs="Times New Roman"/>
          <w:i w:val="0"/>
          <w:sz w:val="24"/>
          <w:szCs w:val="24"/>
        </w:rPr>
        <w:t>3.1</w:t>
      </w:r>
      <w:r w:rsidRPr="000F24B6">
        <w:rPr>
          <w:rFonts w:ascii="Times New Roman" w:hAnsi="Times New Roman" w:cs="Times New Roman"/>
          <w:i w:val="0"/>
          <w:sz w:val="24"/>
          <w:szCs w:val="24"/>
        </w:rPr>
        <w:tab/>
        <w:t>Asuntos resueltos por jueza y/o por juez en primera instancia</w:t>
      </w:r>
    </w:p>
    <w:p w:rsidR="00040478" w:rsidRPr="000F24B6" w:rsidRDefault="00040478" w:rsidP="00040478">
      <w:pPr>
        <w:pStyle w:val="Textoindependiente"/>
        <w:spacing w:line="360" w:lineRule="auto"/>
        <w:rPr>
          <w:rFonts w:ascii="Times New Roman" w:hAnsi="Times New Roman" w:cs="Times New Roman"/>
          <w:b/>
          <w:bCs/>
          <w:sz w:val="24"/>
          <w:szCs w:val="24"/>
        </w:rPr>
      </w:pPr>
    </w:p>
    <w:p w:rsidR="00040478" w:rsidRPr="000F24B6" w:rsidRDefault="00040478" w:rsidP="00040478">
      <w:pPr>
        <w:pStyle w:val="Textoindependiente"/>
        <w:spacing w:line="360" w:lineRule="auto"/>
        <w:jc w:val="both"/>
        <w:rPr>
          <w:rFonts w:ascii="Times New Roman" w:hAnsi="Times New Roman" w:cs="Times New Roman"/>
          <w:sz w:val="24"/>
          <w:szCs w:val="24"/>
        </w:rPr>
      </w:pPr>
      <w:r w:rsidRPr="000F24B6">
        <w:rPr>
          <w:rFonts w:ascii="Times New Roman" w:hAnsi="Times New Roman" w:cs="Times New Roman"/>
          <w:sz w:val="24"/>
          <w:szCs w:val="24"/>
        </w:rPr>
        <w:t>Para el cálculo de este indicador se utiliza el número de procesos terminados o salidos en primera instancia, dividido entre la cantidad de juezas y/o de jueces.</w:t>
      </w:r>
    </w:p>
    <w:p w:rsidR="00040478" w:rsidRPr="000F24B6" w:rsidRDefault="00040478" w:rsidP="00040478">
      <w:pPr>
        <w:pStyle w:val="Textoindependiente"/>
        <w:spacing w:line="360" w:lineRule="auto"/>
        <w:jc w:val="both"/>
        <w:rPr>
          <w:rFonts w:ascii="Times New Roman" w:hAnsi="Times New Roman" w:cs="Times New Roman"/>
          <w:sz w:val="24"/>
          <w:szCs w:val="24"/>
        </w:rPr>
      </w:pPr>
    </w:p>
    <w:p w:rsidR="00040478" w:rsidRPr="000F24B6" w:rsidRDefault="00040478" w:rsidP="00040478">
      <w:pPr>
        <w:pStyle w:val="Textoindependiente"/>
        <w:spacing w:line="360" w:lineRule="auto"/>
        <w:jc w:val="both"/>
        <w:rPr>
          <w:rFonts w:ascii="Times New Roman" w:hAnsi="Times New Roman" w:cs="Times New Roman"/>
          <w:sz w:val="24"/>
          <w:szCs w:val="24"/>
        </w:rPr>
      </w:pPr>
      <w:r w:rsidRPr="000F24B6">
        <w:rPr>
          <w:rFonts w:ascii="Times New Roman" w:hAnsi="Times New Roman" w:cs="Times New Roman"/>
          <w:sz w:val="24"/>
          <w:szCs w:val="24"/>
        </w:rPr>
        <w:t xml:space="preserve">En el 2015 la Tasa asuntos resueltos por jueza y/o por juez en primera instancia resultante disminuye lo que suspende la leve tendencia al crecimiento apreciada del 2012 al 2014. Como se muestra en el gráfico N° 20 siguiente, en este año se terminaron </w:t>
      </w:r>
      <w:r w:rsidRPr="000F24B6">
        <w:rPr>
          <w:rFonts w:ascii="Times New Roman" w:hAnsi="Times New Roman" w:cs="Times New Roman"/>
          <w:b/>
          <w:sz w:val="24"/>
          <w:szCs w:val="24"/>
        </w:rPr>
        <w:t>541</w:t>
      </w:r>
      <w:r w:rsidRPr="000F24B6">
        <w:rPr>
          <w:rFonts w:ascii="Times New Roman" w:hAnsi="Times New Roman" w:cs="Times New Roman"/>
          <w:sz w:val="24"/>
          <w:szCs w:val="24"/>
        </w:rPr>
        <w:t xml:space="preserve"> asuntos por juez o jueza, cifra disminuida respecto al resultado del 2014 cuando era de </w:t>
      </w:r>
      <w:r w:rsidRPr="000F24B6">
        <w:rPr>
          <w:rFonts w:ascii="Times New Roman" w:hAnsi="Times New Roman" w:cs="Times New Roman"/>
          <w:b/>
          <w:sz w:val="24"/>
          <w:szCs w:val="24"/>
        </w:rPr>
        <w:t>568</w:t>
      </w:r>
      <w:r w:rsidRPr="000F24B6">
        <w:rPr>
          <w:rFonts w:ascii="Times New Roman" w:hAnsi="Times New Roman" w:cs="Times New Roman"/>
          <w:sz w:val="24"/>
          <w:szCs w:val="24"/>
        </w:rPr>
        <w:t xml:space="preserve">; esto es la tasa del 2015 es </w:t>
      </w:r>
      <w:r w:rsidRPr="000F24B6">
        <w:rPr>
          <w:rFonts w:ascii="Times New Roman" w:hAnsi="Times New Roman" w:cs="Times New Roman"/>
          <w:b/>
          <w:sz w:val="24"/>
          <w:szCs w:val="24"/>
        </w:rPr>
        <w:t>27</w:t>
      </w:r>
      <w:r w:rsidRPr="000F24B6">
        <w:rPr>
          <w:rFonts w:ascii="Times New Roman" w:hAnsi="Times New Roman" w:cs="Times New Roman"/>
          <w:sz w:val="24"/>
          <w:szCs w:val="24"/>
        </w:rPr>
        <w:t xml:space="preserve"> asuntos terminados menos por juez o jueza que el </w:t>
      </w:r>
      <w:r w:rsidR="008813B6" w:rsidRPr="000F24B6">
        <w:rPr>
          <w:rFonts w:ascii="Times New Roman" w:hAnsi="Times New Roman" w:cs="Times New Roman"/>
          <w:sz w:val="24"/>
          <w:szCs w:val="24"/>
        </w:rPr>
        <w:t>2014.</w:t>
      </w:r>
    </w:p>
    <w:p w:rsidR="00040478" w:rsidRPr="000F24B6" w:rsidRDefault="00040478" w:rsidP="00040478">
      <w:pPr>
        <w:pStyle w:val="Textoindependiente"/>
        <w:spacing w:line="360" w:lineRule="auto"/>
        <w:jc w:val="both"/>
        <w:rPr>
          <w:rFonts w:ascii="Times New Roman" w:hAnsi="Times New Roman" w:cs="Times New Roman"/>
          <w:sz w:val="24"/>
          <w:szCs w:val="24"/>
        </w:rPr>
      </w:pPr>
    </w:p>
    <w:p w:rsidR="00040478" w:rsidRPr="000F24B6" w:rsidRDefault="00040478" w:rsidP="00040478">
      <w:pPr>
        <w:pStyle w:val="Ttulo2"/>
        <w:jc w:val="both"/>
        <w:rPr>
          <w:rFonts w:ascii="Times New Roman" w:hAnsi="Times New Roman" w:cs="Times New Roman"/>
          <w:i w:val="0"/>
          <w:sz w:val="24"/>
          <w:szCs w:val="24"/>
        </w:rPr>
      </w:pPr>
      <w:r w:rsidRPr="000F24B6">
        <w:rPr>
          <w:rFonts w:ascii="Times New Roman" w:hAnsi="Times New Roman" w:cs="Times New Roman"/>
          <w:i w:val="0"/>
          <w:sz w:val="24"/>
          <w:szCs w:val="24"/>
        </w:rPr>
        <w:t>3.2</w:t>
      </w:r>
      <w:r w:rsidRPr="000F24B6">
        <w:rPr>
          <w:rFonts w:ascii="Times New Roman" w:hAnsi="Times New Roman" w:cs="Times New Roman"/>
          <w:i w:val="0"/>
          <w:sz w:val="24"/>
          <w:szCs w:val="24"/>
        </w:rPr>
        <w:tab/>
        <w:t>Asuntos resueltos por jueza y/o por juez en segunda instancia</w:t>
      </w:r>
    </w:p>
    <w:p w:rsidR="00040478" w:rsidRPr="000F24B6" w:rsidRDefault="00040478" w:rsidP="00040478">
      <w:pPr>
        <w:pStyle w:val="Textoindependiente"/>
        <w:spacing w:line="360" w:lineRule="auto"/>
        <w:jc w:val="both"/>
        <w:rPr>
          <w:rFonts w:ascii="Times New Roman" w:hAnsi="Times New Roman" w:cs="Times New Roman"/>
          <w:b/>
          <w:bCs/>
          <w:sz w:val="24"/>
          <w:szCs w:val="24"/>
        </w:rPr>
      </w:pPr>
    </w:p>
    <w:p w:rsidR="00040478" w:rsidRPr="000F24B6" w:rsidRDefault="00040478" w:rsidP="00040478">
      <w:pPr>
        <w:pStyle w:val="Textoindependiente"/>
        <w:spacing w:line="360" w:lineRule="auto"/>
        <w:jc w:val="both"/>
        <w:rPr>
          <w:rFonts w:ascii="Times New Roman" w:hAnsi="Times New Roman" w:cs="Times New Roman"/>
          <w:sz w:val="24"/>
          <w:szCs w:val="24"/>
        </w:rPr>
      </w:pPr>
      <w:r w:rsidRPr="000F24B6">
        <w:rPr>
          <w:rFonts w:ascii="Times New Roman" w:hAnsi="Times New Roman" w:cs="Times New Roman"/>
          <w:sz w:val="24"/>
          <w:szCs w:val="24"/>
        </w:rPr>
        <w:t xml:space="preserve">La fórmula de este indicador es análoga a la del inciso anterior, con la diferencia de contabilizar los asuntos y el personal asignado en las oficinas de segunda instancia. </w:t>
      </w:r>
    </w:p>
    <w:p w:rsidR="00040478" w:rsidRPr="000F24B6" w:rsidRDefault="00040478" w:rsidP="00040478">
      <w:pPr>
        <w:pStyle w:val="Textoindependiente"/>
        <w:spacing w:line="360" w:lineRule="auto"/>
        <w:rPr>
          <w:rFonts w:ascii="Times New Roman" w:hAnsi="Times New Roman" w:cs="Times New Roman"/>
          <w:sz w:val="24"/>
          <w:szCs w:val="24"/>
        </w:rPr>
      </w:pPr>
    </w:p>
    <w:p w:rsidR="00040478" w:rsidRPr="000F24B6" w:rsidRDefault="00040478" w:rsidP="00040478">
      <w:pPr>
        <w:pStyle w:val="Textoindependiente"/>
        <w:spacing w:line="360" w:lineRule="auto"/>
        <w:jc w:val="both"/>
        <w:rPr>
          <w:rFonts w:ascii="Times New Roman" w:hAnsi="Times New Roman" w:cs="Times New Roman"/>
          <w:sz w:val="24"/>
          <w:szCs w:val="24"/>
        </w:rPr>
      </w:pPr>
      <w:proofErr w:type="gramStart"/>
      <w:r w:rsidRPr="000F24B6">
        <w:rPr>
          <w:rFonts w:ascii="Times New Roman" w:hAnsi="Times New Roman" w:cs="Times New Roman"/>
          <w:sz w:val="24"/>
          <w:szCs w:val="24"/>
        </w:rPr>
        <w:t>Continua</w:t>
      </w:r>
      <w:proofErr w:type="gramEnd"/>
      <w:r w:rsidRPr="000F24B6">
        <w:rPr>
          <w:rFonts w:ascii="Times New Roman" w:hAnsi="Times New Roman" w:cs="Times New Roman"/>
          <w:sz w:val="24"/>
          <w:szCs w:val="24"/>
        </w:rPr>
        <w:t xml:space="preserve"> la tendencia a la baja en el volumen de demandas fenecidas por juez o jueza de segunda instancia. Como se  aprecia de la </w:t>
      </w:r>
      <w:r w:rsidR="008813B6" w:rsidRPr="000F24B6">
        <w:rPr>
          <w:rFonts w:ascii="Times New Roman" w:hAnsi="Times New Roman" w:cs="Times New Roman"/>
          <w:sz w:val="24"/>
          <w:szCs w:val="24"/>
        </w:rPr>
        <w:t>gráfica</w:t>
      </w:r>
      <w:r w:rsidRPr="000F24B6">
        <w:rPr>
          <w:rFonts w:ascii="Times New Roman" w:hAnsi="Times New Roman" w:cs="Times New Roman"/>
          <w:sz w:val="24"/>
          <w:szCs w:val="24"/>
        </w:rPr>
        <w:t xml:space="preserve"> siguiente en el 2012 esta relación estadística alcanzó el </w:t>
      </w:r>
      <w:r w:rsidRPr="000F24B6">
        <w:rPr>
          <w:rFonts w:ascii="Times New Roman" w:hAnsi="Times New Roman" w:cs="Times New Roman"/>
          <w:sz w:val="24"/>
          <w:szCs w:val="24"/>
        </w:rPr>
        <w:lastRenderedPageBreak/>
        <w:t xml:space="preserve">nivel más alto de los últimos cinco años con </w:t>
      </w:r>
      <w:r w:rsidRPr="000F24B6">
        <w:rPr>
          <w:rFonts w:ascii="Times New Roman" w:hAnsi="Times New Roman" w:cs="Times New Roman"/>
          <w:b/>
          <w:sz w:val="24"/>
          <w:szCs w:val="24"/>
        </w:rPr>
        <w:t>186</w:t>
      </w:r>
      <w:r w:rsidRPr="000F24B6">
        <w:rPr>
          <w:rFonts w:ascii="Times New Roman" w:hAnsi="Times New Roman" w:cs="Times New Roman"/>
          <w:sz w:val="24"/>
          <w:szCs w:val="24"/>
        </w:rPr>
        <w:t xml:space="preserve"> asuntos de segunda instancia terminados per cápita, valor que irá bajando en los </w:t>
      </w:r>
      <w:r w:rsidR="008813B6" w:rsidRPr="000F24B6">
        <w:rPr>
          <w:rFonts w:ascii="Times New Roman" w:hAnsi="Times New Roman" w:cs="Times New Roman"/>
          <w:sz w:val="24"/>
          <w:szCs w:val="24"/>
        </w:rPr>
        <w:t>siguientes años</w:t>
      </w:r>
      <w:r w:rsidRPr="000F24B6">
        <w:rPr>
          <w:rFonts w:ascii="Times New Roman" w:hAnsi="Times New Roman" w:cs="Times New Roman"/>
          <w:sz w:val="24"/>
          <w:szCs w:val="24"/>
        </w:rPr>
        <w:t xml:space="preserve"> hasta llega</w:t>
      </w:r>
      <w:r w:rsidR="001017FD">
        <w:rPr>
          <w:rFonts w:ascii="Times New Roman" w:hAnsi="Times New Roman" w:cs="Times New Roman"/>
          <w:sz w:val="24"/>
          <w:szCs w:val="24"/>
        </w:rPr>
        <w:t>r</w:t>
      </w:r>
      <w:r w:rsidRPr="000F24B6">
        <w:rPr>
          <w:rFonts w:ascii="Times New Roman" w:hAnsi="Times New Roman" w:cs="Times New Roman"/>
          <w:sz w:val="24"/>
          <w:szCs w:val="24"/>
        </w:rPr>
        <w:t xml:space="preserve"> al 2015 cuando se reportaron </w:t>
      </w:r>
      <w:r w:rsidRPr="000F24B6">
        <w:rPr>
          <w:rFonts w:ascii="Times New Roman" w:hAnsi="Times New Roman" w:cs="Times New Roman"/>
          <w:b/>
          <w:sz w:val="24"/>
          <w:szCs w:val="24"/>
        </w:rPr>
        <w:t>120</w:t>
      </w:r>
      <w:r w:rsidRPr="000F24B6">
        <w:rPr>
          <w:rFonts w:ascii="Times New Roman" w:hAnsi="Times New Roman" w:cs="Times New Roman"/>
          <w:sz w:val="24"/>
          <w:szCs w:val="24"/>
        </w:rPr>
        <w:t xml:space="preserve"> casos de segunda instancia terminados por juez o jueza. </w:t>
      </w:r>
    </w:p>
    <w:p w:rsidR="00040478" w:rsidRPr="000F24B6" w:rsidRDefault="003A1B7B" w:rsidP="00040478">
      <w:pPr>
        <w:pStyle w:val="Textoindependiente"/>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s-CR" w:eastAsia="es-CR"/>
        </w:rPr>
        <w:pict>
          <v:shape id="Cuadro de texto 80" o:spid="_x0000_s1035" type="#_x0000_t202" style="position:absolute;left:0;text-align:left;margin-left:60pt;margin-top:213.2pt;width:229.1pt;height:18.1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" filled="f" stroked="f">
            <v:textbox>
              <w:txbxContent>
                <w:p w:rsidR="00071467" w:rsidRDefault="00071467" w:rsidP="00040478">
                  <w:pPr>
                    <w:rPr>
                      <w:sz w:val="14"/>
                      <w:szCs w:val="14"/>
                    </w:rPr>
                  </w:pPr>
                  <w:r>
                    <w:rPr>
                      <w:sz w:val="14"/>
                      <w:szCs w:val="14"/>
                    </w:rPr>
                    <w:t>Elaborado por: Sección de Estadística,  Dirección de Planificación.</w:t>
                  </w:r>
                </w:p>
              </w:txbxContent>
            </v:textbox>
          </v:shape>
        </w:pict>
      </w:r>
      <w:r w:rsidR="00040478" w:rsidRPr="000F24B6">
        <w:rPr>
          <w:rFonts w:ascii="Times New Roman" w:hAnsi="Times New Roman" w:cs="Times New Roman"/>
          <w:noProof/>
          <w:sz w:val="24"/>
          <w:szCs w:val="24"/>
          <w:lang w:val="es-CR" w:eastAsia="es-CR"/>
        </w:rPr>
        <w:drawing>
          <wp:inline distT="0" distB="0" distL="0" distR="0">
            <wp:extent cx="4467225" cy="2943225"/>
            <wp:effectExtent l="0" t="0" r="28575" b="28575"/>
            <wp:docPr id="26" name="Objeto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054C9" w:rsidRDefault="00B054C9"/>
    <w:p w:rsidR="00040478" w:rsidRPr="000F24B6" w:rsidRDefault="00040478" w:rsidP="00040478">
      <w:pPr>
        <w:pStyle w:val="Ttulo2"/>
        <w:jc w:val="both"/>
        <w:rPr>
          <w:rFonts w:ascii="Times New Roman" w:hAnsi="Times New Roman" w:cs="Times New Roman"/>
          <w:i w:val="0"/>
          <w:sz w:val="24"/>
          <w:szCs w:val="24"/>
        </w:rPr>
      </w:pPr>
      <w:r w:rsidRPr="000F24B6">
        <w:rPr>
          <w:rFonts w:ascii="Times New Roman" w:hAnsi="Times New Roman" w:cs="Times New Roman"/>
          <w:i w:val="0"/>
          <w:sz w:val="24"/>
          <w:szCs w:val="24"/>
        </w:rPr>
        <w:t>3.3</w:t>
      </w:r>
      <w:r w:rsidRPr="000F24B6">
        <w:rPr>
          <w:rFonts w:ascii="Times New Roman" w:hAnsi="Times New Roman" w:cs="Times New Roman"/>
          <w:i w:val="0"/>
          <w:sz w:val="24"/>
          <w:szCs w:val="24"/>
        </w:rPr>
        <w:tab/>
        <w:t>Sentencias dictadas por Jueza y/o por Juez en primera instancia</w:t>
      </w:r>
    </w:p>
    <w:p w:rsidR="00040478" w:rsidRPr="000F24B6" w:rsidRDefault="00040478" w:rsidP="00040478">
      <w:pPr>
        <w:pStyle w:val="Textoindependiente"/>
        <w:tabs>
          <w:tab w:val="num" w:pos="2148"/>
        </w:tabs>
        <w:spacing w:line="360" w:lineRule="auto"/>
        <w:jc w:val="both"/>
        <w:rPr>
          <w:rFonts w:ascii="Times New Roman" w:hAnsi="Times New Roman" w:cs="Times New Roman"/>
          <w:sz w:val="24"/>
          <w:szCs w:val="24"/>
        </w:rPr>
      </w:pPr>
    </w:p>
    <w:p w:rsidR="00040478" w:rsidRPr="000F24B6" w:rsidRDefault="00040478" w:rsidP="00040478">
      <w:pPr>
        <w:pStyle w:val="Textoindependiente"/>
        <w:spacing w:line="360" w:lineRule="auto"/>
        <w:jc w:val="both"/>
        <w:rPr>
          <w:rFonts w:ascii="Times New Roman" w:hAnsi="Times New Roman" w:cs="Times New Roman"/>
          <w:sz w:val="24"/>
          <w:szCs w:val="24"/>
        </w:rPr>
      </w:pPr>
      <w:r w:rsidRPr="000F24B6">
        <w:rPr>
          <w:rFonts w:ascii="Times New Roman" w:hAnsi="Times New Roman" w:cs="Times New Roman"/>
          <w:sz w:val="24"/>
          <w:szCs w:val="24"/>
        </w:rPr>
        <w:t xml:space="preserve">Es el resultado de dividir la cantidad de sentencias emitidas en primera instancia, entre el número de juezas y/o de jueces que atienden estos asuntos. </w:t>
      </w:r>
    </w:p>
    <w:p w:rsidR="00040478" w:rsidRPr="000F24B6" w:rsidRDefault="00040478" w:rsidP="00040478">
      <w:pPr>
        <w:pStyle w:val="Textoindependiente"/>
        <w:spacing w:line="360" w:lineRule="auto"/>
        <w:jc w:val="both"/>
        <w:rPr>
          <w:rFonts w:ascii="Times New Roman" w:hAnsi="Times New Roman" w:cs="Times New Roman"/>
          <w:sz w:val="24"/>
          <w:szCs w:val="24"/>
        </w:rPr>
      </w:pPr>
      <w:r w:rsidRPr="000F24B6">
        <w:rPr>
          <w:rFonts w:ascii="Times New Roman" w:hAnsi="Times New Roman" w:cs="Times New Roman"/>
          <w:sz w:val="24"/>
          <w:szCs w:val="24"/>
        </w:rPr>
        <w:t xml:space="preserve">En el 2015 aumenta levemente la cantidad de sentencias dictadas en primera instancia por juez o jueza competente, no </w:t>
      </w:r>
      <w:r w:rsidR="008813B6" w:rsidRPr="000F24B6">
        <w:rPr>
          <w:rFonts w:ascii="Times New Roman" w:hAnsi="Times New Roman" w:cs="Times New Roman"/>
          <w:sz w:val="24"/>
          <w:szCs w:val="24"/>
        </w:rPr>
        <w:t>obstante,</w:t>
      </w:r>
      <w:r w:rsidRPr="000F24B6">
        <w:rPr>
          <w:rFonts w:ascii="Times New Roman" w:hAnsi="Times New Roman" w:cs="Times New Roman"/>
          <w:sz w:val="24"/>
          <w:szCs w:val="24"/>
        </w:rPr>
        <w:t xml:space="preserve"> el nivel alcanzado se encuentra por debajo del reporte del 2013. En este año se dieron </w:t>
      </w:r>
      <w:r w:rsidRPr="000F24B6">
        <w:rPr>
          <w:rFonts w:ascii="Times New Roman" w:hAnsi="Times New Roman" w:cs="Times New Roman"/>
          <w:b/>
          <w:sz w:val="24"/>
          <w:szCs w:val="24"/>
        </w:rPr>
        <w:t>135</w:t>
      </w:r>
      <w:r w:rsidRPr="000F24B6">
        <w:rPr>
          <w:rFonts w:ascii="Times New Roman" w:hAnsi="Times New Roman" w:cs="Times New Roman"/>
          <w:sz w:val="24"/>
          <w:szCs w:val="24"/>
        </w:rPr>
        <w:t xml:space="preserve"> sentencias de esta naturaleza por profesional, cuatro más por juzgador o juzgadora que la cifra del 2014, cuando se alcanzó una razón de </w:t>
      </w:r>
      <w:r w:rsidRPr="000F24B6">
        <w:rPr>
          <w:rFonts w:ascii="Times New Roman" w:hAnsi="Times New Roman" w:cs="Times New Roman"/>
          <w:b/>
          <w:sz w:val="24"/>
          <w:szCs w:val="24"/>
        </w:rPr>
        <w:t>131</w:t>
      </w:r>
      <w:r w:rsidRPr="000F24B6">
        <w:rPr>
          <w:rFonts w:ascii="Times New Roman" w:hAnsi="Times New Roman" w:cs="Times New Roman"/>
          <w:sz w:val="24"/>
          <w:szCs w:val="24"/>
        </w:rPr>
        <w:t xml:space="preserve"> resoluciones por profesional y </w:t>
      </w:r>
      <w:r w:rsidRPr="000F24B6">
        <w:rPr>
          <w:rFonts w:ascii="Times New Roman" w:hAnsi="Times New Roman" w:cs="Times New Roman"/>
          <w:b/>
          <w:sz w:val="24"/>
          <w:szCs w:val="24"/>
        </w:rPr>
        <w:t>33</w:t>
      </w:r>
      <w:r w:rsidRPr="000F24B6">
        <w:rPr>
          <w:rFonts w:ascii="Times New Roman" w:hAnsi="Times New Roman" w:cs="Times New Roman"/>
          <w:sz w:val="24"/>
          <w:szCs w:val="24"/>
        </w:rPr>
        <w:t xml:space="preserve"> sentencias per cápita menos que lo dictado en el 2013 cuando se dictaron 168 sentencias por persona funcionaria.   </w:t>
      </w:r>
    </w:p>
    <w:p w:rsidR="00040478" w:rsidRPr="000F24B6" w:rsidRDefault="00040478" w:rsidP="00040478">
      <w:pPr>
        <w:pStyle w:val="Textoindependiente"/>
        <w:spacing w:line="360" w:lineRule="auto"/>
        <w:jc w:val="both"/>
        <w:rPr>
          <w:rFonts w:ascii="Times New Roman" w:hAnsi="Times New Roman" w:cs="Times New Roman"/>
          <w:sz w:val="24"/>
          <w:szCs w:val="24"/>
        </w:rPr>
      </w:pPr>
    </w:p>
    <w:p w:rsidR="00040478" w:rsidRPr="000F24B6" w:rsidRDefault="00040478" w:rsidP="00040478">
      <w:pPr>
        <w:pStyle w:val="Textoindependiente"/>
        <w:spacing w:line="360" w:lineRule="auto"/>
        <w:rPr>
          <w:rFonts w:ascii="Times New Roman" w:hAnsi="Times New Roman" w:cs="Times New Roman"/>
          <w:sz w:val="24"/>
          <w:szCs w:val="24"/>
        </w:rPr>
      </w:pPr>
    </w:p>
    <w:p w:rsidR="00040478" w:rsidRPr="000F24B6" w:rsidRDefault="003A1B7B" w:rsidP="00040478">
      <w:pPr>
        <w:pStyle w:val="Textoindependiente"/>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s-CR" w:eastAsia="es-CR"/>
        </w:rPr>
        <w:lastRenderedPageBreak/>
        <w:pict>
          <v:shape id="Cuadro de texto 79" o:spid="_x0000_s1036" type="#_x0000_t202" style="position:absolute;left:0;text-align:left;margin-left:63.45pt;margin-top:220.3pt;width:264pt;height:14.8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" filled="f" stroked="f">
            <v:textbox>
              <w:txbxContent>
                <w:p w:rsidR="00071467" w:rsidRDefault="00071467" w:rsidP="00040478">
                  <w:pPr>
                    <w:rPr>
                      <w:sz w:val="14"/>
                      <w:szCs w:val="14"/>
                    </w:rPr>
                  </w:pPr>
                  <w:r>
                    <w:rPr>
                      <w:sz w:val="14"/>
                      <w:szCs w:val="14"/>
                    </w:rPr>
                    <w:t>Elaborado por: Sección de Estadística,  Dirección de Planificación.</w:t>
                  </w:r>
                </w:p>
              </w:txbxContent>
            </v:textbox>
          </v:shape>
        </w:pict>
      </w:r>
      <w:r w:rsidR="00040478" w:rsidRPr="000F24B6">
        <w:rPr>
          <w:rFonts w:ascii="Times New Roman" w:hAnsi="Times New Roman" w:cs="Times New Roman"/>
          <w:noProof/>
          <w:sz w:val="24"/>
          <w:szCs w:val="24"/>
          <w:lang w:val="es-CR" w:eastAsia="es-CR"/>
        </w:rPr>
        <w:drawing>
          <wp:inline distT="0" distB="0" distL="0" distR="0">
            <wp:extent cx="4410710" cy="2961005"/>
            <wp:effectExtent l="0" t="0" r="46990" b="29845"/>
            <wp:docPr id="27" name="Objeto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40478" w:rsidRPr="000F24B6" w:rsidRDefault="00040478" w:rsidP="00040478">
      <w:pPr>
        <w:rPr>
          <w:rFonts w:ascii="Times New Roman" w:hAnsi="Times New Roman" w:cs="Times New Roman"/>
        </w:rPr>
      </w:pPr>
    </w:p>
    <w:p w:rsidR="00040478" w:rsidRPr="000F24B6" w:rsidRDefault="00040478" w:rsidP="00040478">
      <w:pPr>
        <w:pStyle w:val="Ttulo2"/>
        <w:jc w:val="both"/>
        <w:rPr>
          <w:rFonts w:ascii="Times New Roman" w:hAnsi="Times New Roman" w:cs="Times New Roman"/>
          <w:i w:val="0"/>
          <w:sz w:val="24"/>
          <w:szCs w:val="24"/>
        </w:rPr>
      </w:pPr>
      <w:r w:rsidRPr="000F24B6">
        <w:rPr>
          <w:rFonts w:ascii="Times New Roman" w:hAnsi="Times New Roman" w:cs="Times New Roman"/>
          <w:i w:val="0"/>
          <w:sz w:val="24"/>
          <w:szCs w:val="24"/>
        </w:rPr>
        <w:t>3.4</w:t>
      </w:r>
      <w:r w:rsidRPr="000F24B6">
        <w:rPr>
          <w:rFonts w:ascii="Times New Roman" w:hAnsi="Times New Roman" w:cs="Times New Roman"/>
          <w:i w:val="0"/>
          <w:sz w:val="24"/>
          <w:szCs w:val="24"/>
        </w:rPr>
        <w:tab/>
        <w:t>Porcentaje de sentencias</w:t>
      </w:r>
    </w:p>
    <w:p w:rsidR="00040478" w:rsidRPr="000F24B6" w:rsidRDefault="00040478" w:rsidP="00040478">
      <w:pPr>
        <w:pStyle w:val="Textoindependiente"/>
        <w:tabs>
          <w:tab w:val="num" w:pos="2148"/>
        </w:tabs>
        <w:jc w:val="both"/>
        <w:rPr>
          <w:rFonts w:ascii="Times New Roman" w:hAnsi="Times New Roman" w:cs="Times New Roman"/>
          <w:b/>
          <w:bCs/>
          <w:sz w:val="24"/>
          <w:szCs w:val="24"/>
        </w:rPr>
      </w:pPr>
    </w:p>
    <w:p w:rsidR="00040478" w:rsidRPr="000F24B6" w:rsidRDefault="00040478" w:rsidP="00040478">
      <w:pPr>
        <w:pStyle w:val="Textoindependiente"/>
        <w:spacing w:line="360" w:lineRule="auto"/>
        <w:jc w:val="both"/>
        <w:rPr>
          <w:rFonts w:ascii="Times New Roman" w:hAnsi="Times New Roman" w:cs="Times New Roman"/>
          <w:sz w:val="24"/>
          <w:szCs w:val="24"/>
        </w:rPr>
      </w:pPr>
      <w:r w:rsidRPr="000F24B6">
        <w:rPr>
          <w:rFonts w:ascii="Times New Roman" w:hAnsi="Times New Roman" w:cs="Times New Roman"/>
          <w:sz w:val="24"/>
          <w:szCs w:val="24"/>
        </w:rPr>
        <w:t xml:space="preserve">Este indicador se deriva del cociente de las sentencias dictadas, que dan por terminado el expediente, entre el total de asuntos fenecidos. </w:t>
      </w:r>
    </w:p>
    <w:p w:rsidR="00040478" w:rsidRPr="000F24B6" w:rsidRDefault="00040478" w:rsidP="00040478">
      <w:pPr>
        <w:pStyle w:val="Textoindependiente"/>
        <w:jc w:val="both"/>
        <w:rPr>
          <w:rFonts w:ascii="Times New Roman" w:hAnsi="Times New Roman" w:cs="Times New Roman"/>
          <w:sz w:val="24"/>
          <w:szCs w:val="24"/>
        </w:rPr>
      </w:pPr>
    </w:p>
    <w:p w:rsidR="00040478" w:rsidRPr="000F24B6" w:rsidRDefault="00040478" w:rsidP="00040478">
      <w:pPr>
        <w:pStyle w:val="Textoindependiente"/>
        <w:spacing w:line="360" w:lineRule="auto"/>
        <w:jc w:val="both"/>
        <w:rPr>
          <w:rFonts w:ascii="Times New Roman" w:hAnsi="Times New Roman" w:cs="Times New Roman"/>
          <w:sz w:val="24"/>
          <w:szCs w:val="24"/>
        </w:rPr>
      </w:pPr>
      <w:r w:rsidRPr="000F24B6">
        <w:rPr>
          <w:rFonts w:ascii="Times New Roman" w:hAnsi="Times New Roman" w:cs="Times New Roman"/>
          <w:sz w:val="24"/>
          <w:szCs w:val="24"/>
        </w:rPr>
        <w:t>Congruente con lo descrito en el apartado anterior, el peso relativo de las sentencias respecto al volumen de resolución general aumenta en este año respecto al inmediatamente anterior. –durante el 2015 el dictado de sentencias representó una cuarta parte (</w:t>
      </w:r>
      <w:r w:rsidRPr="000F24B6">
        <w:rPr>
          <w:rFonts w:ascii="Times New Roman" w:hAnsi="Times New Roman" w:cs="Times New Roman"/>
          <w:b/>
          <w:sz w:val="24"/>
          <w:szCs w:val="24"/>
        </w:rPr>
        <w:t>25%</w:t>
      </w:r>
      <w:r w:rsidRPr="000F24B6">
        <w:rPr>
          <w:rFonts w:ascii="Times New Roman" w:hAnsi="Times New Roman" w:cs="Times New Roman"/>
          <w:sz w:val="24"/>
          <w:szCs w:val="24"/>
        </w:rPr>
        <w:t xml:space="preserve">) de lo resuelto en ese mismo período, porcentaje que es dos puntos porcentuales respecto al resultado del 2014 como se muestra en el siguiente gráfico. No </w:t>
      </w:r>
      <w:r w:rsidR="008813B6" w:rsidRPr="000F24B6">
        <w:rPr>
          <w:rFonts w:ascii="Times New Roman" w:hAnsi="Times New Roman" w:cs="Times New Roman"/>
          <w:sz w:val="24"/>
          <w:szCs w:val="24"/>
        </w:rPr>
        <w:t>obstante,</w:t>
      </w:r>
      <w:r w:rsidRPr="000F24B6">
        <w:rPr>
          <w:rFonts w:ascii="Times New Roman" w:hAnsi="Times New Roman" w:cs="Times New Roman"/>
          <w:sz w:val="24"/>
          <w:szCs w:val="24"/>
        </w:rPr>
        <w:t xml:space="preserve"> tal incremento no fue suficiente para alcanzar el nivel reportado del 2013 cuando poco más de un </w:t>
      </w:r>
      <w:r w:rsidRPr="000F24B6">
        <w:rPr>
          <w:rFonts w:ascii="Times New Roman" w:hAnsi="Times New Roman" w:cs="Times New Roman"/>
          <w:b/>
          <w:sz w:val="24"/>
          <w:szCs w:val="24"/>
        </w:rPr>
        <w:t>30%</w:t>
      </w:r>
      <w:r w:rsidRPr="000F24B6">
        <w:rPr>
          <w:rFonts w:ascii="Times New Roman" w:hAnsi="Times New Roman" w:cs="Times New Roman"/>
          <w:sz w:val="24"/>
          <w:szCs w:val="24"/>
        </w:rPr>
        <w:t xml:space="preserve"> de lo resuelto en primera instancia eran sentencias.</w:t>
      </w:r>
    </w:p>
    <w:p w:rsidR="00040478" w:rsidRPr="000F24B6" w:rsidRDefault="00040478" w:rsidP="00040478">
      <w:pPr>
        <w:pStyle w:val="Textoindependiente"/>
        <w:spacing w:line="360" w:lineRule="auto"/>
        <w:rPr>
          <w:rFonts w:ascii="Times New Roman" w:hAnsi="Times New Roman" w:cs="Times New Roman"/>
          <w:sz w:val="24"/>
          <w:szCs w:val="24"/>
        </w:rPr>
      </w:pPr>
    </w:p>
    <w:p w:rsidR="00040478" w:rsidRPr="000F24B6" w:rsidRDefault="003A1B7B" w:rsidP="00040478">
      <w:pPr>
        <w:pStyle w:val="Textoindependiente"/>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s-CR" w:eastAsia="es-CR"/>
        </w:rPr>
        <w:lastRenderedPageBreak/>
        <w:pict>
          <v:shape id="Cuadro de texto 78" o:spid="_x0000_s1037" type="#_x0000_t202" style="position:absolute;left:0;text-align:left;margin-left:63pt;margin-top:218.3pt;width:261pt;height:15.5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cwUvwIAAMo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" filled="f" stroked="f">
            <v:textbox>
              <w:txbxContent>
                <w:p w:rsidR="00071467" w:rsidRDefault="00071467" w:rsidP="00040478">
                  <w:pPr>
                    <w:rPr>
                      <w:sz w:val="14"/>
                      <w:szCs w:val="14"/>
                    </w:rPr>
                  </w:pPr>
                  <w:r>
                    <w:rPr>
                      <w:sz w:val="14"/>
                      <w:szCs w:val="14"/>
                    </w:rPr>
                    <w:t>Elaborado por: Sección de Estadística,  Dirección de Planificación.</w:t>
                  </w:r>
                </w:p>
              </w:txbxContent>
            </v:textbox>
          </v:shape>
        </w:pict>
      </w:r>
      <w:r w:rsidR="00040478" w:rsidRPr="000F24B6">
        <w:rPr>
          <w:rFonts w:ascii="Times New Roman" w:hAnsi="Times New Roman" w:cs="Times New Roman"/>
          <w:noProof/>
          <w:sz w:val="24"/>
          <w:szCs w:val="24"/>
          <w:lang w:val="es-CR" w:eastAsia="es-CR"/>
        </w:rPr>
        <w:drawing>
          <wp:inline distT="0" distB="0" distL="0" distR="0">
            <wp:extent cx="4402455" cy="2952115"/>
            <wp:effectExtent l="0" t="0" r="36195" b="38735"/>
            <wp:docPr id="28" name="Objeto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40478" w:rsidRPr="000F24B6" w:rsidRDefault="00040478" w:rsidP="00040478">
      <w:pPr>
        <w:pStyle w:val="Ttulo2"/>
        <w:jc w:val="both"/>
        <w:rPr>
          <w:rFonts w:ascii="Times New Roman" w:hAnsi="Times New Roman" w:cs="Times New Roman"/>
          <w:i w:val="0"/>
          <w:sz w:val="24"/>
          <w:szCs w:val="24"/>
        </w:rPr>
      </w:pPr>
    </w:p>
    <w:p w:rsidR="00040478" w:rsidRPr="000F24B6" w:rsidRDefault="00040478" w:rsidP="00040478">
      <w:pPr>
        <w:pStyle w:val="Ttulo2"/>
        <w:jc w:val="both"/>
        <w:rPr>
          <w:rFonts w:ascii="Times New Roman" w:hAnsi="Times New Roman" w:cs="Times New Roman"/>
          <w:i w:val="0"/>
          <w:sz w:val="24"/>
          <w:szCs w:val="24"/>
        </w:rPr>
      </w:pPr>
      <w:r w:rsidRPr="000F24B6">
        <w:rPr>
          <w:rFonts w:ascii="Times New Roman" w:hAnsi="Times New Roman" w:cs="Times New Roman"/>
          <w:i w:val="0"/>
          <w:sz w:val="24"/>
          <w:szCs w:val="24"/>
        </w:rPr>
        <w:t>3.5</w:t>
      </w:r>
      <w:r w:rsidRPr="000F24B6">
        <w:rPr>
          <w:rFonts w:ascii="Times New Roman" w:hAnsi="Times New Roman" w:cs="Times New Roman"/>
          <w:i w:val="0"/>
          <w:sz w:val="24"/>
          <w:szCs w:val="24"/>
        </w:rPr>
        <w:tab/>
      </w:r>
      <w:r w:rsidR="008813B6">
        <w:rPr>
          <w:rFonts w:ascii="Times New Roman" w:hAnsi="Times New Roman" w:cs="Times New Roman"/>
          <w:i w:val="0"/>
          <w:sz w:val="24"/>
          <w:szCs w:val="24"/>
        </w:rPr>
        <w:t>Tasa</w:t>
      </w:r>
      <w:r w:rsidRPr="000F24B6">
        <w:rPr>
          <w:rFonts w:ascii="Times New Roman" w:hAnsi="Times New Roman" w:cs="Times New Roman"/>
          <w:i w:val="0"/>
          <w:sz w:val="24"/>
          <w:szCs w:val="24"/>
        </w:rPr>
        <w:t xml:space="preserve"> de conciliación</w:t>
      </w:r>
    </w:p>
    <w:p w:rsidR="00040478" w:rsidRPr="000F24B6" w:rsidRDefault="00040478" w:rsidP="00040478">
      <w:pPr>
        <w:pStyle w:val="Textoindependiente"/>
        <w:tabs>
          <w:tab w:val="num" w:pos="2148"/>
        </w:tabs>
        <w:spacing w:line="360" w:lineRule="auto"/>
        <w:jc w:val="both"/>
        <w:rPr>
          <w:rFonts w:ascii="Times New Roman" w:hAnsi="Times New Roman" w:cs="Times New Roman"/>
          <w:b/>
          <w:bCs/>
          <w:sz w:val="24"/>
          <w:szCs w:val="24"/>
        </w:rPr>
      </w:pPr>
    </w:p>
    <w:p w:rsidR="00040478" w:rsidRPr="000F24B6" w:rsidRDefault="00040478" w:rsidP="00040478">
      <w:pPr>
        <w:pStyle w:val="Textoindependiente"/>
        <w:tabs>
          <w:tab w:val="num" w:pos="2148"/>
        </w:tabs>
        <w:spacing w:line="360" w:lineRule="auto"/>
        <w:jc w:val="both"/>
        <w:rPr>
          <w:rFonts w:ascii="Times New Roman" w:hAnsi="Times New Roman" w:cs="Times New Roman"/>
          <w:sz w:val="24"/>
          <w:szCs w:val="24"/>
        </w:rPr>
      </w:pPr>
      <w:r w:rsidRPr="000F24B6">
        <w:rPr>
          <w:rFonts w:ascii="Times New Roman" w:hAnsi="Times New Roman" w:cs="Times New Roman"/>
          <w:sz w:val="24"/>
          <w:szCs w:val="24"/>
        </w:rPr>
        <w:t>Este indicador es el resultado de dividir el volumen de resoluciones dictadas por conciliación entre el volumen de asuntos resueltos. Esto para todas las materias competencia del Poder Judicial costarricense.</w:t>
      </w:r>
    </w:p>
    <w:p w:rsidR="00040478" w:rsidRPr="000F24B6" w:rsidRDefault="00040478" w:rsidP="00040478">
      <w:pPr>
        <w:pStyle w:val="Textoindependiente"/>
        <w:tabs>
          <w:tab w:val="num" w:pos="2148"/>
        </w:tabs>
        <w:spacing w:line="360" w:lineRule="auto"/>
        <w:jc w:val="both"/>
        <w:rPr>
          <w:rFonts w:ascii="Times New Roman" w:hAnsi="Times New Roman" w:cs="Times New Roman"/>
          <w:sz w:val="24"/>
          <w:szCs w:val="24"/>
        </w:rPr>
      </w:pPr>
    </w:p>
    <w:p w:rsidR="00040478" w:rsidRPr="000F24B6" w:rsidRDefault="00040478" w:rsidP="00040478">
      <w:pPr>
        <w:pStyle w:val="Textoindependiente"/>
        <w:tabs>
          <w:tab w:val="num" w:pos="2148"/>
        </w:tabs>
        <w:spacing w:line="360" w:lineRule="auto"/>
        <w:jc w:val="both"/>
        <w:rPr>
          <w:rFonts w:ascii="Times New Roman" w:hAnsi="Times New Roman" w:cs="Times New Roman"/>
          <w:sz w:val="24"/>
          <w:szCs w:val="24"/>
        </w:rPr>
      </w:pPr>
      <w:r w:rsidRPr="000F24B6">
        <w:rPr>
          <w:rFonts w:ascii="Times New Roman" w:hAnsi="Times New Roman" w:cs="Times New Roman"/>
          <w:sz w:val="24"/>
          <w:szCs w:val="24"/>
        </w:rPr>
        <w:t xml:space="preserve">El peso relativo de la conciliación en Costa Rica ha atravesado por varios momentos desde el punto de vista estadístico. En los primeros cinco años de este milenio (2000-2004), el porcentaje de conciliaciones se presentaba relativamente estable alrededor de poco más del </w:t>
      </w:r>
      <w:r w:rsidRPr="000F24B6">
        <w:rPr>
          <w:rFonts w:ascii="Times New Roman" w:hAnsi="Times New Roman" w:cs="Times New Roman"/>
          <w:b/>
          <w:sz w:val="24"/>
          <w:szCs w:val="24"/>
        </w:rPr>
        <w:t>2%</w:t>
      </w:r>
      <w:r w:rsidRPr="000F24B6">
        <w:rPr>
          <w:rFonts w:ascii="Times New Roman" w:hAnsi="Times New Roman" w:cs="Times New Roman"/>
          <w:sz w:val="24"/>
          <w:szCs w:val="24"/>
        </w:rPr>
        <w:t xml:space="preserve"> (</w:t>
      </w:r>
      <w:r w:rsidRPr="000F24B6">
        <w:rPr>
          <w:rFonts w:ascii="Times New Roman" w:hAnsi="Times New Roman" w:cs="Times New Roman"/>
          <w:b/>
          <w:sz w:val="24"/>
          <w:szCs w:val="24"/>
        </w:rPr>
        <w:t>2,14%</w:t>
      </w:r>
      <w:r w:rsidRPr="000F24B6">
        <w:rPr>
          <w:rFonts w:ascii="Times New Roman" w:hAnsi="Times New Roman" w:cs="Times New Roman"/>
          <w:sz w:val="24"/>
          <w:szCs w:val="24"/>
        </w:rPr>
        <w:t xml:space="preserve">) para dar un salto del nivel en el 2005 para mantener también un comportamiento estadístico de relativa estabilidad hasta el 2011 pero alrededor del </w:t>
      </w:r>
      <w:r w:rsidRPr="000F24B6">
        <w:rPr>
          <w:rFonts w:ascii="Times New Roman" w:hAnsi="Times New Roman" w:cs="Times New Roman"/>
          <w:b/>
          <w:sz w:val="24"/>
          <w:szCs w:val="24"/>
        </w:rPr>
        <w:t>4,8%.</w:t>
      </w:r>
      <w:r w:rsidRPr="000F24B6">
        <w:rPr>
          <w:rFonts w:ascii="Times New Roman" w:hAnsi="Times New Roman" w:cs="Times New Roman"/>
          <w:sz w:val="24"/>
          <w:szCs w:val="24"/>
        </w:rPr>
        <w:t xml:space="preserve"> A partir del 2012 inicia un proceso de fuerte incremento hasta llegar al 2013 cuando se registró en valor más alto (</w:t>
      </w:r>
      <w:r w:rsidRPr="000F24B6">
        <w:rPr>
          <w:rFonts w:ascii="Times New Roman" w:hAnsi="Times New Roman" w:cs="Times New Roman"/>
          <w:b/>
          <w:sz w:val="24"/>
          <w:szCs w:val="24"/>
        </w:rPr>
        <w:t>8,4%</w:t>
      </w:r>
      <w:r w:rsidRPr="000F24B6">
        <w:rPr>
          <w:rFonts w:ascii="Times New Roman" w:hAnsi="Times New Roman" w:cs="Times New Roman"/>
          <w:sz w:val="24"/>
          <w:szCs w:val="24"/>
        </w:rPr>
        <w:t xml:space="preserve">), punto que no pudo sostener en los dos siguientes años; en el 2014 cayó al </w:t>
      </w:r>
      <w:r w:rsidRPr="000F24B6">
        <w:rPr>
          <w:rFonts w:ascii="Times New Roman" w:hAnsi="Times New Roman" w:cs="Times New Roman"/>
          <w:b/>
          <w:sz w:val="24"/>
          <w:szCs w:val="24"/>
        </w:rPr>
        <w:t>6,2%</w:t>
      </w:r>
      <w:r w:rsidRPr="000F24B6">
        <w:rPr>
          <w:rFonts w:ascii="Times New Roman" w:hAnsi="Times New Roman" w:cs="Times New Roman"/>
          <w:sz w:val="24"/>
          <w:szCs w:val="24"/>
        </w:rPr>
        <w:t xml:space="preserve"> y en el 2015 al </w:t>
      </w:r>
      <w:r w:rsidRPr="000F24B6">
        <w:rPr>
          <w:rFonts w:ascii="Times New Roman" w:hAnsi="Times New Roman" w:cs="Times New Roman"/>
          <w:b/>
          <w:sz w:val="24"/>
          <w:szCs w:val="24"/>
        </w:rPr>
        <w:t>5,9%</w:t>
      </w:r>
      <w:r w:rsidRPr="000F24B6">
        <w:rPr>
          <w:rFonts w:ascii="Times New Roman" w:hAnsi="Times New Roman" w:cs="Times New Roman"/>
          <w:sz w:val="24"/>
          <w:szCs w:val="24"/>
        </w:rPr>
        <w:t>. Este último patrón se muestra en el siguiente grafico estadístico</w:t>
      </w:r>
    </w:p>
    <w:p w:rsidR="00040478" w:rsidRPr="000F24B6" w:rsidRDefault="00040478" w:rsidP="00040478">
      <w:pPr>
        <w:pStyle w:val="Textoindependiente"/>
        <w:tabs>
          <w:tab w:val="num" w:pos="2148"/>
        </w:tabs>
        <w:spacing w:line="360" w:lineRule="auto"/>
        <w:jc w:val="both"/>
        <w:rPr>
          <w:rFonts w:ascii="Times New Roman" w:hAnsi="Times New Roman" w:cs="Times New Roman"/>
          <w:sz w:val="24"/>
          <w:szCs w:val="24"/>
        </w:rPr>
      </w:pPr>
    </w:p>
    <w:p w:rsidR="00040478" w:rsidRPr="000F24B6" w:rsidRDefault="00040478" w:rsidP="00040478">
      <w:pPr>
        <w:pStyle w:val="Textoindependiente"/>
        <w:tabs>
          <w:tab w:val="num" w:pos="2148"/>
        </w:tabs>
        <w:spacing w:line="360" w:lineRule="auto"/>
        <w:jc w:val="both"/>
        <w:rPr>
          <w:rFonts w:ascii="Times New Roman" w:hAnsi="Times New Roman" w:cs="Times New Roman"/>
          <w:sz w:val="24"/>
          <w:szCs w:val="24"/>
        </w:rPr>
      </w:pPr>
    </w:p>
    <w:p w:rsidR="00040478" w:rsidRPr="000F24B6" w:rsidRDefault="003A1B7B" w:rsidP="00040478">
      <w:pPr>
        <w:pStyle w:val="Textoindependiente"/>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s-CR" w:eastAsia="es-CR"/>
        </w:rPr>
        <w:pict>
          <v:shape id="Cuadro de texto 65" o:spid="_x0000_s1038" type="#_x0000_t202" style="position:absolute;left:0;text-align:left;margin-left:66.7pt;margin-top:209pt;width:284.75pt;height:15.0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" filled="f" stroked="f">
            <v:textbox>
              <w:txbxContent>
                <w:p w:rsidR="00071467" w:rsidRDefault="00071467" w:rsidP="00040478">
                  <w:pPr>
                    <w:rPr>
                      <w:sz w:val="14"/>
                      <w:szCs w:val="14"/>
                    </w:rPr>
                  </w:pPr>
                  <w:r>
                    <w:rPr>
                      <w:sz w:val="14"/>
                      <w:szCs w:val="14"/>
                    </w:rPr>
                    <w:t>Elaborado por: Sección de Estadística,  Dirección de Planificación.</w:t>
                  </w:r>
                </w:p>
              </w:txbxContent>
            </v:textbox>
          </v:shape>
        </w:pict>
      </w:r>
      <w:r w:rsidR="00040478" w:rsidRPr="000F24B6">
        <w:rPr>
          <w:rFonts w:ascii="Times New Roman" w:hAnsi="Times New Roman" w:cs="Times New Roman"/>
          <w:noProof/>
          <w:sz w:val="24"/>
          <w:szCs w:val="24"/>
          <w:lang w:val="es-CR" w:eastAsia="es-CR"/>
        </w:rPr>
        <w:drawing>
          <wp:inline distT="0" distB="0" distL="0" distR="0">
            <wp:extent cx="4258310" cy="2830195"/>
            <wp:effectExtent l="0" t="0" r="46990" b="46355"/>
            <wp:docPr id="29" name="Objeto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40478" w:rsidRDefault="00040478" w:rsidP="00040478">
      <w:pPr>
        <w:pStyle w:val="Textoindependiente"/>
        <w:spacing w:line="360" w:lineRule="auto"/>
        <w:jc w:val="center"/>
        <w:rPr>
          <w:rFonts w:ascii="Times New Roman" w:hAnsi="Times New Roman" w:cs="Times New Roman"/>
          <w:sz w:val="24"/>
          <w:szCs w:val="24"/>
        </w:rPr>
      </w:pPr>
    </w:p>
    <w:p w:rsidR="00040478" w:rsidRPr="000F24B6" w:rsidRDefault="00040478" w:rsidP="00040478">
      <w:pPr>
        <w:pStyle w:val="Ttulo2"/>
        <w:jc w:val="both"/>
        <w:rPr>
          <w:rFonts w:ascii="Times New Roman" w:hAnsi="Times New Roman" w:cs="Times New Roman"/>
          <w:i w:val="0"/>
          <w:sz w:val="24"/>
          <w:szCs w:val="24"/>
        </w:rPr>
      </w:pPr>
      <w:r w:rsidRPr="000F24B6">
        <w:rPr>
          <w:rFonts w:ascii="Times New Roman" w:hAnsi="Times New Roman" w:cs="Times New Roman"/>
          <w:i w:val="0"/>
          <w:sz w:val="24"/>
          <w:szCs w:val="24"/>
        </w:rPr>
        <w:t>3.6</w:t>
      </w:r>
      <w:r w:rsidRPr="000F24B6">
        <w:rPr>
          <w:rFonts w:ascii="Times New Roman" w:hAnsi="Times New Roman" w:cs="Times New Roman"/>
          <w:i w:val="0"/>
          <w:sz w:val="24"/>
          <w:szCs w:val="24"/>
        </w:rPr>
        <w:tab/>
        <w:t>Porcentaje de asuntos resueltos por conciliación (Juzgados Penales)</w:t>
      </w:r>
    </w:p>
    <w:p w:rsidR="00040478" w:rsidRPr="000F24B6" w:rsidRDefault="00040478" w:rsidP="00040478">
      <w:pPr>
        <w:pStyle w:val="Textoindependiente"/>
        <w:tabs>
          <w:tab w:val="num" w:pos="2148"/>
        </w:tabs>
        <w:spacing w:line="360" w:lineRule="auto"/>
        <w:jc w:val="both"/>
        <w:rPr>
          <w:rFonts w:ascii="Times New Roman" w:hAnsi="Times New Roman" w:cs="Times New Roman"/>
          <w:b/>
          <w:bCs/>
          <w:sz w:val="24"/>
          <w:szCs w:val="24"/>
        </w:rPr>
      </w:pPr>
    </w:p>
    <w:p w:rsidR="00040478" w:rsidRPr="000F24B6" w:rsidRDefault="00040478" w:rsidP="00040478">
      <w:pPr>
        <w:pStyle w:val="Textoindependiente"/>
        <w:spacing w:line="360" w:lineRule="auto"/>
        <w:jc w:val="both"/>
        <w:rPr>
          <w:rFonts w:ascii="Times New Roman" w:hAnsi="Times New Roman" w:cs="Times New Roman"/>
          <w:sz w:val="24"/>
          <w:szCs w:val="24"/>
        </w:rPr>
      </w:pPr>
      <w:r w:rsidRPr="000F24B6">
        <w:rPr>
          <w:rFonts w:ascii="Times New Roman" w:hAnsi="Times New Roman" w:cs="Times New Roman"/>
          <w:sz w:val="24"/>
          <w:szCs w:val="24"/>
        </w:rPr>
        <w:t xml:space="preserve">El indicador expuesto en el presente apartado, se refiere al contexto exclusivo de los juzgados competentes en materia Penal. </w:t>
      </w:r>
    </w:p>
    <w:p w:rsidR="00040478" w:rsidRPr="000F24B6" w:rsidRDefault="00040478" w:rsidP="00040478">
      <w:pPr>
        <w:pStyle w:val="Textoindependiente"/>
        <w:spacing w:line="360" w:lineRule="auto"/>
        <w:rPr>
          <w:rFonts w:ascii="Times New Roman" w:hAnsi="Times New Roman" w:cs="Times New Roman"/>
          <w:sz w:val="24"/>
          <w:szCs w:val="24"/>
        </w:rPr>
      </w:pPr>
    </w:p>
    <w:p w:rsidR="00040478" w:rsidRPr="000F24B6" w:rsidRDefault="00040478" w:rsidP="00040478">
      <w:pPr>
        <w:pStyle w:val="Textoindependiente"/>
        <w:spacing w:line="360" w:lineRule="auto"/>
        <w:jc w:val="both"/>
        <w:rPr>
          <w:rFonts w:ascii="Times New Roman" w:hAnsi="Times New Roman" w:cs="Times New Roman"/>
          <w:sz w:val="24"/>
          <w:szCs w:val="24"/>
        </w:rPr>
      </w:pPr>
      <w:r w:rsidRPr="000F24B6">
        <w:rPr>
          <w:rFonts w:ascii="Times New Roman" w:hAnsi="Times New Roman" w:cs="Times New Roman"/>
          <w:sz w:val="24"/>
          <w:szCs w:val="24"/>
        </w:rPr>
        <w:t xml:space="preserve">Continúa la tendencia alcista del peso relativo de la conciliación dictaminada en los Juzgados penales. Como se muestra en la gráfica estadística siguiente en el 2011 esta conciliación apenas superaba el 1%, porcentaje que irá creciendo en los siguientes años hasta llegar a ser el </w:t>
      </w:r>
      <w:r w:rsidRPr="000F24B6">
        <w:rPr>
          <w:rFonts w:ascii="Times New Roman" w:hAnsi="Times New Roman" w:cs="Times New Roman"/>
          <w:b/>
          <w:sz w:val="24"/>
          <w:szCs w:val="24"/>
        </w:rPr>
        <w:t>3,1%</w:t>
      </w:r>
      <w:r w:rsidRPr="000F24B6">
        <w:rPr>
          <w:rFonts w:ascii="Times New Roman" w:hAnsi="Times New Roman" w:cs="Times New Roman"/>
          <w:sz w:val="24"/>
          <w:szCs w:val="24"/>
        </w:rPr>
        <w:t xml:space="preserve"> en el 2015. Estos niveles históricos alcanzados por el instituto aplicado en materia penal están muy por debajo de los alcanzados y comentados en el apartado anterior. </w:t>
      </w:r>
    </w:p>
    <w:p w:rsidR="00040478" w:rsidRPr="000F24B6" w:rsidRDefault="00040478" w:rsidP="00040478">
      <w:pPr>
        <w:pStyle w:val="Textoindependiente"/>
        <w:spacing w:line="360" w:lineRule="auto"/>
        <w:rPr>
          <w:rFonts w:ascii="Times New Roman" w:hAnsi="Times New Roman" w:cs="Times New Roman"/>
          <w:sz w:val="24"/>
          <w:szCs w:val="24"/>
        </w:rPr>
      </w:pPr>
    </w:p>
    <w:p w:rsidR="00040478" w:rsidRDefault="003A1B7B" w:rsidP="00040478">
      <w:pPr>
        <w:pStyle w:val="Textoindependiente"/>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s-CR" w:eastAsia="es-CR"/>
        </w:rPr>
        <w:lastRenderedPageBreak/>
        <w:pict>
          <v:shape id="Cuadro de texto 64" o:spid="_x0000_s1039" type="#_x0000_t202" style="position:absolute;left:0;text-align:left;margin-left:60.75pt;margin-top:219.85pt;width:291pt;height:14.1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EqFvwIAAMo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" filled="f" stroked="f">
            <v:textbox>
              <w:txbxContent>
                <w:p w:rsidR="00071467" w:rsidRDefault="00071467" w:rsidP="00040478">
                  <w:pPr>
                    <w:rPr>
                      <w:sz w:val="14"/>
                      <w:szCs w:val="14"/>
                    </w:rPr>
                  </w:pPr>
                  <w:r>
                    <w:rPr>
                      <w:sz w:val="14"/>
                      <w:szCs w:val="14"/>
                    </w:rPr>
                    <w:t>Elaborado por: Sección de Estadística,  Dirección de Planificación.</w:t>
                  </w:r>
                </w:p>
              </w:txbxContent>
            </v:textbox>
          </v:shape>
        </w:pict>
      </w:r>
      <w:r w:rsidR="00040478" w:rsidRPr="000F24B6">
        <w:rPr>
          <w:rFonts w:ascii="Times New Roman" w:hAnsi="Times New Roman" w:cs="Times New Roman"/>
          <w:noProof/>
          <w:sz w:val="24"/>
          <w:szCs w:val="24"/>
          <w:lang w:val="es-CR" w:eastAsia="es-CR"/>
        </w:rPr>
        <w:drawing>
          <wp:inline distT="0" distB="0" distL="0" distR="0">
            <wp:extent cx="4402455" cy="2961005"/>
            <wp:effectExtent l="0" t="0" r="36195" b="29845"/>
            <wp:docPr id="22" name="Objeto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20F60" w:rsidRDefault="00D20F60" w:rsidP="00040478">
      <w:pPr>
        <w:pStyle w:val="Textoindependiente"/>
        <w:spacing w:line="360" w:lineRule="auto"/>
        <w:jc w:val="center"/>
        <w:rPr>
          <w:rFonts w:ascii="Times New Roman" w:hAnsi="Times New Roman" w:cs="Times New Roman"/>
          <w:sz w:val="24"/>
          <w:szCs w:val="24"/>
        </w:rPr>
      </w:pPr>
    </w:p>
    <w:p w:rsidR="00040478" w:rsidRPr="000F24B6" w:rsidRDefault="00040478" w:rsidP="00B054C9">
      <w:pPr>
        <w:pStyle w:val="Textoindependiente"/>
        <w:spacing w:line="360" w:lineRule="auto"/>
        <w:jc w:val="both"/>
        <w:rPr>
          <w:rFonts w:ascii="Times New Roman" w:hAnsi="Times New Roman" w:cs="Times New Roman"/>
          <w:sz w:val="24"/>
          <w:szCs w:val="24"/>
        </w:rPr>
      </w:pPr>
      <w:r w:rsidRPr="000F24B6">
        <w:rPr>
          <w:rFonts w:ascii="Times New Roman" w:hAnsi="Times New Roman" w:cs="Times New Roman"/>
          <w:b/>
          <w:sz w:val="24"/>
          <w:szCs w:val="24"/>
        </w:rPr>
        <w:t>3.7</w:t>
      </w:r>
      <w:r w:rsidRPr="000F24B6">
        <w:rPr>
          <w:rFonts w:ascii="Times New Roman" w:hAnsi="Times New Roman" w:cs="Times New Roman"/>
          <w:sz w:val="24"/>
          <w:szCs w:val="24"/>
        </w:rPr>
        <w:tab/>
      </w:r>
      <w:r w:rsidRPr="000F24B6">
        <w:rPr>
          <w:rFonts w:ascii="Times New Roman" w:hAnsi="Times New Roman" w:cs="Times New Roman"/>
          <w:b/>
          <w:bCs/>
          <w:sz w:val="24"/>
          <w:szCs w:val="24"/>
        </w:rPr>
        <w:t xml:space="preserve">Porcentaje de asuntos </w:t>
      </w:r>
      <w:proofErr w:type="spellStart"/>
      <w:r w:rsidRPr="000F24B6">
        <w:rPr>
          <w:rFonts w:ascii="Times New Roman" w:hAnsi="Times New Roman" w:cs="Times New Roman"/>
          <w:b/>
          <w:bCs/>
          <w:sz w:val="24"/>
          <w:szCs w:val="24"/>
        </w:rPr>
        <w:t>sobreseídos</w:t>
      </w:r>
      <w:proofErr w:type="spellEnd"/>
      <w:r w:rsidRPr="000F24B6">
        <w:rPr>
          <w:rFonts w:ascii="Times New Roman" w:hAnsi="Times New Roman" w:cs="Times New Roman"/>
          <w:b/>
          <w:bCs/>
          <w:sz w:val="24"/>
          <w:szCs w:val="24"/>
        </w:rPr>
        <w:t xml:space="preserve"> por cumplimiento de la conciliación como medida alterna en los juzgados penales</w:t>
      </w:r>
    </w:p>
    <w:p w:rsidR="00040478" w:rsidRPr="000F24B6" w:rsidRDefault="00040478" w:rsidP="00040478">
      <w:pPr>
        <w:pStyle w:val="Textoindependiente"/>
        <w:spacing w:line="360" w:lineRule="auto"/>
        <w:rPr>
          <w:rFonts w:ascii="Times New Roman" w:hAnsi="Times New Roman" w:cs="Times New Roman"/>
          <w:sz w:val="24"/>
          <w:szCs w:val="24"/>
        </w:rPr>
      </w:pPr>
    </w:p>
    <w:p w:rsidR="00040478" w:rsidRPr="000F24B6" w:rsidRDefault="00040478" w:rsidP="00040478">
      <w:pPr>
        <w:pStyle w:val="Textoindependiente"/>
        <w:spacing w:line="360" w:lineRule="auto"/>
        <w:jc w:val="both"/>
        <w:rPr>
          <w:rFonts w:ascii="Times New Roman" w:hAnsi="Times New Roman" w:cs="Times New Roman"/>
          <w:sz w:val="24"/>
          <w:szCs w:val="24"/>
        </w:rPr>
      </w:pPr>
      <w:r w:rsidRPr="000F24B6">
        <w:rPr>
          <w:rFonts w:ascii="Times New Roman" w:hAnsi="Times New Roman" w:cs="Times New Roman"/>
          <w:sz w:val="24"/>
          <w:szCs w:val="24"/>
        </w:rPr>
        <w:t>Este indicador relaciona el volumen de asuntos en los cuales aconteció la “extinción de la acción penal por cumplimiento de la conciliación” y el total de sobreseimientos definitivos dictados en un período.</w:t>
      </w:r>
    </w:p>
    <w:p w:rsidR="00040478" w:rsidRPr="000F24B6" w:rsidRDefault="00040478" w:rsidP="00040478">
      <w:pPr>
        <w:pStyle w:val="Textoindependiente"/>
        <w:spacing w:line="360" w:lineRule="auto"/>
        <w:jc w:val="both"/>
        <w:rPr>
          <w:rFonts w:ascii="Times New Roman" w:hAnsi="Times New Roman" w:cs="Times New Roman"/>
          <w:sz w:val="24"/>
          <w:szCs w:val="24"/>
        </w:rPr>
      </w:pPr>
    </w:p>
    <w:p w:rsidR="00040478" w:rsidRPr="000F24B6" w:rsidRDefault="00040478" w:rsidP="00040478">
      <w:pPr>
        <w:pStyle w:val="Textoindependiente"/>
        <w:spacing w:line="360" w:lineRule="auto"/>
        <w:jc w:val="both"/>
        <w:rPr>
          <w:rFonts w:ascii="Times New Roman" w:hAnsi="Times New Roman" w:cs="Times New Roman"/>
          <w:sz w:val="24"/>
          <w:szCs w:val="24"/>
        </w:rPr>
      </w:pPr>
      <w:r w:rsidRPr="000F24B6">
        <w:rPr>
          <w:rFonts w:ascii="Times New Roman" w:hAnsi="Times New Roman" w:cs="Times New Roman"/>
          <w:sz w:val="24"/>
          <w:szCs w:val="24"/>
        </w:rPr>
        <w:t xml:space="preserve">Es congruente que el valor de este indicador </w:t>
      </w:r>
      <w:r w:rsidR="008813B6">
        <w:rPr>
          <w:rFonts w:ascii="Times New Roman" w:hAnsi="Times New Roman" w:cs="Times New Roman"/>
          <w:sz w:val="24"/>
          <w:szCs w:val="24"/>
        </w:rPr>
        <w:t>siga</w:t>
      </w:r>
      <w:r w:rsidRPr="000F24B6">
        <w:rPr>
          <w:rFonts w:ascii="Times New Roman" w:hAnsi="Times New Roman" w:cs="Times New Roman"/>
          <w:sz w:val="24"/>
          <w:szCs w:val="24"/>
        </w:rPr>
        <w:t xml:space="preserve"> una tendencia creciente como la descrita en el apartado anterior. Así, en el 2010 poco más de una décima parte (</w:t>
      </w:r>
      <w:r w:rsidRPr="000F24B6">
        <w:rPr>
          <w:rFonts w:ascii="Times New Roman" w:hAnsi="Times New Roman" w:cs="Times New Roman"/>
          <w:b/>
          <w:sz w:val="24"/>
          <w:szCs w:val="24"/>
        </w:rPr>
        <w:t>10,5%</w:t>
      </w:r>
      <w:r w:rsidRPr="000F24B6">
        <w:rPr>
          <w:rFonts w:ascii="Times New Roman" w:hAnsi="Times New Roman" w:cs="Times New Roman"/>
          <w:sz w:val="24"/>
          <w:szCs w:val="24"/>
        </w:rPr>
        <w:t xml:space="preserve">) de los sobreseimientos definitivos dictados en el conjunto de los juzgados penales costarricenses lo eran por cumplimiento de una conciliación, porcentaje que subirá en cada año siguiente hasta alcanzar el </w:t>
      </w:r>
      <w:r w:rsidRPr="000F24B6">
        <w:rPr>
          <w:rFonts w:ascii="Times New Roman" w:hAnsi="Times New Roman" w:cs="Times New Roman"/>
          <w:b/>
          <w:sz w:val="24"/>
          <w:szCs w:val="24"/>
        </w:rPr>
        <w:t>14,1%</w:t>
      </w:r>
      <w:r w:rsidRPr="000F24B6">
        <w:rPr>
          <w:rFonts w:ascii="Times New Roman" w:hAnsi="Times New Roman" w:cs="Times New Roman"/>
          <w:sz w:val="24"/>
          <w:szCs w:val="24"/>
        </w:rPr>
        <w:t xml:space="preserve"> en el 2015.</w:t>
      </w:r>
    </w:p>
    <w:p w:rsidR="00040478" w:rsidRPr="000F24B6" w:rsidRDefault="00040478" w:rsidP="00040478">
      <w:pPr>
        <w:pStyle w:val="Textoindependiente"/>
        <w:spacing w:line="360" w:lineRule="auto"/>
        <w:jc w:val="both"/>
        <w:rPr>
          <w:rFonts w:ascii="Times New Roman" w:hAnsi="Times New Roman" w:cs="Times New Roman"/>
          <w:sz w:val="24"/>
          <w:szCs w:val="24"/>
        </w:rPr>
      </w:pPr>
    </w:p>
    <w:p w:rsidR="00040478" w:rsidRPr="000F24B6" w:rsidRDefault="00040478" w:rsidP="00040478">
      <w:pPr>
        <w:pStyle w:val="Textoindependiente"/>
        <w:spacing w:line="360" w:lineRule="auto"/>
        <w:rPr>
          <w:rFonts w:ascii="Times New Roman" w:hAnsi="Times New Roman" w:cs="Times New Roman"/>
          <w:color w:val="3366FF"/>
          <w:sz w:val="24"/>
          <w:szCs w:val="24"/>
        </w:rPr>
      </w:pPr>
    </w:p>
    <w:p w:rsidR="00040478" w:rsidRPr="000F24B6" w:rsidRDefault="003A1B7B" w:rsidP="00040478">
      <w:pPr>
        <w:pStyle w:val="Textoindependiente"/>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s-CR" w:eastAsia="es-CR"/>
        </w:rPr>
        <w:lastRenderedPageBreak/>
        <w:pict>
          <v:shape id="Cuadro de texto 31" o:spid="_x0000_s1040" type="#_x0000_t202" style="position:absolute;left:0;text-align:left;margin-left:61.7pt;margin-top:223.6pt;width:264pt;height:13.8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" filled="f" stroked="f">
            <v:textbox>
              <w:txbxContent>
                <w:p w:rsidR="00071467" w:rsidRDefault="00071467" w:rsidP="00040478">
                  <w:pPr>
                    <w:rPr>
                      <w:sz w:val="14"/>
                      <w:szCs w:val="14"/>
                    </w:rPr>
                  </w:pPr>
                  <w:r>
                    <w:rPr>
                      <w:sz w:val="14"/>
                      <w:szCs w:val="14"/>
                    </w:rPr>
                    <w:t>Elaborado por: Sección de Estadística,  Dirección de Planificación.</w:t>
                  </w:r>
                </w:p>
              </w:txbxContent>
            </v:textbox>
          </v:shape>
        </w:pict>
      </w:r>
      <w:r w:rsidR="00040478" w:rsidRPr="000F24B6">
        <w:rPr>
          <w:rFonts w:ascii="Times New Roman" w:hAnsi="Times New Roman" w:cs="Times New Roman"/>
          <w:noProof/>
          <w:sz w:val="24"/>
          <w:szCs w:val="24"/>
          <w:lang w:val="es-CR" w:eastAsia="es-CR"/>
        </w:rPr>
        <w:drawing>
          <wp:inline distT="0" distB="0" distL="0" distR="0">
            <wp:extent cx="4402455" cy="3030855"/>
            <wp:effectExtent l="0" t="0" r="36195" b="36195"/>
            <wp:docPr id="23" name="Objeto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40478" w:rsidRPr="000F24B6" w:rsidRDefault="00040478" w:rsidP="00040478">
      <w:pPr>
        <w:pStyle w:val="Textoindependiente"/>
        <w:spacing w:line="360" w:lineRule="auto"/>
        <w:rPr>
          <w:rFonts w:ascii="Times New Roman" w:hAnsi="Times New Roman" w:cs="Times New Roman"/>
          <w:sz w:val="24"/>
          <w:szCs w:val="24"/>
        </w:rPr>
      </w:pPr>
    </w:p>
    <w:p w:rsidR="00040478" w:rsidRPr="000F24B6" w:rsidRDefault="00040478" w:rsidP="00040478">
      <w:pPr>
        <w:pStyle w:val="Textoindependiente"/>
        <w:spacing w:line="360" w:lineRule="auto"/>
        <w:ind w:left="705" w:hanging="705"/>
        <w:jc w:val="both"/>
        <w:rPr>
          <w:rFonts w:ascii="Times New Roman" w:hAnsi="Times New Roman" w:cs="Times New Roman"/>
          <w:sz w:val="24"/>
          <w:szCs w:val="24"/>
        </w:rPr>
      </w:pPr>
      <w:r w:rsidRPr="000F24B6">
        <w:rPr>
          <w:rFonts w:ascii="Times New Roman" w:hAnsi="Times New Roman" w:cs="Times New Roman"/>
          <w:b/>
          <w:sz w:val="24"/>
          <w:szCs w:val="24"/>
        </w:rPr>
        <w:t>3.8</w:t>
      </w:r>
      <w:r w:rsidRPr="000F24B6">
        <w:rPr>
          <w:rFonts w:ascii="Times New Roman" w:hAnsi="Times New Roman" w:cs="Times New Roman"/>
          <w:sz w:val="24"/>
          <w:szCs w:val="24"/>
        </w:rPr>
        <w:tab/>
      </w:r>
      <w:r w:rsidRPr="000F24B6">
        <w:rPr>
          <w:rFonts w:ascii="Times New Roman" w:hAnsi="Times New Roman" w:cs="Times New Roman"/>
          <w:b/>
          <w:bCs/>
          <w:sz w:val="24"/>
          <w:szCs w:val="24"/>
        </w:rPr>
        <w:t xml:space="preserve">Porcentaje de asuntos </w:t>
      </w:r>
      <w:proofErr w:type="spellStart"/>
      <w:r w:rsidRPr="000F24B6">
        <w:rPr>
          <w:rFonts w:ascii="Times New Roman" w:hAnsi="Times New Roman" w:cs="Times New Roman"/>
          <w:b/>
          <w:bCs/>
          <w:sz w:val="24"/>
          <w:szCs w:val="24"/>
        </w:rPr>
        <w:t>sobreseídos</w:t>
      </w:r>
      <w:proofErr w:type="spellEnd"/>
      <w:r w:rsidRPr="000F24B6">
        <w:rPr>
          <w:rFonts w:ascii="Times New Roman" w:hAnsi="Times New Roman" w:cs="Times New Roman"/>
          <w:b/>
          <w:bCs/>
          <w:sz w:val="24"/>
          <w:szCs w:val="24"/>
        </w:rPr>
        <w:t xml:space="preserve"> por cumplimiento del plazo de suspensión del proceso a prueba como medida alterna en los juzgados penales</w:t>
      </w:r>
    </w:p>
    <w:p w:rsidR="00040478" w:rsidRPr="000F24B6" w:rsidRDefault="00040478" w:rsidP="00040478">
      <w:pPr>
        <w:pStyle w:val="Textoindependiente"/>
        <w:spacing w:line="360" w:lineRule="auto"/>
        <w:rPr>
          <w:rFonts w:ascii="Times New Roman" w:hAnsi="Times New Roman" w:cs="Times New Roman"/>
          <w:sz w:val="24"/>
          <w:szCs w:val="24"/>
        </w:rPr>
      </w:pPr>
    </w:p>
    <w:p w:rsidR="00040478" w:rsidRPr="000F24B6" w:rsidRDefault="00040478" w:rsidP="00040478">
      <w:pPr>
        <w:pStyle w:val="Textoindependiente"/>
        <w:spacing w:line="360" w:lineRule="auto"/>
        <w:jc w:val="both"/>
        <w:rPr>
          <w:rFonts w:ascii="Times New Roman" w:hAnsi="Times New Roman" w:cs="Times New Roman"/>
          <w:sz w:val="24"/>
          <w:szCs w:val="24"/>
        </w:rPr>
      </w:pPr>
      <w:r w:rsidRPr="000F24B6">
        <w:rPr>
          <w:rFonts w:ascii="Times New Roman" w:hAnsi="Times New Roman" w:cs="Times New Roman"/>
          <w:sz w:val="24"/>
          <w:szCs w:val="24"/>
        </w:rPr>
        <w:t xml:space="preserve">Este indicador se obtiene de dividir el volumen anual del “cumplimiento del plazo de suspensión del proceso a prueba” entre el total de sobreseimientos definitivos dictados, en los juzgados penales.   </w:t>
      </w:r>
    </w:p>
    <w:p w:rsidR="00040478" w:rsidRPr="000F24B6" w:rsidRDefault="00040478" w:rsidP="00040478">
      <w:pPr>
        <w:pStyle w:val="Textoindependiente"/>
        <w:spacing w:line="360" w:lineRule="auto"/>
        <w:jc w:val="both"/>
        <w:rPr>
          <w:rFonts w:ascii="Times New Roman" w:hAnsi="Times New Roman" w:cs="Times New Roman"/>
          <w:sz w:val="24"/>
          <w:szCs w:val="24"/>
        </w:rPr>
      </w:pPr>
    </w:p>
    <w:p w:rsidR="00040478" w:rsidRPr="000F24B6" w:rsidRDefault="00040478" w:rsidP="00040478">
      <w:pPr>
        <w:pStyle w:val="Textoindependiente"/>
        <w:spacing w:line="360" w:lineRule="auto"/>
        <w:jc w:val="both"/>
        <w:rPr>
          <w:rFonts w:ascii="Times New Roman" w:hAnsi="Times New Roman" w:cs="Times New Roman"/>
          <w:sz w:val="24"/>
          <w:szCs w:val="24"/>
        </w:rPr>
      </w:pPr>
      <w:r w:rsidRPr="000F24B6">
        <w:rPr>
          <w:rFonts w:ascii="Times New Roman" w:hAnsi="Times New Roman" w:cs="Times New Roman"/>
          <w:sz w:val="24"/>
          <w:szCs w:val="24"/>
        </w:rPr>
        <w:t xml:space="preserve">La suspensión del proceso a prueba es otra de las medidas alternas instituidas en el </w:t>
      </w:r>
      <w:r w:rsidR="003B106A" w:rsidRPr="000F24B6">
        <w:rPr>
          <w:rFonts w:ascii="Times New Roman" w:hAnsi="Times New Roman" w:cs="Times New Roman"/>
          <w:sz w:val="24"/>
          <w:szCs w:val="24"/>
        </w:rPr>
        <w:t>proceso penal</w:t>
      </w:r>
      <w:r w:rsidRPr="000F24B6">
        <w:rPr>
          <w:rFonts w:ascii="Times New Roman" w:hAnsi="Times New Roman" w:cs="Times New Roman"/>
          <w:sz w:val="24"/>
          <w:szCs w:val="24"/>
        </w:rPr>
        <w:t xml:space="preserve"> costarricense para encontrar una solución alterna al conflicto. El finiquito produce el dictado de un sobreseimiento definitivo, siempre y cuando se cumplan las condiciones o requisitos establecidos en cada caso.</w:t>
      </w:r>
    </w:p>
    <w:p w:rsidR="00040478" w:rsidRPr="000F24B6" w:rsidRDefault="00040478" w:rsidP="00040478">
      <w:pPr>
        <w:pStyle w:val="Textoindependiente"/>
        <w:spacing w:line="360" w:lineRule="auto"/>
        <w:jc w:val="both"/>
        <w:rPr>
          <w:rFonts w:ascii="Times New Roman" w:hAnsi="Times New Roman" w:cs="Times New Roman"/>
          <w:sz w:val="24"/>
          <w:szCs w:val="24"/>
        </w:rPr>
      </w:pPr>
    </w:p>
    <w:p w:rsidR="00040478" w:rsidRPr="000F24B6" w:rsidRDefault="00040478" w:rsidP="00040478">
      <w:pPr>
        <w:pStyle w:val="Textoindependiente"/>
        <w:spacing w:line="360" w:lineRule="auto"/>
        <w:jc w:val="both"/>
        <w:rPr>
          <w:rFonts w:ascii="Times New Roman" w:hAnsi="Times New Roman" w:cs="Times New Roman"/>
          <w:sz w:val="24"/>
          <w:szCs w:val="24"/>
        </w:rPr>
      </w:pPr>
      <w:r w:rsidRPr="000F24B6">
        <w:rPr>
          <w:rFonts w:ascii="Times New Roman" w:hAnsi="Times New Roman" w:cs="Times New Roman"/>
          <w:sz w:val="24"/>
          <w:szCs w:val="24"/>
        </w:rPr>
        <w:t xml:space="preserve">Este año se interrumpe la tendencia creciente que se venía dando desde el 2011. Según se muestra en la siguiente gráfica, este indicador pasó de </w:t>
      </w:r>
      <w:r w:rsidRPr="000F24B6">
        <w:rPr>
          <w:rFonts w:ascii="Times New Roman" w:hAnsi="Times New Roman" w:cs="Times New Roman"/>
          <w:b/>
          <w:sz w:val="24"/>
          <w:szCs w:val="24"/>
        </w:rPr>
        <w:t>5,3%</w:t>
      </w:r>
      <w:r w:rsidRPr="000F24B6">
        <w:rPr>
          <w:rFonts w:ascii="Times New Roman" w:hAnsi="Times New Roman" w:cs="Times New Roman"/>
          <w:sz w:val="24"/>
          <w:szCs w:val="24"/>
        </w:rPr>
        <w:t xml:space="preserve"> en el 2011 al </w:t>
      </w:r>
      <w:r w:rsidRPr="000F24B6">
        <w:rPr>
          <w:rFonts w:ascii="Times New Roman" w:hAnsi="Times New Roman" w:cs="Times New Roman"/>
          <w:b/>
          <w:sz w:val="24"/>
          <w:szCs w:val="24"/>
        </w:rPr>
        <w:t>8,9%</w:t>
      </w:r>
      <w:r w:rsidRPr="000F24B6">
        <w:rPr>
          <w:rFonts w:ascii="Times New Roman" w:hAnsi="Times New Roman" w:cs="Times New Roman"/>
          <w:sz w:val="24"/>
          <w:szCs w:val="24"/>
        </w:rPr>
        <w:t xml:space="preserve"> en el 2014 pero doce meses después cae al </w:t>
      </w:r>
      <w:r w:rsidRPr="000F24B6">
        <w:rPr>
          <w:rFonts w:ascii="Times New Roman" w:hAnsi="Times New Roman" w:cs="Times New Roman"/>
          <w:b/>
          <w:sz w:val="24"/>
          <w:szCs w:val="24"/>
        </w:rPr>
        <w:t>7,7%</w:t>
      </w:r>
      <w:r w:rsidRPr="000F24B6">
        <w:rPr>
          <w:rFonts w:ascii="Times New Roman" w:hAnsi="Times New Roman" w:cs="Times New Roman"/>
          <w:sz w:val="24"/>
          <w:szCs w:val="24"/>
        </w:rPr>
        <w:t xml:space="preserve">; esto es, el resultado del 2015 es poco más de dos puntos porcentuales menor al calculado para el año inmediatamente anterior. No </w:t>
      </w:r>
      <w:r w:rsidR="003B106A" w:rsidRPr="000F24B6">
        <w:rPr>
          <w:rFonts w:ascii="Times New Roman" w:hAnsi="Times New Roman" w:cs="Times New Roman"/>
          <w:sz w:val="24"/>
          <w:szCs w:val="24"/>
        </w:rPr>
        <w:t>obstante,</w:t>
      </w:r>
      <w:r w:rsidRPr="000F24B6">
        <w:rPr>
          <w:rFonts w:ascii="Times New Roman" w:hAnsi="Times New Roman" w:cs="Times New Roman"/>
          <w:sz w:val="24"/>
          <w:szCs w:val="24"/>
        </w:rPr>
        <w:t xml:space="preserve"> lo anterior no se puede </w:t>
      </w:r>
      <w:r w:rsidRPr="000F24B6">
        <w:rPr>
          <w:rFonts w:ascii="Times New Roman" w:hAnsi="Times New Roman" w:cs="Times New Roman"/>
          <w:sz w:val="24"/>
          <w:szCs w:val="24"/>
        </w:rPr>
        <w:lastRenderedPageBreak/>
        <w:t xml:space="preserve">saber por el momento si está aconteciendo un cambio de tendencia (hacia la baja o la estabilidad) o por el contrario luego se retomará la senda del crecimiento. Por eso que se indica que se da una interrupción de la tendencia anterior.  </w:t>
      </w:r>
    </w:p>
    <w:p w:rsidR="00040478" w:rsidRPr="000F24B6" w:rsidRDefault="00040478" w:rsidP="00040478">
      <w:pPr>
        <w:pStyle w:val="Textoindependiente"/>
        <w:spacing w:line="360" w:lineRule="auto"/>
        <w:rPr>
          <w:rFonts w:ascii="Times New Roman" w:hAnsi="Times New Roman" w:cs="Times New Roman"/>
          <w:color w:val="3366FF"/>
          <w:sz w:val="24"/>
          <w:szCs w:val="24"/>
        </w:rPr>
      </w:pPr>
    </w:p>
    <w:p w:rsidR="00040478" w:rsidRPr="000F24B6" w:rsidRDefault="003A1B7B" w:rsidP="00040478">
      <w:pPr>
        <w:pStyle w:val="Textoindependiente"/>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s-CR" w:eastAsia="es-CR"/>
        </w:rPr>
        <w:pict>
          <v:shape id="Cuadro de texto 30" o:spid="_x0000_s1041" type="#_x0000_t202" style="position:absolute;left:0;text-align:left;margin-left:62.85pt;margin-top:233.9pt;width:288.75pt;height:15.1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" filled="f" stroked="f">
            <v:textbox>
              <w:txbxContent>
                <w:p w:rsidR="00071467" w:rsidRDefault="00071467" w:rsidP="00040478">
                  <w:pPr>
                    <w:rPr>
                      <w:sz w:val="14"/>
                      <w:szCs w:val="14"/>
                    </w:rPr>
                  </w:pPr>
                  <w:r>
                    <w:rPr>
                      <w:sz w:val="14"/>
                      <w:szCs w:val="14"/>
                    </w:rPr>
                    <w:t>Elaborado por: Sección de Estadística,  Dirección de Planificación.</w:t>
                  </w:r>
                </w:p>
              </w:txbxContent>
            </v:textbox>
          </v:shape>
        </w:pict>
      </w:r>
      <w:r w:rsidR="00040478" w:rsidRPr="000F24B6">
        <w:rPr>
          <w:rFonts w:ascii="Times New Roman" w:hAnsi="Times New Roman" w:cs="Times New Roman"/>
          <w:noProof/>
          <w:sz w:val="24"/>
          <w:szCs w:val="24"/>
          <w:lang w:val="es-CR" w:eastAsia="es-CR"/>
        </w:rPr>
        <w:drawing>
          <wp:inline distT="0" distB="0" distL="0" distR="0">
            <wp:extent cx="4402455" cy="3169920"/>
            <wp:effectExtent l="0" t="0" r="36195" b="30480"/>
            <wp:docPr id="24" name="Objeto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40478" w:rsidRPr="000F24B6" w:rsidRDefault="00040478" w:rsidP="00040478">
      <w:pPr>
        <w:pStyle w:val="Textoindependiente"/>
        <w:spacing w:line="360" w:lineRule="auto"/>
        <w:rPr>
          <w:rFonts w:ascii="Times New Roman" w:hAnsi="Times New Roman" w:cs="Times New Roman"/>
          <w:sz w:val="24"/>
          <w:szCs w:val="24"/>
        </w:rPr>
      </w:pPr>
    </w:p>
    <w:p w:rsidR="00040478" w:rsidRPr="000F24B6" w:rsidRDefault="00040478" w:rsidP="00040478">
      <w:pPr>
        <w:pStyle w:val="Textoindependiente"/>
        <w:spacing w:line="360" w:lineRule="auto"/>
        <w:rPr>
          <w:rFonts w:ascii="Times New Roman" w:hAnsi="Times New Roman" w:cs="Times New Roman"/>
          <w:sz w:val="24"/>
          <w:szCs w:val="24"/>
        </w:rPr>
      </w:pPr>
    </w:p>
    <w:p w:rsidR="00040478" w:rsidRPr="000F24B6" w:rsidRDefault="00040478" w:rsidP="00040478">
      <w:pPr>
        <w:pStyle w:val="Textoindependiente"/>
        <w:spacing w:line="360" w:lineRule="auto"/>
        <w:ind w:left="705" w:hanging="705"/>
        <w:jc w:val="both"/>
        <w:rPr>
          <w:rFonts w:ascii="Times New Roman" w:hAnsi="Times New Roman" w:cs="Times New Roman"/>
          <w:sz w:val="24"/>
          <w:szCs w:val="24"/>
        </w:rPr>
      </w:pPr>
      <w:r w:rsidRPr="000F24B6">
        <w:rPr>
          <w:rFonts w:ascii="Times New Roman" w:hAnsi="Times New Roman" w:cs="Times New Roman"/>
          <w:b/>
          <w:sz w:val="24"/>
          <w:szCs w:val="24"/>
        </w:rPr>
        <w:t>3.9</w:t>
      </w:r>
      <w:r w:rsidRPr="000F24B6">
        <w:rPr>
          <w:rFonts w:ascii="Times New Roman" w:hAnsi="Times New Roman" w:cs="Times New Roman"/>
          <w:sz w:val="24"/>
          <w:szCs w:val="24"/>
        </w:rPr>
        <w:tab/>
      </w:r>
      <w:r w:rsidRPr="000F24B6">
        <w:rPr>
          <w:rFonts w:ascii="Times New Roman" w:hAnsi="Times New Roman" w:cs="Times New Roman"/>
          <w:b/>
          <w:bCs/>
          <w:sz w:val="24"/>
          <w:szCs w:val="24"/>
        </w:rPr>
        <w:t xml:space="preserve">Porcentaje de asuntos </w:t>
      </w:r>
      <w:proofErr w:type="spellStart"/>
      <w:r w:rsidRPr="000F24B6">
        <w:rPr>
          <w:rFonts w:ascii="Times New Roman" w:hAnsi="Times New Roman" w:cs="Times New Roman"/>
          <w:b/>
          <w:bCs/>
          <w:sz w:val="24"/>
          <w:szCs w:val="24"/>
        </w:rPr>
        <w:t>sobreseídos</w:t>
      </w:r>
      <w:proofErr w:type="spellEnd"/>
      <w:r w:rsidRPr="000F24B6">
        <w:rPr>
          <w:rFonts w:ascii="Times New Roman" w:hAnsi="Times New Roman" w:cs="Times New Roman"/>
          <w:b/>
          <w:bCs/>
          <w:sz w:val="24"/>
          <w:szCs w:val="24"/>
        </w:rPr>
        <w:t xml:space="preserve"> por prescripción en los juzgados penales</w:t>
      </w:r>
    </w:p>
    <w:p w:rsidR="00040478" w:rsidRPr="000F24B6" w:rsidRDefault="00040478" w:rsidP="00040478">
      <w:pPr>
        <w:pStyle w:val="Textoindependiente"/>
        <w:spacing w:line="360" w:lineRule="auto"/>
        <w:jc w:val="center"/>
        <w:rPr>
          <w:rFonts w:ascii="Times New Roman" w:hAnsi="Times New Roman" w:cs="Times New Roman"/>
          <w:sz w:val="24"/>
          <w:szCs w:val="24"/>
        </w:rPr>
      </w:pPr>
    </w:p>
    <w:p w:rsidR="00040478" w:rsidRPr="003B106A" w:rsidRDefault="00040478" w:rsidP="00040478">
      <w:pPr>
        <w:pStyle w:val="Textoindependiente"/>
        <w:spacing w:line="360" w:lineRule="auto"/>
        <w:jc w:val="both"/>
      </w:pPr>
      <w:r w:rsidRPr="003B106A">
        <w:rPr>
          <w:rFonts w:ascii="Times New Roman" w:hAnsi="Times New Roman" w:cs="Times New Roman"/>
          <w:sz w:val="24"/>
          <w:szCs w:val="24"/>
        </w:rPr>
        <w:t>La prescripción es el momento en el cual se ha vencido c</w:t>
      </w:r>
      <w:r w:rsidRPr="003B106A">
        <w:t xml:space="preserve">ierto plazo, tras la comisión de la infracción, sin que el </w:t>
      </w:r>
      <w:hyperlink r:id="rId45" w:history="1">
        <w:r w:rsidRPr="003B106A">
          <w:rPr>
            <w:rStyle w:val="Hipervnculo"/>
            <w:color w:val="auto"/>
          </w:rPr>
          <w:t>procedimiento</w:t>
        </w:r>
      </w:hyperlink>
      <w:r w:rsidRPr="003B106A">
        <w:t xml:space="preserve"> penal se dirija o se reanude contra el culpable. Es uno los supuestos de extinción de la acción penal que limita la potestad punitiva del </w:t>
      </w:r>
      <w:hyperlink r:id="rId46" w:history="1">
        <w:r w:rsidRPr="003B106A">
          <w:rPr>
            <w:rStyle w:val="Hipervnculo"/>
            <w:color w:val="auto"/>
          </w:rPr>
          <w:t>Estado</w:t>
        </w:r>
      </w:hyperlink>
      <w:r w:rsidRPr="003B106A">
        <w:t xml:space="preserve">, dado que se extingue la posibilidad de investigar un hecho criminal y, con ello, la </w:t>
      </w:r>
      <w:hyperlink r:id="rId47" w:history="1">
        <w:r w:rsidRPr="003B106A">
          <w:rPr>
            <w:rStyle w:val="Hipervnculo"/>
            <w:color w:val="auto"/>
          </w:rPr>
          <w:t>responsabilidad</w:t>
        </w:r>
      </w:hyperlink>
      <w:r w:rsidRPr="003B106A">
        <w:t xml:space="preserve"> del supuesto autor o autores del mismo. Es un obstáculo tanto para el ejercicio de la acción </w:t>
      </w:r>
      <w:r w:rsidR="003B106A" w:rsidRPr="003B106A">
        <w:t>como para</w:t>
      </w:r>
      <w:r w:rsidRPr="003B106A">
        <w:t xml:space="preserve"> el enjuiciamiento y por lo tanto para la ejecución de una condena penal. </w:t>
      </w:r>
    </w:p>
    <w:p w:rsidR="00040478" w:rsidRPr="000F24B6" w:rsidRDefault="00040478" w:rsidP="00040478">
      <w:pPr>
        <w:pStyle w:val="Textoindependiente"/>
        <w:spacing w:line="360" w:lineRule="auto"/>
        <w:jc w:val="both"/>
        <w:rPr>
          <w:rFonts w:ascii="Times New Roman" w:hAnsi="Times New Roman" w:cs="Times New Roman"/>
          <w:sz w:val="24"/>
          <w:szCs w:val="24"/>
        </w:rPr>
      </w:pPr>
    </w:p>
    <w:p w:rsidR="00040478" w:rsidRPr="000F24B6" w:rsidRDefault="00040478" w:rsidP="00040478">
      <w:pPr>
        <w:pStyle w:val="Textoindependiente"/>
        <w:spacing w:line="360" w:lineRule="auto"/>
        <w:jc w:val="both"/>
        <w:rPr>
          <w:rFonts w:ascii="Times New Roman" w:hAnsi="Times New Roman" w:cs="Times New Roman"/>
          <w:sz w:val="24"/>
          <w:szCs w:val="24"/>
        </w:rPr>
      </w:pPr>
      <w:r w:rsidRPr="000F24B6">
        <w:rPr>
          <w:rFonts w:ascii="Times New Roman" w:hAnsi="Times New Roman" w:cs="Times New Roman"/>
          <w:sz w:val="24"/>
          <w:szCs w:val="24"/>
        </w:rPr>
        <w:t xml:space="preserve">Este porcentaje es el resultado de dividir el volumen anual </w:t>
      </w:r>
      <w:r w:rsidR="003B106A" w:rsidRPr="000F24B6">
        <w:rPr>
          <w:rFonts w:ascii="Times New Roman" w:hAnsi="Times New Roman" w:cs="Times New Roman"/>
          <w:sz w:val="24"/>
          <w:szCs w:val="24"/>
        </w:rPr>
        <w:t>de asuntos</w:t>
      </w:r>
      <w:r w:rsidRPr="000F24B6">
        <w:rPr>
          <w:rFonts w:ascii="Times New Roman" w:hAnsi="Times New Roman" w:cs="Times New Roman"/>
          <w:sz w:val="24"/>
          <w:szCs w:val="24"/>
        </w:rPr>
        <w:t xml:space="preserve"> </w:t>
      </w:r>
      <w:proofErr w:type="spellStart"/>
      <w:r w:rsidRPr="000F24B6">
        <w:rPr>
          <w:rFonts w:ascii="Times New Roman" w:hAnsi="Times New Roman" w:cs="Times New Roman"/>
          <w:sz w:val="24"/>
          <w:szCs w:val="24"/>
        </w:rPr>
        <w:t>sobreseídos</w:t>
      </w:r>
      <w:proofErr w:type="spellEnd"/>
      <w:r w:rsidRPr="000F24B6">
        <w:rPr>
          <w:rFonts w:ascii="Times New Roman" w:hAnsi="Times New Roman" w:cs="Times New Roman"/>
          <w:sz w:val="24"/>
          <w:szCs w:val="24"/>
        </w:rPr>
        <w:t xml:space="preserve"> por </w:t>
      </w:r>
      <w:r w:rsidRPr="000F24B6">
        <w:rPr>
          <w:rFonts w:ascii="Times New Roman" w:hAnsi="Times New Roman" w:cs="Times New Roman"/>
          <w:sz w:val="24"/>
          <w:szCs w:val="24"/>
        </w:rPr>
        <w:lastRenderedPageBreak/>
        <w:t xml:space="preserve">prescripción entre el total general de causas </w:t>
      </w:r>
      <w:proofErr w:type="spellStart"/>
      <w:r w:rsidR="003B106A" w:rsidRPr="000F24B6">
        <w:rPr>
          <w:rFonts w:ascii="Times New Roman" w:hAnsi="Times New Roman" w:cs="Times New Roman"/>
          <w:sz w:val="24"/>
          <w:szCs w:val="24"/>
        </w:rPr>
        <w:t>sobreseídas</w:t>
      </w:r>
      <w:proofErr w:type="spellEnd"/>
      <w:r w:rsidR="003B106A" w:rsidRPr="000F24B6">
        <w:rPr>
          <w:rFonts w:ascii="Times New Roman" w:hAnsi="Times New Roman" w:cs="Times New Roman"/>
          <w:sz w:val="24"/>
          <w:szCs w:val="24"/>
        </w:rPr>
        <w:t>.</w:t>
      </w:r>
    </w:p>
    <w:p w:rsidR="00040478" w:rsidRPr="000F24B6" w:rsidRDefault="00040478" w:rsidP="00040478">
      <w:pPr>
        <w:pStyle w:val="Textoindependiente"/>
        <w:spacing w:line="360" w:lineRule="auto"/>
        <w:jc w:val="both"/>
        <w:rPr>
          <w:rFonts w:ascii="Times New Roman" w:hAnsi="Times New Roman" w:cs="Times New Roman"/>
          <w:sz w:val="24"/>
          <w:szCs w:val="24"/>
        </w:rPr>
      </w:pPr>
    </w:p>
    <w:p w:rsidR="00040478" w:rsidRPr="000F24B6" w:rsidRDefault="00040478" w:rsidP="00040478">
      <w:pPr>
        <w:pStyle w:val="Textoindependiente"/>
        <w:spacing w:line="360" w:lineRule="auto"/>
        <w:jc w:val="both"/>
        <w:rPr>
          <w:rFonts w:ascii="Times New Roman" w:hAnsi="Times New Roman" w:cs="Times New Roman"/>
          <w:sz w:val="24"/>
          <w:szCs w:val="24"/>
        </w:rPr>
      </w:pPr>
      <w:r w:rsidRPr="000F24B6">
        <w:rPr>
          <w:rFonts w:ascii="Times New Roman" w:hAnsi="Times New Roman" w:cs="Times New Roman"/>
          <w:sz w:val="24"/>
          <w:szCs w:val="24"/>
        </w:rPr>
        <w:t xml:space="preserve">Aunque con menor velocidad, este año continúa la tendencia hacia la baja de este indicador. Como se muestre en el siguiente gráfico el porcentaje de prescripción alcanzó el nivel más alto de los últimos cinco años en el 2012 cuando el </w:t>
      </w:r>
      <w:r w:rsidRPr="000F24B6">
        <w:rPr>
          <w:rFonts w:ascii="Times New Roman" w:hAnsi="Times New Roman" w:cs="Times New Roman"/>
          <w:b/>
          <w:sz w:val="24"/>
          <w:szCs w:val="24"/>
        </w:rPr>
        <w:t>14,9%</w:t>
      </w:r>
      <w:r w:rsidRPr="000F24B6">
        <w:rPr>
          <w:rFonts w:ascii="Times New Roman" w:hAnsi="Times New Roman" w:cs="Times New Roman"/>
          <w:sz w:val="24"/>
          <w:szCs w:val="24"/>
        </w:rPr>
        <w:t xml:space="preserve"> de los sobreseimientos dictados en ese año lo eran en asuntos prescritos. En los siguientes años el peso relativo de las prescripciones dentro del universo de sobreseimientos se reduce hasta llegar al </w:t>
      </w:r>
      <w:r w:rsidRPr="000F24B6">
        <w:rPr>
          <w:rFonts w:ascii="Times New Roman" w:hAnsi="Times New Roman" w:cs="Times New Roman"/>
          <w:b/>
          <w:sz w:val="24"/>
          <w:szCs w:val="24"/>
        </w:rPr>
        <w:t>6,7%</w:t>
      </w:r>
      <w:r w:rsidRPr="000F24B6">
        <w:rPr>
          <w:rFonts w:ascii="Times New Roman" w:hAnsi="Times New Roman" w:cs="Times New Roman"/>
          <w:sz w:val="24"/>
          <w:szCs w:val="24"/>
        </w:rPr>
        <w:t xml:space="preserve"> en el 2015. Así en cuatro años se ha rebajado en más de la mitad la frecuencia relativa de los sobreseimientos por prescripción. </w:t>
      </w:r>
    </w:p>
    <w:p w:rsidR="00040478" w:rsidRPr="000F24B6" w:rsidRDefault="00040478" w:rsidP="00040478">
      <w:pPr>
        <w:pStyle w:val="Textoindependiente"/>
        <w:spacing w:line="360" w:lineRule="auto"/>
        <w:rPr>
          <w:rFonts w:ascii="Times New Roman" w:hAnsi="Times New Roman" w:cs="Times New Roman"/>
          <w:sz w:val="24"/>
          <w:szCs w:val="24"/>
        </w:rPr>
      </w:pPr>
    </w:p>
    <w:p w:rsidR="00040478" w:rsidRPr="000F24B6" w:rsidRDefault="00040478" w:rsidP="00040478">
      <w:pPr>
        <w:pStyle w:val="Textoindependiente"/>
        <w:spacing w:line="360" w:lineRule="auto"/>
        <w:jc w:val="center"/>
        <w:rPr>
          <w:rFonts w:ascii="Times New Roman" w:hAnsi="Times New Roman" w:cs="Times New Roman"/>
          <w:sz w:val="24"/>
          <w:szCs w:val="24"/>
        </w:rPr>
      </w:pPr>
      <w:r w:rsidRPr="000F24B6">
        <w:rPr>
          <w:rFonts w:ascii="Times New Roman" w:hAnsi="Times New Roman" w:cs="Times New Roman"/>
          <w:noProof/>
          <w:sz w:val="24"/>
          <w:szCs w:val="24"/>
          <w:lang w:val="es-CR" w:eastAsia="es-CR"/>
        </w:rPr>
        <w:drawing>
          <wp:inline distT="0" distB="0" distL="0" distR="0">
            <wp:extent cx="4402455" cy="2973705"/>
            <wp:effectExtent l="0" t="0" r="36195" b="36195"/>
            <wp:docPr id="25" name="Objeto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40478" w:rsidRPr="000F24B6" w:rsidRDefault="00040478" w:rsidP="00040478">
      <w:pPr>
        <w:pStyle w:val="Textoindependiente"/>
        <w:spacing w:line="360" w:lineRule="auto"/>
        <w:rPr>
          <w:rFonts w:ascii="Times New Roman" w:hAnsi="Times New Roman" w:cs="Times New Roman"/>
          <w:sz w:val="24"/>
          <w:szCs w:val="24"/>
        </w:rPr>
      </w:pPr>
    </w:p>
    <w:p w:rsidR="00040478" w:rsidRPr="000F24B6" w:rsidRDefault="00040478" w:rsidP="00040478">
      <w:pPr>
        <w:jc w:val="center"/>
        <w:rPr>
          <w:rFonts w:ascii="Times New Roman" w:hAnsi="Times New Roman" w:cs="Times New Roman"/>
          <w:lang w:eastAsia="ar-SA"/>
        </w:rPr>
      </w:pPr>
      <w:r w:rsidRPr="000F24B6">
        <w:rPr>
          <w:rFonts w:ascii="Times New Roman" w:hAnsi="Times New Roman" w:cs="Times New Roman"/>
        </w:rPr>
        <w:br w:type="page"/>
      </w:r>
    </w:p>
    <w:p w:rsidR="003B106A" w:rsidRPr="003B106A" w:rsidRDefault="003B106A" w:rsidP="003B106A">
      <w:pPr>
        <w:keepNext/>
        <w:widowControl/>
        <w:pBdr>
          <w:top w:val="single" w:sz="4" w:space="1" w:color="000000"/>
          <w:left w:val="single" w:sz="4" w:space="4" w:color="000000"/>
          <w:bottom w:val="single" w:sz="4" w:space="1" w:color="000000"/>
          <w:right w:val="single" w:sz="4" w:space="4" w:color="000000"/>
        </w:pBdr>
        <w:shd w:val="clear" w:color="auto" w:fill="000000"/>
        <w:tabs>
          <w:tab w:val="left" w:pos="360"/>
          <w:tab w:val="left" w:pos="720"/>
          <w:tab w:val="left" w:pos="900"/>
        </w:tabs>
        <w:suppressAutoHyphens/>
        <w:autoSpaceDE/>
        <w:autoSpaceDN/>
        <w:adjustRightInd/>
        <w:spacing w:line="480" w:lineRule="atLeast"/>
        <w:jc w:val="center"/>
        <w:outlineLvl w:val="0"/>
        <w:rPr>
          <w:rFonts w:ascii="Times New Roman" w:hAnsi="Times New Roman" w:cs="Times New Roman"/>
          <w:b/>
          <w:bCs/>
          <w:iCs/>
          <w:color w:val="FFFFFF"/>
          <w:spacing w:val="-3"/>
          <w:sz w:val="28"/>
          <w:szCs w:val="28"/>
          <w:u w:color="000000"/>
          <w:lang w:eastAsia="ar-SA"/>
        </w:rPr>
      </w:pPr>
      <w:r w:rsidRPr="003B106A">
        <w:rPr>
          <w:rFonts w:ascii="Times New Roman" w:hAnsi="Times New Roman" w:cs="Times New Roman"/>
          <w:b/>
          <w:bCs/>
          <w:iCs/>
          <w:color w:val="FFFFFF"/>
          <w:spacing w:val="-3"/>
          <w:sz w:val="28"/>
          <w:szCs w:val="28"/>
          <w:u w:color="000000"/>
          <w:lang w:eastAsia="ar-SA"/>
        </w:rPr>
        <w:lastRenderedPageBreak/>
        <w:t xml:space="preserve">4. </w:t>
      </w:r>
      <w:r w:rsidRPr="003B106A">
        <w:rPr>
          <w:rFonts w:ascii="Times New Roman" w:hAnsi="Times New Roman" w:cs="Times New Roman"/>
          <w:b/>
          <w:bCs/>
          <w:iCs/>
          <w:color w:val="FFFFFF"/>
          <w:spacing w:val="-3"/>
          <w:sz w:val="28"/>
          <w:szCs w:val="28"/>
          <w:u w:color="000000"/>
          <w:lang w:eastAsia="ar-SA"/>
        </w:rPr>
        <w:tab/>
      </w:r>
      <w:r w:rsidRPr="003B106A">
        <w:rPr>
          <w:rFonts w:ascii="Times New Roman" w:hAnsi="Times New Roman" w:cs="Times New Roman"/>
          <w:b/>
          <w:bCs/>
          <w:iCs/>
          <w:color w:val="FFFFFF"/>
          <w:spacing w:val="-3"/>
          <w:sz w:val="28"/>
          <w:szCs w:val="28"/>
          <w:u w:color="000000"/>
          <w:lang w:eastAsia="ar-SA"/>
        </w:rPr>
        <w:tab/>
        <w:t>DURACIÓN Y DILACIÓN</w:t>
      </w:r>
    </w:p>
    <w:p w:rsidR="003B106A" w:rsidRPr="003B106A" w:rsidRDefault="003B106A" w:rsidP="003B106A">
      <w:pPr>
        <w:spacing w:line="360" w:lineRule="auto"/>
        <w:jc w:val="both"/>
        <w:rPr>
          <w:rFonts w:ascii="Times New Roman" w:hAnsi="Times New Roman" w:cs="Times New Roman"/>
          <w:lang w:eastAsia="ar-SA"/>
        </w:rPr>
      </w:pPr>
    </w:p>
    <w:p w:rsidR="003B106A" w:rsidRPr="003B106A" w:rsidRDefault="003B106A" w:rsidP="003B106A">
      <w:pPr>
        <w:spacing w:line="360" w:lineRule="auto"/>
        <w:jc w:val="center"/>
        <w:rPr>
          <w:rFonts w:ascii="Times New Roman" w:hAnsi="Times New Roman" w:cs="Times New Roman"/>
        </w:rPr>
      </w:pPr>
    </w:p>
    <w:p w:rsidR="003B106A" w:rsidRPr="003B106A" w:rsidRDefault="003B106A" w:rsidP="003B106A">
      <w:pPr>
        <w:spacing w:line="360" w:lineRule="auto"/>
        <w:jc w:val="both"/>
        <w:rPr>
          <w:rFonts w:ascii="Times New Roman" w:hAnsi="Times New Roman" w:cs="Times New Roman"/>
          <w:lang w:eastAsia="ar-SA"/>
        </w:rPr>
      </w:pPr>
      <w:r w:rsidRPr="003B106A">
        <w:rPr>
          <w:rFonts w:ascii="Times New Roman" w:hAnsi="Times New Roman" w:cs="Times New Roman"/>
          <w:lang w:eastAsia="ar-SA"/>
        </w:rPr>
        <w:t>Este campo temático está constituido por 32 indicadores, estos permiten tanto a la persona  usuaria interna como externa conocer el tiempo promedio que debe transcurrir en la atención de un proceso en las diferentes instancias, así como, mostrar un panorama acerca de la carga de trabajo pendiente por instancia y por jueza o juez al concluir el año.  También, los porcentajes de Pendencia y Resolución evidencian el movimiento de los expedientes en los despachos.</w:t>
      </w:r>
    </w:p>
    <w:p w:rsidR="003B106A" w:rsidRPr="003B106A" w:rsidRDefault="003B106A" w:rsidP="003B106A">
      <w:pPr>
        <w:spacing w:line="360" w:lineRule="auto"/>
        <w:jc w:val="both"/>
        <w:rPr>
          <w:rFonts w:ascii="Times New Roman" w:hAnsi="Times New Roman" w:cs="Times New Roman"/>
          <w:lang w:eastAsia="ar-SA"/>
        </w:rPr>
      </w:pPr>
    </w:p>
    <w:p w:rsidR="003B106A" w:rsidRPr="003B106A" w:rsidRDefault="003B106A" w:rsidP="003B106A">
      <w:pPr>
        <w:keepNext/>
        <w:spacing w:before="240" w:after="60"/>
        <w:jc w:val="both"/>
        <w:outlineLvl w:val="1"/>
        <w:rPr>
          <w:rFonts w:ascii="Times New Roman" w:hAnsi="Times New Roman" w:cs="Times New Roman"/>
          <w:b/>
          <w:bCs/>
          <w:iCs/>
        </w:rPr>
      </w:pPr>
      <w:r w:rsidRPr="003B106A">
        <w:rPr>
          <w:rFonts w:ascii="Times New Roman" w:hAnsi="Times New Roman" w:cs="Times New Roman"/>
          <w:b/>
          <w:bCs/>
          <w:iCs/>
        </w:rPr>
        <w:t>4.1</w:t>
      </w:r>
      <w:r w:rsidRPr="003B106A">
        <w:rPr>
          <w:rFonts w:ascii="Times New Roman" w:hAnsi="Times New Roman" w:cs="Times New Roman"/>
          <w:b/>
          <w:bCs/>
          <w:iCs/>
        </w:rPr>
        <w:tab/>
        <w:t>Porcentajes de pendencia, de resolución e inactividad</w:t>
      </w:r>
    </w:p>
    <w:p w:rsidR="003B106A" w:rsidRPr="003B106A" w:rsidRDefault="003B106A" w:rsidP="003B106A">
      <w:pPr>
        <w:spacing w:line="360" w:lineRule="auto"/>
        <w:jc w:val="both"/>
        <w:rPr>
          <w:rFonts w:ascii="Times New Roman" w:hAnsi="Times New Roman" w:cs="Times New Roman"/>
          <w:lang w:eastAsia="ar-SA"/>
        </w:rPr>
      </w:pPr>
    </w:p>
    <w:p w:rsidR="003B106A" w:rsidRPr="003B106A" w:rsidRDefault="003B106A" w:rsidP="003B106A">
      <w:pPr>
        <w:spacing w:line="360" w:lineRule="auto"/>
        <w:jc w:val="both"/>
        <w:rPr>
          <w:rFonts w:ascii="Times New Roman" w:hAnsi="Times New Roman"/>
        </w:rPr>
      </w:pPr>
      <w:r w:rsidRPr="003B106A">
        <w:rPr>
          <w:rFonts w:ascii="Times New Roman" w:hAnsi="Times New Roman"/>
        </w:rPr>
        <w:t>El porcentaje de pendencia es el peso relativo tenido por los asuntos que ya iniciaron su tramitación pero que aún no se dan por terminados definitivamente respecto a la carga de trabajo. Por su parte, el porcentaje de resolución indica el peso relativo de los expedientes resueltos respecto a la carga de trabajo y el porcentaje de inactividad o abandono determina el peso relativo de los asuntos inactivos o abandonados en un periodo definido respecto a la carga de trabajo inicial (Activo inicial más ingreso nuevo y el reingreso de asuntos); se debe recordar que los asuntos inactivos o en estado de “ abandono” son producto de la depuración de casillas trimestral que se realiza en el despacho.</w:t>
      </w:r>
    </w:p>
    <w:p w:rsidR="003B106A" w:rsidRPr="003B106A" w:rsidRDefault="003B106A" w:rsidP="003B106A">
      <w:pPr>
        <w:jc w:val="both"/>
        <w:rPr>
          <w:rFonts w:ascii="Times New Roman" w:hAnsi="Times New Roman"/>
        </w:rPr>
      </w:pPr>
    </w:p>
    <w:p w:rsidR="003B106A" w:rsidRPr="003B106A" w:rsidRDefault="003B106A" w:rsidP="003B106A">
      <w:pPr>
        <w:spacing w:line="360" w:lineRule="auto"/>
        <w:jc w:val="both"/>
        <w:rPr>
          <w:rFonts w:ascii="Times New Roman" w:hAnsi="Times New Roman" w:cs="Times New Roman"/>
          <w:lang w:eastAsia="ar-SA"/>
        </w:rPr>
      </w:pPr>
      <w:r w:rsidRPr="003B106A">
        <w:rPr>
          <w:rFonts w:ascii="Times New Roman" w:hAnsi="Times New Roman" w:cs="Times New Roman"/>
          <w:lang w:eastAsia="ar-SA"/>
        </w:rPr>
        <w:t xml:space="preserve">Es importante señalar que estos dos indicadores deben compararse en forma conjunta, dado que dentro del sistema judicial un asunto o está terminado o se encuentra en trámite (normal o en inactividad). Así, un expediente para poder ser descontado del circulante, debe recibir una resolución o una sentencia de fondo que ponga fin al proceso. </w:t>
      </w:r>
      <w:r w:rsidRPr="003B106A">
        <w:rPr>
          <w:rFonts w:ascii="Times New Roman" w:hAnsi="Times New Roman" w:cs="Times New Roman"/>
        </w:rPr>
        <w:t>En este contexto, es atinente especificar que esto resultados se deben multiplicar por 100 al tratarse de porcentajes.</w:t>
      </w:r>
    </w:p>
    <w:p w:rsidR="003B106A" w:rsidRPr="003B106A" w:rsidRDefault="003B106A" w:rsidP="003B106A">
      <w:pPr>
        <w:spacing w:line="360" w:lineRule="auto"/>
        <w:jc w:val="both"/>
        <w:rPr>
          <w:rFonts w:ascii="Times New Roman" w:hAnsi="Times New Roman" w:cs="Times New Roman"/>
          <w:lang w:eastAsia="ar-SA"/>
        </w:rPr>
      </w:pPr>
    </w:p>
    <w:p w:rsidR="003B106A" w:rsidRPr="003B106A" w:rsidRDefault="003B106A" w:rsidP="003B106A">
      <w:pPr>
        <w:spacing w:line="360" w:lineRule="auto"/>
        <w:jc w:val="both"/>
        <w:rPr>
          <w:rFonts w:ascii="Times New Roman" w:hAnsi="Times New Roman" w:cs="Times New Roman"/>
          <w:lang w:eastAsia="ar-SA"/>
        </w:rPr>
      </w:pPr>
      <w:r w:rsidRPr="003B106A">
        <w:rPr>
          <w:rFonts w:ascii="Times New Roman" w:hAnsi="Times New Roman" w:cs="Times New Roman"/>
          <w:lang w:eastAsia="ar-SA"/>
        </w:rPr>
        <w:t>En este punto hay que hacer varias aclaraciones que ayudarán a su interpretación y utilización.</w:t>
      </w:r>
    </w:p>
    <w:p w:rsidR="003B106A" w:rsidRPr="003B106A" w:rsidRDefault="003B106A" w:rsidP="003B106A">
      <w:pPr>
        <w:spacing w:line="360" w:lineRule="auto"/>
        <w:jc w:val="both"/>
        <w:rPr>
          <w:rFonts w:ascii="Times New Roman" w:hAnsi="Times New Roman" w:cs="Times New Roman"/>
          <w:lang w:eastAsia="ar-SA"/>
        </w:rPr>
      </w:pPr>
    </w:p>
    <w:p w:rsidR="003B106A" w:rsidRPr="003B106A" w:rsidRDefault="003B106A" w:rsidP="003B106A">
      <w:pPr>
        <w:spacing w:line="360" w:lineRule="auto"/>
        <w:jc w:val="both"/>
        <w:rPr>
          <w:rFonts w:ascii="Times New Roman" w:hAnsi="Times New Roman" w:cs="Times New Roman"/>
          <w:lang w:eastAsia="ar-SA"/>
        </w:rPr>
      </w:pPr>
      <w:r w:rsidRPr="003B106A">
        <w:rPr>
          <w:rFonts w:ascii="Times New Roman" w:hAnsi="Times New Roman" w:cs="Times New Roman"/>
          <w:lang w:eastAsia="ar-SA"/>
        </w:rPr>
        <w:lastRenderedPageBreak/>
        <w:t xml:space="preserve">En primer lugar, es necesario tener presente que las materias Civil, Agraria, Contencioso Administrativa, Familia y Pensiones Alimentarias, finiquitan o excluyen de sus pendientes una serie de expedientes por “abandono o inactividad”, que son descontados del circulante del despacho, pero pueden reactivarse en el circulante cuando se presente una nueva gestión. Esto produce que al sumar los indicadores de Pendencia y Resolución para estas materias no del 100%. </w:t>
      </w:r>
    </w:p>
    <w:p w:rsidR="003B106A" w:rsidRPr="003B106A" w:rsidRDefault="003B106A" w:rsidP="003B106A">
      <w:pPr>
        <w:spacing w:line="360" w:lineRule="auto"/>
        <w:jc w:val="both"/>
        <w:rPr>
          <w:rFonts w:ascii="Times New Roman" w:hAnsi="Times New Roman" w:cs="Times New Roman"/>
          <w:lang w:eastAsia="ar-SA"/>
        </w:rPr>
      </w:pPr>
    </w:p>
    <w:p w:rsidR="003B106A" w:rsidRPr="003B106A" w:rsidRDefault="003B106A" w:rsidP="003B106A">
      <w:pPr>
        <w:spacing w:line="360" w:lineRule="auto"/>
        <w:jc w:val="both"/>
        <w:rPr>
          <w:rFonts w:ascii="Times New Roman" w:hAnsi="Times New Roman" w:cs="Times New Roman"/>
          <w:lang w:eastAsia="ar-SA"/>
        </w:rPr>
      </w:pPr>
      <w:r w:rsidRPr="003B106A">
        <w:rPr>
          <w:rFonts w:ascii="Times New Roman" w:hAnsi="Times New Roman" w:cs="Times New Roman"/>
          <w:lang w:eastAsia="ar-SA"/>
        </w:rPr>
        <w:t>Las materias Laboral, Contravencional, Tránsito, Violencia Doméstica, Penal, Constitucional y Notarial, cierran su balance por fórmula matemática, sea necesariamente todos los expedientes descontados del circulante tienen una resolución que justifica esa acción, razón por la cual la suma de los indicadores debe dar 100%.</w:t>
      </w:r>
    </w:p>
    <w:p w:rsidR="003B106A" w:rsidRPr="003B106A" w:rsidRDefault="003B106A" w:rsidP="003B106A">
      <w:pPr>
        <w:spacing w:line="360" w:lineRule="auto"/>
        <w:jc w:val="both"/>
        <w:rPr>
          <w:rFonts w:ascii="Times New Roman" w:hAnsi="Times New Roman" w:cs="Times New Roman"/>
          <w:lang w:eastAsia="ar-SA"/>
        </w:rPr>
      </w:pPr>
    </w:p>
    <w:p w:rsidR="00C540DA" w:rsidRDefault="003B106A" w:rsidP="003B106A">
      <w:pPr>
        <w:spacing w:line="360" w:lineRule="auto"/>
        <w:jc w:val="both"/>
        <w:rPr>
          <w:rFonts w:ascii="Times New Roman" w:hAnsi="Times New Roman" w:cs="Times New Roman"/>
          <w:lang w:eastAsia="ar-SA"/>
        </w:rPr>
      </w:pPr>
      <w:r w:rsidRPr="003B106A">
        <w:rPr>
          <w:rFonts w:ascii="Times New Roman" w:hAnsi="Times New Roman" w:cs="Times New Roman"/>
          <w:lang w:eastAsia="ar-SA"/>
        </w:rPr>
        <w:t>En los últimos cuatro años los porcentajes de Pendencia y Resolución se han mantenido relativamente constantes. Como se puede constatar en el gráfico siguiente, desde el 2013</w:t>
      </w:r>
      <w:r>
        <w:rPr>
          <w:rFonts w:ascii="Times New Roman" w:hAnsi="Times New Roman" w:cs="Times New Roman"/>
          <w:lang w:eastAsia="ar-SA"/>
        </w:rPr>
        <w:t xml:space="preserve"> alrededor del 57</w:t>
      </w:r>
      <w:r w:rsidRPr="003B106A">
        <w:rPr>
          <w:rFonts w:ascii="Times New Roman" w:hAnsi="Times New Roman" w:cs="Times New Roman"/>
          <w:lang w:eastAsia="ar-SA"/>
        </w:rPr>
        <w:t xml:space="preserve">% de los asuntos que componen la carga de trabajo en el Poder Judicial Costarricense se encuentran en trámite, patrón que se aleja de los niveles inferiores calculados para antes de ese año. </w:t>
      </w:r>
    </w:p>
    <w:p w:rsidR="003B106A" w:rsidRPr="003B106A" w:rsidRDefault="003B106A" w:rsidP="003B106A">
      <w:pPr>
        <w:spacing w:line="360" w:lineRule="auto"/>
        <w:jc w:val="both"/>
        <w:rPr>
          <w:rFonts w:ascii="Times New Roman" w:hAnsi="Times New Roman" w:cs="Times New Roman"/>
          <w:lang w:eastAsia="ar-SA"/>
        </w:rPr>
      </w:pPr>
      <w:r w:rsidRPr="003B106A">
        <w:rPr>
          <w:rFonts w:ascii="Times New Roman" w:hAnsi="Times New Roman" w:cs="Times New Roman"/>
          <w:lang w:eastAsia="ar-SA"/>
        </w:rPr>
        <w:t>El porcentaje de reso</w:t>
      </w:r>
      <w:r>
        <w:rPr>
          <w:rFonts w:ascii="Times New Roman" w:hAnsi="Times New Roman" w:cs="Times New Roman"/>
          <w:lang w:eastAsia="ar-SA"/>
        </w:rPr>
        <w:t>lución desde el 2013 ronda el 33</w:t>
      </w:r>
      <w:r w:rsidRPr="003B106A">
        <w:rPr>
          <w:rFonts w:ascii="Times New Roman" w:hAnsi="Times New Roman" w:cs="Times New Roman"/>
          <w:lang w:eastAsia="ar-SA"/>
        </w:rPr>
        <w:t>%, cuya interpretación iría en la línea referente a que cerca de un tercio de la carga de trabajo del Poder Judicial Costarricense es resuelta cada año. El porcentaje de inactividad ha rondado el 10% esto es, cerca de una décima parte de la carga de trabajo de la institución se encuentra en estado de inactividad en las materias cuyo proceso depende del impulso de parte.</w:t>
      </w:r>
    </w:p>
    <w:p w:rsidR="003B106A" w:rsidRPr="003B106A" w:rsidRDefault="003B106A" w:rsidP="003B106A">
      <w:pPr>
        <w:spacing w:line="360" w:lineRule="auto"/>
        <w:jc w:val="both"/>
        <w:rPr>
          <w:rFonts w:ascii="Times New Roman" w:hAnsi="Times New Roman" w:cs="Times New Roman"/>
          <w:lang w:eastAsia="ar-SA"/>
        </w:rPr>
      </w:pPr>
    </w:p>
    <w:p w:rsidR="003B106A" w:rsidRPr="003B106A" w:rsidRDefault="003B106A" w:rsidP="003B106A">
      <w:pPr>
        <w:spacing w:line="360" w:lineRule="auto"/>
        <w:jc w:val="center"/>
        <w:rPr>
          <w:rFonts w:ascii="Times New Roman" w:hAnsi="Times New Roman" w:cs="Times New Roman"/>
          <w:lang w:eastAsia="ar-SA"/>
        </w:rPr>
      </w:pPr>
      <w:r w:rsidRPr="003B106A">
        <w:rPr>
          <w:rFonts w:ascii="Times New Roman" w:hAnsi="Times New Roman" w:cs="Times New Roman"/>
          <w:noProof/>
          <w:lang w:val="es-CR" w:eastAsia="es-CR"/>
        </w:rPr>
        <w:lastRenderedPageBreak/>
        <w:drawing>
          <wp:inline distT="0" distB="0" distL="0" distR="0">
            <wp:extent cx="4644390" cy="3276019"/>
            <wp:effectExtent l="0" t="0" r="41910" b="38735"/>
            <wp:docPr id="81" name="Objeto 10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B106A" w:rsidRPr="003B106A" w:rsidRDefault="003B106A" w:rsidP="003B106A">
      <w:pPr>
        <w:spacing w:line="360" w:lineRule="auto"/>
        <w:jc w:val="both"/>
        <w:rPr>
          <w:rFonts w:ascii="Times New Roman" w:hAnsi="Times New Roman" w:cs="Times New Roman"/>
          <w:b/>
          <w:bCs/>
          <w:lang w:eastAsia="ar-SA"/>
        </w:rPr>
      </w:pPr>
      <w:r w:rsidRPr="003B106A">
        <w:rPr>
          <w:rFonts w:ascii="Times New Roman" w:hAnsi="Times New Roman" w:cs="Times New Roman"/>
          <w:b/>
          <w:bCs/>
          <w:lang w:eastAsia="ar-SA"/>
        </w:rPr>
        <w:t>4.2</w:t>
      </w:r>
      <w:r w:rsidRPr="003B106A">
        <w:rPr>
          <w:rFonts w:ascii="Times New Roman" w:hAnsi="Times New Roman" w:cs="Times New Roman"/>
          <w:b/>
          <w:bCs/>
          <w:lang w:eastAsia="ar-SA"/>
        </w:rPr>
        <w:tab/>
        <w:t>Casos pendientes por Jueza y Juez de primera y segunda instancia</w:t>
      </w:r>
    </w:p>
    <w:p w:rsidR="003B106A" w:rsidRPr="003B106A" w:rsidRDefault="003B106A" w:rsidP="003B106A">
      <w:pPr>
        <w:spacing w:line="360" w:lineRule="auto"/>
        <w:jc w:val="both"/>
        <w:rPr>
          <w:rFonts w:ascii="Times New Roman" w:hAnsi="Times New Roman" w:cs="Times New Roman"/>
          <w:lang w:eastAsia="ar-SA"/>
        </w:rPr>
      </w:pPr>
    </w:p>
    <w:p w:rsidR="003B106A" w:rsidRPr="003B106A" w:rsidRDefault="003B106A" w:rsidP="003B106A">
      <w:pPr>
        <w:spacing w:line="360" w:lineRule="auto"/>
        <w:jc w:val="both"/>
        <w:rPr>
          <w:rFonts w:ascii="Times New Roman" w:hAnsi="Times New Roman" w:cs="Times New Roman"/>
          <w:lang w:eastAsia="ar-SA"/>
        </w:rPr>
      </w:pPr>
      <w:r w:rsidRPr="003B106A">
        <w:rPr>
          <w:rFonts w:ascii="Times New Roman" w:hAnsi="Times New Roman" w:cs="Times New Roman"/>
          <w:lang w:eastAsia="ar-SA"/>
        </w:rPr>
        <w:t>Este indicador es el resultado de dividir del circulante al final de un período, entre el número de juezas y jueces que integran las instancias permitiendo conocer la cantidad de expedientes por juez o jueza pendientes de trámite definitivo al final de un año.</w:t>
      </w:r>
    </w:p>
    <w:p w:rsidR="003B106A" w:rsidRPr="003B106A" w:rsidRDefault="003B106A" w:rsidP="003B106A">
      <w:pPr>
        <w:spacing w:line="360" w:lineRule="auto"/>
        <w:jc w:val="both"/>
        <w:rPr>
          <w:rFonts w:ascii="Times New Roman" w:hAnsi="Times New Roman" w:cs="Times New Roman"/>
          <w:lang w:eastAsia="ar-SA"/>
        </w:rPr>
      </w:pPr>
    </w:p>
    <w:p w:rsidR="003B106A" w:rsidRDefault="003B106A" w:rsidP="003B106A">
      <w:pPr>
        <w:spacing w:line="360" w:lineRule="auto"/>
        <w:jc w:val="both"/>
        <w:rPr>
          <w:rFonts w:ascii="Times New Roman" w:hAnsi="Times New Roman" w:cs="Times New Roman"/>
          <w:lang w:eastAsia="ar-SA"/>
        </w:rPr>
      </w:pPr>
      <w:r w:rsidRPr="003B106A">
        <w:rPr>
          <w:rFonts w:ascii="Times New Roman" w:hAnsi="Times New Roman" w:cs="Times New Roman"/>
          <w:lang w:eastAsia="ar-SA"/>
        </w:rPr>
        <w:t xml:space="preserve">Con el dato de finales de este año se registra un incremento en el volumen de casos pendientes por profesional de primera instancia que había tenido una baja en el 2014. Como se puede apreciar en la gráfica siguiente, en el inicio del periodo bajo estudio el volumen de circulante por juez o jueza era de 816 expedientes, cifra que irá creciendo en las siguientes fechas homólogas hasta llegar a 932 asuntos por juez o jueza al 31 de diciembre de 2013 para caer el año anterior a 900 expedientes y como se recalcó para el </w:t>
      </w:r>
      <w:r w:rsidR="00BA1D15" w:rsidRPr="003B106A">
        <w:rPr>
          <w:rFonts w:ascii="Times New Roman" w:hAnsi="Times New Roman" w:cs="Times New Roman"/>
          <w:lang w:eastAsia="ar-SA"/>
        </w:rPr>
        <w:t>corriente, incrementar</w:t>
      </w:r>
      <w:r w:rsidRPr="003B106A">
        <w:rPr>
          <w:rFonts w:ascii="Times New Roman" w:hAnsi="Times New Roman" w:cs="Times New Roman"/>
          <w:lang w:eastAsia="ar-SA"/>
        </w:rPr>
        <w:t xml:space="preserve"> una vez más a 920 el circulante al finalizar. Este último valor, aunque no resulta muy positivo, no indica el inicio de un cambio de tendencia o si responde a una coyuntura específica por dos razones, a saber, el monto del incremento es pequeño y ubica el resultado final en un punto intermedio entre los cálculos realizados para el 2013 y el 2014.</w:t>
      </w:r>
    </w:p>
    <w:p w:rsidR="003B106A" w:rsidRPr="003B106A" w:rsidRDefault="003B106A" w:rsidP="003B106A">
      <w:pPr>
        <w:spacing w:line="360" w:lineRule="auto"/>
        <w:jc w:val="both"/>
        <w:rPr>
          <w:rFonts w:ascii="Times New Roman" w:hAnsi="Times New Roman" w:cs="Times New Roman"/>
          <w:lang w:eastAsia="ar-SA"/>
        </w:rPr>
      </w:pPr>
    </w:p>
    <w:p w:rsidR="003B106A" w:rsidRPr="003B106A" w:rsidRDefault="003B106A" w:rsidP="003B106A">
      <w:pPr>
        <w:spacing w:line="360" w:lineRule="auto"/>
        <w:jc w:val="center"/>
        <w:rPr>
          <w:rFonts w:ascii="Times New Roman" w:hAnsi="Times New Roman" w:cs="Times New Roman"/>
          <w:lang w:eastAsia="ar-SA"/>
        </w:rPr>
      </w:pPr>
      <w:r w:rsidRPr="003B106A">
        <w:rPr>
          <w:rFonts w:ascii="Times New Roman" w:hAnsi="Times New Roman" w:cs="Times New Roman"/>
          <w:noProof/>
          <w:lang w:val="es-CR" w:eastAsia="es-CR"/>
        </w:rPr>
        <w:drawing>
          <wp:inline distT="0" distB="0" distL="0" distR="0">
            <wp:extent cx="4922520" cy="3467100"/>
            <wp:effectExtent l="0" t="0" r="30480" b="38100"/>
            <wp:docPr id="82" name="Objeto 10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B106A" w:rsidRPr="003B106A" w:rsidRDefault="003B106A" w:rsidP="003B106A">
      <w:pPr>
        <w:spacing w:line="360" w:lineRule="auto"/>
        <w:jc w:val="both"/>
        <w:rPr>
          <w:rFonts w:ascii="Times New Roman" w:hAnsi="Times New Roman" w:cs="Times New Roman"/>
          <w:lang w:eastAsia="ar-SA"/>
        </w:rPr>
      </w:pPr>
    </w:p>
    <w:p w:rsidR="003B106A" w:rsidRPr="003B106A" w:rsidRDefault="003B106A" w:rsidP="003B106A">
      <w:pPr>
        <w:spacing w:line="360" w:lineRule="auto"/>
        <w:jc w:val="both"/>
        <w:rPr>
          <w:rFonts w:ascii="Times New Roman" w:hAnsi="Times New Roman" w:cs="Times New Roman"/>
          <w:lang w:eastAsia="ar-SA"/>
        </w:rPr>
      </w:pPr>
      <w:r w:rsidRPr="003B106A">
        <w:rPr>
          <w:rFonts w:ascii="Times New Roman" w:hAnsi="Times New Roman" w:cs="Times New Roman"/>
          <w:lang w:eastAsia="ar-SA"/>
        </w:rPr>
        <w:t xml:space="preserve">Por otro </w:t>
      </w:r>
      <w:r w:rsidR="00C540DA" w:rsidRPr="003B106A">
        <w:rPr>
          <w:rFonts w:ascii="Times New Roman" w:hAnsi="Times New Roman" w:cs="Times New Roman"/>
          <w:lang w:eastAsia="ar-SA"/>
        </w:rPr>
        <w:t>lado,</w:t>
      </w:r>
      <w:r w:rsidRPr="003B106A">
        <w:rPr>
          <w:rFonts w:ascii="Times New Roman" w:hAnsi="Times New Roman" w:cs="Times New Roman"/>
          <w:lang w:eastAsia="ar-SA"/>
        </w:rPr>
        <w:t xml:space="preserve"> y como se muestra en el gráfico anterior, si bien se produce un leve incremento de lo pendiente al finalizar el 2015 y que registra la cantidad más significativa de los últimos 4 años en </w:t>
      </w:r>
      <w:r w:rsidR="00C540DA" w:rsidRPr="003B106A">
        <w:rPr>
          <w:rFonts w:ascii="Times New Roman" w:hAnsi="Times New Roman" w:cs="Times New Roman"/>
          <w:lang w:eastAsia="ar-SA"/>
        </w:rPr>
        <w:t>la instancia</w:t>
      </w:r>
      <w:r w:rsidRPr="003B106A">
        <w:rPr>
          <w:rFonts w:ascii="Times New Roman" w:hAnsi="Times New Roman" w:cs="Times New Roman"/>
          <w:lang w:eastAsia="ar-SA"/>
        </w:rPr>
        <w:t xml:space="preserve"> superior por juez o jueza, este no es fuerte. Ese leve repunte podría justificarse por el patrón antes descrito para la primera instancia, esto es, al incrementarse el circulante de primera instancia por juez o jueza, de finales del 2015 respecto al reportado en el final del 2014, decrece (aunque en menor proporción) el ingreso de apelaciones ante instancias superiores, donde se nota que a pesar de </w:t>
      </w:r>
      <w:r w:rsidR="00BA1D15">
        <w:rPr>
          <w:rFonts w:ascii="Times New Roman" w:hAnsi="Times New Roman" w:cs="Times New Roman"/>
          <w:lang w:eastAsia="ar-SA"/>
        </w:rPr>
        <w:t xml:space="preserve">que </w:t>
      </w:r>
      <w:r w:rsidRPr="003B106A">
        <w:rPr>
          <w:rFonts w:ascii="Times New Roman" w:hAnsi="Times New Roman" w:cs="Times New Roman"/>
          <w:lang w:eastAsia="ar-SA"/>
        </w:rPr>
        <w:t>si se registra un alza en el número del circulante para el 2015, es menor al que se dio en el 2013-2014. En este punto, se debe recordar que la reducción del indicador en primera instancia se debe al incremento resolutivo de este año como lo indica el incremento del Porcentaje de Resolución comentado en el apartado anterior; así, si crece el volumen de finiquito en primera instancia aumentará la cifra de apelación</w:t>
      </w:r>
      <w:r w:rsidRPr="003B106A">
        <w:rPr>
          <w:rFonts w:ascii="Times New Roman" w:hAnsi="Times New Roman" w:cs="Times New Roman"/>
          <w:vertAlign w:val="superscript"/>
          <w:lang w:eastAsia="ar-SA"/>
        </w:rPr>
        <w:footnoteReference w:id="5"/>
      </w:r>
      <w:r w:rsidRPr="003B106A">
        <w:rPr>
          <w:rFonts w:ascii="Times New Roman" w:hAnsi="Times New Roman" w:cs="Times New Roman"/>
          <w:lang w:eastAsia="ar-SA"/>
        </w:rPr>
        <w:t>.</w:t>
      </w:r>
    </w:p>
    <w:p w:rsidR="003B106A" w:rsidRPr="003B106A" w:rsidRDefault="00BA1D15" w:rsidP="003B106A">
      <w:pPr>
        <w:keepNext/>
        <w:spacing w:before="240" w:after="60" w:line="360" w:lineRule="auto"/>
        <w:jc w:val="both"/>
        <w:outlineLvl w:val="1"/>
        <w:rPr>
          <w:rFonts w:ascii="Times New Roman" w:hAnsi="Times New Roman" w:cs="Times New Roman"/>
          <w:b/>
          <w:bCs/>
          <w:iCs/>
        </w:rPr>
      </w:pPr>
      <w:r w:rsidRPr="003B106A">
        <w:rPr>
          <w:rFonts w:ascii="Times New Roman" w:hAnsi="Times New Roman" w:cs="Times New Roman"/>
          <w:b/>
          <w:bCs/>
          <w:iCs/>
        </w:rPr>
        <w:lastRenderedPageBreak/>
        <w:t xml:space="preserve">4.3 </w:t>
      </w:r>
      <w:r w:rsidRPr="003B106A">
        <w:rPr>
          <w:rFonts w:ascii="Times New Roman" w:hAnsi="Times New Roman" w:cs="Times New Roman"/>
          <w:b/>
          <w:bCs/>
          <w:iCs/>
        </w:rPr>
        <w:tab/>
      </w:r>
      <w:r w:rsidR="003B106A" w:rsidRPr="003B106A">
        <w:rPr>
          <w:rFonts w:ascii="Times New Roman" w:hAnsi="Times New Roman" w:cs="Times New Roman"/>
          <w:b/>
          <w:bCs/>
          <w:iCs/>
        </w:rPr>
        <w:t xml:space="preserve">Duración promedio de juicios fallados con sentencia </w:t>
      </w:r>
      <w:r w:rsidR="003B106A" w:rsidRPr="003B106A">
        <w:rPr>
          <w:rFonts w:ascii="Times New Roman" w:hAnsi="Times New Roman" w:cs="Times New Roman"/>
          <w:b/>
          <w:bCs/>
          <w:iCs/>
          <w:vertAlign w:val="superscript"/>
        </w:rPr>
        <w:footnoteReference w:id="6"/>
      </w:r>
    </w:p>
    <w:p w:rsidR="003B106A" w:rsidRPr="003B106A" w:rsidRDefault="003B106A" w:rsidP="003B106A">
      <w:pPr>
        <w:spacing w:line="360" w:lineRule="auto"/>
        <w:jc w:val="both"/>
        <w:rPr>
          <w:rFonts w:ascii="Times New Roman" w:hAnsi="Times New Roman" w:cs="Times New Roman"/>
          <w:b/>
          <w:bCs/>
          <w:lang w:eastAsia="ar-SA"/>
        </w:rPr>
      </w:pPr>
    </w:p>
    <w:p w:rsidR="003B106A" w:rsidRPr="003B106A" w:rsidRDefault="003B106A" w:rsidP="003B106A">
      <w:pPr>
        <w:spacing w:line="360" w:lineRule="auto"/>
        <w:jc w:val="both"/>
        <w:rPr>
          <w:rFonts w:ascii="Times New Roman" w:hAnsi="Times New Roman" w:cs="Times New Roman"/>
          <w:lang w:eastAsia="ar-SA"/>
        </w:rPr>
      </w:pPr>
      <w:r w:rsidRPr="003B106A">
        <w:rPr>
          <w:rFonts w:ascii="Times New Roman" w:hAnsi="Times New Roman" w:cs="Times New Roman"/>
          <w:lang w:eastAsia="ar-SA"/>
        </w:rPr>
        <w:t xml:space="preserve">En el cálculo de la duración, se consideran solo los casos ordinarios fallados con sentencia (juicio o conciliación); en este apartado se muestran los datos en materia laboral </w:t>
      </w:r>
      <w:r w:rsidRPr="003B106A">
        <w:rPr>
          <w:rFonts w:ascii="Times New Roman" w:hAnsi="Times New Roman" w:cs="Times New Roman"/>
          <w:vertAlign w:val="superscript"/>
          <w:lang w:eastAsia="ar-SA"/>
        </w:rPr>
        <w:t>(</w:t>
      </w:r>
      <w:r w:rsidRPr="003B106A">
        <w:rPr>
          <w:rFonts w:ascii="Times New Roman" w:hAnsi="Times New Roman" w:cs="Times New Roman"/>
          <w:vertAlign w:val="superscript"/>
          <w:lang w:eastAsia="ar-SA"/>
        </w:rPr>
        <w:footnoteReference w:id="7"/>
      </w:r>
      <w:r w:rsidRPr="003B106A">
        <w:rPr>
          <w:rFonts w:ascii="Times New Roman" w:hAnsi="Times New Roman" w:cs="Times New Roman"/>
          <w:vertAlign w:val="superscript"/>
          <w:lang w:eastAsia="ar-SA"/>
        </w:rPr>
        <w:t>)</w:t>
      </w:r>
      <w:r w:rsidRPr="003B106A">
        <w:rPr>
          <w:rFonts w:ascii="Times New Roman" w:hAnsi="Times New Roman" w:cs="Times New Roman"/>
          <w:lang w:eastAsia="ar-SA"/>
        </w:rPr>
        <w:t xml:space="preserve"> y en materia Penal </w:t>
      </w:r>
      <w:r w:rsidRPr="003B106A">
        <w:rPr>
          <w:rFonts w:ascii="Times New Roman" w:hAnsi="Times New Roman" w:cs="Times New Roman"/>
          <w:vertAlign w:val="superscript"/>
          <w:lang w:eastAsia="ar-SA"/>
        </w:rPr>
        <w:t>(</w:t>
      </w:r>
      <w:r w:rsidRPr="003B106A">
        <w:rPr>
          <w:rFonts w:ascii="Times New Roman" w:hAnsi="Times New Roman" w:cs="Times New Roman"/>
          <w:vertAlign w:val="superscript"/>
          <w:lang w:eastAsia="ar-SA"/>
        </w:rPr>
        <w:footnoteReference w:id="8"/>
      </w:r>
      <w:r w:rsidRPr="003B106A">
        <w:rPr>
          <w:rFonts w:ascii="Times New Roman" w:hAnsi="Times New Roman" w:cs="Times New Roman"/>
          <w:vertAlign w:val="superscript"/>
          <w:lang w:eastAsia="ar-SA"/>
        </w:rPr>
        <w:t>)</w:t>
      </w:r>
      <w:r w:rsidRPr="003B106A">
        <w:rPr>
          <w:rFonts w:ascii="Times New Roman" w:hAnsi="Times New Roman" w:cs="Times New Roman"/>
          <w:lang w:eastAsia="ar-SA"/>
        </w:rPr>
        <w:t>.</w:t>
      </w:r>
    </w:p>
    <w:p w:rsidR="003B106A" w:rsidRPr="003B106A" w:rsidRDefault="003B106A" w:rsidP="003B106A">
      <w:pPr>
        <w:spacing w:line="360" w:lineRule="auto"/>
        <w:jc w:val="both"/>
        <w:rPr>
          <w:rFonts w:ascii="Times New Roman" w:hAnsi="Times New Roman" w:cs="Times New Roman"/>
          <w:b/>
          <w:bCs/>
          <w:lang w:eastAsia="ar-SA"/>
        </w:rPr>
      </w:pPr>
    </w:p>
    <w:p w:rsidR="003B106A" w:rsidRPr="003B106A" w:rsidRDefault="003B106A" w:rsidP="003B106A">
      <w:pPr>
        <w:spacing w:line="360" w:lineRule="auto"/>
        <w:jc w:val="both"/>
        <w:rPr>
          <w:rFonts w:ascii="Times New Roman" w:hAnsi="Times New Roman" w:cs="Times New Roman"/>
          <w:b/>
          <w:lang w:eastAsia="ar-SA"/>
        </w:rPr>
      </w:pPr>
      <w:r w:rsidRPr="003B106A">
        <w:rPr>
          <w:rFonts w:ascii="Times New Roman" w:hAnsi="Times New Roman" w:cs="Times New Roman"/>
          <w:b/>
          <w:lang w:eastAsia="ar-SA"/>
        </w:rPr>
        <w:t xml:space="preserve">Materia Laboral de primera instancia: </w:t>
      </w:r>
    </w:p>
    <w:p w:rsidR="003B106A" w:rsidRPr="003B106A" w:rsidRDefault="003B106A" w:rsidP="003B106A">
      <w:pPr>
        <w:spacing w:line="360" w:lineRule="auto"/>
        <w:jc w:val="both"/>
        <w:rPr>
          <w:rFonts w:ascii="Times New Roman" w:hAnsi="Times New Roman" w:cs="Times New Roman"/>
          <w:b/>
          <w:bCs/>
          <w:lang w:eastAsia="ar-SA"/>
        </w:rPr>
      </w:pPr>
    </w:p>
    <w:p w:rsidR="003B106A" w:rsidRPr="003B106A" w:rsidRDefault="003B106A" w:rsidP="003B106A">
      <w:pPr>
        <w:spacing w:line="360" w:lineRule="auto"/>
        <w:jc w:val="both"/>
        <w:rPr>
          <w:rFonts w:ascii="Times New Roman" w:hAnsi="Times New Roman" w:cs="Times New Roman"/>
          <w:lang w:eastAsia="ar-SA"/>
        </w:rPr>
      </w:pPr>
      <w:r w:rsidRPr="003B106A">
        <w:rPr>
          <w:rFonts w:ascii="Times New Roman" w:hAnsi="Times New Roman" w:cs="Times New Roman"/>
          <w:lang w:eastAsia="ar-SA"/>
        </w:rPr>
        <w:t>Históricamente, existe una marcada diferencia entre lo que dura un proceso en materia laboral dependiendo si este es resuelto con sentencia por lo</w:t>
      </w:r>
      <w:r w:rsidR="00492EA0">
        <w:rPr>
          <w:rFonts w:ascii="Times New Roman" w:hAnsi="Times New Roman" w:cs="Times New Roman"/>
          <w:lang w:eastAsia="ar-SA"/>
        </w:rPr>
        <w:t>s</w:t>
      </w:r>
      <w:r w:rsidRPr="003B106A">
        <w:rPr>
          <w:rFonts w:ascii="Times New Roman" w:hAnsi="Times New Roman" w:cs="Times New Roman"/>
          <w:lang w:eastAsia="ar-SA"/>
        </w:rPr>
        <w:t xml:space="preserve"> juzgados de trabajo competentes en mayor cuantía o, si por otro lado, lo son por la vía de menor cuantía laboral. Como se ha logrado determinar, en los despachos de menor cuantía laboral las duraciones </w:t>
      </w:r>
      <w:r w:rsidR="00BA1D15" w:rsidRPr="003B106A">
        <w:rPr>
          <w:rFonts w:ascii="Times New Roman" w:hAnsi="Times New Roman" w:cs="Times New Roman"/>
          <w:lang w:eastAsia="ar-SA"/>
        </w:rPr>
        <w:t>son aproximadamente</w:t>
      </w:r>
      <w:r w:rsidRPr="003B106A">
        <w:rPr>
          <w:rFonts w:ascii="Times New Roman" w:hAnsi="Times New Roman" w:cs="Times New Roman"/>
          <w:lang w:eastAsia="ar-SA"/>
        </w:rPr>
        <w:t xml:space="preserve"> tres veces menos que en un despacho de mayor cuantía; para el 2015 en los despachos de mayor cuantía se duró 22 meses con 2 semanas (un mes menos que el ejercicio del 2014) mientras que, en los despachos de menor cuantía la duración fue 8 meses con 2 semanas obteniéndose la misma duración para el 2014.  </w:t>
      </w:r>
    </w:p>
    <w:p w:rsidR="003B106A" w:rsidRPr="003B106A" w:rsidRDefault="003B106A" w:rsidP="003B106A">
      <w:pPr>
        <w:spacing w:line="360" w:lineRule="auto"/>
        <w:jc w:val="both"/>
        <w:rPr>
          <w:rFonts w:ascii="Times New Roman" w:hAnsi="Times New Roman" w:cs="Times New Roman"/>
          <w:bCs/>
          <w:lang w:eastAsia="ar-SA"/>
        </w:rPr>
      </w:pPr>
      <w:r w:rsidRPr="003B106A">
        <w:rPr>
          <w:rFonts w:ascii="Times New Roman" w:hAnsi="Times New Roman" w:cs="Times New Roman"/>
          <w:bCs/>
          <w:lang w:eastAsia="ar-SA"/>
        </w:rPr>
        <w:t xml:space="preserve">A </w:t>
      </w:r>
      <w:r w:rsidR="00C540DA" w:rsidRPr="003B106A">
        <w:rPr>
          <w:rFonts w:ascii="Times New Roman" w:hAnsi="Times New Roman" w:cs="Times New Roman"/>
          <w:bCs/>
          <w:lang w:eastAsia="ar-SA"/>
        </w:rPr>
        <w:t>continuación,</w:t>
      </w:r>
      <w:r w:rsidRPr="003B106A">
        <w:rPr>
          <w:rFonts w:ascii="Times New Roman" w:hAnsi="Times New Roman" w:cs="Times New Roman"/>
          <w:bCs/>
          <w:lang w:eastAsia="ar-SA"/>
        </w:rPr>
        <w:t xml:space="preserve"> se presenta gráficamente las tendencias por instancia para cada uno de los años desde el 2011, y que fueron expuestos anteriormente:</w:t>
      </w:r>
    </w:p>
    <w:p w:rsidR="003B106A" w:rsidRPr="003B106A" w:rsidRDefault="003B106A" w:rsidP="003B106A">
      <w:pPr>
        <w:spacing w:line="360" w:lineRule="auto"/>
        <w:jc w:val="both"/>
        <w:rPr>
          <w:b/>
          <w:bCs/>
          <w:lang w:eastAsia="ar-SA"/>
        </w:rPr>
      </w:pPr>
    </w:p>
    <w:p w:rsidR="003B106A" w:rsidRPr="003B106A" w:rsidRDefault="003B106A" w:rsidP="003B106A">
      <w:pPr>
        <w:spacing w:line="360" w:lineRule="auto"/>
        <w:jc w:val="center"/>
        <w:rPr>
          <w:b/>
          <w:bCs/>
          <w:lang w:eastAsia="ar-SA"/>
        </w:rPr>
      </w:pPr>
      <w:r w:rsidRPr="003B106A">
        <w:rPr>
          <w:noProof/>
          <w:lang w:val="es-CR" w:eastAsia="es-CR"/>
        </w:rPr>
        <w:lastRenderedPageBreak/>
        <w:drawing>
          <wp:inline distT="0" distB="0" distL="0" distR="0">
            <wp:extent cx="5793354" cy="3312547"/>
            <wp:effectExtent l="0" t="0" r="36195" b="40640"/>
            <wp:docPr id="83" name="Objeto 1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B106A" w:rsidRPr="003B106A" w:rsidRDefault="003B106A" w:rsidP="003B106A">
      <w:pPr>
        <w:spacing w:line="360" w:lineRule="auto"/>
        <w:jc w:val="both"/>
        <w:rPr>
          <w:b/>
          <w:bCs/>
          <w:lang w:eastAsia="ar-SA"/>
        </w:rPr>
      </w:pPr>
    </w:p>
    <w:p w:rsidR="003B106A" w:rsidRPr="003B106A" w:rsidRDefault="003B106A" w:rsidP="003B106A">
      <w:pPr>
        <w:spacing w:line="360" w:lineRule="auto"/>
        <w:jc w:val="both"/>
        <w:rPr>
          <w:rFonts w:ascii="Times New Roman" w:hAnsi="Times New Roman" w:cs="Times New Roman"/>
          <w:b/>
          <w:lang w:eastAsia="ar-SA"/>
        </w:rPr>
      </w:pPr>
    </w:p>
    <w:p w:rsidR="003B106A" w:rsidRPr="003B106A" w:rsidRDefault="003B106A" w:rsidP="003B106A">
      <w:pPr>
        <w:spacing w:line="360" w:lineRule="auto"/>
        <w:jc w:val="both"/>
        <w:rPr>
          <w:rFonts w:ascii="Times New Roman" w:hAnsi="Times New Roman" w:cs="Times New Roman"/>
          <w:b/>
          <w:bCs/>
          <w:lang w:eastAsia="ar-SA"/>
        </w:rPr>
      </w:pPr>
      <w:r w:rsidRPr="003B106A">
        <w:rPr>
          <w:rFonts w:ascii="Times New Roman" w:hAnsi="Times New Roman" w:cs="Times New Roman"/>
          <w:b/>
          <w:lang w:eastAsia="ar-SA"/>
        </w:rPr>
        <w:t>Materia Penal (hasta etapa de juicio):</w:t>
      </w:r>
    </w:p>
    <w:p w:rsidR="003B106A" w:rsidRPr="003B106A" w:rsidRDefault="003B106A" w:rsidP="003B106A">
      <w:pPr>
        <w:spacing w:line="360" w:lineRule="auto"/>
        <w:jc w:val="both"/>
        <w:rPr>
          <w:rFonts w:ascii="Times New Roman" w:hAnsi="Times New Roman" w:cs="Times New Roman"/>
          <w:b/>
          <w:bCs/>
          <w:lang w:eastAsia="ar-SA"/>
        </w:rPr>
      </w:pPr>
    </w:p>
    <w:p w:rsidR="003B106A" w:rsidRPr="003B106A" w:rsidRDefault="003B106A" w:rsidP="003B106A">
      <w:pPr>
        <w:spacing w:line="360" w:lineRule="auto"/>
        <w:jc w:val="both"/>
        <w:rPr>
          <w:rFonts w:ascii="Times New Roman" w:hAnsi="Times New Roman" w:cs="Times New Roman"/>
          <w:b/>
          <w:bCs/>
          <w:lang w:eastAsia="ar-SA"/>
        </w:rPr>
      </w:pPr>
      <w:r w:rsidRPr="003B106A">
        <w:rPr>
          <w:rFonts w:ascii="Times New Roman" w:hAnsi="Times New Roman" w:cs="Times New Roman"/>
          <w:lang w:eastAsia="ar-SA"/>
        </w:rPr>
        <w:t>Si bien en el 2015, se da una pequeña disminución de lo que se dura en materia penal con respecto a lo registrado en el 2014, en términos generales, este indicador se ha mostrado relativamente constante. Como se muestra en la siguiente gráfica, a lo largo del último quinquenio la duración promedio anual ha oscilado en un intervalo que va de los 20 meses con 1 semana en el 2012 a 22 meses como máxima duración registrada para el año anterior, provocando un rango de variación de 1 mes y tres semanas para el periodo bajo estudio; y donde el indicador del 2015 disminuyo a 21 meses, un mes menos que en el 2014.</w:t>
      </w:r>
    </w:p>
    <w:p w:rsidR="003B106A" w:rsidRPr="003B106A" w:rsidRDefault="003B106A" w:rsidP="003B106A">
      <w:pPr>
        <w:jc w:val="both"/>
        <w:rPr>
          <w:rFonts w:ascii="Times New Roman" w:hAnsi="Times New Roman" w:cs="Times New Roman"/>
          <w:lang w:eastAsia="ar-SA"/>
        </w:rPr>
      </w:pPr>
    </w:p>
    <w:p w:rsidR="003B106A" w:rsidRPr="003B106A" w:rsidRDefault="003B106A" w:rsidP="003B106A">
      <w:pPr>
        <w:spacing w:line="360" w:lineRule="auto"/>
        <w:jc w:val="center"/>
        <w:rPr>
          <w:rFonts w:ascii="Times New Roman" w:hAnsi="Times New Roman" w:cs="Times New Roman"/>
          <w:lang w:eastAsia="ar-SA"/>
        </w:rPr>
      </w:pPr>
      <w:r w:rsidRPr="003B106A">
        <w:rPr>
          <w:rFonts w:ascii="Times New Roman" w:hAnsi="Times New Roman" w:cs="Times New Roman"/>
          <w:noProof/>
          <w:lang w:val="es-CR" w:eastAsia="es-CR"/>
        </w:rPr>
        <w:lastRenderedPageBreak/>
        <w:drawing>
          <wp:inline distT="0" distB="0" distL="0" distR="0">
            <wp:extent cx="4841130" cy="3013545"/>
            <wp:effectExtent l="0" t="0" r="36195" b="34925"/>
            <wp:docPr id="84" name="Objeto 1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B106A" w:rsidRPr="003B106A" w:rsidRDefault="003B106A" w:rsidP="003B106A">
      <w:pPr>
        <w:spacing w:line="360" w:lineRule="auto"/>
        <w:jc w:val="both"/>
        <w:rPr>
          <w:rFonts w:ascii="Times New Roman" w:hAnsi="Times New Roman" w:cs="Times New Roman"/>
          <w:lang w:eastAsia="ar-SA"/>
        </w:rPr>
      </w:pPr>
    </w:p>
    <w:p w:rsidR="003B106A" w:rsidRPr="003B106A" w:rsidRDefault="003B106A" w:rsidP="003B106A">
      <w:pPr>
        <w:spacing w:line="360" w:lineRule="auto"/>
        <w:jc w:val="both"/>
        <w:rPr>
          <w:rFonts w:ascii="Times New Roman" w:hAnsi="Times New Roman" w:cs="Times New Roman"/>
          <w:lang w:eastAsia="ar-SA"/>
        </w:rPr>
      </w:pPr>
      <w:r w:rsidRPr="003B106A">
        <w:rPr>
          <w:rFonts w:ascii="Times New Roman" w:hAnsi="Times New Roman" w:cs="Times New Roman"/>
          <w:lang w:eastAsia="ar-SA"/>
        </w:rPr>
        <w:t xml:space="preserve">En materia Agraria, se </w:t>
      </w:r>
      <w:r w:rsidR="00454784" w:rsidRPr="003B106A">
        <w:rPr>
          <w:rFonts w:ascii="Times New Roman" w:hAnsi="Times New Roman" w:cs="Times New Roman"/>
          <w:lang w:eastAsia="ar-SA"/>
        </w:rPr>
        <w:t>observa un</w:t>
      </w:r>
      <w:r w:rsidRPr="003B106A">
        <w:rPr>
          <w:rFonts w:ascii="Times New Roman" w:hAnsi="Times New Roman" w:cs="Times New Roman"/>
          <w:lang w:eastAsia="ar-SA"/>
        </w:rPr>
        <w:t xml:space="preserve"> repunte importante de 9 meses con 1 semana en el 2015 respecto al 2014, el monto de la duración promedio no sufre cambios de importancia.  Esto ocurre también en materia de Familia con una leve disminución de una semana para este año respecto al ejercicio del año inmediatamente anterior. En materia Tránsito, la disminución es de 1 semanas al pasar de 5 meses con 1 semanas del 2014 a 5 meses doce meses después mientras que en lo Contravencional aumenta la duración a 5 meses con 3 semana en este año, dos semanas más que el cálculo del 2014 cuando se reportó una </w:t>
      </w:r>
      <w:r w:rsidR="00454784" w:rsidRPr="003B106A">
        <w:rPr>
          <w:rFonts w:ascii="Times New Roman" w:hAnsi="Times New Roman" w:cs="Times New Roman"/>
          <w:lang w:eastAsia="ar-SA"/>
        </w:rPr>
        <w:t>duración de</w:t>
      </w:r>
      <w:r w:rsidRPr="003B106A">
        <w:rPr>
          <w:rFonts w:ascii="Times New Roman" w:hAnsi="Times New Roman" w:cs="Times New Roman"/>
          <w:lang w:eastAsia="ar-SA"/>
        </w:rPr>
        <w:t xml:space="preserve"> 5 meses 1 semanas. </w:t>
      </w:r>
    </w:p>
    <w:p w:rsidR="003B106A" w:rsidRPr="003B106A" w:rsidRDefault="003B106A" w:rsidP="003B106A">
      <w:pPr>
        <w:spacing w:line="360" w:lineRule="auto"/>
        <w:jc w:val="both"/>
        <w:rPr>
          <w:rFonts w:ascii="Times New Roman" w:hAnsi="Times New Roman" w:cs="Times New Roman"/>
          <w:bCs/>
          <w:lang w:eastAsia="ar-SA"/>
        </w:rPr>
      </w:pPr>
      <w:r w:rsidRPr="003B106A">
        <w:rPr>
          <w:rFonts w:ascii="Times New Roman" w:hAnsi="Times New Roman" w:cs="Times New Roman"/>
          <w:bCs/>
          <w:lang w:eastAsia="ar-SA"/>
        </w:rPr>
        <w:t xml:space="preserve">A </w:t>
      </w:r>
      <w:r w:rsidR="00454784" w:rsidRPr="003B106A">
        <w:rPr>
          <w:rFonts w:ascii="Times New Roman" w:hAnsi="Times New Roman" w:cs="Times New Roman"/>
          <w:bCs/>
          <w:lang w:eastAsia="ar-SA"/>
        </w:rPr>
        <w:t>continuación,</w:t>
      </w:r>
      <w:r w:rsidRPr="003B106A">
        <w:rPr>
          <w:rFonts w:ascii="Times New Roman" w:hAnsi="Times New Roman" w:cs="Times New Roman"/>
          <w:bCs/>
          <w:lang w:eastAsia="ar-SA"/>
        </w:rPr>
        <w:t xml:space="preserve"> se presenta el desglose comparativo para los años 2014-2015 de las duraciones registradas para cada una de las materias:</w:t>
      </w:r>
    </w:p>
    <w:p w:rsidR="003B106A" w:rsidRPr="003B106A" w:rsidRDefault="003B106A" w:rsidP="003B106A">
      <w:pPr>
        <w:spacing w:line="360" w:lineRule="auto"/>
        <w:jc w:val="both"/>
        <w:rPr>
          <w:rFonts w:ascii="Times New Roman" w:hAnsi="Times New Roman" w:cs="Times New Roman"/>
          <w:bCs/>
          <w:lang w:eastAsia="ar-SA"/>
        </w:rPr>
      </w:pPr>
    </w:p>
    <w:tbl>
      <w:tblPr>
        <w:tblW w:w="8715" w:type="dxa"/>
        <w:jc w:val="center"/>
        <w:tblBorders>
          <w:insideH w:val="single" w:sz="4" w:space="0" w:color="auto"/>
        </w:tblBorders>
        <w:tblLook w:val="01E0"/>
      </w:tblPr>
      <w:tblGrid>
        <w:gridCol w:w="4215"/>
        <w:gridCol w:w="2340"/>
        <w:gridCol w:w="2160"/>
      </w:tblGrid>
      <w:tr w:rsidR="003B106A" w:rsidRPr="003B106A" w:rsidTr="00607D7A">
        <w:trPr>
          <w:tblHeader/>
          <w:jc w:val="center"/>
        </w:trPr>
        <w:tc>
          <w:tcPr>
            <w:tcW w:w="4215" w:type="dxa"/>
            <w:tcBorders>
              <w:top w:val="single" w:sz="18" w:space="0" w:color="auto"/>
              <w:bottom w:val="dashed" w:sz="4" w:space="0" w:color="auto"/>
              <w:right w:val="single" w:sz="2" w:space="0" w:color="auto"/>
            </w:tcBorders>
            <w:shd w:val="clear" w:color="auto" w:fill="auto"/>
          </w:tcPr>
          <w:p w:rsidR="003B106A" w:rsidRPr="003B106A" w:rsidRDefault="003B106A" w:rsidP="003B106A">
            <w:pPr>
              <w:jc w:val="center"/>
              <w:rPr>
                <w:rFonts w:ascii="Times New Roman" w:hAnsi="Times New Roman" w:cs="Times New Roman"/>
                <w:b/>
                <w:sz w:val="18"/>
                <w:u w:val="single"/>
                <w:lang w:eastAsia="ar-SA"/>
              </w:rPr>
            </w:pPr>
            <w:r w:rsidRPr="003B106A">
              <w:rPr>
                <w:rFonts w:ascii="Times New Roman" w:hAnsi="Times New Roman" w:cs="Times New Roman"/>
                <w:b/>
                <w:sz w:val="18"/>
                <w:u w:val="single"/>
                <w:lang w:eastAsia="ar-SA"/>
              </w:rPr>
              <w:t>MATERIA</w:t>
            </w:r>
          </w:p>
        </w:tc>
        <w:tc>
          <w:tcPr>
            <w:tcW w:w="2340" w:type="dxa"/>
            <w:tcBorders>
              <w:top w:val="single" w:sz="18" w:space="0" w:color="auto"/>
              <w:left w:val="single" w:sz="2" w:space="0" w:color="auto"/>
              <w:bottom w:val="dashed" w:sz="4" w:space="0" w:color="auto"/>
              <w:right w:val="single" w:sz="2" w:space="0" w:color="auto"/>
            </w:tcBorders>
            <w:shd w:val="clear" w:color="auto" w:fill="auto"/>
          </w:tcPr>
          <w:p w:rsidR="003B106A" w:rsidRPr="003B106A" w:rsidRDefault="003B106A" w:rsidP="003B106A">
            <w:pPr>
              <w:jc w:val="center"/>
              <w:rPr>
                <w:rFonts w:ascii="Times New Roman" w:hAnsi="Times New Roman" w:cs="Times New Roman"/>
                <w:b/>
                <w:sz w:val="18"/>
                <w:u w:val="single"/>
                <w:lang w:eastAsia="ar-SA"/>
              </w:rPr>
            </w:pPr>
            <w:r w:rsidRPr="003B106A">
              <w:rPr>
                <w:rFonts w:ascii="Times New Roman" w:hAnsi="Times New Roman" w:cs="Times New Roman"/>
                <w:b/>
                <w:sz w:val="18"/>
                <w:u w:val="single"/>
                <w:lang w:eastAsia="ar-SA"/>
              </w:rPr>
              <w:t>2014</w:t>
            </w:r>
          </w:p>
        </w:tc>
        <w:tc>
          <w:tcPr>
            <w:tcW w:w="2160" w:type="dxa"/>
            <w:tcBorders>
              <w:top w:val="single" w:sz="18" w:space="0" w:color="auto"/>
              <w:left w:val="single" w:sz="2" w:space="0" w:color="auto"/>
              <w:bottom w:val="dashed" w:sz="4" w:space="0" w:color="auto"/>
            </w:tcBorders>
            <w:shd w:val="clear" w:color="auto" w:fill="auto"/>
          </w:tcPr>
          <w:p w:rsidR="003B106A" w:rsidRPr="003B106A" w:rsidRDefault="003B106A" w:rsidP="003B106A">
            <w:pPr>
              <w:jc w:val="center"/>
              <w:rPr>
                <w:rFonts w:ascii="Times New Roman" w:hAnsi="Times New Roman" w:cs="Times New Roman"/>
                <w:b/>
                <w:sz w:val="18"/>
                <w:u w:val="single"/>
                <w:lang w:eastAsia="ar-SA"/>
              </w:rPr>
            </w:pPr>
            <w:r w:rsidRPr="003B106A">
              <w:rPr>
                <w:rFonts w:ascii="Times New Roman" w:hAnsi="Times New Roman" w:cs="Times New Roman"/>
                <w:b/>
                <w:sz w:val="18"/>
                <w:u w:val="single"/>
                <w:lang w:eastAsia="ar-SA"/>
              </w:rPr>
              <w:t>2015</w:t>
            </w:r>
          </w:p>
          <w:p w:rsidR="003B106A" w:rsidRPr="003B106A" w:rsidRDefault="003B106A" w:rsidP="003B106A">
            <w:pPr>
              <w:jc w:val="center"/>
              <w:rPr>
                <w:rFonts w:ascii="Times New Roman" w:hAnsi="Times New Roman" w:cs="Times New Roman"/>
                <w:b/>
                <w:sz w:val="18"/>
                <w:u w:val="single"/>
                <w:lang w:eastAsia="ar-SA"/>
              </w:rPr>
            </w:pPr>
          </w:p>
        </w:tc>
      </w:tr>
      <w:tr w:rsidR="003B106A" w:rsidRPr="003B106A" w:rsidTr="00607D7A">
        <w:trPr>
          <w:jc w:val="center"/>
        </w:trPr>
        <w:tc>
          <w:tcPr>
            <w:tcW w:w="4215" w:type="dxa"/>
            <w:tcBorders>
              <w:top w:val="dashed" w:sz="4" w:space="0" w:color="auto"/>
              <w:bottom w:val="dashed" w:sz="4" w:space="0" w:color="auto"/>
              <w:right w:val="single" w:sz="2" w:space="0" w:color="auto"/>
            </w:tcBorders>
            <w:shd w:val="clear" w:color="auto" w:fill="auto"/>
          </w:tcPr>
          <w:p w:rsidR="003B106A" w:rsidRPr="003B106A" w:rsidRDefault="003B106A" w:rsidP="003B106A">
            <w:pPr>
              <w:jc w:val="both"/>
              <w:rPr>
                <w:rFonts w:ascii="Times New Roman" w:hAnsi="Times New Roman" w:cs="Times New Roman"/>
                <w:sz w:val="18"/>
                <w:lang w:eastAsia="ar-SA"/>
              </w:rPr>
            </w:pPr>
            <w:r w:rsidRPr="003B106A">
              <w:rPr>
                <w:rFonts w:ascii="Times New Roman" w:hAnsi="Times New Roman" w:cs="Times New Roman"/>
                <w:sz w:val="18"/>
                <w:lang w:eastAsia="ar-SA"/>
              </w:rPr>
              <w:t>Agraria</w:t>
            </w:r>
          </w:p>
        </w:tc>
        <w:tc>
          <w:tcPr>
            <w:tcW w:w="2340" w:type="dxa"/>
            <w:tcBorders>
              <w:top w:val="dashed" w:sz="4" w:space="0" w:color="auto"/>
              <w:left w:val="single" w:sz="2" w:space="0" w:color="auto"/>
              <w:bottom w:val="dashed" w:sz="4" w:space="0" w:color="auto"/>
              <w:right w:val="single" w:sz="2" w:space="0" w:color="auto"/>
            </w:tcBorders>
            <w:shd w:val="clear" w:color="auto" w:fill="auto"/>
          </w:tcPr>
          <w:p w:rsidR="003B106A" w:rsidRPr="003B106A" w:rsidRDefault="003B106A" w:rsidP="003B106A">
            <w:pPr>
              <w:jc w:val="center"/>
              <w:rPr>
                <w:rFonts w:ascii="Times New Roman" w:hAnsi="Times New Roman" w:cs="Times New Roman"/>
                <w:sz w:val="18"/>
                <w:lang w:eastAsia="ar-SA"/>
              </w:rPr>
            </w:pPr>
            <w:r w:rsidRPr="003B106A">
              <w:rPr>
                <w:rFonts w:ascii="Times New Roman" w:hAnsi="Times New Roman" w:cs="Times New Roman"/>
                <w:sz w:val="18"/>
                <w:lang w:eastAsia="ar-SA"/>
              </w:rPr>
              <w:t>25 meses 2 semanas</w:t>
            </w:r>
          </w:p>
        </w:tc>
        <w:tc>
          <w:tcPr>
            <w:tcW w:w="2160" w:type="dxa"/>
            <w:tcBorders>
              <w:top w:val="dashed" w:sz="4" w:space="0" w:color="auto"/>
              <w:left w:val="single" w:sz="2" w:space="0" w:color="auto"/>
              <w:bottom w:val="dashed" w:sz="4" w:space="0" w:color="auto"/>
            </w:tcBorders>
            <w:shd w:val="clear" w:color="auto" w:fill="auto"/>
          </w:tcPr>
          <w:p w:rsidR="003B106A" w:rsidRPr="003B106A" w:rsidRDefault="003B106A" w:rsidP="003B106A">
            <w:pPr>
              <w:jc w:val="center"/>
              <w:rPr>
                <w:rFonts w:ascii="Times New Roman" w:hAnsi="Times New Roman" w:cs="Times New Roman"/>
                <w:sz w:val="18"/>
                <w:lang w:eastAsia="ar-SA"/>
              </w:rPr>
            </w:pPr>
            <w:r w:rsidRPr="003B106A">
              <w:rPr>
                <w:rFonts w:ascii="Times New Roman" w:hAnsi="Times New Roman" w:cs="Times New Roman"/>
                <w:sz w:val="18"/>
                <w:lang w:eastAsia="ar-SA"/>
              </w:rPr>
              <w:t>34 meses 3 semanas</w:t>
            </w:r>
          </w:p>
        </w:tc>
      </w:tr>
      <w:tr w:rsidR="003B106A" w:rsidRPr="003B106A" w:rsidTr="00607D7A">
        <w:trPr>
          <w:jc w:val="center"/>
        </w:trPr>
        <w:tc>
          <w:tcPr>
            <w:tcW w:w="4215" w:type="dxa"/>
            <w:tcBorders>
              <w:top w:val="dashed" w:sz="4" w:space="0" w:color="auto"/>
              <w:bottom w:val="dashed" w:sz="4" w:space="0" w:color="auto"/>
              <w:right w:val="single" w:sz="2" w:space="0" w:color="auto"/>
            </w:tcBorders>
            <w:shd w:val="clear" w:color="auto" w:fill="auto"/>
          </w:tcPr>
          <w:p w:rsidR="003B106A" w:rsidRPr="003B106A" w:rsidRDefault="003B106A" w:rsidP="003B106A">
            <w:pPr>
              <w:jc w:val="both"/>
              <w:rPr>
                <w:rFonts w:ascii="Times New Roman" w:hAnsi="Times New Roman" w:cs="Times New Roman"/>
                <w:sz w:val="18"/>
                <w:lang w:eastAsia="ar-SA"/>
              </w:rPr>
            </w:pPr>
            <w:r w:rsidRPr="003B106A">
              <w:rPr>
                <w:rFonts w:ascii="Times New Roman" w:hAnsi="Times New Roman" w:cs="Times New Roman"/>
                <w:sz w:val="18"/>
                <w:lang w:eastAsia="ar-SA"/>
              </w:rPr>
              <w:t>Familia</w:t>
            </w:r>
          </w:p>
        </w:tc>
        <w:tc>
          <w:tcPr>
            <w:tcW w:w="2340" w:type="dxa"/>
            <w:tcBorders>
              <w:top w:val="dashed" w:sz="4" w:space="0" w:color="auto"/>
              <w:left w:val="single" w:sz="2" w:space="0" w:color="auto"/>
              <w:bottom w:val="dashed" w:sz="4" w:space="0" w:color="auto"/>
              <w:right w:val="single" w:sz="2" w:space="0" w:color="auto"/>
            </w:tcBorders>
            <w:shd w:val="clear" w:color="auto" w:fill="auto"/>
          </w:tcPr>
          <w:p w:rsidR="003B106A" w:rsidRPr="003B106A" w:rsidRDefault="003B106A" w:rsidP="003B106A">
            <w:pPr>
              <w:jc w:val="center"/>
              <w:rPr>
                <w:rFonts w:ascii="Times New Roman" w:hAnsi="Times New Roman" w:cs="Times New Roman"/>
                <w:sz w:val="18"/>
                <w:lang w:eastAsia="ar-SA"/>
              </w:rPr>
            </w:pPr>
            <w:r w:rsidRPr="003B106A">
              <w:rPr>
                <w:rFonts w:ascii="Times New Roman" w:hAnsi="Times New Roman" w:cs="Times New Roman"/>
                <w:sz w:val="18"/>
                <w:lang w:eastAsia="ar-SA"/>
              </w:rPr>
              <w:t>9 meses 0 semanas</w:t>
            </w:r>
          </w:p>
        </w:tc>
        <w:tc>
          <w:tcPr>
            <w:tcW w:w="2160" w:type="dxa"/>
            <w:tcBorders>
              <w:top w:val="dashed" w:sz="4" w:space="0" w:color="auto"/>
              <w:left w:val="single" w:sz="2" w:space="0" w:color="auto"/>
              <w:bottom w:val="dashed" w:sz="4" w:space="0" w:color="auto"/>
            </w:tcBorders>
            <w:shd w:val="clear" w:color="auto" w:fill="auto"/>
          </w:tcPr>
          <w:p w:rsidR="003B106A" w:rsidRPr="003B106A" w:rsidRDefault="003B106A" w:rsidP="003B106A">
            <w:pPr>
              <w:jc w:val="center"/>
              <w:rPr>
                <w:rFonts w:ascii="Times New Roman" w:hAnsi="Times New Roman" w:cs="Times New Roman"/>
                <w:sz w:val="18"/>
                <w:lang w:eastAsia="ar-SA"/>
              </w:rPr>
            </w:pPr>
            <w:r w:rsidRPr="003B106A">
              <w:rPr>
                <w:rFonts w:ascii="Times New Roman" w:hAnsi="Times New Roman" w:cs="Times New Roman"/>
                <w:sz w:val="18"/>
                <w:lang w:eastAsia="ar-SA"/>
              </w:rPr>
              <w:t>8 meses 3 semanas</w:t>
            </w:r>
          </w:p>
        </w:tc>
      </w:tr>
      <w:tr w:rsidR="003B106A" w:rsidRPr="003B106A" w:rsidTr="00607D7A">
        <w:trPr>
          <w:jc w:val="center"/>
        </w:trPr>
        <w:tc>
          <w:tcPr>
            <w:tcW w:w="4215" w:type="dxa"/>
            <w:tcBorders>
              <w:top w:val="dashed" w:sz="4" w:space="0" w:color="auto"/>
              <w:bottom w:val="dashed" w:sz="4" w:space="0" w:color="auto"/>
              <w:right w:val="single" w:sz="2" w:space="0" w:color="auto"/>
            </w:tcBorders>
            <w:shd w:val="clear" w:color="auto" w:fill="auto"/>
          </w:tcPr>
          <w:p w:rsidR="003B106A" w:rsidRPr="003B106A" w:rsidRDefault="003B106A" w:rsidP="003B106A">
            <w:pPr>
              <w:jc w:val="both"/>
              <w:rPr>
                <w:rFonts w:ascii="Times New Roman" w:hAnsi="Times New Roman" w:cs="Times New Roman"/>
                <w:sz w:val="18"/>
                <w:lang w:eastAsia="ar-SA"/>
              </w:rPr>
            </w:pPr>
            <w:r w:rsidRPr="003B106A">
              <w:rPr>
                <w:rFonts w:ascii="Times New Roman" w:hAnsi="Times New Roman" w:cs="Times New Roman"/>
                <w:sz w:val="18"/>
                <w:lang w:eastAsia="ar-SA"/>
              </w:rPr>
              <w:t>Contenciosa Administrativa (</w:t>
            </w:r>
            <w:proofErr w:type="spellStart"/>
            <w:r w:rsidRPr="003B106A">
              <w:rPr>
                <w:rFonts w:ascii="Times New Roman" w:hAnsi="Times New Roman" w:cs="Times New Roman"/>
                <w:sz w:val="18"/>
                <w:lang w:eastAsia="ar-SA"/>
              </w:rPr>
              <w:t>Trib</w:t>
            </w:r>
            <w:proofErr w:type="spellEnd"/>
            <w:r w:rsidRPr="003B106A">
              <w:rPr>
                <w:rFonts w:ascii="Times New Roman" w:hAnsi="Times New Roman" w:cs="Times New Roman"/>
                <w:sz w:val="18"/>
                <w:lang w:eastAsia="ar-SA"/>
              </w:rPr>
              <w:t>. Procesal)</w:t>
            </w:r>
          </w:p>
        </w:tc>
        <w:tc>
          <w:tcPr>
            <w:tcW w:w="2340" w:type="dxa"/>
            <w:tcBorders>
              <w:top w:val="dashed" w:sz="4" w:space="0" w:color="auto"/>
              <w:left w:val="single" w:sz="2" w:space="0" w:color="auto"/>
              <w:bottom w:val="dashed" w:sz="4" w:space="0" w:color="auto"/>
              <w:right w:val="single" w:sz="2" w:space="0" w:color="auto"/>
            </w:tcBorders>
            <w:shd w:val="clear" w:color="auto" w:fill="auto"/>
          </w:tcPr>
          <w:p w:rsidR="003B106A" w:rsidRPr="003B106A" w:rsidRDefault="003B106A" w:rsidP="003B106A">
            <w:pPr>
              <w:jc w:val="center"/>
              <w:rPr>
                <w:rFonts w:ascii="Times New Roman" w:hAnsi="Times New Roman" w:cs="Times New Roman"/>
                <w:sz w:val="18"/>
                <w:lang w:eastAsia="ar-SA"/>
              </w:rPr>
            </w:pPr>
            <w:r w:rsidRPr="003B106A">
              <w:rPr>
                <w:rFonts w:ascii="Times New Roman" w:hAnsi="Times New Roman" w:cs="Times New Roman"/>
                <w:sz w:val="18"/>
                <w:lang w:eastAsia="ar-SA"/>
              </w:rPr>
              <w:t>9 meses 3 semana</w:t>
            </w:r>
          </w:p>
        </w:tc>
        <w:tc>
          <w:tcPr>
            <w:tcW w:w="2160" w:type="dxa"/>
            <w:tcBorders>
              <w:top w:val="dashed" w:sz="4" w:space="0" w:color="auto"/>
              <w:left w:val="single" w:sz="2" w:space="0" w:color="auto"/>
              <w:bottom w:val="dashed" w:sz="4" w:space="0" w:color="auto"/>
            </w:tcBorders>
            <w:shd w:val="clear" w:color="auto" w:fill="auto"/>
          </w:tcPr>
          <w:p w:rsidR="003B106A" w:rsidRPr="003B106A" w:rsidRDefault="003B106A" w:rsidP="003B106A">
            <w:pPr>
              <w:jc w:val="center"/>
              <w:rPr>
                <w:rFonts w:ascii="Times New Roman" w:hAnsi="Times New Roman" w:cs="Times New Roman"/>
                <w:sz w:val="18"/>
                <w:lang w:eastAsia="ar-SA"/>
              </w:rPr>
            </w:pPr>
            <w:r w:rsidRPr="003B106A">
              <w:rPr>
                <w:rFonts w:ascii="Times New Roman" w:hAnsi="Times New Roman" w:cs="Times New Roman"/>
                <w:sz w:val="18"/>
                <w:lang w:eastAsia="ar-SA"/>
              </w:rPr>
              <w:t>12 meses 2 semana</w:t>
            </w:r>
          </w:p>
        </w:tc>
      </w:tr>
      <w:tr w:rsidR="003B106A" w:rsidRPr="003B106A" w:rsidTr="00607D7A">
        <w:trPr>
          <w:jc w:val="center"/>
        </w:trPr>
        <w:tc>
          <w:tcPr>
            <w:tcW w:w="4215" w:type="dxa"/>
            <w:tcBorders>
              <w:top w:val="dashed" w:sz="4" w:space="0" w:color="auto"/>
              <w:bottom w:val="dashed" w:sz="4" w:space="0" w:color="auto"/>
              <w:right w:val="single" w:sz="2" w:space="0" w:color="auto"/>
            </w:tcBorders>
            <w:shd w:val="clear" w:color="auto" w:fill="auto"/>
          </w:tcPr>
          <w:p w:rsidR="003B106A" w:rsidRPr="003B106A" w:rsidRDefault="003B106A" w:rsidP="003B106A">
            <w:pPr>
              <w:jc w:val="both"/>
              <w:rPr>
                <w:rFonts w:ascii="Times New Roman" w:hAnsi="Times New Roman" w:cs="Times New Roman"/>
                <w:sz w:val="18"/>
                <w:lang w:eastAsia="ar-SA"/>
              </w:rPr>
            </w:pPr>
            <w:r w:rsidRPr="003B106A">
              <w:rPr>
                <w:rFonts w:ascii="Times New Roman" w:hAnsi="Times New Roman" w:cs="Times New Roman"/>
                <w:sz w:val="18"/>
                <w:lang w:eastAsia="ar-SA"/>
              </w:rPr>
              <w:t>Contenciosa Administrativa (Juzgado.)</w:t>
            </w:r>
          </w:p>
        </w:tc>
        <w:tc>
          <w:tcPr>
            <w:tcW w:w="2340" w:type="dxa"/>
            <w:tcBorders>
              <w:top w:val="dashed" w:sz="4" w:space="0" w:color="auto"/>
              <w:left w:val="single" w:sz="2" w:space="0" w:color="auto"/>
              <w:bottom w:val="dashed" w:sz="4" w:space="0" w:color="auto"/>
              <w:right w:val="single" w:sz="2" w:space="0" w:color="auto"/>
            </w:tcBorders>
            <w:shd w:val="clear" w:color="auto" w:fill="auto"/>
          </w:tcPr>
          <w:p w:rsidR="003B106A" w:rsidRPr="003B106A" w:rsidRDefault="003B106A" w:rsidP="003B106A">
            <w:pPr>
              <w:jc w:val="center"/>
              <w:rPr>
                <w:rFonts w:ascii="Times New Roman" w:hAnsi="Times New Roman" w:cs="Times New Roman"/>
                <w:sz w:val="18"/>
                <w:lang w:eastAsia="ar-SA"/>
              </w:rPr>
            </w:pPr>
            <w:r w:rsidRPr="003B106A">
              <w:rPr>
                <w:rFonts w:ascii="Times New Roman" w:hAnsi="Times New Roman" w:cs="Times New Roman"/>
                <w:sz w:val="18"/>
                <w:lang w:eastAsia="ar-SA"/>
              </w:rPr>
              <w:t>15 meses 3 semanas</w:t>
            </w:r>
          </w:p>
        </w:tc>
        <w:tc>
          <w:tcPr>
            <w:tcW w:w="2160" w:type="dxa"/>
            <w:tcBorders>
              <w:top w:val="dashed" w:sz="4" w:space="0" w:color="auto"/>
              <w:left w:val="single" w:sz="2" w:space="0" w:color="auto"/>
              <w:bottom w:val="dashed" w:sz="4" w:space="0" w:color="auto"/>
            </w:tcBorders>
            <w:shd w:val="clear" w:color="auto" w:fill="auto"/>
          </w:tcPr>
          <w:p w:rsidR="003B106A" w:rsidRPr="003B106A" w:rsidRDefault="003B106A" w:rsidP="003B106A">
            <w:pPr>
              <w:jc w:val="center"/>
              <w:rPr>
                <w:rFonts w:ascii="Times New Roman" w:hAnsi="Times New Roman" w:cs="Times New Roman"/>
                <w:sz w:val="18"/>
                <w:lang w:eastAsia="ar-SA"/>
              </w:rPr>
            </w:pPr>
            <w:r w:rsidRPr="003B106A">
              <w:rPr>
                <w:rFonts w:ascii="Times New Roman" w:hAnsi="Times New Roman" w:cs="Times New Roman"/>
                <w:sz w:val="18"/>
                <w:lang w:eastAsia="ar-SA"/>
              </w:rPr>
              <w:t>15 meses 3 semanas</w:t>
            </w:r>
          </w:p>
        </w:tc>
      </w:tr>
      <w:tr w:rsidR="003B106A" w:rsidRPr="003B106A" w:rsidTr="00607D7A">
        <w:trPr>
          <w:jc w:val="center"/>
        </w:trPr>
        <w:tc>
          <w:tcPr>
            <w:tcW w:w="4215" w:type="dxa"/>
            <w:tcBorders>
              <w:top w:val="dashed" w:sz="4" w:space="0" w:color="auto"/>
              <w:bottom w:val="dashed" w:sz="4" w:space="0" w:color="auto"/>
              <w:right w:val="single" w:sz="2" w:space="0" w:color="auto"/>
            </w:tcBorders>
            <w:shd w:val="clear" w:color="auto" w:fill="auto"/>
          </w:tcPr>
          <w:p w:rsidR="003B106A" w:rsidRPr="003B106A" w:rsidRDefault="003B106A" w:rsidP="003B106A">
            <w:pPr>
              <w:jc w:val="both"/>
              <w:rPr>
                <w:rFonts w:ascii="Times New Roman" w:hAnsi="Times New Roman" w:cs="Times New Roman"/>
                <w:sz w:val="18"/>
                <w:lang w:eastAsia="ar-SA"/>
              </w:rPr>
            </w:pPr>
            <w:r w:rsidRPr="003B106A">
              <w:rPr>
                <w:rFonts w:ascii="Times New Roman" w:hAnsi="Times New Roman" w:cs="Times New Roman"/>
                <w:sz w:val="18"/>
                <w:lang w:eastAsia="ar-SA"/>
              </w:rPr>
              <w:t>Contravencional</w:t>
            </w:r>
          </w:p>
        </w:tc>
        <w:tc>
          <w:tcPr>
            <w:tcW w:w="2340" w:type="dxa"/>
            <w:tcBorders>
              <w:top w:val="dashed" w:sz="4" w:space="0" w:color="auto"/>
              <w:left w:val="single" w:sz="2" w:space="0" w:color="auto"/>
              <w:bottom w:val="dashed" w:sz="4" w:space="0" w:color="auto"/>
              <w:right w:val="single" w:sz="2" w:space="0" w:color="auto"/>
            </w:tcBorders>
            <w:shd w:val="clear" w:color="auto" w:fill="auto"/>
          </w:tcPr>
          <w:p w:rsidR="003B106A" w:rsidRPr="003B106A" w:rsidRDefault="003B106A" w:rsidP="003B106A">
            <w:pPr>
              <w:jc w:val="center"/>
              <w:rPr>
                <w:rFonts w:ascii="Times New Roman" w:hAnsi="Times New Roman" w:cs="Times New Roman"/>
                <w:sz w:val="18"/>
                <w:lang w:eastAsia="ar-SA"/>
              </w:rPr>
            </w:pPr>
            <w:r w:rsidRPr="003B106A">
              <w:rPr>
                <w:rFonts w:ascii="Times New Roman" w:hAnsi="Times New Roman" w:cs="Times New Roman"/>
                <w:sz w:val="18"/>
                <w:lang w:eastAsia="ar-SA"/>
              </w:rPr>
              <w:t>5 meses 1 semana</w:t>
            </w:r>
          </w:p>
        </w:tc>
        <w:tc>
          <w:tcPr>
            <w:tcW w:w="2160" w:type="dxa"/>
            <w:tcBorders>
              <w:top w:val="dashed" w:sz="4" w:space="0" w:color="auto"/>
              <w:left w:val="single" w:sz="2" w:space="0" w:color="auto"/>
              <w:bottom w:val="dashed" w:sz="4" w:space="0" w:color="auto"/>
            </w:tcBorders>
            <w:shd w:val="clear" w:color="auto" w:fill="auto"/>
          </w:tcPr>
          <w:p w:rsidR="003B106A" w:rsidRPr="003B106A" w:rsidRDefault="003B106A" w:rsidP="003B106A">
            <w:pPr>
              <w:jc w:val="center"/>
              <w:rPr>
                <w:rFonts w:ascii="Times New Roman" w:hAnsi="Times New Roman" w:cs="Times New Roman"/>
                <w:sz w:val="18"/>
                <w:lang w:eastAsia="ar-SA"/>
              </w:rPr>
            </w:pPr>
            <w:r w:rsidRPr="003B106A">
              <w:rPr>
                <w:rFonts w:ascii="Times New Roman" w:hAnsi="Times New Roman" w:cs="Times New Roman"/>
                <w:sz w:val="18"/>
                <w:lang w:eastAsia="ar-SA"/>
              </w:rPr>
              <w:t>5 meses 3 semana</w:t>
            </w:r>
          </w:p>
        </w:tc>
      </w:tr>
      <w:tr w:rsidR="003B106A" w:rsidRPr="003B106A" w:rsidTr="00607D7A">
        <w:trPr>
          <w:jc w:val="center"/>
        </w:trPr>
        <w:tc>
          <w:tcPr>
            <w:tcW w:w="4215" w:type="dxa"/>
            <w:tcBorders>
              <w:top w:val="dashed" w:sz="4" w:space="0" w:color="auto"/>
              <w:bottom w:val="dashed" w:sz="4" w:space="0" w:color="auto"/>
              <w:right w:val="single" w:sz="2" w:space="0" w:color="auto"/>
            </w:tcBorders>
            <w:shd w:val="clear" w:color="auto" w:fill="auto"/>
          </w:tcPr>
          <w:p w:rsidR="003B106A" w:rsidRPr="003B106A" w:rsidRDefault="003B106A" w:rsidP="003B106A">
            <w:pPr>
              <w:jc w:val="both"/>
              <w:rPr>
                <w:rFonts w:ascii="Times New Roman" w:hAnsi="Times New Roman" w:cs="Times New Roman"/>
                <w:sz w:val="18"/>
                <w:lang w:eastAsia="ar-SA"/>
              </w:rPr>
            </w:pPr>
            <w:r w:rsidRPr="003B106A">
              <w:rPr>
                <w:rFonts w:ascii="Times New Roman" w:hAnsi="Times New Roman" w:cs="Times New Roman"/>
                <w:sz w:val="18"/>
                <w:lang w:eastAsia="ar-SA"/>
              </w:rPr>
              <w:t>Tránsito</w:t>
            </w:r>
          </w:p>
        </w:tc>
        <w:tc>
          <w:tcPr>
            <w:tcW w:w="2340" w:type="dxa"/>
            <w:tcBorders>
              <w:top w:val="dashed" w:sz="4" w:space="0" w:color="auto"/>
              <w:left w:val="single" w:sz="2" w:space="0" w:color="auto"/>
              <w:bottom w:val="dashed" w:sz="4" w:space="0" w:color="auto"/>
              <w:right w:val="single" w:sz="2" w:space="0" w:color="auto"/>
            </w:tcBorders>
            <w:shd w:val="clear" w:color="auto" w:fill="auto"/>
          </w:tcPr>
          <w:p w:rsidR="003B106A" w:rsidRPr="003B106A" w:rsidRDefault="003B106A" w:rsidP="003B106A">
            <w:pPr>
              <w:jc w:val="center"/>
              <w:rPr>
                <w:rFonts w:ascii="Times New Roman" w:hAnsi="Times New Roman" w:cs="Times New Roman"/>
                <w:sz w:val="18"/>
                <w:lang w:eastAsia="ar-SA"/>
              </w:rPr>
            </w:pPr>
            <w:r w:rsidRPr="003B106A">
              <w:rPr>
                <w:rFonts w:ascii="Times New Roman" w:hAnsi="Times New Roman" w:cs="Times New Roman"/>
                <w:sz w:val="18"/>
                <w:lang w:eastAsia="ar-SA"/>
              </w:rPr>
              <w:t>5 meses 1 semana</w:t>
            </w:r>
          </w:p>
        </w:tc>
        <w:tc>
          <w:tcPr>
            <w:tcW w:w="2160" w:type="dxa"/>
            <w:tcBorders>
              <w:top w:val="dashed" w:sz="4" w:space="0" w:color="auto"/>
              <w:left w:val="single" w:sz="2" w:space="0" w:color="auto"/>
              <w:bottom w:val="dashed" w:sz="4" w:space="0" w:color="auto"/>
            </w:tcBorders>
            <w:shd w:val="clear" w:color="auto" w:fill="auto"/>
          </w:tcPr>
          <w:p w:rsidR="003B106A" w:rsidRPr="003B106A" w:rsidRDefault="003B106A" w:rsidP="003B106A">
            <w:pPr>
              <w:jc w:val="center"/>
              <w:rPr>
                <w:rFonts w:ascii="Times New Roman" w:hAnsi="Times New Roman" w:cs="Times New Roman"/>
                <w:sz w:val="18"/>
                <w:lang w:eastAsia="ar-SA"/>
              </w:rPr>
            </w:pPr>
            <w:r w:rsidRPr="003B106A">
              <w:rPr>
                <w:rFonts w:ascii="Times New Roman" w:hAnsi="Times New Roman" w:cs="Times New Roman"/>
                <w:sz w:val="18"/>
                <w:lang w:eastAsia="ar-SA"/>
              </w:rPr>
              <w:t>5 meses 0 semana</w:t>
            </w:r>
          </w:p>
        </w:tc>
      </w:tr>
      <w:tr w:rsidR="003B106A" w:rsidRPr="003B106A" w:rsidTr="00607D7A">
        <w:trPr>
          <w:jc w:val="center"/>
        </w:trPr>
        <w:tc>
          <w:tcPr>
            <w:tcW w:w="4215" w:type="dxa"/>
            <w:tcBorders>
              <w:top w:val="dashed" w:sz="4" w:space="0" w:color="auto"/>
              <w:bottom w:val="dashed" w:sz="4" w:space="0" w:color="auto"/>
              <w:right w:val="single" w:sz="2" w:space="0" w:color="auto"/>
            </w:tcBorders>
            <w:shd w:val="clear" w:color="auto" w:fill="auto"/>
          </w:tcPr>
          <w:p w:rsidR="003B106A" w:rsidRPr="003B106A" w:rsidRDefault="003B106A" w:rsidP="003B106A">
            <w:pPr>
              <w:jc w:val="both"/>
              <w:rPr>
                <w:rFonts w:ascii="Times New Roman" w:hAnsi="Times New Roman" w:cs="Times New Roman"/>
                <w:sz w:val="18"/>
                <w:lang w:eastAsia="ar-SA"/>
              </w:rPr>
            </w:pPr>
            <w:r w:rsidRPr="003B106A">
              <w:rPr>
                <w:rFonts w:ascii="Times New Roman" w:hAnsi="Times New Roman" w:cs="Times New Roman"/>
                <w:sz w:val="18"/>
                <w:lang w:eastAsia="ar-SA"/>
              </w:rPr>
              <w:t>Juzgados Penales</w:t>
            </w:r>
          </w:p>
        </w:tc>
        <w:tc>
          <w:tcPr>
            <w:tcW w:w="2340" w:type="dxa"/>
            <w:tcBorders>
              <w:top w:val="dashed" w:sz="4" w:space="0" w:color="auto"/>
              <w:left w:val="single" w:sz="2" w:space="0" w:color="auto"/>
              <w:bottom w:val="dashed" w:sz="4" w:space="0" w:color="auto"/>
              <w:right w:val="single" w:sz="2" w:space="0" w:color="auto"/>
            </w:tcBorders>
            <w:shd w:val="clear" w:color="auto" w:fill="auto"/>
          </w:tcPr>
          <w:p w:rsidR="003B106A" w:rsidRPr="003B106A" w:rsidRDefault="003B106A" w:rsidP="003B106A">
            <w:pPr>
              <w:jc w:val="center"/>
              <w:rPr>
                <w:rFonts w:ascii="Times New Roman" w:hAnsi="Times New Roman" w:cs="Times New Roman"/>
                <w:sz w:val="18"/>
                <w:lang w:eastAsia="ar-SA"/>
              </w:rPr>
            </w:pPr>
            <w:r w:rsidRPr="003B106A">
              <w:rPr>
                <w:rFonts w:ascii="Times New Roman" w:hAnsi="Times New Roman" w:cs="Times New Roman"/>
                <w:sz w:val="18"/>
                <w:lang w:eastAsia="ar-SA"/>
              </w:rPr>
              <w:t>5 meses 0 semanas</w:t>
            </w:r>
          </w:p>
        </w:tc>
        <w:tc>
          <w:tcPr>
            <w:tcW w:w="2160" w:type="dxa"/>
            <w:tcBorders>
              <w:top w:val="dashed" w:sz="4" w:space="0" w:color="auto"/>
              <w:left w:val="single" w:sz="2" w:space="0" w:color="auto"/>
              <w:bottom w:val="dashed" w:sz="4" w:space="0" w:color="auto"/>
            </w:tcBorders>
            <w:shd w:val="clear" w:color="auto" w:fill="auto"/>
          </w:tcPr>
          <w:p w:rsidR="003B106A" w:rsidRPr="003B106A" w:rsidRDefault="003B106A" w:rsidP="003B106A">
            <w:pPr>
              <w:jc w:val="center"/>
              <w:rPr>
                <w:rFonts w:ascii="Times New Roman" w:hAnsi="Times New Roman" w:cs="Times New Roman"/>
                <w:sz w:val="18"/>
                <w:lang w:eastAsia="ar-SA"/>
              </w:rPr>
            </w:pPr>
            <w:r w:rsidRPr="003B106A">
              <w:rPr>
                <w:rFonts w:ascii="Times New Roman" w:hAnsi="Times New Roman" w:cs="Times New Roman"/>
                <w:sz w:val="18"/>
                <w:lang w:eastAsia="ar-SA"/>
              </w:rPr>
              <w:t>4 meses 0 semanas</w:t>
            </w:r>
          </w:p>
        </w:tc>
      </w:tr>
      <w:tr w:rsidR="003B106A" w:rsidRPr="003B106A" w:rsidTr="00607D7A">
        <w:trPr>
          <w:jc w:val="center"/>
        </w:trPr>
        <w:tc>
          <w:tcPr>
            <w:tcW w:w="4215" w:type="dxa"/>
            <w:tcBorders>
              <w:top w:val="dashed" w:sz="4" w:space="0" w:color="auto"/>
              <w:bottom w:val="dashed" w:sz="4" w:space="0" w:color="auto"/>
              <w:right w:val="single" w:sz="2" w:space="0" w:color="auto"/>
            </w:tcBorders>
            <w:shd w:val="clear" w:color="auto" w:fill="auto"/>
          </w:tcPr>
          <w:p w:rsidR="003B106A" w:rsidRPr="003B106A" w:rsidRDefault="003B106A" w:rsidP="003B106A">
            <w:pPr>
              <w:jc w:val="both"/>
              <w:rPr>
                <w:rFonts w:ascii="Times New Roman" w:hAnsi="Times New Roman" w:cs="Times New Roman"/>
                <w:sz w:val="18"/>
                <w:lang w:eastAsia="ar-SA"/>
              </w:rPr>
            </w:pPr>
            <w:r w:rsidRPr="003B106A">
              <w:rPr>
                <w:rFonts w:ascii="Times New Roman" w:hAnsi="Times New Roman" w:cs="Times New Roman"/>
                <w:sz w:val="18"/>
                <w:lang w:eastAsia="ar-SA"/>
              </w:rPr>
              <w:t>Fiscalías Penales Juveniles</w:t>
            </w:r>
          </w:p>
        </w:tc>
        <w:tc>
          <w:tcPr>
            <w:tcW w:w="2340" w:type="dxa"/>
            <w:tcBorders>
              <w:top w:val="dashed" w:sz="4" w:space="0" w:color="auto"/>
              <w:left w:val="single" w:sz="2" w:space="0" w:color="auto"/>
              <w:bottom w:val="dashed" w:sz="4" w:space="0" w:color="auto"/>
              <w:right w:val="single" w:sz="2" w:space="0" w:color="auto"/>
            </w:tcBorders>
            <w:shd w:val="clear" w:color="auto" w:fill="auto"/>
          </w:tcPr>
          <w:p w:rsidR="003B106A" w:rsidRPr="003B106A" w:rsidRDefault="003B106A" w:rsidP="003B106A">
            <w:pPr>
              <w:jc w:val="center"/>
              <w:rPr>
                <w:rFonts w:ascii="Times New Roman" w:hAnsi="Times New Roman" w:cs="Times New Roman"/>
                <w:sz w:val="18"/>
                <w:lang w:eastAsia="ar-SA"/>
              </w:rPr>
            </w:pPr>
            <w:r w:rsidRPr="003B106A">
              <w:rPr>
                <w:rFonts w:ascii="Times New Roman" w:hAnsi="Times New Roman" w:cs="Times New Roman"/>
                <w:sz w:val="18"/>
                <w:lang w:eastAsia="ar-SA"/>
              </w:rPr>
              <w:t>2 meses 0 semanas</w:t>
            </w:r>
          </w:p>
        </w:tc>
        <w:tc>
          <w:tcPr>
            <w:tcW w:w="2160" w:type="dxa"/>
            <w:tcBorders>
              <w:top w:val="dashed" w:sz="4" w:space="0" w:color="auto"/>
              <w:left w:val="single" w:sz="2" w:space="0" w:color="auto"/>
              <w:bottom w:val="dashed" w:sz="4" w:space="0" w:color="auto"/>
            </w:tcBorders>
            <w:shd w:val="clear" w:color="auto" w:fill="auto"/>
          </w:tcPr>
          <w:p w:rsidR="003B106A" w:rsidRPr="003B106A" w:rsidRDefault="003B106A" w:rsidP="003B106A">
            <w:pPr>
              <w:jc w:val="center"/>
              <w:rPr>
                <w:rFonts w:ascii="Times New Roman" w:hAnsi="Times New Roman" w:cs="Times New Roman"/>
                <w:sz w:val="18"/>
                <w:lang w:eastAsia="ar-SA"/>
              </w:rPr>
            </w:pPr>
            <w:r w:rsidRPr="003B106A">
              <w:rPr>
                <w:rFonts w:ascii="Times New Roman" w:hAnsi="Times New Roman" w:cs="Times New Roman"/>
                <w:sz w:val="18"/>
                <w:lang w:eastAsia="ar-SA"/>
              </w:rPr>
              <w:t>2 meses 0 semanas</w:t>
            </w:r>
          </w:p>
        </w:tc>
      </w:tr>
      <w:tr w:rsidR="003B106A" w:rsidRPr="003B106A" w:rsidTr="00607D7A">
        <w:trPr>
          <w:jc w:val="center"/>
        </w:trPr>
        <w:tc>
          <w:tcPr>
            <w:tcW w:w="4215" w:type="dxa"/>
            <w:tcBorders>
              <w:top w:val="dashed" w:sz="4" w:space="0" w:color="auto"/>
              <w:bottom w:val="single" w:sz="18" w:space="0" w:color="auto"/>
              <w:right w:val="single" w:sz="2" w:space="0" w:color="auto"/>
            </w:tcBorders>
            <w:shd w:val="clear" w:color="auto" w:fill="auto"/>
          </w:tcPr>
          <w:p w:rsidR="003B106A" w:rsidRPr="003B106A" w:rsidRDefault="003B106A" w:rsidP="003B106A">
            <w:pPr>
              <w:jc w:val="both"/>
              <w:rPr>
                <w:rFonts w:ascii="Times New Roman" w:hAnsi="Times New Roman" w:cs="Times New Roman"/>
                <w:sz w:val="18"/>
                <w:lang w:eastAsia="ar-SA"/>
              </w:rPr>
            </w:pPr>
            <w:r w:rsidRPr="003B106A">
              <w:rPr>
                <w:rFonts w:ascii="Times New Roman" w:hAnsi="Times New Roman" w:cs="Times New Roman"/>
                <w:sz w:val="18"/>
                <w:lang w:eastAsia="ar-SA"/>
              </w:rPr>
              <w:lastRenderedPageBreak/>
              <w:t>Juzgados Penales Juveniles</w:t>
            </w:r>
          </w:p>
        </w:tc>
        <w:tc>
          <w:tcPr>
            <w:tcW w:w="2340" w:type="dxa"/>
            <w:tcBorders>
              <w:top w:val="dashed" w:sz="4" w:space="0" w:color="auto"/>
              <w:left w:val="single" w:sz="2" w:space="0" w:color="auto"/>
              <w:bottom w:val="single" w:sz="18" w:space="0" w:color="auto"/>
              <w:right w:val="single" w:sz="2" w:space="0" w:color="auto"/>
            </w:tcBorders>
            <w:shd w:val="clear" w:color="auto" w:fill="auto"/>
          </w:tcPr>
          <w:p w:rsidR="003B106A" w:rsidRPr="003B106A" w:rsidRDefault="003B106A" w:rsidP="003B106A">
            <w:pPr>
              <w:jc w:val="center"/>
              <w:rPr>
                <w:rFonts w:ascii="Times New Roman" w:hAnsi="Times New Roman" w:cs="Times New Roman"/>
                <w:sz w:val="18"/>
                <w:lang w:eastAsia="ar-SA"/>
              </w:rPr>
            </w:pPr>
            <w:r w:rsidRPr="003B106A">
              <w:rPr>
                <w:rFonts w:ascii="Times New Roman" w:hAnsi="Times New Roman" w:cs="Times New Roman"/>
                <w:sz w:val="18"/>
                <w:lang w:eastAsia="ar-SA"/>
              </w:rPr>
              <w:t>22 meses 3 semanas</w:t>
            </w:r>
          </w:p>
        </w:tc>
        <w:tc>
          <w:tcPr>
            <w:tcW w:w="2160" w:type="dxa"/>
            <w:tcBorders>
              <w:top w:val="dashed" w:sz="4" w:space="0" w:color="auto"/>
              <w:left w:val="single" w:sz="2" w:space="0" w:color="auto"/>
              <w:bottom w:val="single" w:sz="18" w:space="0" w:color="auto"/>
            </w:tcBorders>
            <w:shd w:val="clear" w:color="auto" w:fill="auto"/>
          </w:tcPr>
          <w:p w:rsidR="003B106A" w:rsidRPr="003B106A" w:rsidRDefault="003B106A" w:rsidP="003B106A">
            <w:pPr>
              <w:jc w:val="center"/>
              <w:rPr>
                <w:rFonts w:ascii="Times New Roman" w:hAnsi="Times New Roman" w:cs="Times New Roman"/>
                <w:sz w:val="18"/>
                <w:lang w:eastAsia="ar-SA"/>
              </w:rPr>
            </w:pPr>
            <w:r w:rsidRPr="003B106A">
              <w:rPr>
                <w:rFonts w:ascii="Times New Roman" w:hAnsi="Times New Roman" w:cs="Times New Roman"/>
                <w:sz w:val="18"/>
                <w:lang w:eastAsia="ar-SA"/>
              </w:rPr>
              <w:t>24 meses 3 semanas</w:t>
            </w:r>
          </w:p>
        </w:tc>
      </w:tr>
    </w:tbl>
    <w:p w:rsidR="003B106A" w:rsidRPr="003B106A" w:rsidRDefault="003B106A" w:rsidP="003B106A">
      <w:pPr>
        <w:spacing w:line="360" w:lineRule="auto"/>
        <w:jc w:val="both"/>
        <w:rPr>
          <w:rFonts w:ascii="Times New Roman" w:hAnsi="Times New Roman" w:cs="Times New Roman"/>
          <w:lang w:eastAsia="ar-SA"/>
        </w:rPr>
      </w:pPr>
    </w:p>
    <w:p w:rsidR="003B106A" w:rsidRPr="003B106A" w:rsidRDefault="003B106A" w:rsidP="003B106A">
      <w:pPr>
        <w:spacing w:line="360" w:lineRule="auto"/>
        <w:jc w:val="both"/>
        <w:rPr>
          <w:rFonts w:ascii="Times New Roman" w:hAnsi="Times New Roman" w:cs="Times New Roman"/>
          <w:lang w:eastAsia="ar-SA"/>
        </w:rPr>
      </w:pPr>
      <w:r w:rsidRPr="003B106A">
        <w:rPr>
          <w:rFonts w:ascii="Times New Roman" w:hAnsi="Times New Roman" w:cs="Times New Roman"/>
          <w:lang w:eastAsia="ar-SA"/>
        </w:rPr>
        <w:t>Del cuadro anterior también se exponen resultados para las materias Contenciosa (para el Juzgado y el Tribunal Procesal) y Penal Juvenil (</w:t>
      </w:r>
      <w:proofErr w:type="spellStart"/>
      <w:r w:rsidRPr="003B106A">
        <w:rPr>
          <w:rFonts w:ascii="Times New Roman" w:hAnsi="Times New Roman" w:cs="Times New Roman"/>
          <w:lang w:eastAsia="ar-SA"/>
        </w:rPr>
        <w:t>Fiscalias</w:t>
      </w:r>
      <w:proofErr w:type="spellEnd"/>
      <w:r w:rsidRPr="003B106A">
        <w:rPr>
          <w:rFonts w:ascii="Times New Roman" w:hAnsi="Times New Roman" w:cs="Times New Roman"/>
          <w:lang w:eastAsia="ar-SA"/>
        </w:rPr>
        <w:t xml:space="preserve"> y Juzgados). En materia Contenciosa se reporta un aumento importante en este 2015 respecto al 2014 para el Tribunal Procesal, donde se pasó de una duración promedio de 9 meses y 3 semanas a 12 meses y 2 semanas, esto es una adición al trámite final de dos meses y tres semanas, mientras que en el Juzgado de lo Contencioso Administrativo reporta para el 2015, 15 meses 3 semanas,  el mismo resultado que el registrado para 2014.  En materia Penal Juvenil el tiempo registrado en las fiscalías competentes se mantuvo en 2 meses para ambos años, pero aumenta en el ámbito de los Juzgados Penales Juveniles donde la duración aumentó en dos meses el indicador para ubicarse finalmente en 24 meses 3 semanas. En esta última materia la brecha entre los concluido en el Ministerio Público y los Juzgados competentes es grande, más de 22 meses.</w:t>
      </w:r>
    </w:p>
    <w:p w:rsidR="003B106A" w:rsidRPr="003B106A" w:rsidRDefault="003B106A" w:rsidP="003B106A">
      <w:pPr>
        <w:spacing w:line="360" w:lineRule="auto"/>
        <w:jc w:val="both"/>
        <w:rPr>
          <w:rFonts w:ascii="Times New Roman" w:hAnsi="Times New Roman" w:cs="Times New Roman"/>
          <w:lang w:eastAsia="ar-SA"/>
        </w:rPr>
      </w:pPr>
    </w:p>
    <w:p w:rsidR="003B106A" w:rsidRPr="003B106A" w:rsidRDefault="003B106A" w:rsidP="003B106A">
      <w:pPr>
        <w:spacing w:line="360" w:lineRule="auto"/>
        <w:jc w:val="both"/>
        <w:rPr>
          <w:rFonts w:ascii="Times New Roman" w:hAnsi="Times New Roman" w:cs="Times New Roman"/>
          <w:lang w:eastAsia="ar-SA"/>
        </w:rPr>
      </w:pPr>
      <w:r w:rsidRPr="003B106A">
        <w:rPr>
          <w:rFonts w:ascii="Times New Roman" w:hAnsi="Times New Roman" w:cs="Times New Roman"/>
          <w:lang w:eastAsia="ar-SA"/>
        </w:rPr>
        <w:t xml:space="preserve">De seguido se detalla para los despachos de instancia superior (se incluye la Sala Constitucional), la duración promedio para el bienio 2014-2015, ello con el fin de analizar posibles variaciones entre uno y otro año. En ese sentido, destacan los incrementos de la </w:t>
      </w:r>
      <w:r w:rsidR="00454784" w:rsidRPr="003B106A">
        <w:rPr>
          <w:rFonts w:ascii="Times New Roman" w:hAnsi="Times New Roman" w:cs="Times New Roman"/>
          <w:lang w:eastAsia="ar-SA"/>
        </w:rPr>
        <w:t>duración registrada</w:t>
      </w:r>
      <w:r w:rsidRPr="003B106A">
        <w:rPr>
          <w:rFonts w:ascii="Times New Roman" w:hAnsi="Times New Roman" w:cs="Times New Roman"/>
          <w:lang w:eastAsia="ar-SA"/>
        </w:rPr>
        <w:t xml:space="preserve"> por la Sala Primera y la Sala Constitucional en el trámite de Acciones de Inconstitucionalidad; así como la baja registrada en la Sala Tercera para las instancias de trámite de los procesos de casación y revisión.</w:t>
      </w:r>
    </w:p>
    <w:p w:rsidR="003B106A" w:rsidRPr="003B106A" w:rsidRDefault="003B106A" w:rsidP="003B106A">
      <w:pPr>
        <w:spacing w:line="360" w:lineRule="auto"/>
        <w:jc w:val="both"/>
        <w:rPr>
          <w:rFonts w:ascii="Times New Roman" w:hAnsi="Times New Roman" w:cs="Times New Roman"/>
          <w:lang w:eastAsia="ar-SA"/>
        </w:rPr>
      </w:pPr>
    </w:p>
    <w:tbl>
      <w:tblPr>
        <w:tblW w:w="8869" w:type="dxa"/>
        <w:jc w:val="center"/>
        <w:tblBorders>
          <w:top w:val="single" w:sz="18" w:space="0" w:color="auto"/>
          <w:bottom w:val="single" w:sz="18" w:space="0" w:color="auto"/>
        </w:tblBorders>
        <w:tblLook w:val="01E0"/>
      </w:tblPr>
      <w:tblGrid>
        <w:gridCol w:w="4552"/>
        <w:gridCol w:w="2127"/>
        <w:gridCol w:w="2190"/>
      </w:tblGrid>
      <w:tr w:rsidR="003B106A" w:rsidRPr="003B106A" w:rsidTr="00607D7A">
        <w:trPr>
          <w:tblHeader/>
          <w:jc w:val="center"/>
        </w:trPr>
        <w:tc>
          <w:tcPr>
            <w:tcW w:w="4552" w:type="dxa"/>
            <w:tcBorders>
              <w:bottom w:val="nil"/>
              <w:right w:val="single" w:sz="4" w:space="0" w:color="auto"/>
            </w:tcBorders>
            <w:shd w:val="clear" w:color="auto" w:fill="auto"/>
          </w:tcPr>
          <w:p w:rsidR="003B106A" w:rsidRPr="003B106A" w:rsidRDefault="003B106A" w:rsidP="003B106A">
            <w:pPr>
              <w:jc w:val="center"/>
              <w:rPr>
                <w:rFonts w:ascii="Times New Roman" w:hAnsi="Times New Roman" w:cs="Times New Roman"/>
                <w:b/>
                <w:sz w:val="18"/>
                <w:szCs w:val="20"/>
                <w:u w:val="single"/>
                <w:lang w:eastAsia="ar-SA"/>
              </w:rPr>
            </w:pPr>
            <w:r w:rsidRPr="003B106A">
              <w:rPr>
                <w:rFonts w:ascii="Times New Roman" w:hAnsi="Times New Roman" w:cs="Times New Roman"/>
                <w:b/>
                <w:sz w:val="18"/>
                <w:szCs w:val="20"/>
                <w:u w:val="single"/>
                <w:lang w:eastAsia="ar-SA"/>
              </w:rPr>
              <w:t>DESPACHO</w:t>
            </w:r>
          </w:p>
        </w:tc>
        <w:tc>
          <w:tcPr>
            <w:tcW w:w="2127" w:type="dxa"/>
            <w:tcBorders>
              <w:top w:val="single" w:sz="18" w:space="0" w:color="auto"/>
              <w:left w:val="single" w:sz="4" w:space="0" w:color="auto"/>
              <w:bottom w:val="nil"/>
              <w:right w:val="single" w:sz="4" w:space="0" w:color="auto"/>
            </w:tcBorders>
            <w:shd w:val="clear" w:color="auto" w:fill="auto"/>
          </w:tcPr>
          <w:p w:rsidR="003B106A" w:rsidRPr="003B106A" w:rsidRDefault="003B106A" w:rsidP="003B106A">
            <w:pPr>
              <w:jc w:val="center"/>
              <w:rPr>
                <w:rFonts w:ascii="Times New Roman" w:hAnsi="Times New Roman" w:cs="Times New Roman"/>
                <w:b/>
                <w:sz w:val="18"/>
                <w:szCs w:val="20"/>
                <w:u w:val="single"/>
                <w:lang w:eastAsia="ar-SA"/>
              </w:rPr>
            </w:pPr>
            <w:r w:rsidRPr="003B106A">
              <w:rPr>
                <w:rFonts w:ascii="Times New Roman" w:hAnsi="Times New Roman" w:cs="Times New Roman"/>
                <w:b/>
                <w:sz w:val="18"/>
                <w:szCs w:val="20"/>
                <w:u w:val="single"/>
                <w:lang w:eastAsia="ar-SA"/>
              </w:rPr>
              <w:t>2014</w:t>
            </w:r>
          </w:p>
        </w:tc>
        <w:tc>
          <w:tcPr>
            <w:tcW w:w="2190" w:type="dxa"/>
            <w:tcBorders>
              <w:left w:val="single" w:sz="4" w:space="0" w:color="auto"/>
              <w:bottom w:val="nil"/>
            </w:tcBorders>
            <w:shd w:val="clear" w:color="auto" w:fill="auto"/>
          </w:tcPr>
          <w:p w:rsidR="003B106A" w:rsidRPr="003B106A" w:rsidRDefault="003B106A" w:rsidP="003B106A">
            <w:pPr>
              <w:jc w:val="center"/>
              <w:rPr>
                <w:rFonts w:ascii="Times New Roman" w:hAnsi="Times New Roman" w:cs="Times New Roman"/>
                <w:b/>
                <w:sz w:val="18"/>
                <w:szCs w:val="20"/>
                <w:u w:val="single"/>
                <w:lang w:eastAsia="ar-SA"/>
              </w:rPr>
            </w:pPr>
            <w:r w:rsidRPr="003B106A">
              <w:rPr>
                <w:rFonts w:ascii="Times New Roman" w:hAnsi="Times New Roman" w:cs="Times New Roman"/>
                <w:b/>
                <w:sz w:val="18"/>
                <w:szCs w:val="20"/>
                <w:u w:val="single"/>
                <w:lang w:eastAsia="ar-SA"/>
              </w:rPr>
              <w:t>2015</w:t>
            </w:r>
          </w:p>
        </w:tc>
      </w:tr>
      <w:tr w:rsidR="003B106A" w:rsidRPr="003B106A" w:rsidTr="00607D7A">
        <w:trPr>
          <w:jc w:val="center"/>
        </w:trPr>
        <w:tc>
          <w:tcPr>
            <w:tcW w:w="4552" w:type="dxa"/>
            <w:tcBorders>
              <w:top w:val="nil"/>
              <w:bottom w:val="dashed" w:sz="4" w:space="0" w:color="auto"/>
              <w:right w:val="single" w:sz="4" w:space="0" w:color="auto"/>
            </w:tcBorders>
            <w:shd w:val="clear" w:color="auto" w:fill="auto"/>
          </w:tcPr>
          <w:p w:rsidR="003B106A" w:rsidRPr="003B106A" w:rsidRDefault="003B106A" w:rsidP="003B106A">
            <w:pPr>
              <w:jc w:val="both"/>
              <w:rPr>
                <w:rFonts w:ascii="Times New Roman" w:hAnsi="Times New Roman" w:cs="Times New Roman"/>
                <w:sz w:val="18"/>
                <w:szCs w:val="20"/>
                <w:lang w:eastAsia="ar-SA"/>
              </w:rPr>
            </w:pPr>
            <w:r w:rsidRPr="003B106A">
              <w:rPr>
                <w:rFonts w:ascii="Times New Roman" w:hAnsi="Times New Roman" w:cs="Times New Roman"/>
                <w:sz w:val="18"/>
                <w:szCs w:val="20"/>
                <w:lang w:eastAsia="ar-SA"/>
              </w:rPr>
              <w:t>Sala Primera</w:t>
            </w:r>
          </w:p>
        </w:tc>
        <w:tc>
          <w:tcPr>
            <w:tcW w:w="2127" w:type="dxa"/>
            <w:tcBorders>
              <w:top w:val="nil"/>
              <w:left w:val="single" w:sz="4" w:space="0" w:color="auto"/>
              <w:bottom w:val="dashed" w:sz="4" w:space="0" w:color="auto"/>
              <w:right w:val="single" w:sz="4" w:space="0" w:color="auto"/>
            </w:tcBorders>
            <w:shd w:val="clear" w:color="auto" w:fill="auto"/>
          </w:tcPr>
          <w:p w:rsidR="003B106A" w:rsidRPr="003B106A" w:rsidRDefault="003B106A" w:rsidP="003B106A">
            <w:pPr>
              <w:jc w:val="center"/>
              <w:rPr>
                <w:rFonts w:ascii="Times New Roman" w:hAnsi="Times New Roman" w:cs="Times New Roman"/>
                <w:sz w:val="18"/>
                <w:szCs w:val="20"/>
                <w:lang w:eastAsia="ar-SA"/>
              </w:rPr>
            </w:pPr>
            <w:r w:rsidRPr="003B106A">
              <w:rPr>
                <w:rFonts w:ascii="Times New Roman" w:hAnsi="Times New Roman" w:cs="Times New Roman"/>
                <w:sz w:val="18"/>
                <w:szCs w:val="20"/>
                <w:lang w:eastAsia="ar-SA"/>
              </w:rPr>
              <w:t>22 meses 0 semanas</w:t>
            </w:r>
          </w:p>
        </w:tc>
        <w:tc>
          <w:tcPr>
            <w:tcW w:w="2190" w:type="dxa"/>
            <w:tcBorders>
              <w:top w:val="nil"/>
              <w:left w:val="single" w:sz="4" w:space="0" w:color="auto"/>
              <w:bottom w:val="dashed" w:sz="4" w:space="0" w:color="auto"/>
            </w:tcBorders>
            <w:shd w:val="clear" w:color="auto" w:fill="auto"/>
          </w:tcPr>
          <w:p w:rsidR="003B106A" w:rsidRPr="003B106A" w:rsidRDefault="003B106A" w:rsidP="003B106A">
            <w:pPr>
              <w:jc w:val="center"/>
              <w:rPr>
                <w:rFonts w:ascii="Times New Roman" w:hAnsi="Times New Roman" w:cs="Times New Roman"/>
                <w:sz w:val="18"/>
                <w:szCs w:val="20"/>
                <w:lang w:eastAsia="ar-SA"/>
              </w:rPr>
            </w:pPr>
            <w:r w:rsidRPr="003B106A">
              <w:rPr>
                <w:rFonts w:ascii="Times New Roman" w:hAnsi="Times New Roman" w:cs="Times New Roman"/>
                <w:sz w:val="18"/>
                <w:szCs w:val="20"/>
                <w:lang w:eastAsia="ar-SA"/>
              </w:rPr>
              <w:t>22 meses 2 semanas</w:t>
            </w:r>
          </w:p>
        </w:tc>
      </w:tr>
      <w:tr w:rsidR="003B106A" w:rsidRPr="003B106A" w:rsidTr="00607D7A">
        <w:trPr>
          <w:jc w:val="center"/>
        </w:trPr>
        <w:tc>
          <w:tcPr>
            <w:tcW w:w="4552" w:type="dxa"/>
            <w:tcBorders>
              <w:top w:val="dashed" w:sz="4" w:space="0" w:color="auto"/>
              <w:bottom w:val="dashed" w:sz="4" w:space="0" w:color="auto"/>
              <w:right w:val="single" w:sz="4" w:space="0" w:color="auto"/>
            </w:tcBorders>
            <w:shd w:val="clear" w:color="auto" w:fill="auto"/>
          </w:tcPr>
          <w:p w:rsidR="003B106A" w:rsidRPr="003B106A" w:rsidRDefault="003B106A" w:rsidP="003B106A">
            <w:pPr>
              <w:jc w:val="both"/>
              <w:rPr>
                <w:rFonts w:ascii="Times New Roman" w:hAnsi="Times New Roman" w:cs="Times New Roman"/>
                <w:sz w:val="18"/>
                <w:szCs w:val="20"/>
                <w:lang w:eastAsia="ar-SA"/>
              </w:rPr>
            </w:pPr>
            <w:r w:rsidRPr="003B106A">
              <w:rPr>
                <w:rFonts w:ascii="Times New Roman" w:hAnsi="Times New Roman" w:cs="Times New Roman"/>
                <w:sz w:val="18"/>
                <w:szCs w:val="20"/>
                <w:lang w:eastAsia="ar-SA"/>
              </w:rPr>
              <w:t>Sala Primera (Casación Contenciosa Administrativa)</w:t>
            </w:r>
          </w:p>
        </w:tc>
        <w:tc>
          <w:tcPr>
            <w:tcW w:w="2127" w:type="dxa"/>
            <w:tcBorders>
              <w:top w:val="dashed" w:sz="4" w:space="0" w:color="auto"/>
              <w:left w:val="single" w:sz="4" w:space="0" w:color="auto"/>
              <w:bottom w:val="dashed" w:sz="4" w:space="0" w:color="auto"/>
              <w:right w:val="single" w:sz="4" w:space="0" w:color="auto"/>
            </w:tcBorders>
            <w:shd w:val="clear" w:color="auto" w:fill="auto"/>
          </w:tcPr>
          <w:p w:rsidR="003B106A" w:rsidRPr="003B106A" w:rsidRDefault="003B106A" w:rsidP="003B106A">
            <w:pPr>
              <w:jc w:val="center"/>
              <w:rPr>
                <w:rFonts w:ascii="Times New Roman" w:hAnsi="Times New Roman" w:cs="Times New Roman"/>
                <w:sz w:val="18"/>
                <w:szCs w:val="20"/>
                <w:lang w:eastAsia="ar-SA"/>
              </w:rPr>
            </w:pPr>
            <w:r w:rsidRPr="003B106A">
              <w:rPr>
                <w:rFonts w:ascii="Times New Roman" w:hAnsi="Times New Roman" w:cs="Times New Roman"/>
                <w:sz w:val="18"/>
                <w:szCs w:val="20"/>
                <w:lang w:eastAsia="ar-SA"/>
              </w:rPr>
              <w:t>10 meses 1 semana</w:t>
            </w:r>
          </w:p>
        </w:tc>
        <w:tc>
          <w:tcPr>
            <w:tcW w:w="2190" w:type="dxa"/>
            <w:tcBorders>
              <w:top w:val="dashed" w:sz="4" w:space="0" w:color="auto"/>
              <w:left w:val="single" w:sz="4" w:space="0" w:color="auto"/>
              <w:bottom w:val="dashed" w:sz="4" w:space="0" w:color="auto"/>
            </w:tcBorders>
            <w:shd w:val="clear" w:color="auto" w:fill="auto"/>
          </w:tcPr>
          <w:p w:rsidR="003B106A" w:rsidRPr="003B106A" w:rsidRDefault="003B106A" w:rsidP="003B106A">
            <w:pPr>
              <w:jc w:val="center"/>
              <w:rPr>
                <w:rFonts w:ascii="Times New Roman" w:hAnsi="Times New Roman" w:cs="Times New Roman"/>
                <w:sz w:val="18"/>
                <w:szCs w:val="20"/>
                <w:lang w:eastAsia="ar-SA"/>
              </w:rPr>
            </w:pPr>
            <w:r w:rsidRPr="003B106A">
              <w:rPr>
                <w:rFonts w:ascii="Times New Roman" w:hAnsi="Times New Roman" w:cs="Times New Roman"/>
                <w:sz w:val="18"/>
                <w:szCs w:val="20"/>
                <w:lang w:eastAsia="ar-SA"/>
              </w:rPr>
              <w:t>12 meses 1 semana</w:t>
            </w:r>
          </w:p>
        </w:tc>
      </w:tr>
      <w:tr w:rsidR="003B106A" w:rsidRPr="003B106A" w:rsidTr="00607D7A">
        <w:trPr>
          <w:jc w:val="center"/>
        </w:trPr>
        <w:tc>
          <w:tcPr>
            <w:tcW w:w="4552" w:type="dxa"/>
            <w:tcBorders>
              <w:top w:val="dashed" w:sz="4" w:space="0" w:color="auto"/>
              <w:bottom w:val="dashed" w:sz="4" w:space="0" w:color="auto"/>
              <w:right w:val="single" w:sz="4" w:space="0" w:color="auto"/>
            </w:tcBorders>
            <w:shd w:val="clear" w:color="auto" w:fill="auto"/>
          </w:tcPr>
          <w:p w:rsidR="003B106A" w:rsidRPr="003B106A" w:rsidRDefault="003B106A" w:rsidP="003B106A">
            <w:pPr>
              <w:jc w:val="both"/>
              <w:rPr>
                <w:rFonts w:ascii="Times New Roman" w:hAnsi="Times New Roman" w:cs="Times New Roman"/>
                <w:sz w:val="18"/>
                <w:szCs w:val="20"/>
                <w:lang w:eastAsia="ar-SA"/>
              </w:rPr>
            </w:pPr>
            <w:r w:rsidRPr="003B106A">
              <w:rPr>
                <w:rFonts w:ascii="Times New Roman" w:hAnsi="Times New Roman" w:cs="Times New Roman"/>
                <w:sz w:val="18"/>
                <w:szCs w:val="20"/>
                <w:lang w:eastAsia="ar-SA"/>
              </w:rPr>
              <w:t>Sala Segunda</w:t>
            </w:r>
          </w:p>
        </w:tc>
        <w:tc>
          <w:tcPr>
            <w:tcW w:w="2127" w:type="dxa"/>
            <w:tcBorders>
              <w:top w:val="dashed" w:sz="4" w:space="0" w:color="auto"/>
              <w:left w:val="single" w:sz="4" w:space="0" w:color="auto"/>
              <w:bottom w:val="dashed" w:sz="4" w:space="0" w:color="auto"/>
              <w:right w:val="single" w:sz="4" w:space="0" w:color="auto"/>
            </w:tcBorders>
            <w:shd w:val="clear" w:color="auto" w:fill="auto"/>
          </w:tcPr>
          <w:p w:rsidR="003B106A" w:rsidRPr="003B106A" w:rsidRDefault="003B106A" w:rsidP="003B106A">
            <w:pPr>
              <w:jc w:val="center"/>
              <w:rPr>
                <w:rFonts w:ascii="Times New Roman" w:hAnsi="Times New Roman" w:cs="Times New Roman"/>
                <w:sz w:val="18"/>
                <w:szCs w:val="20"/>
                <w:lang w:eastAsia="ar-SA"/>
              </w:rPr>
            </w:pPr>
            <w:r w:rsidRPr="003B106A">
              <w:rPr>
                <w:rFonts w:ascii="Times New Roman" w:hAnsi="Times New Roman" w:cs="Times New Roman"/>
                <w:sz w:val="18"/>
                <w:szCs w:val="20"/>
                <w:lang w:eastAsia="ar-SA"/>
              </w:rPr>
              <w:t>4 meses 1 semanas</w:t>
            </w:r>
          </w:p>
        </w:tc>
        <w:tc>
          <w:tcPr>
            <w:tcW w:w="2190" w:type="dxa"/>
            <w:tcBorders>
              <w:top w:val="dashed" w:sz="4" w:space="0" w:color="auto"/>
              <w:left w:val="single" w:sz="4" w:space="0" w:color="auto"/>
              <w:bottom w:val="dashed" w:sz="4" w:space="0" w:color="auto"/>
            </w:tcBorders>
            <w:shd w:val="clear" w:color="auto" w:fill="auto"/>
          </w:tcPr>
          <w:p w:rsidR="003B106A" w:rsidRPr="003B106A" w:rsidRDefault="003B106A" w:rsidP="003B106A">
            <w:pPr>
              <w:jc w:val="center"/>
              <w:rPr>
                <w:rFonts w:ascii="Times New Roman" w:hAnsi="Times New Roman" w:cs="Times New Roman"/>
                <w:sz w:val="18"/>
                <w:szCs w:val="20"/>
                <w:lang w:eastAsia="ar-SA"/>
              </w:rPr>
            </w:pPr>
            <w:r w:rsidRPr="003B106A">
              <w:rPr>
                <w:rFonts w:ascii="Times New Roman" w:hAnsi="Times New Roman" w:cs="Times New Roman"/>
                <w:sz w:val="18"/>
                <w:szCs w:val="20"/>
                <w:lang w:eastAsia="ar-SA"/>
              </w:rPr>
              <w:t>3 meses 2 semanas</w:t>
            </w:r>
          </w:p>
        </w:tc>
      </w:tr>
      <w:tr w:rsidR="003B106A" w:rsidRPr="003B106A" w:rsidTr="00607D7A">
        <w:trPr>
          <w:jc w:val="center"/>
        </w:trPr>
        <w:tc>
          <w:tcPr>
            <w:tcW w:w="4552" w:type="dxa"/>
            <w:tcBorders>
              <w:top w:val="dashed" w:sz="4" w:space="0" w:color="auto"/>
              <w:bottom w:val="dashed" w:sz="4" w:space="0" w:color="auto"/>
              <w:right w:val="single" w:sz="4" w:space="0" w:color="auto"/>
            </w:tcBorders>
            <w:shd w:val="clear" w:color="auto" w:fill="auto"/>
          </w:tcPr>
          <w:p w:rsidR="003B106A" w:rsidRPr="003B106A" w:rsidRDefault="003B106A" w:rsidP="003B106A">
            <w:pPr>
              <w:jc w:val="both"/>
              <w:rPr>
                <w:rFonts w:ascii="Times New Roman" w:hAnsi="Times New Roman" w:cs="Times New Roman"/>
                <w:sz w:val="18"/>
                <w:szCs w:val="20"/>
                <w:lang w:eastAsia="ar-SA"/>
              </w:rPr>
            </w:pPr>
            <w:r w:rsidRPr="003B106A">
              <w:rPr>
                <w:rFonts w:ascii="Times New Roman" w:hAnsi="Times New Roman" w:cs="Times New Roman"/>
                <w:sz w:val="18"/>
                <w:szCs w:val="20"/>
                <w:lang w:eastAsia="ar-SA"/>
              </w:rPr>
              <w:t>Sala Tercera (Recurso Casación)</w:t>
            </w:r>
          </w:p>
        </w:tc>
        <w:tc>
          <w:tcPr>
            <w:tcW w:w="2127" w:type="dxa"/>
            <w:tcBorders>
              <w:top w:val="dashed" w:sz="4" w:space="0" w:color="auto"/>
              <w:left w:val="single" w:sz="4" w:space="0" w:color="auto"/>
              <w:bottom w:val="dashed" w:sz="4" w:space="0" w:color="auto"/>
              <w:right w:val="single" w:sz="4" w:space="0" w:color="auto"/>
            </w:tcBorders>
            <w:shd w:val="clear" w:color="auto" w:fill="auto"/>
          </w:tcPr>
          <w:p w:rsidR="003B106A" w:rsidRPr="003B106A" w:rsidRDefault="003B106A" w:rsidP="003B106A">
            <w:pPr>
              <w:jc w:val="center"/>
              <w:rPr>
                <w:rFonts w:ascii="Times New Roman" w:hAnsi="Times New Roman" w:cs="Times New Roman"/>
                <w:sz w:val="18"/>
                <w:szCs w:val="20"/>
                <w:lang w:eastAsia="ar-SA"/>
              </w:rPr>
            </w:pPr>
            <w:r w:rsidRPr="003B106A">
              <w:rPr>
                <w:rFonts w:ascii="Times New Roman" w:hAnsi="Times New Roman" w:cs="Times New Roman"/>
                <w:sz w:val="18"/>
                <w:szCs w:val="20"/>
                <w:lang w:eastAsia="ar-SA"/>
              </w:rPr>
              <w:t>10 meses 1 semana</w:t>
            </w:r>
          </w:p>
        </w:tc>
        <w:tc>
          <w:tcPr>
            <w:tcW w:w="2190" w:type="dxa"/>
            <w:tcBorders>
              <w:top w:val="dashed" w:sz="4" w:space="0" w:color="auto"/>
              <w:left w:val="single" w:sz="4" w:space="0" w:color="auto"/>
              <w:bottom w:val="dashed" w:sz="4" w:space="0" w:color="auto"/>
            </w:tcBorders>
            <w:shd w:val="clear" w:color="auto" w:fill="auto"/>
          </w:tcPr>
          <w:p w:rsidR="003B106A" w:rsidRPr="003B106A" w:rsidRDefault="003B106A" w:rsidP="003B106A">
            <w:pPr>
              <w:jc w:val="center"/>
              <w:rPr>
                <w:rFonts w:ascii="Times New Roman" w:hAnsi="Times New Roman" w:cs="Times New Roman"/>
                <w:sz w:val="18"/>
                <w:szCs w:val="20"/>
                <w:lang w:eastAsia="ar-SA"/>
              </w:rPr>
            </w:pPr>
            <w:r w:rsidRPr="003B106A">
              <w:rPr>
                <w:rFonts w:ascii="Times New Roman" w:hAnsi="Times New Roman" w:cs="Times New Roman"/>
                <w:sz w:val="18"/>
                <w:szCs w:val="20"/>
                <w:lang w:eastAsia="ar-SA"/>
              </w:rPr>
              <w:t>6 meses 0 semana</w:t>
            </w:r>
          </w:p>
        </w:tc>
      </w:tr>
      <w:tr w:rsidR="003B106A" w:rsidRPr="003B106A" w:rsidTr="00607D7A">
        <w:trPr>
          <w:jc w:val="center"/>
        </w:trPr>
        <w:tc>
          <w:tcPr>
            <w:tcW w:w="4552" w:type="dxa"/>
            <w:tcBorders>
              <w:top w:val="dashed" w:sz="4" w:space="0" w:color="auto"/>
              <w:bottom w:val="dashed" w:sz="4" w:space="0" w:color="auto"/>
              <w:right w:val="single" w:sz="4" w:space="0" w:color="auto"/>
            </w:tcBorders>
            <w:shd w:val="clear" w:color="auto" w:fill="auto"/>
          </w:tcPr>
          <w:p w:rsidR="003B106A" w:rsidRPr="003B106A" w:rsidRDefault="003B106A" w:rsidP="003B106A">
            <w:pPr>
              <w:jc w:val="both"/>
              <w:rPr>
                <w:rFonts w:ascii="Times New Roman" w:hAnsi="Times New Roman" w:cs="Times New Roman"/>
                <w:sz w:val="18"/>
                <w:szCs w:val="20"/>
                <w:lang w:eastAsia="ar-SA"/>
              </w:rPr>
            </w:pPr>
            <w:r w:rsidRPr="003B106A">
              <w:rPr>
                <w:rFonts w:ascii="Times New Roman" w:hAnsi="Times New Roman" w:cs="Times New Roman"/>
                <w:sz w:val="18"/>
                <w:szCs w:val="20"/>
                <w:lang w:eastAsia="ar-SA"/>
              </w:rPr>
              <w:t>Sala Tercera (Procedimiento Revisión)</w:t>
            </w:r>
          </w:p>
        </w:tc>
        <w:tc>
          <w:tcPr>
            <w:tcW w:w="2127" w:type="dxa"/>
            <w:tcBorders>
              <w:top w:val="dashed" w:sz="4" w:space="0" w:color="auto"/>
              <w:left w:val="single" w:sz="4" w:space="0" w:color="auto"/>
              <w:bottom w:val="dashed" w:sz="4" w:space="0" w:color="auto"/>
              <w:right w:val="single" w:sz="4" w:space="0" w:color="auto"/>
            </w:tcBorders>
            <w:shd w:val="clear" w:color="auto" w:fill="auto"/>
          </w:tcPr>
          <w:p w:rsidR="003B106A" w:rsidRPr="003B106A" w:rsidRDefault="003B106A" w:rsidP="003B106A">
            <w:pPr>
              <w:jc w:val="center"/>
              <w:rPr>
                <w:rFonts w:ascii="Times New Roman" w:hAnsi="Times New Roman" w:cs="Times New Roman"/>
                <w:sz w:val="18"/>
                <w:szCs w:val="20"/>
                <w:lang w:eastAsia="ar-SA"/>
              </w:rPr>
            </w:pPr>
            <w:r w:rsidRPr="003B106A">
              <w:rPr>
                <w:rFonts w:ascii="Times New Roman" w:hAnsi="Times New Roman" w:cs="Times New Roman"/>
                <w:sz w:val="18"/>
                <w:szCs w:val="20"/>
                <w:lang w:eastAsia="ar-SA"/>
              </w:rPr>
              <w:t>12 meses 0 semanas</w:t>
            </w:r>
          </w:p>
        </w:tc>
        <w:tc>
          <w:tcPr>
            <w:tcW w:w="2190" w:type="dxa"/>
            <w:tcBorders>
              <w:top w:val="dashed" w:sz="4" w:space="0" w:color="auto"/>
              <w:left w:val="single" w:sz="4" w:space="0" w:color="auto"/>
              <w:bottom w:val="dashed" w:sz="4" w:space="0" w:color="auto"/>
            </w:tcBorders>
            <w:shd w:val="clear" w:color="auto" w:fill="auto"/>
          </w:tcPr>
          <w:p w:rsidR="003B106A" w:rsidRPr="003B106A" w:rsidRDefault="003B106A" w:rsidP="003B106A">
            <w:pPr>
              <w:jc w:val="center"/>
              <w:rPr>
                <w:rFonts w:ascii="Times New Roman" w:hAnsi="Times New Roman" w:cs="Times New Roman"/>
                <w:sz w:val="18"/>
                <w:szCs w:val="20"/>
                <w:lang w:eastAsia="ar-SA"/>
              </w:rPr>
            </w:pPr>
            <w:r w:rsidRPr="003B106A">
              <w:rPr>
                <w:rFonts w:ascii="Times New Roman" w:hAnsi="Times New Roman" w:cs="Times New Roman"/>
                <w:sz w:val="18"/>
                <w:szCs w:val="20"/>
                <w:lang w:eastAsia="ar-SA"/>
              </w:rPr>
              <w:t>8 meses 2 semanas</w:t>
            </w:r>
          </w:p>
        </w:tc>
      </w:tr>
      <w:tr w:rsidR="003B106A" w:rsidRPr="003B106A" w:rsidTr="00607D7A">
        <w:trPr>
          <w:jc w:val="center"/>
        </w:trPr>
        <w:tc>
          <w:tcPr>
            <w:tcW w:w="4552" w:type="dxa"/>
            <w:tcBorders>
              <w:top w:val="dashed" w:sz="4" w:space="0" w:color="auto"/>
              <w:bottom w:val="dashed" w:sz="4" w:space="0" w:color="auto"/>
              <w:right w:val="single" w:sz="4" w:space="0" w:color="auto"/>
            </w:tcBorders>
            <w:shd w:val="clear" w:color="auto" w:fill="auto"/>
          </w:tcPr>
          <w:p w:rsidR="003B106A" w:rsidRPr="003B106A" w:rsidRDefault="003B106A" w:rsidP="003B106A">
            <w:pPr>
              <w:jc w:val="both"/>
              <w:rPr>
                <w:rFonts w:ascii="Times New Roman" w:hAnsi="Times New Roman" w:cs="Times New Roman"/>
                <w:sz w:val="18"/>
                <w:szCs w:val="20"/>
                <w:lang w:eastAsia="ar-SA"/>
              </w:rPr>
            </w:pPr>
            <w:r w:rsidRPr="003B106A">
              <w:rPr>
                <w:rFonts w:ascii="Times New Roman" w:hAnsi="Times New Roman" w:cs="Times New Roman"/>
                <w:sz w:val="18"/>
                <w:szCs w:val="20"/>
                <w:lang w:eastAsia="ar-SA"/>
              </w:rPr>
              <w:t>Sala Tercera –Penal Juvenil-</w:t>
            </w:r>
          </w:p>
        </w:tc>
        <w:tc>
          <w:tcPr>
            <w:tcW w:w="2127" w:type="dxa"/>
            <w:tcBorders>
              <w:top w:val="dashed" w:sz="4" w:space="0" w:color="auto"/>
              <w:left w:val="single" w:sz="4" w:space="0" w:color="auto"/>
              <w:bottom w:val="dashed" w:sz="4" w:space="0" w:color="auto"/>
              <w:right w:val="single" w:sz="4" w:space="0" w:color="auto"/>
            </w:tcBorders>
            <w:shd w:val="clear" w:color="auto" w:fill="auto"/>
          </w:tcPr>
          <w:p w:rsidR="003B106A" w:rsidRPr="003B106A" w:rsidRDefault="003B106A" w:rsidP="003B106A">
            <w:pPr>
              <w:jc w:val="center"/>
              <w:rPr>
                <w:rFonts w:ascii="Times New Roman" w:hAnsi="Times New Roman" w:cs="Times New Roman"/>
                <w:sz w:val="18"/>
                <w:szCs w:val="20"/>
                <w:lang w:eastAsia="ar-SA"/>
              </w:rPr>
            </w:pPr>
            <w:r w:rsidRPr="003B106A">
              <w:rPr>
                <w:rFonts w:ascii="Times New Roman" w:hAnsi="Times New Roman" w:cs="Times New Roman"/>
                <w:sz w:val="18"/>
                <w:szCs w:val="20"/>
                <w:lang w:eastAsia="ar-SA"/>
              </w:rPr>
              <w:t>2 meses 1 semana</w:t>
            </w:r>
          </w:p>
        </w:tc>
        <w:tc>
          <w:tcPr>
            <w:tcW w:w="2190" w:type="dxa"/>
            <w:tcBorders>
              <w:top w:val="dashed" w:sz="4" w:space="0" w:color="auto"/>
              <w:left w:val="single" w:sz="4" w:space="0" w:color="auto"/>
              <w:bottom w:val="dashed" w:sz="4" w:space="0" w:color="auto"/>
            </w:tcBorders>
            <w:shd w:val="clear" w:color="auto" w:fill="auto"/>
          </w:tcPr>
          <w:p w:rsidR="003B106A" w:rsidRPr="003B106A" w:rsidRDefault="003B106A" w:rsidP="003B106A">
            <w:pPr>
              <w:jc w:val="center"/>
              <w:rPr>
                <w:rFonts w:ascii="Times New Roman" w:hAnsi="Times New Roman" w:cs="Times New Roman"/>
                <w:sz w:val="18"/>
                <w:szCs w:val="20"/>
                <w:lang w:eastAsia="ar-SA"/>
              </w:rPr>
            </w:pPr>
            <w:r w:rsidRPr="003B106A">
              <w:rPr>
                <w:rFonts w:ascii="Times New Roman" w:hAnsi="Times New Roman" w:cs="Times New Roman"/>
                <w:sz w:val="18"/>
                <w:szCs w:val="20"/>
                <w:lang w:eastAsia="ar-SA"/>
              </w:rPr>
              <w:t>4 meses 2 semana</w:t>
            </w:r>
          </w:p>
        </w:tc>
      </w:tr>
      <w:tr w:rsidR="003B106A" w:rsidRPr="003B106A" w:rsidTr="00607D7A">
        <w:trPr>
          <w:jc w:val="center"/>
        </w:trPr>
        <w:tc>
          <w:tcPr>
            <w:tcW w:w="4552" w:type="dxa"/>
            <w:tcBorders>
              <w:top w:val="dashed" w:sz="4" w:space="0" w:color="auto"/>
              <w:bottom w:val="dashed" w:sz="4" w:space="0" w:color="auto"/>
              <w:right w:val="single" w:sz="4" w:space="0" w:color="auto"/>
            </w:tcBorders>
            <w:shd w:val="clear" w:color="auto" w:fill="auto"/>
          </w:tcPr>
          <w:p w:rsidR="003B106A" w:rsidRPr="003B106A" w:rsidRDefault="003B106A" w:rsidP="003B106A">
            <w:pPr>
              <w:jc w:val="both"/>
              <w:rPr>
                <w:rFonts w:ascii="Times New Roman" w:hAnsi="Times New Roman" w:cs="Times New Roman"/>
                <w:sz w:val="18"/>
                <w:szCs w:val="20"/>
                <w:lang w:eastAsia="ar-SA"/>
              </w:rPr>
            </w:pPr>
            <w:r w:rsidRPr="003B106A">
              <w:rPr>
                <w:rFonts w:ascii="Times New Roman" w:hAnsi="Times New Roman" w:cs="Times New Roman"/>
                <w:sz w:val="18"/>
                <w:szCs w:val="20"/>
                <w:lang w:eastAsia="ar-SA"/>
              </w:rPr>
              <w:t>Sala Constitucional  (Habeas Corpus)</w:t>
            </w:r>
          </w:p>
        </w:tc>
        <w:tc>
          <w:tcPr>
            <w:tcW w:w="2127" w:type="dxa"/>
            <w:tcBorders>
              <w:top w:val="dashed" w:sz="4" w:space="0" w:color="auto"/>
              <w:left w:val="single" w:sz="4" w:space="0" w:color="auto"/>
              <w:bottom w:val="dashed" w:sz="4" w:space="0" w:color="auto"/>
              <w:right w:val="single" w:sz="4" w:space="0" w:color="auto"/>
            </w:tcBorders>
            <w:shd w:val="clear" w:color="auto" w:fill="auto"/>
          </w:tcPr>
          <w:p w:rsidR="003B106A" w:rsidRPr="003B106A" w:rsidRDefault="003B106A" w:rsidP="003B106A">
            <w:pPr>
              <w:jc w:val="center"/>
              <w:rPr>
                <w:rFonts w:ascii="Times New Roman" w:hAnsi="Times New Roman" w:cs="Times New Roman"/>
                <w:sz w:val="18"/>
                <w:szCs w:val="20"/>
                <w:lang w:eastAsia="ar-SA"/>
              </w:rPr>
            </w:pPr>
            <w:r w:rsidRPr="003B106A">
              <w:rPr>
                <w:rFonts w:ascii="Times New Roman" w:hAnsi="Times New Roman" w:cs="Times New Roman"/>
                <w:sz w:val="18"/>
                <w:szCs w:val="20"/>
                <w:lang w:eastAsia="ar-SA"/>
              </w:rPr>
              <w:t>15 días</w:t>
            </w:r>
          </w:p>
        </w:tc>
        <w:tc>
          <w:tcPr>
            <w:tcW w:w="2190" w:type="dxa"/>
            <w:tcBorders>
              <w:top w:val="dashed" w:sz="4" w:space="0" w:color="auto"/>
              <w:left w:val="single" w:sz="4" w:space="0" w:color="auto"/>
              <w:bottom w:val="dashed" w:sz="4" w:space="0" w:color="auto"/>
            </w:tcBorders>
            <w:shd w:val="clear" w:color="auto" w:fill="auto"/>
          </w:tcPr>
          <w:p w:rsidR="003B106A" w:rsidRPr="003B106A" w:rsidRDefault="003B106A" w:rsidP="003B106A">
            <w:pPr>
              <w:jc w:val="center"/>
              <w:rPr>
                <w:rFonts w:ascii="Times New Roman" w:hAnsi="Times New Roman" w:cs="Times New Roman"/>
                <w:sz w:val="18"/>
                <w:szCs w:val="20"/>
                <w:lang w:eastAsia="ar-SA"/>
              </w:rPr>
            </w:pPr>
            <w:r w:rsidRPr="003B106A">
              <w:rPr>
                <w:rFonts w:ascii="Times New Roman" w:hAnsi="Times New Roman" w:cs="Times New Roman"/>
                <w:sz w:val="18"/>
                <w:szCs w:val="20"/>
                <w:lang w:eastAsia="ar-SA"/>
              </w:rPr>
              <w:t>13 días</w:t>
            </w:r>
          </w:p>
        </w:tc>
      </w:tr>
      <w:tr w:rsidR="003B106A" w:rsidRPr="003B106A" w:rsidTr="00607D7A">
        <w:trPr>
          <w:jc w:val="center"/>
        </w:trPr>
        <w:tc>
          <w:tcPr>
            <w:tcW w:w="4552" w:type="dxa"/>
            <w:tcBorders>
              <w:top w:val="dashed" w:sz="4" w:space="0" w:color="auto"/>
              <w:bottom w:val="dashed" w:sz="4" w:space="0" w:color="auto"/>
              <w:right w:val="single" w:sz="4" w:space="0" w:color="auto"/>
            </w:tcBorders>
            <w:shd w:val="clear" w:color="auto" w:fill="auto"/>
          </w:tcPr>
          <w:p w:rsidR="003B106A" w:rsidRPr="003B106A" w:rsidRDefault="003B106A" w:rsidP="003B106A">
            <w:pPr>
              <w:jc w:val="both"/>
              <w:rPr>
                <w:rFonts w:ascii="Times New Roman" w:hAnsi="Times New Roman" w:cs="Times New Roman"/>
                <w:sz w:val="18"/>
                <w:szCs w:val="20"/>
                <w:lang w:eastAsia="ar-SA"/>
              </w:rPr>
            </w:pPr>
            <w:r w:rsidRPr="003B106A">
              <w:rPr>
                <w:rFonts w:ascii="Times New Roman" w:hAnsi="Times New Roman" w:cs="Times New Roman"/>
                <w:sz w:val="18"/>
                <w:szCs w:val="20"/>
                <w:lang w:eastAsia="ar-SA"/>
              </w:rPr>
              <w:t>Sala Constitucional (Amparos)</w:t>
            </w:r>
          </w:p>
        </w:tc>
        <w:tc>
          <w:tcPr>
            <w:tcW w:w="2127" w:type="dxa"/>
            <w:tcBorders>
              <w:top w:val="dashed" w:sz="4" w:space="0" w:color="auto"/>
              <w:left w:val="single" w:sz="4" w:space="0" w:color="auto"/>
              <w:bottom w:val="dashed" w:sz="4" w:space="0" w:color="auto"/>
              <w:right w:val="single" w:sz="4" w:space="0" w:color="auto"/>
            </w:tcBorders>
            <w:shd w:val="clear" w:color="auto" w:fill="auto"/>
          </w:tcPr>
          <w:p w:rsidR="003B106A" w:rsidRPr="003B106A" w:rsidRDefault="003B106A" w:rsidP="003B106A">
            <w:pPr>
              <w:jc w:val="center"/>
              <w:rPr>
                <w:rFonts w:ascii="Times New Roman" w:hAnsi="Times New Roman" w:cs="Times New Roman"/>
                <w:sz w:val="18"/>
                <w:szCs w:val="20"/>
                <w:lang w:eastAsia="ar-SA"/>
              </w:rPr>
            </w:pPr>
            <w:r w:rsidRPr="003B106A">
              <w:rPr>
                <w:rFonts w:ascii="Times New Roman" w:hAnsi="Times New Roman" w:cs="Times New Roman"/>
                <w:sz w:val="18"/>
                <w:szCs w:val="20"/>
                <w:lang w:eastAsia="ar-SA"/>
              </w:rPr>
              <w:t>1 mes 1 semana</w:t>
            </w:r>
          </w:p>
        </w:tc>
        <w:tc>
          <w:tcPr>
            <w:tcW w:w="2190" w:type="dxa"/>
            <w:tcBorders>
              <w:top w:val="dashed" w:sz="4" w:space="0" w:color="auto"/>
              <w:left w:val="single" w:sz="4" w:space="0" w:color="auto"/>
              <w:bottom w:val="dashed" w:sz="4" w:space="0" w:color="auto"/>
            </w:tcBorders>
            <w:shd w:val="clear" w:color="auto" w:fill="auto"/>
          </w:tcPr>
          <w:p w:rsidR="003B106A" w:rsidRPr="003B106A" w:rsidRDefault="003B106A" w:rsidP="003B106A">
            <w:pPr>
              <w:jc w:val="center"/>
              <w:rPr>
                <w:rFonts w:ascii="Times New Roman" w:hAnsi="Times New Roman" w:cs="Times New Roman"/>
                <w:sz w:val="18"/>
                <w:szCs w:val="20"/>
                <w:lang w:eastAsia="ar-SA"/>
              </w:rPr>
            </w:pPr>
            <w:r w:rsidRPr="003B106A">
              <w:rPr>
                <w:rFonts w:ascii="Times New Roman" w:hAnsi="Times New Roman" w:cs="Times New Roman"/>
                <w:sz w:val="18"/>
                <w:szCs w:val="20"/>
                <w:lang w:eastAsia="ar-SA"/>
              </w:rPr>
              <w:t>1 mes 0 semana</w:t>
            </w:r>
          </w:p>
        </w:tc>
      </w:tr>
      <w:tr w:rsidR="003B106A" w:rsidRPr="003B106A" w:rsidTr="00607D7A">
        <w:trPr>
          <w:jc w:val="center"/>
        </w:trPr>
        <w:tc>
          <w:tcPr>
            <w:tcW w:w="4552" w:type="dxa"/>
            <w:tcBorders>
              <w:top w:val="dashed" w:sz="4" w:space="0" w:color="auto"/>
              <w:bottom w:val="dashed" w:sz="4" w:space="0" w:color="auto"/>
              <w:right w:val="single" w:sz="4" w:space="0" w:color="auto"/>
            </w:tcBorders>
            <w:shd w:val="clear" w:color="auto" w:fill="auto"/>
          </w:tcPr>
          <w:p w:rsidR="003B106A" w:rsidRPr="003B106A" w:rsidRDefault="003B106A" w:rsidP="003B106A">
            <w:pPr>
              <w:jc w:val="both"/>
              <w:rPr>
                <w:rFonts w:ascii="Times New Roman" w:hAnsi="Times New Roman" w:cs="Times New Roman"/>
                <w:sz w:val="18"/>
                <w:szCs w:val="20"/>
                <w:lang w:eastAsia="ar-SA"/>
              </w:rPr>
            </w:pPr>
            <w:r w:rsidRPr="003B106A">
              <w:rPr>
                <w:rFonts w:ascii="Times New Roman" w:hAnsi="Times New Roman" w:cs="Times New Roman"/>
                <w:sz w:val="18"/>
                <w:szCs w:val="20"/>
                <w:lang w:eastAsia="ar-SA"/>
              </w:rPr>
              <w:t xml:space="preserve">Sala Constitucional (Acción </w:t>
            </w:r>
            <w:proofErr w:type="spellStart"/>
            <w:r w:rsidRPr="003B106A">
              <w:rPr>
                <w:rFonts w:ascii="Times New Roman" w:hAnsi="Times New Roman" w:cs="Times New Roman"/>
                <w:sz w:val="18"/>
                <w:szCs w:val="20"/>
                <w:lang w:eastAsia="ar-SA"/>
              </w:rPr>
              <w:t>Inconstit</w:t>
            </w:r>
            <w:proofErr w:type="spellEnd"/>
            <w:r w:rsidRPr="003B106A">
              <w:rPr>
                <w:rFonts w:ascii="Times New Roman" w:hAnsi="Times New Roman" w:cs="Times New Roman"/>
                <w:sz w:val="18"/>
                <w:szCs w:val="20"/>
                <w:lang w:eastAsia="ar-SA"/>
              </w:rPr>
              <w:t>.)</w:t>
            </w:r>
          </w:p>
        </w:tc>
        <w:tc>
          <w:tcPr>
            <w:tcW w:w="2127" w:type="dxa"/>
            <w:tcBorders>
              <w:top w:val="dashed" w:sz="4" w:space="0" w:color="auto"/>
              <w:left w:val="single" w:sz="4" w:space="0" w:color="auto"/>
              <w:bottom w:val="dashed" w:sz="4" w:space="0" w:color="auto"/>
              <w:right w:val="single" w:sz="4" w:space="0" w:color="auto"/>
            </w:tcBorders>
            <w:shd w:val="clear" w:color="auto" w:fill="auto"/>
          </w:tcPr>
          <w:p w:rsidR="003B106A" w:rsidRPr="003B106A" w:rsidRDefault="003B106A" w:rsidP="003B106A">
            <w:pPr>
              <w:jc w:val="center"/>
              <w:rPr>
                <w:rFonts w:ascii="Times New Roman" w:hAnsi="Times New Roman" w:cs="Times New Roman"/>
                <w:sz w:val="18"/>
                <w:szCs w:val="20"/>
                <w:lang w:eastAsia="ar-SA"/>
              </w:rPr>
            </w:pPr>
            <w:r w:rsidRPr="003B106A">
              <w:rPr>
                <w:rFonts w:ascii="Times New Roman" w:hAnsi="Times New Roman" w:cs="Times New Roman"/>
                <w:sz w:val="18"/>
                <w:szCs w:val="20"/>
                <w:lang w:eastAsia="ar-SA"/>
              </w:rPr>
              <w:t>18 meses 0 semanas</w:t>
            </w:r>
          </w:p>
        </w:tc>
        <w:tc>
          <w:tcPr>
            <w:tcW w:w="2190" w:type="dxa"/>
            <w:tcBorders>
              <w:top w:val="dashed" w:sz="4" w:space="0" w:color="auto"/>
              <w:left w:val="single" w:sz="4" w:space="0" w:color="auto"/>
              <w:bottom w:val="dashed" w:sz="4" w:space="0" w:color="auto"/>
            </w:tcBorders>
            <w:shd w:val="clear" w:color="auto" w:fill="auto"/>
          </w:tcPr>
          <w:p w:rsidR="003B106A" w:rsidRPr="003B106A" w:rsidRDefault="003B106A" w:rsidP="003B106A">
            <w:pPr>
              <w:jc w:val="center"/>
              <w:rPr>
                <w:rFonts w:ascii="Times New Roman" w:hAnsi="Times New Roman" w:cs="Times New Roman"/>
                <w:sz w:val="18"/>
                <w:szCs w:val="20"/>
                <w:lang w:eastAsia="ar-SA"/>
              </w:rPr>
            </w:pPr>
            <w:r w:rsidRPr="003B106A">
              <w:rPr>
                <w:rFonts w:ascii="Times New Roman" w:hAnsi="Times New Roman" w:cs="Times New Roman"/>
                <w:sz w:val="18"/>
                <w:szCs w:val="20"/>
                <w:lang w:eastAsia="ar-SA"/>
              </w:rPr>
              <w:t>15 meses 2 semanas</w:t>
            </w:r>
          </w:p>
        </w:tc>
      </w:tr>
      <w:tr w:rsidR="003B106A" w:rsidRPr="003B106A" w:rsidTr="00607D7A">
        <w:trPr>
          <w:jc w:val="center"/>
        </w:trPr>
        <w:tc>
          <w:tcPr>
            <w:tcW w:w="4552" w:type="dxa"/>
            <w:tcBorders>
              <w:top w:val="dashed" w:sz="4" w:space="0" w:color="auto"/>
              <w:bottom w:val="dashed" w:sz="4" w:space="0" w:color="auto"/>
              <w:right w:val="single" w:sz="4" w:space="0" w:color="auto"/>
            </w:tcBorders>
            <w:shd w:val="clear" w:color="auto" w:fill="auto"/>
          </w:tcPr>
          <w:p w:rsidR="003B106A" w:rsidRPr="003B106A" w:rsidRDefault="003B106A" w:rsidP="003B106A">
            <w:pPr>
              <w:jc w:val="both"/>
              <w:rPr>
                <w:rFonts w:ascii="Times New Roman" w:hAnsi="Times New Roman" w:cs="Times New Roman"/>
                <w:sz w:val="18"/>
                <w:szCs w:val="20"/>
                <w:lang w:eastAsia="ar-SA"/>
              </w:rPr>
            </w:pPr>
            <w:r w:rsidRPr="003B106A">
              <w:rPr>
                <w:rFonts w:ascii="Times New Roman" w:hAnsi="Times New Roman" w:cs="Times New Roman"/>
                <w:sz w:val="18"/>
                <w:szCs w:val="20"/>
                <w:lang w:eastAsia="ar-SA"/>
              </w:rPr>
              <w:t>Tribunales de Apelación de Sentencia Penal</w:t>
            </w:r>
          </w:p>
        </w:tc>
        <w:tc>
          <w:tcPr>
            <w:tcW w:w="2127" w:type="dxa"/>
            <w:tcBorders>
              <w:top w:val="dashed" w:sz="4" w:space="0" w:color="auto"/>
              <w:left w:val="single" w:sz="4" w:space="0" w:color="auto"/>
              <w:bottom w:val="dashed" w:sz="4" w:space="0" w:color="auto"/>
              <w:right w:val="single" w:sz="4" w:space="0" w:color="auto"/>
            </w:tcBorders>
            <w:shd w:val="clear" w:color="auto" w:fill="auto"/>
          </w:tcPr>
          <w:p w:rsidR="003B106A" w:rsidRPr="003B106A" w:rsidRDefault="003B106A" w:rsidP="003B106A">
            <w:pPr>
              <w:jc w:val="center"/>
              <w:rPr>
                <w:rFonts w:ascii="Times New Roman" w:hAnsi="Times New Roman" w:cs="Times New Roman"/>
                <w:sz w:val="18"/>
                <w:szCs w:val="20"/>
                <w:lang w:eastAsia="ar-SA"/>
              </w:rPr>
            </w:pPr>
            <w:r w:rsidRPr="003B106A">
              <w:rPr>
                <w:rFonts w:ascii="Times New Roman" w:hAnsi="Times New Roman" w:cs="Times New Roman"/>
                <w:sz w:val="18"/>
                <w:szCs w:val="20"/>
                <w:lang w:eastAsia="ar-SA"/>
              </w:rPr>
              <w:t>3 meses 3 semanas</w:t>
            </w:r>
          </w:p>
        </w:tc>
        <w:tc>
          <w:tcPr>
            <w:tcW w:w="2190" w:type="dxa"/>
            <w:tcBorders>
              <w:top w:val="dashed" w:sz="4" w:space="0" w:color="auto"/>
              <w:left w:val="single" w:sz="4" w:space="0" w:color="auto"/>
              <w:bottom w:val="dashed" w:sz="4" w:space="0" w:color="auto"/>
            </w:tcBorders>
            <w:shd w:val="clear" w:color="auto" w:fill="auto"/>
          </w:tcPr>
          <w:p w:rsidR="003B106A" w:rsidRPr="003B106A" w:rsidRDefault="003B106A" w:rsidP="003B106A">
            <w:pPr>
              <w:jc w:val="center"/>
              <w:rPr>
                <w:rFonts w:ascii="Times New Roman" w:hAnsi="Times New Roman" w:cs="Times New Roman"/>
                <w:sz w:val="18"/>
                <w:szCs w:val="20"/>
                <w:lang w:eastAsia="ar-SA"/>
              </w:rPr>
            </w:pPr>
            <w:r w:rsidRPr="003B106A">
              <w:rPr>
                <w:rFonts w:ascii="Times New Roman" w:hAnsi="Times New Roman" w:cs="Times New Roman"/>
                <w:sz w:val="18"/>
                <w:szCs w:val="20"/>
                <w:lang w:eastAsia="ar-SA"/>
              </w:rPr>
              <w:t>4 meses 1 semanas</w:t>
            </w:r>
          </w:p>
        </w:tc>
      </w:tr>
      <w:tr w:rsidR="003B106A" w:rsidRPr="003B106A" w:rsidTr="00607D7A">
        <w:trPr>
          <w:jc w:val="center"/>
        </w:trPr>
        <w:tc>
          <w:tcPr>
            <w:tcW w:w="4552" w:type="dxa"/>
            <w:tcBorders>
              <w:top w:val="dashed" w:sz="4" w:space="0" w:color="auto"/>
              <w:bottom w:val="dashed" w:sz="4" w:space="0" w:color="auto"/>
              <w:right w:val="single" w:sz="4" w:space="0" w:color="auto"/>
            </w:tcBorders>
            <w:shd w:val="clear" w:color="auto" w:fill="auto"/>
          </w:tcPr>
          <w:p w:rsidR="003B106A" w:rsidRPr="003B106A" w:rsidRDefault="003B106A" w:rsidP="003B106A">
            <w:pPr>
              <w:jc w:val="both"/>
              <w:rPr>
                <w:rFonts w:ascii="Times New Roman" w:hAnsi="Times New Roman" w:cs="Times New Roman"/>
                <w:sz w:val="18"/>
                <w:szCs w:val="20"/>
                <w:lang w:eastAsia="ar-SA"/>
              </w:rPr>
            </w:pPr>
            <w:r w:rsidRPr="003B106A">
              <w:rPr>
                <w:rFonts w:ascii="Times New Roman" w:hAnsi="Times New Roman" w:cs="Times New Roman"/>
                <w:sz w:val="18"/>
                <w:szCs w:val="20"/>
                <w:lang w:eastAsia="ar-SA"/>
              </w:rPr>
              <w:t>Tribunal de Apelación de Sentencia Penal Juvenil</w:t>
            </w:r>
          </w:p>
        </w:tc>
        <w:tc>
          <w:tcPr>
            <w:tcW w:w="2127" w:type="dxa"/>
            <w:tcBorders>
              <w:top w:val="dashed" w:sz="4" w:space="0" w:color="auto"/>
              <w:left w:val="single" w:sz="4" w:space="0" w:color="auto"/>
              <w:bottom w:val="dashed" w:sz="4" w:space="0" w:color="auto"/>
              <w:right w:val="single" w:sz="4" w:space="0" w:color="auto"/>
            </w:tcBorders>
            <w:shd w:val="clear" w:color="auto" w:fill="auto"/>
          </w:tcPr>
          <w:p w:rsidR="003B106A" w:rsidRPr="003B106A" w:rsidRDefault="003B106A" w:rsidP="003B106A">
            <w:pPr>
              <w:jc w:val="center"/>
              <w:rPr>
                <w:rFonts w:ascii="Times New Roman" w:hAnsi="Times New Roman" w:cs="Times New Roman"/>
                <w:sz w:val="18"/>
                <w:szCs w:val="20"/>
                <w:lang w:eastAsia="ar-SA"/>
              </w:rPr>
            </w:pPr>
            <w:r w:rsidRPr="003B106A">
              <w:rPr>
                <w:rFonts w:ascii="Times New Roman" w:hAnsi="Times New Roman" w:cs="Times New Roman"/>
                <w:sz w:val="18"/>
                <w:szCs w:val="20"/>
                <w:lang w:eastAsia="ar-SA"/>
              </w:rPr>
              <w:t>3 meses 1 semana</w:t>
            </w:r>
          </w:p>
        </w:tc>
        <w:tc>
          <w:tcPr>
            <w:tcW w:w="2190" w:type="dxa"/>
            <w:tcBorders>
              <w:top w:val="dashed" w:sz="4" w:space="0" w:color="auto"/>
              <w:left w:val="single" w:sz="4" w:space="0" w:color="auto"/>
              <w:bottom w:val="dashed" w:sz="4" w:space="0" w:color="auto"/>
            </w:tcBorders>
            <w:shd w:val="clear" w:color="auto" w:fill="auto"/>
          </w:tcPr>
          <w:p w:rsidR="003B106A" w:rsidRPr="003B106A" w:rsidRDefault="003B106A" w:rsidP="003B106A">
            <w:pPr>
              <w:jc w:val="center"/>
              <w:rPr>
                <w:rFonts w:ascii="Times New Roman" w:hAnsi="Times New Roman" w:cs="Times New Roman"/>
                <w:sz w:val="18"/>
                <w:szCs w:val="20"/>
                <w:lang w:eastAsia="ar-SA"/>
              </w:rPr>
            </w:pPr>
            <w:r w:rsidRPr="003B106A">
              <w:rPr>
                <w:rFonts w:ascii="Times New Roman" w:hAnsi="Times New Roman" w:cs="Times New Roman"/>
                <w:sz w:val="18"/>
                <w:szCs w:val="20"/>
                <w:lang w:eastAsia="ar-SA"/>
              </w:rPr>
              <w:t>0 meses 1 semana</w:t>
            </w:r>
          </w:p>
        </w:tc>
      </w:tr>
      <w:tr w:rsidR="003B106A" w:rsidRPr="003B106A" w:rsidTr="00607D7A">
        <w:trPr>
          <w:jc w:val="center"/>
        </w:trPr>
        <w:tc>
          <w:tcPr>
            <w:tcW w:w="4552" w:type="dxa"/>
            <w:tcBorders>
              <w:top w:val="dashed" w:sz="4" w:space="0" w:color="auto"/>
              <w:bottom w:val="dashed" w:sz="4" w:space="0" w:color="auto"/>
              <w:right w:val="single" w:sz="4" w:space="0" w:color="auto"/>
            </w:tcBorders>
            <w:shd w:val="clear" w:color="auto" w:fill="auto"/>
          </w:tcPr>
          <w:p w:rsidR="003B106A" w:rsidRPr="003B106A" w:rsidRDefault="003B106A" w:rsidP="003B106A">
            <w:pPr>
              <w:jc w:val="both"/>
              <w:rPr>
                <w:rFonts w:ascii="Times New Roman" w:hAnsi="Times New Roman" w:cs="Times New Roman"/>
                <w:sz w:val="18"/>
                <w:szCs w:val="20"/>
                <w:lang w:eastAsia="ar-SA"/>
              </w:rPr>
            </w:pPr>
            <w:r w:rsidRPr="003B106A">
              <w:rPr>
                <w:rFonts w:ascii="Times New Roman" w:hAnsi="Times New Roman" w:cs="Times New Roman"/>
                <w:sz w:val="18"/>
                <w:szCs w:val="20"/>
                <w:lang w:eastAsia="ar-SA"/>
              </w:rPr>
              <w:t>Tribunales Laborales</w:t>
            </w:r>
          </w:p>
        </w:tc>
        <w:tc>
          <w:tcPr>
            <w:tcW w:w="2127" w:type="dxa"/>
            <w:tcBorders>
              <w:top w:val="dashed" w:sz="4" w:space="0" w:color="auto"/>
              <w:left w:val="single" w:sz="4" w:space="0" w:color="auto"/>
              <w:bottom w:val="dashed" w:sz="4" w:space="0" w:color="auto"/>
              <w:right w:val="single" w:sz="4" w:space="0" w:color="auto"/>
            </w:tcBorders>
            <w:shd w:val="clear" w:color="auto" w:fill="auto"/>
          </w:tcPr>
          <w:p w:rsidR="003B106A" w:rsidRPr="003B106A" w:rsidRDefault="003B106A" w:rsidP="003B106A">
            <w:pPr>
              <w:jc w:val="center"/>
              <w:rPr>
                <w:rFonts w:ascii="Times New Roman" w:hAnsi="Times New Roman" w:cs="Times New Roman"/>
                <w:sz w:val="18"/>
                <w:szCs w:val="20"/>
                <w:lang w:eastAsia="ar-SA"/>
              </w:rPr>
            </w:pPr>
            <w:r w:rsidRPr="003B106A">
              <w:rPr>
                <w:rFonts w:ascii="Times New Roman" w:hAnsi="Times New Roman" w:cs="Times New Roman"/>
                <w:sz w:val="18"/>
                <w:szCs w:val="20"/>
                <w:lang w:eastAsia="ar-SA"/>
              </w:rPr>
              <w:t>5 meses 3 semanas</w:t>
            </w:r>
          </w:p>
        </w:tc>
        <w:tc>
          <w:tcPr>
            <w:tcW w:w="2190" w:type="dxa"/>
            <w:tcBorders>
              <w:top w:val="dashed" w:sz="4" w:space="0" w:color="auto"/>
              <w:left w:val="single" w:sz="4" w:space="0" w:color="auto"/>
              <w:bottom w:val="dashed" w:sz="4" w:space="0" w:color="auto"/>
            </w:tcBorders>
            <w:shd w:val="clear" w:color="auto" w:fill="auto"/>
          </w:tcPr>
          <w:p w:rsidR="003B106A" w:rsidRPr="003B106A" w:rsidRDefault="003B106A" w:rsidP="003B106A">
            <w:pPr>
              <w:jc w:val="center"/>
              <w:rPr>
                <w:rFonts w:ascii="Times New Roman" w:hAnsi="Times New Roman" w:cs="Times New Roman"/>
                <w:sz w:val="18"/>
                <w:szCs w:val="20"/>
                <w:lang w:eastAsia="ar-SA"/>
              </w:rPr>
            </w:pPr>
            <w:r w:rsidRPr="003B106A">
              <w:rPr>
                <w:rFonts w:ascii="Times New Roman" w:hAnsi="Times New Roman" w:cs="Times New Roman"/>
                <w:sz w:val="18"/>
                <w:szCs w:val="20"/>
                <w:lang w:eastAsia="ar-SA"/>
              </w:rPr>
              <w:t>7 meses 1 semanas</w:t>
            </w:r>
          </w:p>
        </w:tc>
      </w:tr>
      <w:tr w:rsidR="003B106A" w:rsidRPr="003B106A" w:rsidTr="00607D7A">
        <w:trPr>
          <w:jc w:val="center"/>
        </w:trPr>
        <w:tc>
          <w:tcPr>
            <w:tcW w:w="4552" w:type="dxa"/>
            <w:tcBorders>
              <w:top w:val="dashed" w:sz="4" w:space="0" w:color="auto"/>
              <w:bottom w:val="dashed" w:sz="4" w:space="0" w:color="auto"/>
              <w:right w:val="single" w:sz="4" w:space="0" w:color="auto"/>
            </w:tcBorders>
            <w:shd w:val="clear" w:color="auto" w:fill="auto"/>
          </w:tcPr>
          <w:p w:rsidR="003B106A" w:rsidRPr="003B106A" w:rsidRDefault="003B106A" w:rsidP="003B106A">
            <w:pPr>
              <w:jc w:val="both"/>
              <w:rPr>
                <w:rFonts w:ascii="Times New Roman" w:hAnsi="Times New Roman" w:cs="Times New Roman"/>
                <w:sz w:val="18"/>
                <w:szCs w:val="20"/>
                <w:lang w:eastAsia="ar-SA"/>
              </w:rPr>
            </w:pPr>
            <w:r w:rsidRPr="003B106A">
              <w:rPr>
                <w:rFonts w:ascii="Times New Roman" w:hAnsi="Times New Roman" w:cs="Times New Roman"/>
                <w:sz w:val="18"/>
                <w:szCs w:val="20"/>
                <w:lang w:eastAsia="ar-SA"/>
              </w:rPr>
              <w:lastRenderedPageBreak/>
              <w:t>Tribunal Contencioso Administrativo</w:t>
            </w:r>
          </w:p>
        </w:tc>
        <w:tc>
          <w:tcPr>
            <w:tcW w:w="2127" w:type="dxa"/>
            <w:tcBorders>
              <w:top w:val="dashed" w:sz="4" w:space="0" w:color="auto"/>
              <w:left w:val="single" w:sz="4" w:space="0" w:color="auto"/>
              <w:bottom w:val="dashed" w:sz="4" w:space="0" w:color="auto"/>
              <w:right w:val="single" w:sz="4" w:space="0" w:color="auto"/>
            </w:tcBorders>
            <w:shd w:val="clear" w:color="auto" w:fill="auto"/>
          </w:tcPr>
          <w:p w:rsidR="003B106A" w:rsidRPr="003B106A" w:rsidRDefault="003B106A" w:rsidP="003B106A">
            <w:pPr>
              <w:jc w:val="center"/>
              <w:rPr>
                <w:rFonts w:ascii="Times New Roman" w:hAnsi="Times New Roman" w:cs="Times New Roman"/>
                <w:sz w:val="18"/>
                <w:szCs w:val="20"/>
                <w:lang w:eastAsia="ar-SA"/>
              </w:rPr>
            </w:pPr>
            <w:r w:rsidRPr="003B106A">
              <w:rPr>
                <w:rFonts w:ascii="Times New Roman" w:hAnsi="Times New Roman" w:cs="Times New Roman"/>
                <w:sz w:val="18"/>
                <w:szCs w:val="20"/>
                <w:lang w:eastAsia="ar-SA"/>
              </w:rPr>
              <w:t>2 meses 3 semanas</w:t>
            </w:r>
          </w:p>
        </w:tc>
        <w:tc>
          <w:tcPr>
            <w:tcW w:w="2190" w:type="dxa"/>
            <w:tcBorders>
              <w:top w:val="dashed" w:sz="4" w:space="0" w:color="auto"/>
              <w:left w:val="single" w:sz="4" w:space="0" w:color="auto"/>
              <w:bottom w:val="dashed" w:sz="4" w:space="0" w:color="auto"/>
            </w:tcBorders>
            <w:shd w:val="clear" w:color="auto" w:fill="auto"/>
          </w:tcPr>
          <w:p w:rsidR="003B106A" w:rsidRPr="003B106A" w:rsidRDefault="003B106A" w:rsidP="003B106A">
            <w:pPr>
              <w:jc w:val="center"/>
              <w:rPr>
                <w:rFonts w:ascii="Times New Roman" w:hAnsi="Times New Roman" w:cs="Times New Roman"/>
                <w:sz w:val="18"/>
                <w:szCs w:val="20"/>
                <w:lang w:eastAsia="ar-SA"/>
              </w:rPr>
            </w:pPr>
            <w:r w:rsidRPr="003B106A">
              <w:rPr>
                <w:rFonts w:ascii="Times New Roman" w:hAnsi="Times New Roman" w:cs="Times New Roman"/>
                <w:sz w:val="18"/>
                <w:szCs w:val="20"/>
                <w:lang w:eastAsia="ar-SA"/>
              </w:rPr>
              <w:t>3 meses 2 semanas</w:t>
            </w:r>
          </w:p>
        </w:tc>
      </w:tr>
      <w:tr w:rsidR="003B106A" w:rsidRPr="003B106A" w:rsidTr="00607D7A">
        <w:trPr>
          <w:jc w:val="center"/>
        </w:trPr>
        <w:tc>
          <w:tcPr>
            <w:tcW w:w="4552" w:type="dxa"/>
            <w:tcBorders>
              <w:top w:val="dashed" w:sz="4" w:space="0" w:color="auto"/>
              <w:bottom w:val="dashed" w:sz="4" w:space="0" w:color="auto"/>
              <w:right w:val="single" w:sz="4" w:space="0" w:color="auto"/>
            </w:tcBorders>
            <w:shd w:val="clear" w:color="auto" w:fill="auto"/>
          </w:tcPr>
          <w:p w:rsidR="003B106A" w:rsidRPr="003B106A" w:rsidRDefault="003B106A" w:rsidP="003B106A">
            <w:pPr>
              <w:jc w:val="both"/>
              <w:rPr>
                <w:rFonts w:ascii="Times New Roman" w:hAnsi="Times New Roman" w:cs="Times New Roman"/>
                <w:sz w:val="18"/>
                <w:szCs w:val="20"/>
                <w:lang w:eastAsia="ar-SA"/>
              </w:rPr>
            </w:pPr>
            <w:r w:rsidRPr="003B106A">
              <w:rPr>
                <w:rFonts w:ascii="Times New Roman" w:hAnsi="Times New Roman" w:cs="Times New Roman"/>
                <w:sz w:val="18"/>
                <w:szCs w:val="20"/>
                <w:lang w:eastAsia="ar-SA"/>
              </w:rPr>
              <w:t xml:space="preserve">Tribunal de Apelación de lo Contenciosa. Administrativa. </w:t>
            </w:r>
          </w:p>
        </w:tc>
        <w:tc>
          <w:tcPr>
            <w:tcW w:w="2127" w:type="dxa"/>
            <w:tcBorders>
              <w:top w:val="dashed" w:sz="4" w:space="0" w:color="auto"/>
              <w:left w:val="single" w:sz="4" w:space="0" w:color="auto"/>
              <w:bottom w:val="dashed" w:sz="4" w:space="0" w:color="auto"/>
              <w:right w:val="single" w:sz="4" w:space="0" w:color="auto"/>
            </w:tcBorders>
            <w:shd w:val="clear" w:color="auto" w:fill="auto"/>
          </w:tcPr>
          <w:p w:rsidR="003B106A" w:rsidRPr="003B106A" w:rsidRDefault="003B106A" w:rsidP="003B106A">
            <w:pPr>
              <w:jc w:val="center"/>
              <w:rPr>
                <w:rFonts w:ascii="Times New Roman" w:hAnsi="Times New Roman" w:cs="Times New Roman"/>
                <w:sz w:val="18"/>
                <w:szCs w:val="20"/>
                <w:lang w:eastAsia="ar-SA"/>
              </w:rPr>
            </w:pPr>
            <w:r w:rsidRPr="003B106A">
              <w:rPr>
                <w:rFonts w:ascii="Times New Roman" w:hAnsi="Times New Roman" w:cs="Times New Roman"/>
                <w:sz w:val="18"/>
                <w:szCs w:val="20"/>
                <w:lang w:eastAsia="ar-SA"/>
              </w:rPr>
              <w:t>2 meses 0 semanas</w:t>
            </w:r>
          </w:p>
        </w:tc>
        <w:tc>
          <w:tcPr>
            <w:tcW w:w="2190" w:type="dxa"/>
            <w:tcBorders>
              <w:top w:val="dashed" w:sz="4" w:space="0" w:color="auto"/>
              <w:left w:val="single" w:sz="4" w:space="0" w:color="auto"/>
              <w:bottom w:val="dashed" w:sz="4" w:space="0" w:color="auto"/>
            </w:tcBorders>
            <w:shd w:val="clear" w:color="auto" w:fill="auto"/>
          </w:tcPr>
          <w:p w:rsidR="003B106A" w:rsidRPr="003B106A" w:rsidRDefault="003B106A" w:rsidP="003B106A">
            <w:pPr>
              <w:jc w:val="center"/>
              <w:rPr>
                <w:rFonts w:ascii="Times New Roman" w:hAnsi="Times New Roman" w:cs="Times New Roman"/>
                <w:sz w:val="18"/>
                <w:szCs w:val="20"/>
                <w:lang w:eastAsia="ar-SA"/>
              </w:rPr>
            </w:pPr>
            <w:r w:rsidRPr="003B106A">
              <w:rPr>
                <w:rFonts w:ascii="Times New Roman" w:hAnsi="Times New Roman" w:cs="Times New Roman"/>
                <w:sz w:val="18"/>
                <w:szCs w:val="20"/>
                <w:lang w:eastAsia="ar-SA"/>
              </w:rPr>
              <w:t>1 meses 2 semanas</w:t>
            </w:r>
          </w:p>
        </w:tc>
      </w:tr>
      <w:tr w:rsidR="003B106A" w:rsidRPr="003B106A" w:rsidTr="00607D7A">
        <w:trPr>
          <w:jc w:val="center"/>
        </w:trPr>
        <w:tc>
          <w:tcPr>
            <w:tcW w:w="4552" w:type="dxa"/>
            <w:tcBorders>
              <w:top w:val="dashed" w:sz="4" w:space="0" w:color="auto"/>
              <w:bottom w:val="dashed" w:sz="4" w:space="0" w:color="auto"/>
              <w:right w:val="single" w:sz="4" w:space="0" w:color="auto"/>
            </w:tcBorders>
            <w:shd w:val="clear" w:color="auto" w:fill="auto"/>
          </w:tcPr>
          <w:p w:rsidR="003B106A" w:rsidRPr="003B106A" w:rsidRDefault="003B106A" w:rsidP="003B106A">
            <w:pPr>
              <w:jc w:val="both"/>
              <w:rPr>
                <w:rFonts w:ascii="Times New Roman" w:hAnsi="Times New Roman" w:cs="Times New Roman"/>
                <w:sz w:val="18"/>
                <w:szCs w:val="20"/>
                <w:lang w:eastAsia="ar-SA"/>
              </w:rPr>
            </w:pPr>
            <w:r w:rsidRPr="003B106A">
              <w:rPr>
                <w:rFonts w:ascii="Times New Roman" w:hAnsi="Times New Roman" w:cs="Times New Roman"/>
                <w:sz w:val="18"/>
                <w:szCs w:val="20"/>
                <w:lang w:eastAsia="ar-SA"/>
              </w:rPr>
              <w:t>Tribunal Agrario</w:t>
            </w:r>
          </w:p>
        </w:tc>
        <w:tc>
          <w:tcPr>
            <w:tcW w:w="2127" w:type="dxa"/>
            <w:tcBorders>
              <w:top w:val="dashed" w:sz="4" w:space="0" w:color="auto"/>
              <w:left w:val="single" w:sz="4" w:space="0" w:color="auto"/>
              <w:bottom w:val="dashed" w:sz="4" w:space="0" w:color="auto"/>
              <w:right w:val="single" w:sz="4" w:space="0" w:color="auto"/>
            </w:tcBorders>
            <w:shd w:val="clear" w:color="auto" w:fill="auto"/>
          </w:tcPr>
          <w:p w:rsidR="003B106A" w:rsidRPr="003B106A" w:rsidRDefault="003B106A" w:rsidP="003B106A">
            <w:pPr>
              <w:jc w:val="center"/>
              <w:rPr>
                <w:rFonts w:ascii="Times New Roman" w:hAnsi="Times New Roman" w:cs="Times New Roman"/>
                <w:sz w:val="18"/>
                <w:szCs w:val="20"/>
                <w:lang w:eastAsia="ar-SA"/>
              </w:rPr>
            </w:pPr>
            <w:r w:rsidRPr="003B106A">
              <w:rPr>
                <w:rFonts w:ascii="Times New Roman" w:hAnsi="Times New Roman" w:cs="Times New Roman"/>
                <w:sz w:val="18"/>
                <w:szCs w:val="20"/>
                <w:lang w:eastAsia="ar-SA"/>
              </w:rPr>
              <w:t>3 meses 3 semana</w:t>
            </w:r>
          </w:p>
        </w:tc>
        <w:tc>
          <w:tcPr>
            <w:tcW w:w="2190" w:type="dxa"/>
            <w:tcBorders>
              <w:top w:val="dashed" w:sz="4" w:space="0" w:color="auto"/>
              <w:left w:val="single" w:sz="4" w:space="0" w:color="auto"/>
              <w:bottom w:val="dashed" w:sz="4" w:space="0" w:color="auto"/>
            </w:tcBorders>
            <w:shd w:val="clear" w:color="auto" w:fill="auto"/>
          </w:tcPr>
          <w:p w:rsidR="003B106A" w:rsidRPr="003B106A" w:rsidRDefault="003B106A" w:rsidP="003B106A">
            <w:pPr>
              <w:jc w:val="center"/>
              <w:rPr>
                <w:rFonts w:ascii="Times New Roman" w:hAnsi="Times New Roman" w:cs="Times New Roman"/>
                <w:sz w:val="18"/>
                <w:szCs w:val="20"/>
                <w:lang w:eastAsia="ar-SA"/>
              </w:rPr>
            </w:pPr>
            <w:r w:rsidRPr="003B106A">
              <w:rPr>
                <w:rFonts w:ascii="Times New Roman" w:hAnsi="Times New Roman" w:cs="Times New Roman"/>
                <w:sz w:val="18"/>
                <w:szCs w:val="20"/>
                <w:lang w:eastAsia="ar-SA"/>
              </w:rPr>
              <w:t>3 meses 2 semana</w:t>
            </w:r>
          </w:p>
        </w:tc>
      </w:tr>
      <w:tr w:rsidR="003B106A" w:rsidRPr="003B106A" w:rsidTr="00607D7A">
        <w:trPr>
          <w:jc w:val="center"/>
        </w:trPr>
        <w:tc>
          <w:tcPr>
            <w:tcW w:w="4552" w:type="dxa"/>
            <w:tcBorders>
              <w:top w:val="dashed" w:sz="4" w:space="0" w:color="auto"/>
              <w:right w:val="single" w:sz="4" w:space="0" w:color="auto"/>
            </w:tcBorders>
            <w:shd w:val="clear" w:color="auto" w:fill="auto"/>
          </w:tcPr>
          <w:p w:rsidR="003B106A" w:rsidRPr="003B106A" w:rsidRDefault="003B106A" w:rsidP="003B106A">
            <w:pPr>
              <w:jc w:val="both"/>
              <w:rPr>
                <w:rFonts w:ascii="Times New Roman" w:hAnsi="Times New Roman" w:cs="Times New Roman"/>
                <w:sz w:val="18"/>
                <w:szCs w:val="20"/>
                <w:lang w:eastAsia="ar-SA"/>
              </w:rPr>
            </w:pPr>
            <w:r w:rsidRPr="003B106A">
              <w:rPr>
                <w:rFonts w:ascii="Times New Roman" w:hAnsi="Times New Roman" w:cs="Times New Roman"/>
                <w:sz w:val="18"/>
                <w:szCs w:val="20"/>
                <w:lang w:eastAsia="ar-SA"/>
              </w:rPr>
              <w:t>Tribunal de Familia</w:t>
            </w:r>
          </w:p>
        </w:tc>
        <w:tc>
          <w:tcPr>
            <w:tcW w:w="2127" w:type="dxa"/>
            <w:tcBorders>
              <w:top w:val="dashed" w:sz="4" w:space="0" w:color="auto"/>
              <w:left w:val="single" w:sz="4" w:space="0" w:color="auto"/>
              <w:bottom w:val="single" w:sz="18" w:space="0" w:color="auto"/>
              <w:right w:val="single" w:sz="4" w:space="0" w:color="auto"/>
            </w:tcBorders>
            <w:shd w:val="clear" w:color="auto" w:fill="auto"/>
          </w:tcPr>
          <w:p w:rsidR="003B106A" w:rsidRPr="003B106A" w:rsidRDefault="003B106A" w:rsidP="003B106A">
            <w:pPr>
              <w:jc w:val="center"/>
              <w:rPr>
                <w:rFonts w:ascii="Times New Roman" w:hAnsi="Times New Roman" w:cs="Times New Roman"/>
                <w:sz w:val="18"/>
                <w:szCs w:val="20"/>
                <w:lang w:eastAsia="ar-SA"/>
              </w:rPr>
            </w:pPr>
            <w:r w:rsidRPr="003B106A">
              <w:rPr>
                <w:rFonts w:ascii="Times New Roman" w:hAnsi="Times New Roman" w:cs="Times New Roman"/>
                <w:sz w:val="18"/>
                <w:szCs w:val="20"/>
                <w:lang w:eastAsia="ar-SA"/>
              </w:rPr>
              <w:t>1 mes 1 semana</w:t>
            </w:r>
          </w:p>
        </w:tc>
        <w:tc>
          <w:tcPr>
            <w:tcW w:w="2190" w:type="dxa"/>
            <w:tcBorders>
              <w:top w:val="dashed" w:sz="4" w:space="0" w:color="auto"/>
              <w:left w:val="single" w:sz="4" w:space="0" w:color="auto"/>
            </w:tcBorders>
            <w:shd w:val="clear" w:color="auto" w:fill="auto"/>
          </w:tcPr>
          <w:p w:rsidR="003B106A" w:rsidRPr="003B106A" w:rsidRDefault="003B106A" w:rsidP="003B106A">
            <w:pPr>
              <w:jc w:val="center"/>
              <w:rPr>
                <w:rFonts w:ascii="Times New Roman" w:hAnsi="Times New Roman" w:cs="Times New Roman"/>
                <w:sz w:val="18"/>
                <w:szCs w:val="20"/>
                <w:lang w:eastAsia="ar-SA"/>
              </w:rPr>
            </w:pPr>
            <w:r w:rsidRPr="003B106A">
              <w:rPr>
                <w:rFonts w:ascii="Times New Roman" w:hAnsi="Times New Roman" w:cs="Times New Roman"/>
                <w:sz w:val="18"/>
                <w:szCs w:val="20"/>
                <w:lang w:eastAsia="ar-SA"/>
              </w:rPr>
              <w:t>1 mes 1 semana</w:t>
            </w:r>
          </w:p>
        </w:tc>
      </w:tr>
    </w:tbl>
    <w:p w:rsidR="003B106A" w:rsidRDefault="003B106A" w:rsidP="003B106A">
      <w:pPr>
        <w:rPr>
          <w:rFonts w:ascii="Times New Roman" w:hAnsi="Times New Roman" w:cs="Times New Roman"/>
          <w:lang w:eastAsia="ar-SA"/>
        </w:rPr>
      </w:pPr>
      <w:r w:rsidRPr="003B106A">
        <w:rPr>
          <w:rFonts w:ascii="Times New Roman" w:hAnsi="Times New Roman" w:cs="Times New Roman"/>
          <w:lang w:eastAsia="ar-SA"/>
        </w:rPr>
        <w:br w:type="page"/>
      </w:r>
    </w:p>
    <w:p w:rsidR="00021501" w:rsidRPr="00021501" w:rsidRDefault="00021501" w:rsidP="00021501">
      <w:pPr>
        <w:keepNext/>
        <w:widowControl/>
        <w:pBdr>
          <w:top w:val="single" w:sz="4" w:space="1" w:color="000000"/>
          <w:left w:val="single" w:sz="4" w:space="4" w:color="000000"/>
          <w:bottom w:val="single" w:sz="4" w:space="1" w:color="000000"/>
          <w:right w:val="single" w:sz="4" w:space="4" w:color="000000"/>
        </w:pBdr>
        <w:shd w:val="clear" w:color="auto" w:fill="000000"/>
        <w:tabs>
          <w:tab w:val="left" w:pos="360"/>
          <w:tab w:val="left" w:pos="720"/>
          <w:tab w:val="left" w:pos="900"/>
        </w:tabs>
        <w:suppressAutoHyphens/>
        <w:autoSpaceDE/>
        <w:autoSpaceDN/>
        <w:adjustRightInd/>
        <w:spacing w:line="480" w:lineRule="atLeast"/>
        <w:jc w:val="center"/>
        <w:outlineLvl w:val="0"/>
        <w:rPr>
          <w:rFonts w:ascii="Times New Roman" w:hAnsi="Times New Roman" w:cs="Times New Roman"/>
          <w:b/>
          <w:bCs/>
          <w:iCs/>
          <w:color w:val="FFFFFF"/>
          <w:spacing w:val="-3"/>
          <w:sz w:val="28"/>
          <w:szCs w:val="28"/>
          <w:u w:color="000000"/>
          <w:lang w:eastAsia="ar-SA"/>
        </w:rPr>
      </w:pPr>
      <w:r w:rsidRPr="00021501">
        <w:rPr>
          <w:rFonts w:ascii="Times New Roman" w:hAnsi="Times New Roman" w:cs="Times New Roman"/>
          <w:b/>
          <w:bCs/>
          <w:iCs/>
          <w:color w:val="FFFFFF"/>
          <w:spacing w:val="-3"/>
          <w:sz w:val="28"/>
          <w:szCs w:val="28"/>
          <w:u w:color="000000"/>
          <w:lang w:eastAsia="ar-SA"/>
        </w:rPr>
        <w:lastRenderedPageBreak/>
        <w:t xml:space="preserve">5. </w:t>
      </w:r>
      <w:r w:rsidRPr="00021501">
        <w:rPr>
          <w:rFonts w:ascii="Times New Roman" w:hAnsi="Times New Roman" w:cs="Times New Roman"/>
          <w:b/>
          <w:bCs/>
          <w:iCs/>
          <w:color w:val="FFFFFF"/>
          <w:spacing w:val="-3"/>
          <w:sz w:val="28"/>
          <w:szCs w:val="28"/>
          <w:u w:color="000000"/>
          <w:lang w:eastAsia="ar-SA"/>
        </w:rPr>
        <w:tab/>
      </w:r>
      <w:r w:rsidRPr="00021501">
        <w:rPr>
          <w:rFonts w:ascii="Times New Roman" w:hAnsi="Times New Roman" w:cs="Times New Roman"/>
          <w:b/>
          <w:bCs/>
          <w:iCs/>
          <w:color w:val="FFFFFF"/>
          <w:spacing w:val="-3"/>
          <w:sz w:val="28"/>
          <w:szCs w:val="28"/>
          <w:u w:color="000000"/>
          <w:lang w:eastAsia="ar-SA"/>
        </w:rPr>
        <w:tab/>
        <w:t>CALIDAD DEL SERVICIO</w:t>
      </w:r>
    </w:p>
    <w:p w:rsidR="00021501" w:rsidRPr="00021501" w:rsidRDefault="00021501" w:rsidP="00021501">
      <w:pPr>
        <w:spacing w:line="360" w:lineRule="auto"/>
        <w:jc w:val="both"/>
        <w:rPr>
          <w:rFonts w:ascii="Times New Roman" w:hAnsi="Times New Roman" w:cs="Times New Roman"/>
          <w:lang w:eastAsia="ar-SA"/>
        </w:rPr>
      </w:pPr>
    </w:p>
    <w:p w:rsidR="00021501" w:rsidRPr="00021501" w:rsidRDefault="00021501" w:rsidP="00021501">
      <w:pPr>
        <w:spacing w:line="360" w:lineRule="auto"/>
        <w:jc w:val="both"/>
        <w:rPr>
          <w:rFonts w:ascii="Times New Roman" w:hAnsi="Times New Roman" w:cs="Times New Roman"/>
          <w:lang w:eastAsia="ar-SA"/>
        </w:rPr>
      </w:pPr>
    </w:p>
    <w:p w:rsidR="00021501" w:rsidRPr="00021501" w:rsidRDefault="00021501" w:rsidP="00021501">
      <w:pPr>
        <w:spacing w:line="360" w:lineRule="auto"/>
        <w:jc w:val="both"/>
        <w:rPr>
          <w:rFonts w:ascii="Times New Roman" w:hAnsi="Times New Roman" w:cs="Times New Roman"/>
          <w:lang w:eastAsia="ar-SA"/>
        </w:rPr>
      </w:pPr>
      <w:r w:rsidRPr="00021501">
        <w:rPr>
          <w:rFonts w:ascii="Times New Roman" w:hAnsi="Times New Roman" w:cs="Times New Roman"/>
          <w:lang w:eastAsia="ar-SA"/>
        </w:rPr>
        <w:t>La calidad del servicio prestado por el Poder Judicial, puede ser medida a través de examen de las resoluciones o votos dictados por los despachos de instancia superior. Las oficinas judiciales de instancia anterior emiten resoluciones o sentencias cuyo resultado puede ser apelado ante una o varias instancias superiores en donde se darán dictados confirmando o no lo determinado en la instancia anterior. Cuando una instancia de alzada discrepa sobre lo resuelto en una instancia anterior se emiten resoluciones sustentadas como la revocatoria, la anulación o la declaración con lugar que buscan corregir las eventuales deficiencias del proceso seguido anteriormente. En este apartado, se observan los valores asociados con este tipo de resolución expresados como indicadores estadísticos de la calidad de lo resuelto por las instancias anteriores. Así, un aumento relativo de tales indicadores señala una posible desmejora de la calidad recibida por la persona usuaria de los servicios judiciales y por el contrario al disminuir demarcan mejoras resolutivas en instancias anteriores.</w:t>
      </w:r>
    </w:p>
    <w:p w:rsidR="00021501" w:rsidRPr="00021501" w:rsidRDefault="00021501" w:rsidP="00021501">
      <w:pPr>
        <w:spacing w:line="360" w:lineRule="auto"/>
        <w:jc w:val="both"/>
        <w:rPr>
          <w:rFonts w:ascii="Times New Roman" w:hAnsi="Times New Roman" w:cs="Times New Roman"/>
          <w:lang w:eastAsia="ar-SA"/>
        </w:rPr>
      </w:pPr>
    </w:p>
    <w:p w:rsidR="00021501" w:rsidRPr="00021501" w:rsidRDefault="00021501" w:rsidP="00021501">
      <w:pPr>
        <w:spacing w:line="360" w:lineRule="auto"/>
        <w:jc w:val="both"/>
        <w:rPr>
          <w:rFonts w:ascii="Times New Roman" w:hAnsi="Times New Roman" w:cs="Times New Roman"/>
          <w:lang w:eastAsia="ar-SA"/>
        </w:rPr>
      </w:pPr>
      <w:r w:rsidRPr="00021501">
        <w:rPr>
          <w:rFonts w:ascii="Times New Roman" w:hAnsi="Times New Roman" w:cs="Times New Roman"/>
          <w:lang w:eastAsia="ar-SA"/>
        </w:rPr>
        <w:t xml:space="preserve">No obstante, tal evaluación se hace sobre lo resuelto o con finiquito total sin poder tener una panorámica de lo que acontece en el transcurso de trámite judicial. Para tener un acercamiento a lo acontecido durante </w:t>
      </w:r>
      <w:r w:rsidR="00D41B8C" w:rsidRPr="00021501">
        <w:rPr>
          <w:rFonts w:ascii="Times New Roman" w:hAnsi="Times New Roman" w:cs="Times New Roman"/>
          <w:lang w:eastAsia="ar-SA"/>
        </w:rPr>
        <w:t>el proceso</w:t>
      </w:r>
      <w:r w:rsidRPr="00021501">
        <w:rPr>
          <w:rFonts w:ascii="Times New Roman" w:hAnsi="Times New Roman" w:cs="Times New Roman"/>
          <w:lang w:eastAsia="ar-SA"/>
        </w:rPr>
        <w:t xml:space="preserve">, se complementa la anterior perspectiva con el examen de las gestiones realizadas por las personas usuarias ante la Contraloría de Servicios, quienes plantearan gestiones durante el proceso en el que están involucradas. </w:t>
      </w:r>
    </w:p>
    <w:p w:rsidR="00021501" w:rsidRPr="00021501" w:rsidRDefault="00021501" w:rsidP="00021501">
      <w:pPr>
        <w:spacing w:line="360" w:lineRule="auto"/>
        <w:jc w:val="both"/>
        <w:rPr>
          <w:rFonts w:ascii="Times New Roman" w:hAnsi="Times New Roman" w:cs="Times New Roman"/>
          <w:lang w:eastAsia="ar-SA"/>
        </w:rPr>
      </w:pPr>
    </w:p>
    <w:p w:rsidR="00021501" w:rsidRPr="00021501" w:rsidRDefault="00021501" w:rsidP="00021501">
      <w:pPr>
        <w:spacing w:line="360" w:lineRule="auto"/>
        <w:jc w:val="both"/>
        <w:rPr>
          <w:rFonts w:ascii="Times New Roman" w:hAnsi="Times New Roman" w:cs="Times New Roman"/>
          <w:lang w:eastAsia="ar-SA"/>
        </w:rPr>
      </w:pPr>
      <w:r w:rsidRPr="00021501">
        <w:rPr>
          <w:rFonts w:ascii="Times New Roman" w:hAnsi="Times New Roman" w:cs="Times New Roman"/>
          <w:lang w:eastAsia="ar-SA"/>
        </w:rPr>
        <w:t xml:space="preserve">En este sentido, se presentan los principales patrones estadísticos resultantes de la observación de los indicadores: Tasa de revocación en apelación, </w:t>
      </w:r>
      <w:r w:rsidRPr="00021501">
        <w:rPr>
          <w:rFonts w:ascii="Times New Roman" w:hAnsi="Times New Roman" w:cs="Times New Roman"/>
          <w:bCs/>
          <w:lang w:eastAsia="ar-SA"/>
        </w:rPr>
        <w:t xml:space="preserve">Porcentaje de casos anulados en apelación, Porcentaje de asuntos declarados con lugar en apelación en los tribunales de apelación penal, </w:t>
      </w:r>
      <w:r w:rsidRPr="00021501">
        <w:rPr>
          <w:rFonts w:ascii="Times New Roman" w:hAnsi="Times New Roman" w:cs="Times New Roman"/>
        </w:rPr>
        <w:t xml:space="preserve">Número de quejas de las y los usuarios y Tasa de Gestiones presentadas ante la Contraloría de Servicios del Poder Judicial (CSPJ). Antes de entrar en los detalles del análisis estadístico de cada indicador es importante señalar que se han efectuado ajustes en la nomenclatura de algunos </w:t>
      </w:r>
      <w:r w:rsidRPr="00021501">
        <w:rPr>
          <w:rFonts w:ascii="Times New Roman" w:hAnsi="Times New Roman" w:cs="Times New Roman"/>
        </w:rPr>
        <w:lastRenderedPageBreak/>
        <w:t xml:space="preserve">para lograr una mejor perspectiva inicial de lo que miden sin alterar los elementos que los componen. A </w:t>
      </w:r>
      <w:r w:rsidR="00D41B8C" w:rsidRPr="00021501">
        <w:rPr>
          <w:rFonts w:ascii="Times New Roman" w:hAnsi="Times New Roman" w:cs="Times New Roman"/>
        </w:rPr>
        <w:t>continuación,</w:t>
      </w:r>
      <w:r w:rsidRPr="00021501">
        <w:rPr>
          <w:rFonts w:ascii="Times New Roman" w:hAnsi="Times New Roman" w:cs="Times New Roman"/>
        </w:rPr>
        <w:t xml:space="preserve"> los rasgos de mayor relevancia.</w:t>
      </w:r>
    </w:p>
    <w:p w:rsidR="00021501" w:rsidRPr="00021501" w:rsidRDefault="00021501" w:rsidP="00021501">
      <w:pPr>
        <w:jc w:val="both"/>
        <w:rPr>
          <w:rFonts w:ascii="Times New Roman" w:hAnsi="Times New Roman" w:cs="Times New Roman"/>
          <w:lang w:eastAsia="ar-SA"/>
        </w:rPr>
      </w:pPr>
    </w:p>
    <w:p w:rsidR="00021501" w:rsidRPr="00021501" w:rsidRDefault="00021501" w:rsidP="00021501">
      <w:pPr>
        <w:widowControl/>
        <w:numPr>
          <w:ilvl w:val="1"/>
          <w:numId w:val="15"/>
        </w:numPr>
        <w:autoSpaceDE/>
        <w:autoSpaceDN/>
        <w:adjustRightInd/>
        <w:spacing w:line="360" w:lineRule="auto"/>
        <w:ind w:right="45"/>
        <w:jc w:val="both"/>
        <w:outlineLvl w:val="1"/>
        <w:rPr>
          <w:rFonts w:ascii="Times New Roman" w:hAnsi="Times New Roman" w:cs="Times New Roman"/>
          <w:b/>
          <w:bCs/>
          <w:iCs/>
        </w:rPr>
      </w:pPr>
      <w:r w:rsidRPr="00021501">
        <w:rPr>
          <w:rFonts w:ascii="Times New Roman" w:hAnsi="Times New Roman" w:cs="Times New Roman"/>
          <w:b/>
          <w:bCs/>
          <w:iCs/>
        </w:rPr>
        <w:t>Tasa de revocación en apelación</w:t>
      </w:r>
    </w:p>
    <w:p w:rsidR="00021501" w:rsidRPr="00021501" w:rsidRDefault="00021501" w:rsidP="00021501">
      <w:pPr>
        <w:rPr>
          <w:rFonts w:ascii="Times New Roman" w:hAnsi="Times New Roman" w:cs="Times New Roman"/>
        </w:rPr>
      </w:pPr>
    </w:p>
    <w:p w:rsidR="00021501" w:rsidRPr="00021501" w:rsidRDefault="00D41B8C" w:rsidP="00021501">
      <w:pPr>
        <w:spacing w:line="360" w:lineRule="auto"/>
        <w:jc w:val="both"/>
        <w:rPr>
          <w:rFonts w:ascii="Times New Roman" w:hAnsi="Times New Roman" w:cs="Times New Roman"/>
          <w:lang w:eastAsia="ar-SA"/>
        </w:rPr>
      </w:pPr>
      <w:r>
        <w:rPr>
          <w:rFonts w:ascii="Times New Roman" w:hAnsi="Times New Roman" w:cs="Times New Roman"/>
          <w:lang w:eastAsia="ar-SA"/>
        </w:rPr>
        <w:t>Este</w:t>
      </w:r>
      <w:r w:rsidR="00021501" w:rsidRPr="00021501">
        <w:rPr>
          <w:rFonts w:ascii="Times New Roman" w:hAnsi="Times New Roman" w:cs="Times New Roman"/>
          <w:lang w:eastAsia="ar-SA"/>
        </w:rPr>
        <w:t xml:space="preserve"> indicador se examina la apelación de resoluciones de primera instancia, esencialmente y cuyo dictamen fue de revocatoria. El procedimiento empleado para su cálculo corresponde a un conteo de la totalidad de revocatorias en la instancia superior, entre el total de apelaciones entradas en esa instancia; el resultado de esta operación de amplifica por 100.   </w:t>
      </w:r>
    </w:p>
    <w:p w:rsidR="00021501" w:rsidRPr="00021501" w:rsidRDefault="00021501" w:rsidP="00021501">
      <w:pPr>
        <w:jc w:val="both"/>
        <w:rPr>
          <w:rFonts w:ascii="Times New Roman" w:hAnsi="Times New Roman" w:cs="Times New Roman"/>
          <w:lang w:eastAsia="ar-SA"/>
        </w:rPr>
      </w:pPr>
    </w:p>
    <w:p w:rsidR="00021501" w:rsidRPr="00021501" w:rsidRDefault="00021501" w:rsidP="00021501">
      <w:pPr>
        <w:widowControl/>
        <w:suppressAutoHyphens/>
        <w:autoSpaceDE/>
        <w:autoSpaceDN/>
        <w:adjustRightInd/>
        <w:spacing w:line="360" w:lineRule="auto"/>
        <w:jc w:val="both"/>
        <w:rPr>
          <w:rFonts w:ascii="Times New Roman" w:hAnsi="Times New Roman" w:cs="Times New Roman"/>
          <w:lang w:val="es-CR" w:eastAsia="ar-SA"/>
        </w:rPr>
      </w:pPr>
      <w:r w:rsidRPr="00021501">
        <w:rPr>
          <w:rFonts w:ascii="Times New Roman" w:hAnsi="Times New Roman" w:cs="Times New Roman"/>
          <w:lang w:val="es-CR" w:eastAsia="ar-SA"/>
        </w:rPr>
        <w:t xml:space="preserve">En este 2015, se retorna a la relativa estabilidad que venía evidenciando el indicador obteniendo un valor de 8,1  lo que en relación con el año anterior representa un incremento de medio punto. Como se aprecia en el siguiente gráfico, del 2011 al 2013 la tasa de revocación apenas supera las ocho revocatorias dictadas por cada 100 apelaciones presentadas. </w:t>
      </w:r>
    </w:p>
    <w:p w:rsidR="00021501" w:rsidRPr="00021501" w:rsidRDefault="00021501" w:rsidP="00021501">
      <w:pPr>
        <w:widowControl/>
        <w:suppressAutoHyphens/>
        <w:autoSpaceDE/>
        <w:autoSpaceDN/>
        <w:adjustRightInd/>
        <w:spacing w:line="360" w:lineRule="auto"/>
        <w:jc w:val="both"/>
        <w:rPr>
          <w:rFonts w:ascii="Times New Roman" w:hAnsi="Times New Roman" w:cs="Times New Roman"/>
          <w:lang w:val="es-CR" w:eastAsia="ar-SA"/>
        </w:rPr>
      </w:pPr>
    </w:p>
    <w:p w:rsidR="00021501" w:rsidRPr="00021501" w:rsidRDefault="00021501" w:rsidP="00021501">
      <w:pPr>
        <w:widowControl/>
        <w:suppressAutoHyphens/>
        <w:autoSpaceDE/>
        <w:autoSpaceDN/>
        <w:adjustRightInd/>
        <w:spacing w:line="360" w:lineRule="auto"/>
        <w:jc w:val="center"/>
        <w:rPr>
          <w:rFonts w:ascii="Times New Roman" w:hAnsi="Times New Roman" w:cs="Times New Roman"/>
          <w:b/>
          <w:bCs/>
          <w:lang w:val="es-CR" w:eastAsia="ar-SA"/>
        </w:rPr>
      </w:pPr>
      <w:r w:rsidRPr="00021501">
        <w:rPr>
          <w:rFonts w:ascii="Times New Roman" w:hAnsi="Times New Roman" w:cs="Times New Roman"/>
          <w:noProof/>
          <w:lang w:val="es-CR" w:eastAsia="es-CR"/>
        </w:rPr>
        <w:drawing>
          <wp:inline distT="0" distB="0" distL="0" distR="0">
            <wp:extent cx="4764487" cy="3283889"/>
            <wp:effectExtent l="0" t="0" r="36195" b="31115"/>
            <wp:docPr id="85" name="Objeto 10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21501" w:rsidRPr="00021501" w:rsidRDefault="00021501" w:rsidP="00021501">
      <w:pPr>
        <w:spacing w:line="360" w:lineRule="auto"/>
        <w:jc w:val="both"/>
        <w:rPr>
          <w:rFonts w:ascii="Times New Roman" w:hAnsi="Times New Roman" w:cs="Times New Roman"/>
          <w:b/>
          <w:bCs/>
          <w:lang w:eastAsia="ar-SA"/>
        </w:rPr>
      </w:pPr>
    </w:p>
    <w:p w:rsidR="00B054C9" w:rsidRDefault="00B054C9" w:rsidP="00021501">
      <w:pPr>
        <w:spacing w:line="360" w:lineRule="auto"/>
        <w:jc w:val="both"/>
        <w:rPr>
          <w:rFonts w:ascii="Times New Roman" w:hAnsi="Times New Roman" w:cs="Times New Roman"/>
          <w:bCs/>
          <w:lang w:eastAsia="ar-SA"/>
        </w:rPr>
      </w:pPr>
    </w:p>
    <w:p w:rsidR="00021501" w:rsidRDefault="00021501" w:rsidP="00021501">
      <w:pPr>
        <w:spacing w:line="360" w:lineRule="auto"/>
        <w:jc w:val="both"/>
        <w:rPr>
          <w:rFonts w:ascii="Times New Roman" w:hAnsi="Times New Roman" w:cs="Times New Roman"/>
          <w:bCs/>
          <w:lang w:eastAsia="ar-SA"/>
        </w:rPr>
      </w:pPr>
      <w:r w:rsidRPr="00021501">
        <w:rPr>
          <w:rFonts w:ascii="Times New Roman" w:hAnsi="Times New Roman" w:cs="Times New Roman"/>
          <w:bCs/>
          <w:lang w:eastAsia="ar-SA"/>
        </w:rPr>
        <w:lastRenderedPageBreak/>
        <w:t>Este resultado señala una pequeña d</w:t>
      </w:r>
      <w:r w:rsidR="00596F7E">
        <w:rPr>
          <w:rFonts w:ascii="Times New Roman" w:hAnsi="Times New Roman" w:cs="Times New Roman"/>
          <w:bCs/>
          <w:lang w:eastAsia="ar-SA"/>
        </w:rPr>
        <w:t xml:space="preserve">isminución </w:t>
      </w:r>
      <w:r w:rsidRPr="00021501">
        <w:rPr>
          <w:rFonts w:ascii="Times New Roman" w:hAnsi="Times New Roman" w:cs="Times New Roman"/>
          <w:bCs/>
          <w:lang w:eastAsia="ar-SA"/>
        </w:rPr>
        <w:t>resolutiva de la instancia anterior (al menos de los asuntos que fueron apelados) dado el incremento resultante en el indicador para el año en curso.</w:t>
      </w:r>
    </w:p>
    <w:p w:rsidR="00D41B8C" w:rsidRPr="00021501" w:rsidRDefault="00D41B8C" w:rsidP="00021501">
      <w:pPr>
        <w:spacing w:line="360" w:lineRule="auto"/>
        <w:jc w:val="both"/>
        <w:rPr>
          <w:rFonts w:ascii="Times New Roman" w:hAnsi="Times New Roman" w:cs="Times New Roman"/>
          <w:bCs/>
          <w:lang w:eastAsia="ar-SA"/>
        </w:rPr>
      </w:pPr>
    </w:p>
    <w:p w:rsidR="00021501" w:rsidRPr="00021501" w:rsidRDefault="00021501" w:rsidP="00021501">
      <w:pPr>
        <w:spacing w:line="360" w:lineRule="auto"/>
        <w:jc w:val="both"/>
        <w:rPr>
          <w:rFonts w:ascii="Times New Roman" w:hAnsi="Times New Roman" w:cs="Times New Roman"/>
          <w:b/>
          <w:bCs/>
          <w:lang w:eastAsia="ar-SA"/>
        </w:rPr>
      </w:pPr>
      <w:r w:rsidRPr="00021501">
        <w:rPr>
          <w:rFonts w:ascii="Times New Roman" w:hAnsi="Times New Roman" w:cs="Times New Roman"/>
          <w:b/>
          <w:bCs/>
          <w:lang w:eastAsia="ar-SA"/>
        </w:rPr>
        <w:t>5.2</w:t>
      </w:r>
      <w:r w:rsidRPr="00021501">
        <w:rPr>
          <w:rFonts w:ascii="Times New Roman" w:hAnsi="Times New Roman" w:cs="Times New Roman"/>
          <w:b/>
          <w:bCs/>
          <w:lang w:eastAsia="ar-SA"/>
        </w:rPr>
        <w:tab/>
        <w:t xml:space="preserve">Porcentaje de casos anulados en apelación </w:t>
      </w:r>
    </w:p>
    <w:p w:rsidR="00021501" w:rsidRPr="00021501" w:rsidRDefault="00021501" w:rsidP="00021501">
      <w:pPr>
        <w:spacing w:line="360" w:lineRule="auto"/>
        <w:jc w:val="both"/>
        <w:rPr>
          <w:rFonts w:ascii="Times New Roman" w:hAnsi="Times New Roman" w:cs="Times New Roman"/>
          <w:b/>
          <w:bCs/>
          <w:lang w:eastAsia="ar-SA"/>
        </w:rPr>
      </w:pPr>
    </w:p>
    <w:p w:rsidR="00021501" w:rsidRPr="00021501" w:rsidRDefault="00021501" w:rsidP="00021501">
      <w:pPr>
        <w:spacing w:line="360" w:lineRule="auto"/>
        <w:jc w:val="both"/>
        <w:rPr>
          <w:rFonts w:ascii="Times New Roman" w:hAnsi="Times New Roman" w:cs="Times New Roman"/>
          <w:lang w:eastAsia="ar-SA"/>
        </w:rPr>
      </w:pPr>
      <w:r w:rsidRPr="00021501">
        <w:rPr>
          <w:rFonts w:ascii="Times New Roman" w:hAnsi="Times New Roman" w:cs="Times New Roman"/>
          <w:lang w:eastAsia="ar-SA"/>
        </w:rPr>
        <w:t>Entre las posibles resoluciones que puede emitir un tribunal de instancia superior se encuentra la anulación de lo actuado en primera instancia y este indicador mide el peso relativo del conjunto de anulaciones respecto al volumen de apelaciones resueltas.</w:t>
      </w:r>
    </w:p>
    <w:p w:rsidR="00021501" w:rsidRPr="00021501" w:rsidRDefault="00021501" w:rsidP="00021501">
      <w:pPr>
        <w:spacing w:line="360" w:lineRule="auto"/>
        <w:jc w:val="both"/>
        <w:rPr>
          <w:rFonts w:ascii="Times New Roman" w:hAnsi="Times New Roman" w:cs="Times New Roman"/>
          <w:lang w:eastAsia="ar-SA"/>
        </w:rPr>
      </w:pPr>
    </w:p>
    <w:p w:rsidR="00021501" w:rsidRPr="00021501" w:rsidRDefault="00021501" w:rsidP="00021501">
      <w:pPr>
        <w:spacing w:line="360" w:lineRule="auto"/>
        <w:jc w:val="both"/>
        <w:rPr>
          <w:rFonts w:ascii="Times New Roman" w:hAnsi="Times New Roman" w:cs="Times New Roman"/>
          <w:lang w:eastAsia="ar-SA"/>
        </w:rPr>
      </w:pPr>
      <w:r w:rsidRPr="00021501">
        <w:rPr>
          <w:rFonts w:ascii="Times New Roman" w:hAnsi="Times New Roman" w:cs="Times New Roman"/>
          <w:lang w:eastAsia="ar-SA"/>
        </w:rPr>
        <w:t xml:space="preserve">Este año se registra una constancia en el valor obtenido en este indicador, como se puede observar en la gráfica siguiente, del 2011 al 2013 el indicador iba a la baja lo que pudo en algún momento pronosticar la tendencia hacia una leve reducción en el 2014 también, lo cual no sucedió y se registró un valor del 8.1 anulaciones por cada 100 apelaciones entradas y que se volvió a evidenciar para este año retornando una vez más a la tendencia similar a la mostrada en el 2012 (8,2). </w:t>
      </w:r>
    </w:p>
    <w:p w:rsidR="00021501" w:rsidRPr="00021501" w:rsidRDefault="00021501" w:rsidP="00021501">
      <w:pPr>
        <w:spacing w:line="360" w:lineRule="auto"/>
        <w:jc w:val="both"/>
        <w:rPr>
          <w:rFonts w:ascii="Times New Roman" w:hAnsi="Times New Roman" w:cs="Times New Roman"/>
          <w:lang w:eastAsia="ar-SA"/>
        </w:rPr>
      </w:pPr>
    </w:p>
    <w:p w:rsidR="00021501" w:rsidRPr="00021501" w:rsidRDefault="00021501" w:rsidP="00021501">
      <w:pPr>
        <w:spacing w:line="360" w:lineRule="auto"/>
        <w:jc w:val="center"/>
        <w:rPr>
          <w:rFonts w:ascii="Times New Roman" w:hAnsi="Times New Roman" w:cs="Times New Roman"/>
          <w:b/>
          <w:bCs/>
          <w:shd w:val="clear" w:color="auto" w:fill="FFFF00"/>
          <w:lang w:eastAsia="ar-SA"/>
        </w:rPr>
      </w:pPr>
      <w:r w:rsidRPr="00021501">
        <w:rPr>
          <w:rFonts w:ascii="Times New Roman" w:hAnsi="Times New Roman" w:cs="Times New Roman"/>
          <w:noProof/>
          <w:lang w:val="es-CR" w:eastAsia="es-CR"/>
        </w:rPr>
        <w:drawing>
          <wp:inline distT="0" distB="0" distL="0" distR="0">
            <wp:extent cx="4884420" cy="3192780"/>
            <wp:effectExtent l="0" t="0" r="30480" b="45720"/>
            <wp:docPr id="86" name="Objeto 1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21501" w:rsidRDefault="00021501" w:rsidP="00021501">
      <w:pPr>
        <w:spacing w:line="360" w:lineRule="auto"/>
        <w:jc w:val="both"/>
        <w:rPr>
          <w:rFonts w:ascii="Times New Roman" w:hAnsi="Times New Roman" w:cs="Times New Roman"/>
          <w:b/>
          <w:bCs/>
          <w:shd w:val="clear" w:color="auto" w:fill="FFFF00"/>
          <w:lang w:eastAsia="ar-SA"/>
        </w:rPr>
      </w:pPr>
    </w:p>
    <w:p w:rsidR="00021501" w:rsidRPr="00021501" w:rsidRDefault="00021501" w:rsidP="00021501">
      <w:pPr>
        <w:spacing w:line="360" w:lineRule="auto"/>
        <w:ind w:left="720" w:hanging="720"/>
        <w:jc w:val="both"/>
        <w:rPr>
          <w:rFonts w:ascii="Times New Roman" w:hAnsi="Times New Roman" w:cs="Times New Roman"/>
          <w:b/>
          <w:bCs/>
          <w:lang w:eastAsia="ar-SA"/>
        </w:rPr>
      </w:pPr>
      <w:r w:rsidRPr="00021501">
        <w:rPr>
          <w:rFonts w:ascii="Times New Roman" w:hAnsi="Times New Roman" w:cs="Times New Roman"/>
          <w:b/>
          <w:bCs/>
          <w:lang w:eastAsia="ar-SA"/>
        </w:rPr>
        <w:t>5.3</w:t>
      </w:r>
      <w:r w:rsidRPr="00021501">
        <w:rPr>
          <w:rFonts w:ascii="Times New Roman" w:hAnsi="Times New Roman" w:cs="Times New Roman"/>
          <w:b/>
          <w:bCs/>
          <w:lang w:eastAsia="ar-SA"/>
        </w:rPr>
        <w:tab/>
        <w:t>Porcentaje de asuntos declarados con lugar en apelación en los tribunales de apelación penal</w:t>
      </w:r>
    </w:p>
    <w:p w:rsidR="00021501" w:rsidRPr="00021501" w:rsidRDefault="00021501" w:rsidP="00021501">
      <w:pPr>
        <w:spacing w:line="360" w:lineRule="auto"/>
        <w:jc w:val="both"/>
        <w:rPr>
          <w:rFonts w:ascii="Times New Roman" w:hAnsi="Times New Roman" w:cs="Times New Roman"/>
          <w:b/>
          <w:bCs/>
          <w:lang w:eastAsia="ar-SA"/>
        </w:rPr>
      </w:pPr>
    </w:p>
    <w:p w:rsidR="00021501" w:rsidRPr="00021501" w:rsidRDefault="00021501" w:rsidP="00021501">
      <w:pPr>
        <w:spacing w:line="360" w:lineRule="auto"/>
        <w:jc w:val="both"/>
        <w:rPr>
          <w:rFonts w:ascii="Times New Roman" w:hAnsi="Times New Roman" w:cs="Times New Roman"/>
          <w:bCs/>
          <w:lang w:eastAsia="ar-SA"/>
        </w:rPr>
      </w:pPr>
      <w:r w:rsidRPr="00021501">
        <w:rPr>
          <w:rFonts w:ascii="Times New Roman" w:hAnsi="Times New Roman" w:cs="Times New Roman"/>
          <w:bCs/>
          <w:lang w:eastAsia="ar-SA"/>
        </w:rPr>
        <w:t xml:space="preserve">El resultado de este porcentaje es producto de dividir el total de recursos declarados con lugar en apelación entre el total de resoluciones dictadas en apelación. </w:t>
      </w:r>
    </w:p>
    <w:p w:rsidR="00021501" w:rsidRPr="00021501" w:rsidRDefault="00021501" w:rsidP="00021501">
      <w:pPr>
        <w:spacing w:line="360" w:lineRule="auto"/>
        <w:jc w:val="both"/>
        <w:rPr>
          <w:rFonts w:ascii="Times New Roman" w:hAnsi="Times New Roman" w:cs="Times New Roman"/>
          <w:bCs/>
          <w:lang w:eastAsia="ar-SA"/>
        </w:rPr>
      </w:pPr>
    </w:p>
    <w:p w:rsidR="00021501" w:rsidRPr="00021501" w:rsidRDefault="00021501" w:rsidP="00021501">
      <w:pPr>
        <w:spacing w:line="360" w:lineRule="auto"/>
        <w:jc w:val="both"/>
        <w:rPr>
          <w:rFonts w:ascii="Times New Roman" w:hAnsi="Times New Roman" w:cs="Times New Roman"/>
          <w:bCs/>
          <w:lang w:eastAsia="ar-SA"/>
        </w:rPr>
      </w:pPr>
      <w:r w:rsidRPr="00021501">
        <w:rPr>
          <w:rFonts w:ascii="Times New Roman" w:hAnsi="Times New Roman" w:cs="Times New Roman"/>
          <w:bCs/>
          <w:lang w:eastAsia="ar-SA"/>
        </w:rPr>
        <w:t xml:space="preserve">En los dos años anteriores (2013-2014), este indicador muestra una relativa estabilidad rondando el 30%; esto es, la proporción de apelaciones declaradas con lugar es de aproximadamente 3 por cada 10 apelaciones resueltas. Para este año por su lado, se muestra un incremento de 3,9 puntos porcentuales en relación con lo registrado en el 2014, dando un valor de 34,4%. El cálculo de este indicador inicio en el 2012 dando como resultado un 22.5% para luego incrementarse un año después al 29,3% y finalmente alcanzar un valor de 30,5% para el año anterior. </w:t>
      </w:r>
    </w:p>
    <w:p w:rsidR="00021501" w:rsidRPr="00021501" w:rsidRDefault="00021501" w:rsidP="00021501">
      <w:pPr>
        <w:keepNext/>
        <w:spacing w:before="240" w:after="60"/>
        <w:jc w:val="both"/>
        <w:outlineLvl w:val="1"/>
        <w:rPr>
          <w:rFonts w:ascii="Times New Roman" w:hAnsi="Times New Roman" w:cs="Times New Roman"/>
          <w:b/>
          <w:bCs/>
          <w:iCs/>
        </w:rPr>
      </w:pPr>
      <w:r w:rsidRPr="00021501">
        <w:rPr>
          <w:rFonts w:ascii="Times New Roman" w:hAnsi="Times New Roman" w:cs="Times New Roman"/>
          <w:b/>
          <w:bCs/>
          <w:iCs/>
        </w:rPr>
        <w:t>5.4</w:t>
      </w:r>
      <w:r w:rsidRPr="00021501">
        <w:rPr>
          <w:rFonts w:ascii="Times New Roman" w:hAnsi="Times New Roman" w:cs="Times New Roman"/>
          <w:b/>
          <w:bCs/>
          <w:iCs/>
        </w:rPr>
        <w:tab/>
        <w:t>Número de quejas de las y los usuarios</w:t>
      </w:r>
    </w:p>
    <w:p w:rsidR="00021501" w:rsidRPr="00021501" w:rsidRDefault="00021501" w:rsidP="00021501">
      <w:pPr>
        <w:spacing w:line="360" w:lineRule="auto"/>
        <w:jc w:val="both"/>
        <w:rPr>
          <w:rFonts w:ascii="Times New Roman" w:hAnsi="Times New Roman" w:cs="Times New Roman"/>
          <w:lang w:eastAsia="ar-SA"/>
        </w:rPr>
      </w:pPr>
    </w:p>
    <w:p w:rsidR="00021501" w:rsidRPr="00021501" w:rsidRDefault="00021501" w:rsidP="00021501">
      <w:pPr>
        <w:spacing w:line="360" w:lineRule="auto"/>
        <w:jc w:val="both"/>
        <w:rPr>
          <w:rFonts w:ascii="Times New Roman" w:hAnsi="Times New Roman" w:cs="Times New Roman"/>
          <w:lang w:eastAsia="ar-SA"/>
        </w:rPr>
      </w:pPr>
      <w:r w:rsidRPr="00021501">
        <w:rPr>
          <w:rFonts w:ascii="Times New Roman" w:hAnsi="Times New Roman" w:cs="Times New Roman"/>
          <w:lang w:eastAsia="ar-SA"/>
        </w:rPr>
        <w:t xml:space="preserve">El comportamiento registrado (nivel alcanzado e histórico estadístico anual) ante la interposición de acciones por parte de la población usuaria ante la Contraloría de Servicios del Poder Judicial (CSPJ), puede traducirse como el establecimiento de un indicador que sirva como instrumento en la medición del posible malestar de esa población por el servicio recibido en la institución. </w:t>
      </w:r>
    </w:p>
    <w:p w:rsidR="00021501" w:rsidRPr="00021501" w:rsidRDefault="00021501" w:rsidP="00021501">
      <w:pPr>
        <w:spacing w:line="360" w:lineRule="auto"/>
        <w:jc w:val="both"/>
        <w:rPr>
          <w:rFonts w:ascii="Times New Roman" w:hAnsi="Times New Roman" w:cs="Times New Roman"/>
          <w:lang w:eastAsia="ar-SA"/>
        </w:rPr>
      </w:pPr>
    </w:p>
    <w:p w:rsidR="00021501" w:rsidRPr="00021501" w:rsidRDefault="00021501" w:rsidP="00021501">
      <w:pPr>
        <w:spacing w:line="360" w:lineRule="auto"/>
        <w:jc w:val="both"/>
        <w:rPr>
          <w:rFonts w:ascii="Times New Roman" w:hAnsi="Times New Roman" w:cs="Times New Roman"/>
          <w:lang w:eastAsia="ar-SA"/>
        </w:rPr>
      </w:pPr>
      <w:r w:rsidRPr="00021501">
        <w:rPr>
          <w:rFonts w:ascii="Times New Roman" w:hAnsi="Times New Roman" w:cs="Times New Roman"/>
          <w:lang w:eastAsia="ar-SA"/>
        </w:rPr>
        <w:t xml:space="preserve">Con el incremento en el volumen de quejas o gestiones interpuestas por la población usuaria de los servicios del Poder Judicial ante las diferentes oficinas de la Contraloría de Servicios desde el año 2013, queda en el olvido la relativa estabilidad experimentada del 2009 al 2012 donde el promedio de quejas interpuestas fue en la magnitud a las 6.194. Como se muestra en la gráfica siguiente, para los tres últimos años se observa un importante y constante comportamiento al alza en esta variable estadística; donde se registran para años 2013, 2014 y 2015 incrementos de 9,9% (614 quejas); 20,89% (1.294 quejas) y 36,52% (2.262 quejas) respectivamente con respecto al promedio mostrado durante el periodo 2009-2012. </w:t>
      </w:r>
    </w:p>
    <w:p w:rsidR="00021501" w:rsidRPr="00021501" w:rsidRDefault="00021501" w:rsidP="00021501">
      <w:pPr>
        <w:spacing w:line="360" w:lineRule="auto"/>
        <w:jc w:val="center"/>
        <w:rPr>
          <w:rFonts w:ascii="Times New Roman" w:hAnsi="Times New Roman" w:cs="Times New Roman"/>
          <w:lang w:eastAsia="ar-SA"/>
        </w:rPr>
      </w:pPr>
      <w:r w:rsidRPr="00021501">
        <w:rPr>
          <w:rFonts w:ascii="Times New Roman" w:hAnsi="Times New Roman" w:cs="Times New Roman"/>
          <w:noProof/>
          <w:lang w:val="es-CR" w:eastAsia="es-CR"/>
        </w:rPr>
        <w:lastRenderedPageBreak/>
        <w:drawing>
          <wp:inline distT="0" distB="0" distL="0" distR="0">
            <wp:extent cx="4621033" cy="3482672"/>
            <wp:effectExtent l="0" t="0" r="46355" b="41910"/>
            <wp:docPr id="87" name="Objeto 1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21501" w:rsidRPr="00021501" w:rsidRDefault="00021501" w:rsidP="00021501">
      <w:pPr>
        <w:spacing w:line="360" w:lineRule="auto"/>
        <w:jc w:val="center"/>
        <w:rPr>
          <w:rFonts w:ascii="Times New Roman" w:hAnsi="Times New Roman" w:cs="Times New Roman"/>
          <w:lang w:eastAsia="ar-SA"/>
        </w:rPr>
      </w:pPr>
    </w:p>
    <w:p w:rsidR="00021501" w:rsidRPr="00021501" w:rsidRDefault="00021501" w:rsidP="00021501">
      <w:pPr>
        <w:spacing w:line="360" w:lineRule="auto"/>
        <w:jc w:val="both"/>
        <w:rPr>
          <w:rFonts w:ascii="Times New Roman" w:hAnsi="Times New Roman" w:cs="Times New Roman"/>
          <w:lang w:eastAsia="ar-SA"/>
        </w:rPr>
      </w:pPr>
      <w:r w:rsidRPr="00021501">
        <w:rPr>
          <w:rFonts w:ascii="Times New Roman" w:hAnsi="Times New Roman" w:cs="Times New Roman"/>
          <w:lang w:eastAsia="ar-SA"/>
        </w:rPr>
        <w:t xml:space="preserve">El motivo principal por el cual las personas usuarias realizan gestiones ante la CSPJ es por el retraso judicial, lo cual abarca el 55,4% del total. Por materia, la de Pensiones Alimentarias es la que registra el mayor volumen de las gestiones, al alcanzar poco más de una cuarta parte (26,9%) de ellas, seguida por la laboral con un 14,4%.  </w:t>
      </w:r>
    </w:p>
    <w:p w:rsidR="00021501" w:rsidRPr="00021501" w:rsidRDefault="00021501" w:rsidP="00021501">
      <w:pPr>
        <w:spacing w:line="360" w:lineRule="auto"/>
        <w:jc w:val="both"/>
        <w:rPr>
          <w:rFonts w:ascii="Times New Roman" w:hAnsi="Times New Roman"/>
          <w:bCs/>
          <w:lang w:eastAsia="ar-SA"/>
        </w:rPr>
      </w:pPr>
    </w:p>
    <w:p w:rsidR="00021501" w:rsidRPr="00021501" w:rsidRDefault="00021501" w:rsidP="00021501">
      <w:pPr>
        <w:spacing w:line="360" w:lineRule="auto"/>
        <w:jc w:val="both"/>
        <w:rPr>
          <w:rFonts w:ascii="Times New Roman" w:hAnsi="Times New Roman"/>
          <w:bCs/>
          <w:lang w:eastAsia="ar-SA"/>
        </w:rPr>
      </w:pPr>
      <w:r w:rsidRPr="00021501">
        <w:rPr>
          <w:rFonts w:ascii="Times New Roman" w:hAnsi="Times New Roman"/>
          <w:bCs/>
          <w:lang w:eastAsia="ar-SA"/>
        </w:rPr>
        <w:t xml:space="preserve">Por otra parte, al estar este indicador expresado en valores absolutos el comportamiento indicado puede no ser el adecuado si se compara en términos relativos respecto a la carga de trabajo (CT) anual en el Poder Judicial en primera instancia. Al incrementarse la CT en el tiempo es natural que se incremente el volumen planteado ante la CSPJ y por ello es necesaria la relación de tales cifras absolutas con la carga de trabajo anual de primera instancia para obtener la “Tasa de gestión ante Contraloría de Servicios” resultante de dividir la presentación de quejas y gestiones ante </w:t>
      </w:r>
      <w:r w:rsidRPr="00021501">
        <w:rPr>
          <w:rFonts w:ascii="Times New Roman" w:hAnsi="Times New Roman"/>
          <w:lang w:eastAsia="ar-SA"/>
        </w:rPr>
        <w:t>CSPJ</w:t>
      </w:r>
      <w:r w:rsidRPr="00021501">
        <w:rPr>
          <w:rFonts w:ascii="Times New Roman" w:hAnsi="Times New Roman"/>
          <w:bCs/>
          <w:lang w:eastAsia="ar-SA"/>
        </w:rPr>
        <w:t xml:space="preserve">  entre la carga de trabajo del PJ y el resultado amplificado por 10.000. Los valores obtenidos se presentan a continuación.</w:t>
      </w:r>
    </w:p>
    <w:p w:rsidR="00021501" w:rsidRPr="00021501" w:rsidRDefault="00021501" w:rsidP="00021501">
      <w:pPr>
        <w:spacing w:line="360" w:lineRule="auto"/>
        <w:rPr>
          <w:rFonts w:ascii="Times New Roman" w:hAnsi="Times New Roman"/>
          <w:bCs/>
          <w:lang w:eastAsia="ar-SA"/>
        </w:rPr>
      </w:pPr>
    </w:p>
    <w:p w:rsidR="00021501" w:rsidRPr="00021501" w:rsidRDefault="00021501" w:rsidP="00021501">
      <w:pPr>
        <w:spacing w:line="360" w:lineRule="auto"/>
        <w:jc w:val="center"/>
        <w:rPr>
          <w:rFonts w:ascii="Times New Roman" w:hAnsi="Times New Roman"/>
          <w:bCs/>
          <w:lang w:eastAsia="ar-SA"/>
        </w:rPr>
      </w:pPr>
      <w:r w:rsidRPr="00021501">
        <w:rPr>
          <w:rFonts w:ascii="Times New Roman" w:hAnsi="Times New Roman"/>
          <w:noProof/>
          <w:lang w:val="es-CR" w:eastAsia="es-CR"/>
        </w:rPr>
        <w:lastRenderedPageBreak/>
        <w:drawing>
          <wp:inline distT="0" distB="0" distL="0" distR="0">
            <wp:extent cx="4621033" cy="3609893"/>
            <wp:effectExtent l="0" t="0" r="46355" b="29210"/>
            <wp:docPr id="88" name="Objeto 1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21501" w:rsidRPr="00021501" w:rsidRDefault="00021501" w:rsidP="00021501">
      <w:pPr>
        <w:spacing w:line="360" w:lineRule="auto"/>
        <w:rPr>
          <w:rFonts w:ascii="Times New Roman" w:hAnsi="Times New Roman"/>
          <w:bCs/>
          <w:lang w:eastAsia="ar-SA"/>
        </w:rPr>
      </w:pPr>
    </w:p>
    <w:p w:rsidR="00021501" w:rsidRPr="00021501" w:rsidRDefault="00021501" w:rsidP="00021501">
      <w:pPr>
        <w:spacing w:line="360" w:lineRule="auto"/>
        <w:jc w:val="both"/>
        <w:rPr>
          <w:rFonts w:ascii="Times New Roman" w:hAnsi="Times New Roman"/>
          <w:bCs/>
          <w:lang w:eastAsia="ar-SA"/>
        </w:rPr>
      </w:pPr>
      <w:r w:rsidRPr="00021501">
        <w:rPr>
          <w:rFonts w:ascii="Times New Roman" w:hAnsi="Times New Roman"/>
          <w:bCs/>
          <w:lang w:eastAsia="ar-SA"/>
        </w:rPr>
        <w:t>Se puede notar del gráfico anterior que si bien la “Tasa de Gestiones” viene creciendo en los tres últimos años, los niveles alcanzados hasta el año anterior se mantienen por debajo de lo obtenido para el 2009, pero que ya para este año se alcanza la tasa más elevada registrada para el periodo expuesto. Es de esta manera que la inclusión de la carga de trabajo interanual, permite de una manera más clara y concisa no solamente el comprender la relación existente entre la cantidad de quejas presentadas ante la Contraloría de Servicios  y las cargas de trabajo, sino también el determinar la existencia o no de incrementos reales en la variable bajo estudio que puedan estarse saliendo de lo considerado como “aceptable” o parte del entorno laboral normal, y que llegue a atentar contra la realización de una adecuada gestión judicial</w:t>
      </w:r>
      <w:r w:rsidRPr="00021501">
        <w:rPr>
          <w:rFonts w:ascii="Times New Roman" w:hAnsi="Times New Roman" w:cs="Times New Roman"/>
          <w:bCs/>
          <w:sz w:val="20"/>
          <w:szCs w:val="20"/>
          <w:lang w:eastAsia="ar-SA"/>
        </w:rPr>
        <w:br w:type="page"/>
      </w:r>
    </w:p>
    <w:p w:rsidR="00021501" w:rsidRPr="00021501" w:rsidRDefault="00021501" w:rsidP="00021501">
      <w:pPr>
        <w:keepNext/>
        <w:widowControl/>
        <w:numPr>
          <w:ilvl w:val="0"/>
          <w:numId w:val="14"/>
        </w:numPr>
        <w:pBdr>
          <w:top w:val="single" w:sz="4" w:space="1" w:color="000000"/>
          <w:left w:val="single" w:sz="4" w:space="4" w:color="000000"/>
          <w:bottom w:val="single" w:sz="4" w:space="1" w:color="000000"/>
          <w:right w:val="single" w:sz="4" w:space="4" w:color="000000"/>
        </w:pBdr>
        <w:shd w:val="clear" w:color="auto" w:fill="000000"/>
        <w:tabs>
          <w:tab w:val="left" w:pos="720"/>
          <w:tab w:val="left" w:pos="900"/>
        </w:tabs>
        <w:suppressAutoHyphens/>
        <w:autoSpaceDE/>
        <w:autoSpaceDN/>
        <w:adjustRightInd/>
        <w:spacing w:line="480" w:lineRule="atLeast"/>
        <w:jc w:val="center"/>
        <w:outlineLvl w:val="0"/>
        <w:rPr>
          <w:rFonts w:ascii="Times New Roman" w:hAnsi="Times New Roman" w:cs="Times New Roman"/>
          <w:b/>
          <w:bCs/>
          <w:iCs/>
          <w:color w:val="FFFFFF"/>
          <w:spacing w:val="-3"/>
          <w:sz w:val="28"/>
          <w:szCs w:val="28"/>
          <w:u w:color="000000"/>
          <w:lang w:eastAsia="ar-SA"/>
        </w:rPr>
      </w:pPr>
      <w:r w:rsidRPr="00021501">
        <w:rPr>
          <w:rFonts w:ascii="Times New Roman" w:hAnsi="Times New Roman" w:cs="Times New Roman"/>
          <w:b/>
          <w:bCs/>
          <w:iCs/>
          <w:color w:val="FFFFFF"/>
          <w:spacing w:val="-3"/>
          <w:sz w:val="28"/>
          <w:szCs w:val="28"/>
          <w:u w:color="000000"/>
          <w:lang w:eastAsia="ar-SA"/>
        </w:rPr>
        <w:lastRenderedPageBreak/>
        <w:t xml:space="preserve">       FISCALÍA</w:t>
      </w:r>
    </w:p>
    <w:p w:rsidR="00021501" w:rsidRPr="00021501" w:rsidRDefault="00021501" w:rsidP="00021501">
      <w:pPr>
        <w:spacing w:line="360" w:lineRule="auto"/>
        <w:jc w:val="both"/>
        <w:rPr>
          <w:rFonts w:ascii="Times New Roman" w:hAnsi="Times New Roman" w:cs="Times New Roman"/>
          <w:lang w:eastAsia="ar-SA"/>
        </w:rPr>
      </w:pPr>
    </w:p>
    <w:p w:rsidR="00021501" w:rsidRPr="00021501" w:rsidRDefault="00021501" w:rsidP="00021501">
      <w:pPr>
        <w:spacing w:line="360" w:lineRule="auto"/>
        <w:jc w:val="both"/>
        <w:rPr>
          <w:rFonts w:ascii="Times New Roman" w:hAnsi="Times New Roman" w:cs="Times New Roman"/>
          <w:lang w:eastAsia="ar-SA"/>
        </w:rPr>
      </w:pPr>
    </w:p>
    <w:p w:rsidR="00021501" w:rsidRPr="00021501" w:rsidRDefault="00021501" w:rsidP="00021501">
      <w:pPr>
        <w:spacing w:line="360" w:lineRule="auto"/>
        <w:jc w:val="both"/>
        <w:rPr>
          <w:rFonts w:ascii="Times New Roman" w:hAnsi="Times New Roman" w:cs="Times New Roman"/>
          <w:lang w:eastAsia="ar-SA"/>
        </w:rPr>
      </w:pPr>
      <w:r w:rsidRPr="00021501">
        <w:rPr>
          <w:rFonts w:ascii="Times New Roman" w:hAnsi="Times New Roman" w:cs="Times New Roman"/>
          <w:lang w:eastAsia="ar-SA"/>
        </w:rPr>
        <w:t xml:space="preserve">Este apartado se encuentra constituido por </w:t>
      </w:r>
      <w:r w:rsidRPr="00021501">
        <w:rPr>
          <w:rFonts w:ascii="Times New Roman" w:hAnsi="Times New Roman" w:cs="Times New Roman"/>
          <w:b/>
          <w:lang w:eastAsia="ar-SA"/>
        </w:rPr>
        <w:t>tres indicadores</w:t>
      </w:r>
      <w:r w:rsidRPr="00021501">
        <w:rPr>
          <w:rFonts w:ascii="Times New Roman" w:hAnsi="Times New Roman" w:cs="Times New Roman"/>
          <w:lang w:eastAsia="ar-SA"/>
        </w:rPr>
        <w:t>, cuyos objetivos son conocer acerca de la labor del Ministerio Público como ente dedicado a la persecución de la acción penal y su participación, principalmente en la etapa preparatoria de los procesos, penal y penal juvenil, y que pasan a detallarse a continuación:</w:t>
      </w:r>
    </w:p>
    <w:p w:rsidR="00021501" w:rsidRPr="00021501" w:rsidRDefault="00021501" w:rsidP="00021501">
      <w:pPr>
        <w:spacing w:line="360" w:lineRule="auto"/>
        <w:jc w:val="both"/>
        <w:rPr>
          <w:rFonts w:ascii="Times New Roman" w:hAnsi="Times New Roman" w:cs="Times New Roman"/>
          <w:lang w:eastAsia="ar-SA"/>
        </w:rPr>
      </w:pPr>
    </w:p>
    <w:p w:rsidR="00021501" w:rsidRPr="00021501" w:rsidRDefault="00021501" w:rsidP="00021501">
      <w:pPr>
        <w:keepNext/>
        <w:spacing w:before="240" w:after="60"/>
        <w:outlineLvl w:val="1"/>
        <w:rPr>
          <w:rFonts w:ascii="Times New Roman" w:hAnsi="Times New Roman" w:cs="Times New Roman"/>
          <w:b/>
          <w:bCs/>
          <w:iCs/>
        </w:rPr>
      </w:pPr>
      <w:r w:rsidRPr="00021501">
        <w:rPr>
          <w:rFonts w:ascii="Times New Roman" w:hAnsi="Times New Roman" w:cs="Times New Roman"/>
          <w:b/>
          <w:bCs/>
          <w:iCs/>
        </w:rPr>
        <w:t>6.1</w:t>
      </w:r>
      <w:r w:rsidRPr="00021501">
        <w:rPr>
          <w:rFonts w:ascii="Times New Roman" w:hAnsi="Times New Roman" w:cs="Times New Roman"/>
          <w:b/>
          <w:bCs/>
          <w:iCs/>
        </w:rPr>
        <w:tab/>
        <w:t xml:space="preserve">Tasa de denuncia por delito ingresado al Ministerio Público </w:t>
      </w:r>
    </w:p>
    <w:p w:rsidR="00021501" w:rsidRPr="00021501" w:rsidRDefault="00021501" w:rsidP="00021501">
      <w:pPr>
        <w:rPr>
          <w:rFonts w:ascii="Times New Roman" w:hAnsi="Times New Roman" w:cs="Times New Roman"/>
        </w:rPr>
      </w:pPr>
    </w:p>
    <w:p w:rsidR="00021501" w:rsidRPr="00021501" w:rsidRDefault="00021501" w:rsidP="00021501">
      <w:pPr>
        <w:spacing w:line="360" w:lineRule="auto"/>
        <w:jc w:val="both"/>
        <w:rPr>
          <w:rFonts w:ascii="Times New Roman" w:hAnsi="Times New Roman" w:cs="Times New Roman"/>
          <w:lang w:eastAsia="ar-SA"/>
        </w:rPr>
      </w:pPr>
    </w:p>
    <w:p w:rsidR="00021501" w:rsidRPr="00021501" w:rsidRDefault="00021501" w:rsidP="00021501">
      <w:pPr>
        <w:spacing w:line="360" w:lineRule="auto"/>
        <w:jc w:val="both"/>
        <w:rPr>
          <w:rFonts w:ascii="Times New Roman" w:hAnsi="Times New Roman" w:cs="Times New Roman"/>
          <w:lang w:eastAsia="ar-SA"/>
        </w:rPr>
      </w:pPr>
      <w:r w:rsidRPr="00021501">
        <w:rPr>
          <w:rFonts w:ascii="Times New Roman" w:hAnsi="Times New Roman" w:cs="Times New Roman"/>
          <w:lang w:eastAsia="ar-SA"/>
        </w:rPr>
        <w:t xml:space="preserve">En el 2015, la denuncia de delitos penales ante el Ministerio Público por cada 100 mil habitantes muestra una pequeña disminución en relación a lo mostrado para los últimos 3 años, siendo en el porcentaje de 7,85% (272 denuncias menos) por cada 100 mil habitantes para el 2015 en relación con el 2014. Como se muestra en el gráfico siguiente, en el 2012 se reportaron 3.051 denuncias penales por cada 100 mil habitantes, valor que llega a 3.330 denuncias por cada 100 mil habitantes en el 2013; sea un 9% mayor. Para el 2014, se produce otro incremento en el indicador al llegar a 3.466 denuncias por cada 100 mil habitantes, pero tal incremento es menor al anterior en términos relativos al ser del 4%.  </w:t>
      </w:r>
    </w:p>
    <w:p w:rsidR="00021501" w:rsidRPr="00021501" w:rsidRDefault="00021501" w:rsidP="00021501">
      <w:pPr>
        <w:jc w:val="both"/>
        <w:rPr>
          <w:rFonts w:ascii="Times New Roman" w:hAnsi="Times New Roman" w:cs="Times New Roman"/>
          <w:lang w:eastAsia="ar-SA"/>
        </w:rPr>
      </w:pPr>
    </w:p>
    <w:p w:rsidR="00021501" w:rsidRPr="00021501" w:rsidRDefault="00021501" w:rsidP="00021501">
      <w:pPr>
        <w:spacing w:line="360" w:lineRule="auto"/>
        <w:jc w:val="center"/>
        <w:rPr>
          <w:rFonts w:ascii="Times New Roman" w:hAnsi="Times New Roman" w:cs="Times New Roman"/>
        </w:rPr>
      </w:pPr>
      <w:r w:rsidRPr="00021501">
        <w:rPr>
          <w:rFonts w:ascii="Times New Roman" w:hAnsi="Times New Roman" w:cs="Times New Roman"/>
          <w:noProof/>
          <w:lang w:val="es-CR" w:eastAsia="es-CR"/>
        </w:rPr>
        <w:lastRenderedPageBreak/>
        <w:drawing>
          <wp:inline distT="0" distB="0" distL="0" distR="0">
            <wp:extent cx="4732020" cy="2979420"/>
            <wp:effectExtent l="0" t="0" r="30480" b="30480"/>
            <wp:docPr id="89" name="Objeto 1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21501" w:rsidRPr="00021501" w:rsidRDefault="00021501" w:rsidP="00021501">
      <w:pPr>
        <w:widowControl/>
        <w:numPr>
          <w:ilvl w:val="1"/>
          <w:numId w:val="16"/>
        </w:numPr>
        <w:autoSpaceDE/>
        <w:autoSpaceDN/>
        <w:adjustRightInd/>
        <w:spacing w:line="360" w:lineRule="auto"/>
        <w:ind w:right="45"/>
        <w:jc w:val="both"/>
        <w:outlineLvl w:val="1"/>
        <w:rPr>
          <w:rFonts w:ascii="Times New Roman" w:hAnsi="Times New Roman" w:cs="Times New Roman"/>
          <w:b/>
          <w:bCs/>
          <w:iCs/>
        </w:rPr>
      </w:pPr>
      <w:r w:rsidRPr="00021501">
        <w:rPr>
          <w:rFonts w:ascii="Times New Roman" w:hAnsi="Times New Roman" w:cs="Times New Roman"/>
          <w:b/>
          <w:bCs/>
          <w:iCs/>
        </w:rPr>
        <w:t>Tasa de acusación</w:t>
      </w:r>
      <w:r w:rsidRPr="00021501">
        <w:rPr>
          <w:rFonts w:ascii="Times New Roman" w:hAnsi="Times New Roman" w:cs="Times New Roman"/>
          <w:b/>
          <w:bCs/>
          <w:iCs/>
          <w:vertAlign w:val="superscript"/>
        </w:rPr>
        <w:footnoteReference w:id="9"/>
      </w:r>
    </w:p>
    <w:p w:rsidR="00021501" w:rsidRPr="00021501" w:rsidRDefault="00021501" w:rsidP="00021501">
      <w:pPr>
        <w:rPr>
          <w:rFonts w:ascii="Times New Roman" w:hAnsi="Times New Roman" w:cs="Times New Roman"/>
        </w:rPr>
      </w:pPr>
    </w:p>
    <w:p w:rsidR="00021501" w:rsidRPr="00021501" w:rsidRDefault="00021501" w:rsidP="00021501">
      <w:pPr>
        <w:spacing w:line="360" w:lineRule="auto"/>
        <w:jc w:val="both"/>
        <w:rPr>
          <w:rFonts w:ascii="Times New Roman" w:hAnsi="Times New Roman" w:cs="Times New Roman"/>
          <w:lang w:eastAsia="ar-SA"/>
        </w:rPr>
      </w:pPr>
      <w:r w:rsidRPr="00021501">
        <w:rPr>
          <w:rFonts w:ascii="Times New Roman" w:hAnsi="Times New Roman" w:cs="Times New Roman"/>
          <w:lang w:eastAsia="ar-SA"/>
        </w:rPr>
        <w:t xml:space="preserve">Uno de los objetivos del Ministerio Público es contar con una buena investigación para contribuir a la determinación de la verdad real dentro del proceso penal. En ese accionar, solicitará ante un Juzgado penal la aplicación de institutos legales dentro de la gama que le permite la actual legislación para hacer efectiva la acusación penal tanto en la forma de procesos abreviados como lo que no lo son.  Por lo anterior, un indicador que describe la labor realizada por el órgano acusador es la Tasa de Acusación en la que se divide, el monto resultante de la suma de las solicitudes de acusación y del volumen de procesos abreviados, entre la entrada </w:t>
      </w:r>
      <w:proofErr w:type="gramStart"/>
      <w:r w:rsidRPr="00021501">
        <w:rPr>
          <w:rFonts w:ascii="Times New Roman" w:hAnsi="Times New Roman" w:cs="Times New Roman"/>
          <w:lang w:eastAsia="ar-SA"/>
        </w:rPr>
        <w:t>neta</w:t>
      </w:r>
      <w:r w:rsidRPr="00021501">
        <w:rPr>
          <w:rFonts w:ascii="Times New Roman" w:hAnsi="Times New Roman" w:cs="Times New Roman"/>
          <w:vertAlign w:val="superscript"/>
          <w:lang w:eastAsia="ar-SA"/>
        </w:rPr>
        <w:t>(</w:t>
      </w:r>
      <w:proofErr w:type="gramEnd"/>
      <w:r w:rsidRPr="00021501">
        <w:rPr>
          <w:rFonts w:ascii="Times New Roman" w:hAnsi="Times New Roman" w:cs="Times New Roman"/>
          <w:vertAlign w:val="superscript"/>
          <w:lang w:eastAsia="ar-SA"/>
        </w:rPr>
        <w:footnoteReference w:id="10"/>
      </w:r>
      <w:r w:rsidRPr="00021501">
        <w:rPr>
          <w:rFonts w:ascii="Times New Roman" w:hAnsi="Times New Roman" w:cs="Times New Roman"/>
          <w:vertAlign w:val="superscript"/>
          <w:lang w:eastAsia="ar-SA"/>
        </w:rPr>
        <w:t>)</w:t>
      </w:r>
      <w:r w:rsidRPr="00021501">
        <w:rPr>
          <w:rFonts w:ascii="Times New Roman" w:hAnsi="Times New Roman" w:cs="Times New Roman"/>
          <w:lang w:eastAsia="ar-SA"/>
        </w:rPr>
        <w:t xml:space="preserve"> al Ministerio Público. </w:t>
      </w:r>
    </w:p>
    <w:p w:rsidR="00021501" w:rsidRPr="00021501" w:rsidRDefault="00021501" w:rsidP="00021501">
      <w:pPr>
        <w:spacing w:line="360" w:lineRule="auto"/>
        <w:jc w:val="both"/>
        <w:rPr>
          <w:rFonts w:ascii="Times New Roman" w:hAnsi="Times New Roman" w:cs="Times New Roman"/>
          <w:lang w:eastAsia="ar-SA"/>
        </w:rPr>
      </w:pPr>
    </w:p>
    <w:p w:rsidR="00021501" w:rsidRPr="00021501" w:rsidRDefault="00021501" w:rsidP="00021501">
      <w:pPr>
        <w:spacing w:line="360" w:lineRule="auto"/>
        <w:jc w:val="both"/>
        <w:rPr>
          <w:rFonts w:ascii="Times New Roman" w:hAnsi="Times New Roman" w:cs="Times New Roman"/>
          <w:lang w:eastAsia="ar-SA"/>
        </w:rPr>
      </w:pPr>
      <w:r w:rsidRPr="00021501">
        <w:rPr>
          <w:rFonts w:ascii="Times New Roman" w:hAnsi="Times New Roman" w:cs="Times New Roman"/>
          <w:lang w:eastAsia="ar-SA"/>
        </w:rPr>
        <w:t>Si bien, la Tasa de Acusación venia en franco decrecimiento en los últimos años, para el 2015 se registra un incremento 1,3% con respecto a lo registrado en el año anterior. En el 2012, se emitían 16,7 solicitudes de acusaciones y procesos abreviados por cada 100 asuntos que componen la entrada neta al Ministerio Público. Este indicador cayó a 15,4 en el 2013, l</w:t>
      </w:r>
      <w:r w:rsidR="00C97F62">
        <w:rPr>
          <w:rFonts w:ascii="Times New Roman" w:hAnsi="Times New Roman" w:cs="Times New Roman"/>
          <w:lang w:eastAsia="ar-SA"/>
        </w:rPr>
        <w:t xml:space="preserve">o que </w:t>
      </w:r>
      <w:r w:rsidR="00C97F62">
        <w:rPr>
          <w:rFonts w:ascii="Times New Roman" w:hAnsi="Times New Roman" w:cs="Times New Roman"/>
          <w:lang w:eastAsia="ar-SA"/>
        </w:rPr>
        <w:lastRenderedPageBreak/>
        <w:t>implica un reducción del 1.3</w:t>
      </w:r>
      <w:r w:rsidRPr="00021501">
        <w:rPr>
          <w:rFonts w:ascii="Times New Roman" w:hAnsi="Times New Roman" w:cs="Times New Roman"/>
          <w:lang w:eastAsia="ar-SA"/>
        </w:rPr>
        <w:t xml:space="preserve">%. Para el 2014, se reduce nuevamente a 15,0 solicitudes de acusación y procesos abreviados por cada 100 asuntos netos, significando que esta última cifra es </w:t>
      </w:r>
      <w:r w:rsidR="00C97F62">
        <w:rPr>
          <w:rFonts w:ascii="Times New Roman" w:hAnsi="Times New Roman" w:cs="Times New Roman"/>
          <w:lang w:eastAsia="ar-SA"/>
        </w:rPr>
        <w:t>0,4</w:t>
      </w:r>
      <w:r w:rsidRPr="00021501">
        <w:rPr>
          <w:rFonts w:ascii="Times New Roman" w:hAnsi="Times New Roman" w:cs="Times New Roman"/>
          <w:lang w:eastAsia="ar-SA"/>
        </w:rPr>
        <w:t xml:space="preserve">% menor que la reportada un año antes.   </w:t>
      </w:r>
    </w:p>
    <w:p w:rsidR="00021501" w:rsidRPr="00021501" w:rsidRDefault="00021501" w:rsidP="00021501">
      <w:pPr>
        <w:spacing w:line="360" w:lineRule="auto"/>
        <w:jc w:val="both"/>
        <w:rPr>
          <w:rFonts w:ascii="Times New Roman" w:hAnsi="Times New Roman" w:cs="Times New Roman"/>
          <w:lang w:eastAsia="ar-SA"/>
        </w:rPr>
      </w:pPr>
    </w:p>
    <w:p w:rsidR="00021501" w:rsidRDefault="00021501" w:rsidP="00021501">
      <w:pPr>
        <w:spacing w:line="360" w:lineRule="auto"/>
        <w:jc w:val="center"/>
        <w:rPr>
          <w:rFonts w:ascii="Times New Roman" w:hAnsi="Times New Roman" w:cs="Times New Roman"/>
          <w:lang w:eastAsia="ar-SA"/>
        </w:rPr>
      </w:pPr>
      <w:r w:rsidRPr="00021501">
        <w:rPr>
          <w:rFonts w:ascii="Times New Roman" w:hAnsi="Times New Roman" w:cs="Times New Roman"/>
          <w:noProof/>
          <w:lang w:val="es-CR" w:eastAsia="es-CR"/>
        </w:rPr>
        <w:drawing>
          <wp:inline distT="0" distB="0" distL="0" distR="0">
            <wp:extent cx="4664627" cy="2464905"/>
            <wp:effectExtent l="0" t="0" r="41275" b="31115"/>
            <wp:docPr id="90" name="Objeto 1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31AEF" w:rsidRPr="00021501" w:rsidRDefault="00631AEF" w:rsidP="00021501">
      <w:pPr>
        <w:spacing w:line="360" w:lineRule="auto"/>
        <w:jc w:val="center"/>
        <w:rPr>
          <w:rFonts w:ascii="Times New Roman" w:hAnsi="Times New Roman" w:cs="Times New Roman"/>
          <w:lang w:eastAsia="ar-SA"/>
        </w:rPr>
      </w:pPr>
    </w:p>
    <w:p w:rsidR="00021501" w:rsidRPr="00021501" w:rsidRDefault="00021501" w:rsidP="00021501">
      <w:pPr>
        <w:widowControl/>
        <w:numPr>
          <w:ilvl w:val="1"/>
          <w:numId w:val="16"/>
        </w:numPr>
        <w:autoSpaceDE/>
        <w:autoSpaceDN/>
        <w:adjustRightInd/>
        <w:spacing w:line="360" w:lineRule="auto"/>
        <w:ind w:right="45"/>
        <w:jc w:val="both"/>
        <w:outlineLvl w:val="1"/>
        <w:rPr>
          <w:rFonts w:ascii="Times New Roman" w:hAnsi="Times New Roman" w:cs="Times New Roman"/>
          <w:b/>
          <w:bCs/>
          <w:iCs/>
        </w:rPr>
      </w:pPr>
      <w:r w:rsidRPr="00021501">
        <w:rPr>
          <w:rFonts w:ascii="Times New Roman" w:hAnsi="Times New Roman" w:cs="Times New Roman"/>
          <w:b/>
          <w:bCs/>
          <w:iCs/>
        </w:rPr>
        <w:t>Tasa de expedientes nuevos de menores de 18 años.</w:t>
      </w:r>
    </w:p>
    <w:p w:rsidR="00021501" w:rsidRPr="00021501" w:rsidRDefault="00021501" w:rsidP="00021501">
      <w:pPr>
        <w:rPr>
          <w:rFonts w:ascii="Times New Roman" w:hAnsi="Times New Roman" w:cs="Times New Roman"/>
        </w:rPr>
      </w:pPr>
    </w:p>
    <w:p w:rsidR="00021501" w:rsidRPr="00021501" w:rsidRDefault="00021501" w:rsidP="00021501">
      <w:pPr>
        <w:spacing w:line="360" w:lineRule="auto"/>
        <w:jc w:val="both"/>
        <w:rPr>
          <w:rFonts w:ascii="Times New Roman" w:hAnsi="Times New Roman" w:cs="Times New Roman"/>
        </w:rPr>
      </w:pPr>
      <w:r w:rsidRPr="00021501">
        <w:rPr>
          <w:rFonts w:ascii="Times New Roman" w:hAnsi="Times New Roman" w:cs="Times New Roman"/>
        </w:rPr>
        <w:t>Este indicador es el resultado de dividir el número de expedientes entrados al Ministerio Público en materia penal juvenil entre la población de personas menores de 18 años del país amplificado por 1.000.</w:t>
      </w:r>
    </w:p>
    <w:p w:rsidR="00021501" w:rsidRPr="00021501" w:rsidRDefault="00021501" w:rsidP="00021501">
      <w:pPr>
        <w:spacing w:line="360" w:lineRule="auto"/>
        <w:jc w:val="both"/>
        <w:rPr>
          <w:rFonts w:ascii="Times New Roman" w:hAnsi="Times New Roman" w:cs="Times New Roman"/>
          <w:lang w:eastAsia="ar-SA"/>
        </w:rPr>
      </w:pPr>
    </w:p>
    <w:p w:rsidR="00021501" w:rsidRPr="00021501" w:rsidRDefault="00021501" w:rsidP="00021501">
      <w:pPr>
        <w:widowControl/>
        <w:suppressAutoHyphens/>
        <w:autoSpaceDE/>
        <w:autoSpaceDN/>
        <w:adjustRightInd/>
        <w:spacing w:line="360" w:lineRule="auto"/>
        <w:jc w:val="both"/>
        <w:rPr>
          <w:rFonts w:ascii="Times New Roman" w:hAnsi="Times New Roman" w:cs="Times New Roman"/>
          <w:lang w:val="es-CR" w:eastAsia="ar-SA"/>
        </w:rPr>
      </w:pPr>
      <w:r w:rsidRPr="00021501">
        <w:rPr>
          <w:rFonts w:ascii="Times New Roman" w:hAnsi="Times New Roman" w:cs="Times New Roman"/>
          <w:lang w:val="es-CR" w:eastAsia="ar-SA"/>
        </w:rPr>
        <w:t>En el 2015 se produjo una nueva reducción en este indicador, donde aunada a la registrada para el año anterior deja atrás la estabilidad observada en los valores del 2012 y 2013. Como se presenta en el gráfico siguiente, en esos dos años se daban casi ocho (7,9) expedientes penales juveniles nuevos por cada mil personas menores de 18 años en el país. Para el 2014, tal tasa llega a 7,2 expedientes penales juveniles por cada mil personas menores de edad para finalmente registrar un valor de 6,7 para el 2015.</w:t>
      </w:r>
    </w:p>
    <w:p w:rsidR="00021501" w:rsidRPr="00021501" w:rsidRDefault="00021501" w:rsidP="00021501">
      <w:pPr>
        <w:widowControl/>
        <w:suppressAutoHyphens/>
        <w:autoSpaceDE/>
        <w:autoSpaceDN/>
        <w:adjustRightInd/>
        <w:spacing w:line="360" w:lineRule="auto"/>
        <w:jc w:val="both"/>
        <w:rPr>
          <w:rFonts w:ascii="Times New Roman" w:hAnsi="Times New Roman" w:cs="Times New Roman"/>
          <w:lang w:val="es-CR" w:eastAsia="ar-SA"/>
        </w:rPr>
      </w:pPr>
    </w:p>
    <w:p w:rsidR="00021501" w:rsidRPr="00021501" w:rsidRDefault="00021501" w:rsidP="00021501">
      <w:pPr>
        <w:spacing w:line="360" w:lineRule="auto"/>
        <w:jc w:val="center"/>
        <w:rPr>
          <w:rFonts w:ascii="Times New Roman" w:hAnsi="Times New Roman" w:cs="Times New Roman"/>
          <w:lang w:eastAsia="ar-SA"/>
        </w:rPr>
      </w:pPr>
      <w:r w:rsidRPr="00021501">
        <w:rPr>
          <w:rFonts w:ascii="Times New Roman" w:hAnsi="Times New Roman" w:cs="Times New Roman"/>
          <w:noProof/>
          <w:lang w:val="es-CR" w:eastAsia="es-CR"/>
        </w:rPr>
        <w:lastRenderedPageBreak/>
        <w:drawing>
          <wp:inline distT="0" distB="0" distL="0" distR="0">
            <wp:extent cx="5610473" cy="2993224"/>
            <wp:effectExtent l="0" t="0" r="28575" b="36195"/>
            <wp:docPr id="91" name="Objeto 1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21501" w:rsidRPr="00021501" w:rsidRDefault="00021501" w:rsidP="00021501">
      <w:pPr>
        <w:spacing w:line="360" w:lineRule="auto"/>
        <w:jc w:val="both"/>
        <w:rPr>
          <w:rFonts w:ascii="Times New Roman" w:hAnsi="Times New Roman" w:cs="Times New Roman"/>
          <w:lang w:eastAsia="ar-SA"/>
        </w:rPr>
      </w:pPr>
    </w:p>
    <w:p w:rsidR="00021501" w:rsidRPr="00021501" w:rsidRDefault="00021501" w:rsidP="00021501">
      <w:pPr>
        <w:spacing w:line="360" w:lineRule="auto"/>
        <w:jc w:val="both"/>
        <w:rPr>
          <w:rFonts w:ascii="Times New Roman" w:hAnsi="Times New Roman" w:cs="Times New Roman"/>
          <w:lang w:eastAsia="ar-SA"/>
        </w:rPr>
      </w:pPr>
    </w:p>
    <w:p w:rsidR="00021501" w:rsidRPr="00021501" w:rsidRDefault="00021501" w:rsidP="00021501">
      <w:pPr>
        <w:spacing w:line="360" w:lineRule="auto"/>
        <w:jc w:val="both"/>
        <w:rPr>
          <w:rFonts w:ascii="Times New Roman" w:hAnsi="Times New Roman" w:cs="Times New Roman"/>
          <w:lang w:eastAsia="ar-SA"/>
        </w:rPr>
      </w:pPr>
      <w:r w:rsidRPr="00021501">
        <w:rPr>
          <w:rFonts w:ascii="Times New Roman" w:hAnsi="Times New Roman" w:cs="Times New Roman"/>
          <w:lang w:eastAsia="ar-SA"/>
        </w:rPr>
        <w:br w:type="page"/>
      </w:r>
    </w:p>
    <w:p w:rsidR="00021501" w:rsidRPr="005F7D1B" w:rsidRDefault="00021501" w:rsidP="005F7D1B">
      <w:pPr>
        <w:keepNext/>
        <w:widowControl/>
        <w:numPr>
          <w:ilvl w:val="0"/>
          <w:numId w:val="14"/>
        </w:numPr>
        <w:pBdr>
          <w:top w:val="single" w:sz="4" w:space="1" w:color="000000"/>
          <w:left w:val="single" w:sz="4" w:space="4" w:color="000000"/>
          <w:bottom w:val="single" w:sz="4" w:space="1" w:color="000000"/>
          <w:right w:val="single" w:sz="4" w:space="4" w:color="000000"/>
        </w:pBdr>
        <w:shd w:val="clear" w:color="auto" w:fill="000000"/>
        <w:tabs>
          <w:tab w:val="left" w:pos="720"/>
          <w:tab w:val="left" w:pos="900"/>
        </w:tabs>
        <w:suppressAutoHyphens/>
        <w:autoSpaceDE/>
        <w:autoSpaceDN/>
        <w:adjustRightInd/>
        <w:spacing w:line="480" w:lineRule="atLeast"/>
        <w:jc w:val="center"/>
        <w:outlineLvl w:val="0"/>
        <w:rPr>
          <w:rFonts w:ascii="Times New Roman" w:hAnsi="Times New Roman" w:cs="Times New Roman"/>
          <w:b/>
          <w:bCs/>
          <w:iCs/>
          <w:color w:val="FFFFFF"/>
          <w:spacing w:val="-3"/>
          <w:sz w:val="28"/>
          <w:szCs w:val="28"/>
          <w:u w:color="000000"/>
          <w:lang w:eastAsia="ar-SA"/>
        </w:rPr>
      </w:pPr>
      <w:r w:rsidRPr="005F7D1B">
        <w:rPr>
          <w:rFonts w:ascii="Times New Roman" w:hAnsi="Times New Roman" w:cs="Times New Roman"/>
          <w:b/>
          <w:bCs/>
          <w:iCs/>
          <w:color w:val="FFFFFF"/>
          <w:spacing w:val="-3"/>
          <w:sz w:val="28"/>
          <w:szCs w:val="28"/>
          <w:u w:color="000000"/>
          <w:lang w:eastAsia="ar-SA"/>
        </w:rPr>
        <w:lastRenderedPageBreak/>
        <w:t xml:space="preserve">          SISTEMA PENITENCIARIO</w:t>
      </w:r>
    </w:p>
    <w:p w:rsidR="00021501" w:rsidRPr="00021501" w:rsidRDefault="00021501" w:rsidP="00021501">
      <w:pPr>
        <w:spacing w:line="360" w:lineRule="auto"/>
        <w:jc w:val="both"/>
        <w:rPr>
          <w:rFonts w:ascii="Times New Roman" w:hAnsi="Times New Roman" w:cs="Times New Roman"/>
          <w:color w:val="FFFFFF"/>
          <w:lang w:eastAsia="ar-SA"/>
        </w:rPr>
      </w:pPr>
    </w:p>
    <w:p w:rsidR="00021501" w:rsidRPr="00021501" w:rsidRDefault="00021501" w:rsidP="00021501">
      <w:pPr>
        <w:spacing w:line="360" w:lineRule="auto"/>
        <w:jc w:val="both"/>
        <w:rPr>
          <w:rFonts w:ascii="Times New Roman" w:hAnsi="Times New Roman" w:cs="Times New Roman"/>
          <w:lang w:eastAsia="ar-SA"/>
        </w:rPr>
      </w:pPr>
      <w:r w:rsidRPr="00021501">
        <w:rPr>
          <w:rFonts w:ascii="Times New Roman" w:hAnsi="Times New Roman" w:cs="Times New Roman"/>
          <w:lang w:eastAsia="ar-SA"/>
        </w:rPr>
        <w:t>Como parte de los resultados esperables del desarrollo del proceso penal, se tiene su finiquito cuando se dicta una sentencia (condenatoria o absolutoria) por parte de los tribunales penales, por lo cual este ámbito temático se enfoca en conocer los casos en que se condenó o se absolvió a los imputados. Este ámbito está compuesto por tres indicadores que pasan a ser desarrollados a continuación.</w:t>
      </w:r>
    </w:p>
    <w:p w:rsidR="00021501" w:rsidRPr="00021501" w:rsidRDefault="00021501" w:rsidP="00021501">
      <w:pPr>
        <w:jc w:val="both"/>
        <w:rPr>
          <w:rFonts w:ascii="Times New Roman" w:hAnsi="Times New Roman" w:cs="Times New Roman"/>
          <w:lang w:eastAsia="ar-SA"/>
        </w:rPr>
      </w:pPr>
    </w:p>
    <w:p w:rsidR="00021501" w:rsidRPr="00021501" w:rsidRDefault="00021501" w:rsidP="00021501">
      <w:pPr>
        <w:keepNext/>
        <w:spacing w:before="240" w:after="60"/>
        <w:outlineLvl w:val="1"/>
        <w:rPr>
          <w:rFonts w:ascii="Times New Roman" w:hAnsi="Times New Roman" w:cs="Times New Roman"/>
          <w:b/>
          <w:bCs/>
          <w:iCs/>
        </w:rPr>
      </w:pPr>
      <w:r w:rsidRPr="00021501">
        <w:rPr>
          <w:rFonts w:ascii="Times New Roman" w:hAnsi="Times New Roman" w:cs="Times New Roman"/>
          <w:b/>
          <w:bCs/>
          <w:iCs/>
        </w:rPr>
        <w:t>7.1</w:t>
      </w:r>
      <w:r w:rsidRPr="00021501">
        <w:rPr>
          <w:rFonts w:ascii="Times New Roman" w:hAnsi="Times New Roman" w:cs="Times New Roman"/>
          <w:b/>
          <w:bCs/>
          <w:iCs/>
        </w:rPr>
        <w:tab/>
        <w:t>Tasa de Condenatoria y Tasa de Absolutoria</w:t>
      </w:r>
      <w:r w:rsidRPr="00021501">
        <w:rPr>
          <w:rFonts w:ascii="Times New Roman" w:hAnsi="Times New Roman" w:cs="Times New Roman"/>
          <w:b/>
          <w:bCs/>
          <w:iCs/>
          <w:vertAlign w:val="superscript"/>
        </w:rPr>
        <w:footnoteReference w:id="11"/>
      </w:r>
    </w:p>
    <w:p w:rsidR="00021501" w:rsidRPr="00021501" w:rsidRDefault="00021501" w:rsidP="00021501">
      <w:pPr>
        <w:spacing w:line="360" w:lineRule="auto"/>
        <w:jc w:val="both"/>
        <w:rPr>
          <w:rFonts w:ascii="Times New Roman" w:hAnsi="Times New Roman" w:cs="Times New Roman"/>
          <w:lang w:eastAsia="ar-SA"/>
        </w:rPr>
      </w:pPr>
    </w:p>
    <w:p w:rsidR="00021501" w:rsidRPr="00021501" w:rsidRDefault="00021501" w:rsidP="00021501">
      <w:pPr>
        <w:spacing w:line="360" w:lineRule="auto"/>
        <w:jc w:val="both"/>
        <w:rPr>
          <w:rFonts w:ascii="Times New Roman" w:hAnsi="Times New Roman" w:cs="Times New Roman"/>
          <w:lang w:eastAsia="ar-SA"/>
        </w:rPr>
      </w:pPr>
      <w:r w:rsidRPr="00021501">
        <w:rPr>
          <w:rFonts w:ascii="Times New Roman" w:hAnsi="Times New Roman" w:cs="Times New Roman"/>
          <w:lang w:eastAsia="ar-SA"/>
        </w:rPr>
        <w:t>La Tasa de condenatoria divide la cantidad de personas condenadas entre la población amplificando el resultado por 100 mil mientras que en la tasa de absolutoria se divide la cifra asociada al conglomerado de personas absueltas entre la población y el resultado es, también multiplicado por 100 mil.</w:t>
      </w:r>
    </w:p>
    <w:p w:rsidR="00021501" w:rsidRPr="00021501" w:rsidRDefault="00021501" w:rsidP="00021501">
      <w:pPr>
        <w:spacing w:line="360" w:lineRule="auto"/>
        <w:jc w:val="both"/>
        <w:rPr>
          <w:rFonts w:ascii="Times New Roman" w:hAnsi="Times New Roman" w:cs="Times New Roman"/>
          <w:lang w:eastAsia="ar-SA"/>
        </w:rPr>
      </w:pPr>
    </w:p>
    <w:p w:rsidR="00021501" w:rsidRPr="00021501" w:rsidRDefault="00021501" w:rsidP="00021501">
      <w:pPr>
        <w:spacing w:line="360" w:lineRule="auto"/>
        <w:jc w:val="both"/>
        <w:rPr>
          <w:rFonts w:ascii="Times New Roman" w:hAnsi="Times New Roman" w:cs="Times New Roman"/>
          <w:lang w:eastAsia="ar-SA"/>
        </w:rPr>
      </w:pPr>
      <w:r w:rsidRPr="00021501">
        <w:rPr>
          <w:rFonts w:ascii="Times New Roman" w:hAnsi="Times New Roman" w:cs="Times New Roman"/>
          <w:lang w:eastAsia="ar-SA"/>
        </w:rPr>
        <w:t>En el 2015 se logra determinar una disminución en relación al 2014 para ambas tasas, donde la condenatoria lo hace en la magnitud de uno mientras que la de absolutoria lo registra en una magnitud de 10.  En el siguiente gráfico, se exponen las curvas asociadas a cada tasa desde el 2010 y de su forma se derivan varios patrones siendo uno de ellos que la Tasa de Condenatoria es superior en monto que la Tasa de Absolutoria. Otro patrón es que la Tasa de Absolutoria presenta una menor variabilidad que la Tasa de Condenatoria; la primera oscila poco en un rango que va de 85 a 95 absolutorias por cada 100 mil personas mientras que la segunda fue creciendo hasta alcanzar su máximo en el 2013, y posteriormente decrecer en los años subsecuentes; siendo de 185 condenatorias por cada 100 mil habitantes para el último año</w:t>
      </w:r>
      <w:r w:rsidRPr="00021501">
        <w:rPr>
          <w:rFonts w:ascii="Times New Roman" w:hAnsi="Times New Roman" w:cs="Times New Roman"/>
          <w:b/>
          <w:lang w:eastAsia="ar-SA"/>
        </w:rPr>
        <w:t xml:space="preserve">. </w:t>
      </w:r>
    </w:p>
    <w:p w:rsidR="00021501" w:rsidRPr="00021501" w:rsidRDefault="00021501" w:rsidP="00021501">
      <w:pPr>
        <w:spacing w:line="360" w:lineRule="auto"/>
        <w:jc w:val="center"/>
        <w:rPr>
          <w:rFonts w:ascii="Times New Roman" w:hAnsi="Times New Roman" w:cs="Times New Roman"/>
        </w:rPr>
      </w:pPr>
      <w:r w:rsidRPr="00021501">
        <w:rPr>
          <w:rFonts w:ascii="Times New Roman" w:hAnsi="Times New Roman" w:cs="Times New Roman"/>
          <w:noProof/>
          <w:lang w:val="es-CR" w:eastAsia="es-CR"/>
        </w:rPr>
        <w:lastRenderedPageBreak/>
        <w:drawing>
          <wp:inline distT="0" distB="0" distL="0" distR="0">
            <wp:extent cx="4632960" cy="3215640"/>
            <wp:effectExtent l="0" t="0" r="34290" b="41910"/>
            <wp:docPr id="92" name="Objeto 1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21501" w:rsidRPr="00021501" w:rsidRDefault="00021501" w:rsidP="00021501">
      <w:pPr>
        <w:jc w:val="both"/>
        <w:rPr>
          <w:rFonts w:ascii="Times New Roman" w:hAnsi="Times New Roman" w:cs="Times New Roman"/>
        </w:rPr>
      </w:pPr>
    </w:p>
    <w:p w:rsidR="00021501" w:rsidRPr="00021501" w:rsidRDefault="00021501" w:rsidP="00021501">
      <w:pPr>
        <w:spacing w:line="360" w:lineRule="auto"/>
        <w:jc w:val="both"/>
        <w:rPr>
          <w:rFonts w:ascii="Times New Roman" w:hAnsi="Times New Roman" w:cs="Times New Roman"/>
        </w:rPr>
      </w:pPr>
      <w:r w:rsidRPr="00021501">
        <w:rPr>
          <w:rFonts w:ascii="Times New Roman" w:hAnsi="Times New Roman" w:cs="Times New Roman"/>
        </w:rPr>
        <w:t xml:space="preserve">Es importante aclarar que no todas las condenatorias llegan al sistema penitenciario, ello por cuanto existen sentencias como: días multa, ejecución condicional, medidas de seguridad y pena alterna que no implican el ingreso a ese sistema. </w:t>
      </w:r>
    </w:p>
    <w:p w:rsidR="00021501" w:rsidRPr="00021501" w:rsidRDefault="00021501" w:rsidP="00021501">
      <w:pPr>
        <w:spacing w:line="360" w:lineRule="auto"/>
        <w:jc w:val="both"/>
        <w:rPr>
          <w:rFonts w:ascii="Times New Roman" w:hAnsi="Times New Roman" w:cs="Times New Roman"/>
        </w:rPr>
      </w:pPr>
    </w:p>
    <w:p w:rsidR="00021501" w:rsidRPr="00021501" w:rsidRDefault="00021501" w:rsidP="00021501">
      <w:pPr>
        <w:spacing w:line="360" w:lineRule="auto"/>
        <w:jc w:val="both"/>
        <w:rPr>
          <w:rFonts w:ascii="Times New Roman" w:hAnsi="Times New Roman" w:cs="Times New Roman"/>
          <w:b/>
          <w:lang w:eastAsia="ar-SA"/>
        </w:rPr>
      </w:pPr>
      <w:r w:rsidRPr="00021501">
        <w:rPr>
          <w:rFonts w:ascii="Times New Roman" w:hAnsi="Times New Roman" w:cs="Times New Roman"/>
          <w:b/>
        </w:rPr>
        <w:t>7.2</w:t>
      </w:r>
      <w:r w:rsidRPr="00021501">
        <w:rPr>
          <w:rFonts w:ascii="Times New Roman" w:hAnsi="Times New Roman" w:cs="Times New Roman"/>
          <w:b/>
        </w:rPr>
        <w:tab/>
        <w:t>Edad promedio de las personas condenadas</w:t>
      </w:r>
    </w:p>
    <w:p w:rsidR="00021501" w:rsidRPr="00021501" w:rsidRDefault="00021501" w:rsidP="00021501">
      <w:pPr>
        <w:jc w:val="both"/>
        <w:rPr>
          <w:rFonts w:ascii="Times New Roman" w:hAnsi="Times New Roman" w:cs="Times New Roman"/>
        </w:rPr>
      </w:pPr>
    </w:p>
    <w:p w:rsidR="00021501" w:rsidRPr="00021501" w:rsidRDefault="00021501" w:rsidP="00021501">
      <w:pPr>
        <w:spacing w:line="360" w:lineRule="auto"/>
        <w:jc w:val="both"/>
        <w:rPr>
          <w:rFonts w:ascii="Times New Roman" w:hAnsi="Times New Roman" w:cs="Times New Roman"/>
          <w:b/>
          <w:bCs/>
          <w:lang w:eastAsia="ar-SA"/>
        </w:rPr>
      </w:pPr>
      <w:r w:rsidRPr="00021501">
        <w:rPr>
          <w:rFonts w:ascii="Times New Roman" w:hAnsi="Times New Roman" w:cs="Times New Roman"/>
          <w:lang w:eastAsia="ar-SA"/>
        </w:rPr>
        <w:t>El total de personas condenadas por los tribunales penales en el 2015 es de 8.871 personas, lo que en comparación con el 2014 donde la cantidad fue de 8.821 personas, se podría catalogar como una tendencia casi constante entre estos dos años, mostrando un ínf</w:t>
      </w:r>
      <w:r w:rsidR="00500B5C">
        <w:rPr>
          <w:rFonts w:ascii="Times New Roman" w:hAnsi="Times New Roman" w:cs="Times New Roman"/>
          <w:lang w:eastAsia="ar-SA"/>
        </w:rPr>
        <w:t>imo incremento de solamente 0,57</w:t>
      </w:r>
      <w:r w:rsidRPr="00021501">
        <w:rPr>
          <w:rFonts w:ascii="Times New Roman" w:hAnsi="Times New Roman" w:cs="Times New Roman"/>
          <w:lang w:eastAsia="ar-SA"/>
        </w:rPr>
        <w:t>% (</w:t>
      </w:r>
      <w:r w:rsidR="00500B5C">
        <w:rPr>
          <w:rFonts w:ascii="Times New Roman" w:hAnsi="Times New Roman" w:cs="Times New Roman"/>
          <w:lang w:eastAsia="ar-SA"/>
        </w:rPr>
        <w:t>50</w:t>
      </w:r>
      <w:r w:rsidRPr="00021501">
        <w:rPr>
          <w:rFonts w:ascii="Times New Roman" w:hAnsi="Times New Roman" w:cs="Times New Roman"/>
          <w:lang w:eastAsia="ar-SA"/>
        </w:rPr>
        <w:t xml:space="preserve"> condenas) para este año. Se determina que la edad promedio de esta población para el presente año de la que se tenía conocimiento, es de 34,4 años siendo la segunda más alta desde el 2011, solamente superada por los 34,7 años en promedio registrados en el 2012. Al visualizar la línea de tiempo desde el año 2011 con respecto a esta variable, se observa que esta edad se encuentra ubicada muy cerca del rango que se ha venido esgrimiendo y donde las variaciones </w:t>
      </w:r>
      <w:r w:rsidR="0079621E" w:rsidRPr="00021501">
        <w:rPr>
          <w:rFonts w:ascii="Times New Roman" w:hAnsi="Times New Roman" w:cs="Times New Roman"/>
          <w:lang w:eastAsia="ar-SA"/>
        </w:rPr>
        <w:t>entre</w:t>
      </w:r>
      <w:r w:rsidRPr="00021501">
        <w:rPr>
          <w:rFonts w:ascii="Times New Roman" w:hAnsi="Times New Roman" w:cs="Times New Roman"/>
          <w:lang w:eastAsia="ar-SA"/>
        </w:rPr>
        <w:t xml:space="preserve"> los años son poco significativas, dando como resultado un promedio de edad de las personas condenadas por los tribunales penales de 34,1 años para el periodo de 2011 a 2015.</w:t>
      </w:r>
    </w:p>
    <w:p w:rsidR="00021501" w:rsidRPr="00021501" w:rsidRDefault="00021501" w:rsidP="00021501">
      <w:pPr>
        <w:jc w:val="center"/>
        <w:rPr>
          <w:rFonts w:ascii="Times New Roman" w:hAnsi="Times New Roman" w:cs="Times New Roman"/>
        </w:rPr>
      </w:pPr>
      <w:r w:rsidRPr="00021501">
        <w:rPr>
          <w:rFonts w:ascii="Times New Roman" w:hAnsi="Times New Roman" w:cs="Times New Roman"/>
          <w:noProof/>
          <w:lang w:val="es-CR" w:eastAsia="es-CR"/>
        </w:rPr>
        <w:lastRenderedPageBreak/>
        <w:drawing>
          <wp:inline distT="0" distB="0" distL="0" distR="0">
            <wp:extent cx="4725366" cy="2934032"/>
            <wp:effectExtent l="0" t="0" r="37465" b="38100"/>
            <wp:docPr id="93" name="Objeto 1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21501" w:rsidRPr="00021501" w:rsidRDefault="00021501" w:rsidP="00021501">
      <w:pPr>
        <w:jc w:val="center"/>
        <w:rPr>
          <w:rFonts w:ascii="Times New Roman" w:hAnsi="Times New Roman" w:cs="Times New Roman"/>
        </w:rPr>
      </w:pPr>
    </w:p>
    <w:p w:rsidR="00500B5C" w:rsidRDefault="00500B5C" w:rsidP="00021501">
      <w:pPr>
        <w:spacing w:line="360" w:lineRule="auto"/>
        <w:jc w:val="both"/>
        <w:rPr>
          <w:rFonts w:ascii="Times New Roman" w:hAnsi="Times New Roman" w:cs="Times New Roman"/>
        </w:rPr>
      </w:pPr>
    </w:p>
    <w:p w:rsidR="00021501" w:rsidRPr="00021501" w:rsidRDefault="00500B5C" w:rsidP="00021501">
      <w:pPr>
        <w:spacing w:line="360" w:lineRule="auto"/>
        <w:jc w:val="both"/>
        <w:rPr>
          <w:rFonts w:ascii="Times New Roman" w:hAnsi="Times New Roman" w:cs="Times New Roman"/>
        </w:rPr>
      </w:pPr>
      <w:r>
        <w:rPr>
          <w:rFonts w:ascii="Times New Roman" w:hAnsi="Times New Roman" w:cs="Times New Roman"/>
        </w:rPr>
        <w:t>La</w:t>
      </w:r>
      <w:r w:rsidR="00021501" w:rsidRPr="00021501">
        <w:rPr>
          <w:rFonts w:ascii="Times New Roman" w:hAnsi="Times New Roman" w:cs="Times New Roman"/>
        </w:rPr>
        <w:t xml:space="preserve"> distribución por edad de las personas condenadas presenta una asimetría positiva, ya que minoría de los datos se concentran en la “cola derecha” de la media aritmética de la </w:t>
      </w:r>
      <w:r w:rsidR="0079621E" w:rsidRPr="00021501">
        <w:rPr>
          <w:rFonts w:ascii="Times New Roman" w:hAnsi="Times New Roman" w:cs="Times New Roman"/>
        </w:rPr>
        <w:t>distribución, como</w:t>
      </w:r>
      <w:r w:rsidR="00021501" w:rsidRPr="00021501">
        <w:rPr>
          <w:rFonts w:ascii="Times New Roman" w:hAnsi="Times New Roman" w:cs="Times New Roman"/>
        </w:rPr>
        <w:t xml:space="preserve"> se puede constatar en la siguiente gráfica. Así el 69% de las personas condenadas tenían de 20 a 39 años cumplidos mientras que las personas condenadas con edades cumplidas de los 40 a los 59 años eran el 23% </w:t>
      </w:r>
    </w:p>
    <w:p w:rsidR="00021501" w:rsidRPr="00021501" w:rsidRDefault="00021501" w:rsidP="00021501">
      <w:pPr>
        <w:rPr>
          <w:rFonts w:ascii="Times New Roman" w:hAnsi="Times New Roman" w:cs="Times New Roman"/>
        </w:rPr>
      </w:pPr>
    </w:p>
    <w:p w:rsidR="00021501" w:rsidRPr="003B106A" w:rsidRDefault="00021501" w:rsidP="003B106A"/>
    <w:p w:rsidR="009030AD" w:rsidRPr="009030AD" w:rsidRDefault="00500B5C" w:rsidP="00500B5C">
      <w:pPr>
        <w:spacing w:line="360" w:lineRule="auto"/>
        <w:jc w:val="center"/>
        <w:rPr>
          <w:rFonts w:ascii="Times New Roman" w:hAnsi="Times New Roman" w:cs="Times New Roman"/>
        </w:rPr>
      </w:pPr>
      <w:r>
        <w:rPr>
          <w:rFonts w:ascii="Times New Roman" w:hAnsi="Times New Roman" w:cs="Times New Roman"/>
          <w:noProof/>
          <w:lang w:val="es-CR" w:eastAsia="es-CR"/>
        </w:rPr>
        <w:lastRenderedPageBreak/>
        <w:drawing>
          <wp:inline distT="0" distB="0" distL="0" distR="0">
            <wp:extent cx="4726001" cy="3172571"/>
            <wp:effectExtent l="0" t="0" r="36830" b="46990"/>
            <wp:docPr id="96" name="Objeto 1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030AD" w:rsidRDefault="009030AD" w:rsidP="009030AD">
      <w:pPr>
        <w:spacing w:line="360" w:lineRule="auto"/>
        <w:jc w:val="both"/>
        <w:rPr>
          <w:rFonts w:ascii="Times New Roman" w:hAnsi="Times New Roman" w:cs="Times New Roman"/>
        </w:rPr>
      </w:pPr>
    </w:p>
    <w:p w:rsidR="00BC1BC9" w:rsidRPr="009030AD" w:rsidRDefault="00BC1BC9" w:rsidP="009030AD">
      <w:pPr>
        <w:spacing w:line="360" w:lineRule="auto"/>
        <w:jc w:val="both"/>
        <w:rPr>
          <w:rFonts w:ascii="Times New Roman" w:hAnsi="Times New Roman" w:cs="Times New Roman"/>
        </w:rPr>
      </w:pPr>
    </w:p>
    <w:p w:rsidR="00BC1BC9" w:rsidRPr="00F97B7E" w:rsidRDefault="00BC1BC9" w:rsidP="00BC1BC9">
      <w:pPr>
        <w:pStyle w:val="Ttulo1"/>
        <w:widowControl/>
        <w:numPr>
          <w:ilvl w:val="0"/>
          <w:numId w:val="12"/>
        </w:numPr>
        <w:pBdr>
          <w:top w:val="single" w:sz="4" w:space="1" w:color="000000"/>
          <w:left w:val="single" w:sz="4" w:space="4" w:color="000000"/>
          <w:bottom w:val="single" w:sz="4" w:space="1" w:color="000000"/>
          <w:right w:val="single" w:sz="4" w:space="4" w:color="000000"/>
        </w:pBdr>
        <w:shd w:val="clear" w:color="auto" w:fill="000000"/>
        <w:tabs>
          <w:tab w:val="clear" w:pos="4680"/>
          <w:tab w:val="left" w:pos="360"/>
          <w:tab w:val="left" w:pos="720"/>
          <w:tab w:val="left" w:pos="900"/>
        </w:tabs>
        <w:suppressAutoHyphens/>
        <w:autoSpaceDE/>
        <w:autoSpaceDN/>
        <w:adjustRightInd/>
        <w:spacing w:line="480" w:lineRule="atLeast"/>
        <w:jc w:val="center"/>
        <w:rPr>
          <w:rFonts w:ascii="Times New Roman" w:hAnsi="Times New Roman" w:cs="Times New Roman"/>
          <w:i w:val="0"/>
          <w:color w:val="FFFFFF"/>
          <w:sz w:val="28"/>
          <w:szCs w:val="28"/>
          <w:lang w:eastAsia="ar-SA"/>
        </w:rPr>
      </w:pPr>
      <w:r w:rsidRPr="00F97B7E">
        <w:rPr>
          <w:rFonts w:ascii="Times New Roman" w:hAnsi="Times New Roman" w:cs="Times New Roman"/>
          <w:i w:val="0"/>
          <w:color w:val="FFFFFF"/>
          <w:sz w:val="28"/>
          <w:szCs w:val="28"/>
          <w:lang w:eastAsia="ar-SA"/>
        </w:rPr>
        <w:t>SEGURIDAD CIUDADANA</w:t>
      </w:r>
    </w:p>
    <w:p w:rsidR="00BC1BC9" w:rsidRPr="00A32AD0" w:rsidRDefault="00BC1BC9" w:rsidP="00BC1BC9">
      <w:pPr>
        <w:spacing w:line="360" w:lineRule="auto"/>
        <w:jc w:val="both"/>
        <w:rPr>
          <w:rFonts w:ascii="Times New Roman" w:hAnsi="Times New Roman" w:cs="Times New Roman"/>
          <w:color w:val="FFFFFF"/>
          <w:lang w:eastAsia="ar-SA"/>
        </w:rPr>
      </w:pPr>
    </w:p>
    <w:p w:rsidR="00BC1BC9" w:rsidRDefault="00BC1BC9" w:rsidP="00BC1BC9">
      <w:pPr>
        <w:spacing w:line="360" w:lineRule="auto"/>
        <w:jc w:val="both"/>
        <w:rPr>
          <w:rFonts w:ascii="Times New Roman" w:hAnsi="Times New Roman" w:cs="Times New Roman"/>
          <w:lang w:eastAsia="ar-SA"/>
        </w:rPr>
      </w:pPr>
      <w:r w:rsidRPr="00F97B7E">
        <w:rPr>
          <w:rFonts w:ascii="Times New Roman" w:hAnsi="Times New Roman" w:cs="Times New Roman"/>
          <w:lang w:eastAsia="ar-SA"/>
        </w:rPr>
        <w:t xml:space="preserve">Este campo temático </w:t>
      </w:r>
      <w:r>
        <w:rPr>
          <w:rFonts w:ascii="Times New Roman" w:hAnsi="Times New Roman" w:cs="Times New Roman"/>
          <w:lang w:eastAsia="ar-SA"/>
        </w:rPr>
        <w:t>abarca</w:t>
      </w:r>
      <w:r w:rsidRPr="00F97B7E">
        <w:rPr>
          <w:rFonts w:ascii="Times New Roman" w:hAnsi="Times New Roman" w:cs="Times New Roman"/>
          <w:lang w:eastAsia="ar-SA"/>
        </w:rPr>
        <w:t xml:space="preserve"> el desarrollo de diversos indicadores asociados con el tema de la seguridad ciudadana, </w:t>
      </w:r>
      <w:r>
        <w:rPr>
          <w:rFonts w:ascii="Times New Roman" w:hAnsi="Times New Roman" w:cs="Times New Roman"/>
          <w:lang w:eastAsia="ar-SA"/>
        </w:rPr>
        <w:t xml:space="preserve">los cuales se </w:t>
      </w:r>
      <w:r w:rsidRPr="00F97B7E">
        <w:rPr>
          <w:rFonts w:ascii="Times New Roman" w:hAnsi="Times New Roman" w:cs="Times New Roman"/>
          <w:lang w:eastAsia="ar-SA"/>
        </w:rPr>
        <w:t>analiza</w:t>
      </w:r>
      <w:r>
        <w:rPr>
          <w:rFonts w:ascii="Times New Roman" w:hAnsi="Times New Roman" w:cs="Times New Roman"/>
          <w:lang w:eastAsia="ar-SA"/>
        </w:rPr>
        <w:t>n</w:t>
      </w:r>
      <w:r w:rsidRPr="00F97B7E">
        <w:rPr>
          <w:rFonts w:ascii="Times New Roman" w:hAnsi="Times New Roman" w:cs="Times New Roman"/>
          <w:lang w:eastAsia="ar-SA"/>
        </w:rPr>
        <w:t xml:space="preserve"> desde una perspectiva social</w:t>
      </w:r>
      <w:r>
        <w:rPr>
          <w:rFonts w:ascii="Times New Roman" w:hAnsi="Times New Roman" w:cs="Times New Roman"/>
          <w:lang w:eastAsia="ar-SA"/>
        </w:rPr>
        <w:t>.</w:t>
      </w:r>
    </w:p>
    <w:p w:rsidR="00BC1BC9" w:rsidRDefault="00BC1BC9" w:rsidP="00BC1BC9">
      <w:pPr>
        <w:spacing w:line="360" w:lineRule="auto"/>
        <w:jc w:val="both"/>
        <w:rPr>
          <w:rFonts w:ascii="Times New Roman" w:hAnsi="Times New Roman" w:cs="Times New Roman"/>
          <w:lang w:eastAsia="ar-SA"/>
        </w:rPr>
      </w:pPr>
    </w:p>
    <w:p w:rsidR="00BC1BC9" w:rsidRPr="00F97B7E" w:rsidRDefault="00BC1BC9" w:rsidP="00BC1BC9">
      <w:pPr>
        <w:spacing w:line="360" w:lineRule="auto"/>
        <w:jc w:val="both"/>
        <w:rPr>
          <w:rFonts w:ascii="Times New Roman" w:hAnsi="Times New Roman" w:cs="Times New Roman"/>
          <w:lang w:eastAsia="ar-SA"/>
        </w:rPr>
      </w:pPr>
      <w:r>
        <w:rPr>
          <w:rFonts w:ascii="Times New Roman" w:hAnsi="Times New Roman" w:cs="Times New Roman"/>
          <w:lang w:eastAsia="ar-SA"/>
        </w:rPr>
        <w:t xml:space="preserve">Además, se </w:t>
      </w:r>
      <w:r w:rsidRPr="00F97B7E">
        <w:rPr>
          <w:rFonts w:ascii="Times New Roman" w:hAnsi="Times New Roman" w:cs="Times New Roman"/>
          <w:lang w:eastAsia="ar-SA"/>
        </w:rPr>
        <w:t xml:space="preserve">profundiza en </w:t>
      </w:r>
      <w:r>
        <w:rPr>
          <w:rFonts w:ascii="Times New Roman" w:hAnsi="Times New Roman" w:cs="Times New Roman"/>
          <w:lang w:eastAsia="ar-SA"/>
        </w:rPr>
        <w:t>sus</w:t>
      </w:r>
      <w:r w:rsidRPr="00F97B7E">
        <w:rPr>
          <w:rFonts w:ascii="Times New Roman" w:hAnsi="Times New Roman" w:cs="Times New Roman"/>
          <w:lang w:eastAsia="ar-SA"/>
        </w:rPr>
        <w:t xml:space="preserve"> variaci</w:t>
      </w:r>
      <w:r>
        <w:rPr>
          <w:rFonts w:ascii="Times New Roman" w:hAnsi="Times New Roman" w:cs="Times New Roman"/>
          <w:lang w:eastAsia="ar-SA"/>
        </w:rPr>
        <w:t>o</w:t>
      </w:r>
      <w:r w:rsidRPr="00F97B7E">
        <w:rPr>
          <w:rFonts w:ascii="Times New Roman" w:hAnsi="Times New Roman" w:cs="Times New Roman"/>
          <w:lang w:eastAsia="ar-SA"/>
        </w:rPr>
        <w:t>n</w:t>
      </w:r>
      <w:r>
        <w:rPr>
          <w:rFonts w:ascii="Times New Roman" w:hAnsi="Times New Roman" w:cs="Times New Roman"/>
          <w:lang w:eastAsia="ar-SA"/>
        </w:rPr>
        <w:t>es</w:t>
      </w:r>
      <w:r w:rsidRPr="00F97B7E">
        <w:rPr>
          <w:rFonts w:ascii="Times New Roman" w:hAnsi="Times New Roman" w:cs="Times New Roman"/>
          <w:lang w:eastAsia="ar-SA"/>
        </w:rPr>
        <w:t xml:space="preserve"> y </w:t>
      </w:r>
      <w:r>
        <w:rPr>
          <w:rFonts w:ascii="Times New Roman" w:hAnsi="Times New Roman" w:cs="Times New Roman"/>
          <w:lang w:eastAsia="ar-SA"/>
        </w:rPr>
        <w:t xml:space="preserve">en el </w:t>
      </w:r>
      <w:r w:rsidRPr="00F97B7E">
        <w:rPr>
          <w:rFonts w:ascii="Times New Roman" w:hAnsi="Times New Roman" w:cs="Times New Roman"/>
          <w:lang w:eastAsia="ar-SA"/>
        </w:rPr>
        <w:t xml:space="preserve">comportamiento </w:t>
      </w:r>
      <w:r>
        <w:rPr>
          <w:rFonts w:ascii="Times New Roman" w:hAnsi="Times New Roman" w:cs="Times New Roman"/>
          <w:lang w:eastAsia="ar-SA"/>
        </w:rPr>
        <w:t xml:space="preserve">expresado en </w:t>
      </w:r>
      <w:r w:rsidRPr="00F97B7E">
        <w:rPr>
          <w:rFonts w:ascii="Times New Roman" w:hAnsi="Times New Roman" w:cs="Times New Roman"/>
          <w:lang w:eastAsia="ar-SA"/>
        </w:rPr>
        <w:t>el tiempo</w:t>
      </w:r>
      <w:r>
        <w:rPr>
          <w:rFonts w:ascii="Times New Roman" w:hAnsi="Times New Roman" w:cs="Times New Roman"/>
          <w:lang w:eastAsia="ar-SA"/>
        </w:rPr>
        <w:t>, para efectos de</w:t>
      </w:r>
      <w:r w:rsidRPr="00F97B7E">
        <w:rPr>
          <w:rFonts w:ascii="Times New Roman" w:hAnsi="Times New Roman" w:cs="Times New Roman"/>
          <w:lang w:eastAsia="ar-SA"/>
        </w:rPr>
        <w:t xml:space="preserve"> consolidar una herramienta que permita la observación y </w:t>
      </w:r>
      <w:r>
        <w:rPr>
          <w:rFonts w:ascii="Times New Roman" w:hAnsi="Times New Roman" w:cs="Times New Roman"/>
          <w:lang w:eastAsia="ar-SA"/>
        </w:rPr>
        <w:t xml:space="preserve">la </w:t>
      </w:r>
      <w:r w:rsidRPr="00F97B7E">
        <w:rPr>
          <w:rFonts w:ascii="Times New Roman" w:hAnsi="Times New Roman" w:cs="Times New Roman"/>
          <w:lang w:eastAsia="ar-SA"/>
        </w:rPr>
        <w:t xml:space="preserve">medición de las principales causas asociadas </w:t>
      </w:r>
      <w:r>
        <w:rPr>
          <w:rFonts w:ascii="Times New Roman" w:hAnsi="Times New Roman" w:cs="Times New Roman"/>
          <w:lang w:eastAsia="ar-SA"/>
        </w:rPr>
        <w:t xml:space="preserve">con la </w:t>
      </w:r>
      <w:r w:rsidRPr="00F97B7E">
        <w:rPr>
          <w:rFonts w:ascii="Times New Roman" w:hAnsi="Times New Roman" w:cs="Times New Roman"/>
          <w:lang w:eastAsia="ar-SA"/>
        </w:rPr>
        <w:t>tem</w:t>
      </w:r>
      <w:r>
        <w:rPr>
          <w:rFonts w:ascii="Times New Roman" w:hAnsi="Times New Roman" w:cs="Times New Roman"/>
          <w:lang w:eastAsia="ar-SA"/>
        </w:rPr>
        <w:t>ática</w:t>
      </w:r>
      <w:r w:rsidRPr="00F97B7E">
        <w:rPr>
          <w:rFonts w:ascii="Times New Roman" w:hAnsi="Times New Roman" w:cs="Times New Roman"/>
          <w:lang w:eastAsia="ar-SA"/>
        </w:rPr>
        <w:t xml:space="preserve">. </w:t>
      </w:r>
    </w:p>
    <w:p w:rsidR="00BC1BC9" w:rsidRPr="00F97B7E" w:rsidRDefault="00BC1BC9" w:rsidP="00BC1BC9">
      <w:pPr>
        <w:spacing w:line="360" w:lineRule="auto"/>
        <w:jc w:val="both"/>
        <w:rPr>
          <w:rFonts w:ascii="Times New Roman" w:hAnsi="Times New Roman" w:cs="Times New Roman"/>
          <w:lang w:eastAsia="ar-SA"/>
        </w:rPr>
      </w:pPr>
    </w:p>
    <w:p w:rsidR="00BC1BC9" w:rsidRPr="00F97B7E" w:rsidRDefault="00BC1BC9" w:rsidP="00BC1BC9">
      <w:pPr>
        <w:pStyle w:val="Ttulo2"/>
        <w:keepNext w:val="0"/>
        <w:widowControl/>
        <w:numPr>
          <w:ilvl w:val="1"/>
          <w:numId w:val="8"/>
        </w:numPr>
        <w:autoSpaceDE/>
        <w:autoSpaceDN/>
        <w:adjustRightInd/>
        <w:spacing w:before="0" w:after="0" w:line="360" w:lineRule="auto"/>
        <w:ind w:right="45"/>
        <w:jc w:val="both"/>
        <w:rPr>
          <w:rFonts w:ascii="Times New Roman" w:hAnsi="Times New Roman" w:cs="Times New Roman"/>
          <w:i w:val="0"/>
          <w:sz w:val="24"/>
          <w:szCs w:val="24"/>
        </w:rPr>
      </w:pPr>
      <w:r w:rsidRPr="00F97B7E">
        <w:rPr>
          <w:rFonts w:ascii="Times New Roman" w:hAnsi="Times New Roman" w:cs="Times New Roman"/>
          <w:i w:val="0"/>
          <w:sz w:val="24"/>
          <w:szCs w:val="24"/>
        </w:rPr>
        <w:t>Tasa de Criminalidad</w:t>
      </w:r>
    </w:p>
    <w:p w:rsidR="00BC1BC9" w:rsidRPr="00F97B7E" w:rsidRDefault="00BC1BC9" w:rsidP="00BC1BC9">
      <w:pPr>
        <w:spacing w:line="360" w:lineRule="auto"/>
        <w:jc w:val="both"/>
        <w:rPr>
          <w:rFonts w:ascii="Times New Roman" w:hAnsi="Times New Roman" w:cs="Times New Roman"/>
          <w:b/>
        </w:rPr>
      </w:pPr>
    </w:p>
    <w:p w:rsidR="00BC1BC9" w:rsidRDefault="00BC1BC9" w:rsidP="00BC1BC9">
      <w:pPr>
        <w:pStyle w:val="Textoindependiente"/>
        <w:spacing w:line="360" w:lineRule="auto"/>
        <w:jc w:val="both"/>
        <w:rPr>
          <w:rFonts w:ascii="Times New Roman" w:hAnsi="Times New Roman" w:cs="Times New Roman"/>
          <w:sz w:val="24"/>
          <w:szCs w:val="24"/>
          <w:lang w:eastAsia="ar-SA"/>
        </w:rPr>
      </w:pPr>
      <w:r w:rsidRPr="00F97B7E">
        <w:rPr>
          <w:rFonts w:ascii="Times New Roman" w:hAnsi="Times New Roman" w:cs="Times New Roman"/>
          <w:sz w:val="24"/>
          <w:szCs w:val="24"/>
          <w:lang w:eastAsia="ar-SA"/>
        </w:rPr>
        <w:t xml:space="preserve">Para el cálculo de esta tasa se consideran aquellos delitos que atentan contra la integridad física de las personas, </w:t>
      </w:r>
      <w:r>
        <w:rPr>
          <w:rFonts w:ascii="Times New Roman" w:hAnsi="Times New Roman" w:cs="Times New Roman"/>
          <w:sz w:val="24"/>
          <w:szCs w:val="24"/>
          <w:lang w:eastAsia="ar-SA"/>
        </w:rPr>
        <w:t xml:space="preserve">tales </w:t>
      </w:r>
      <w:r w:rsidRPr="00F97B7E">
        <w:rPr>
          <w:rFonts w:ascii="Times New Roman" w:hAnsi="Times New Roman" w:cs="Times New Roman"/>
          <w:sz w:val="24"/>
          <w:szCs w:val="24"/>
          <w:lang w:eastAsia="ar-SA"/>
        </w:rPr>
        <w:t xml:space="preserve">como: homicidio doloso, tentativa de homicidio doloso, </w:t>
      </w:r>
      <w:proofErr w:type="spellStart"/>
      <w:r w:rsidRPr="00F97B7E">
        <w:rPr>
          <w:rFonts w:ascii="Times New Roman" w:hAnsi="Times New Roman" w:cs="Times New Roman"/>
          <w:sz w:val="24"/>
          <w:szCs w:val="24"/>
        </w:rPr>
        <w:t>femicidio</w:t>
      </w:r>
      <w:proofErr w:type="spellEnd"/>
      <w:r w:rsidRPr="00F97B7E">
        <w:rPr>
          <w:rFonts w:ascii="Times New Roman" w:hAnsi="Times New Roman" w:cs="Times New Roman"/>
          <w:sz w:val="24"/>
          <w:szCs w:val="24"/>
        </w:rPr>
        <w:t xml:space="preserve"> y tentativa de </w:t>
      </w:r>
      <w:proofErr w:type="spellStart"/>
      <w:r w:rsidRPr="00F97B7E">
        <w:rPr>
          <w:rFonts w:ascii="Times New Roman" w:hAnsi="Times New Roman" w:cs="Times New Roman"/>
          <w:sz w:val="24"/>
          <w:szCs w:val="24"/>
        </w:rPr>
        <w:t>femicidio</w:t>
      </w:r>
      <w:proofErr w:type="spellEnd"/>
      <w:r w:rsidRPr="00F97B7E">
        <w:rPr>
          <w:rFonts w:ascii="Times New Roman" w:hAnsi="Times New Roman" w:cs="Times New Roman"/>
          <w:sz w:val="24"/>
          <w:szCs w:val="24"/>
        </w:rPr>
        <w:t>,</w:t>
      </w:r>
      <w:r w:rsidRPr="00F97B7E">
        <w:rPr>
          <w:rFonts w:ascii="Times New Roman" w:hAnsi="Times New Roman" w:cs="Times New Roman"/>
          <w:sz w:val="24"/>
          <w:szCs w:val="24"/>
          <w:lang w:eastAsia="ar-SA"/>
        </w:rPr>
        <w:t xml:space="preserve"> violación, abuso sexual (a persona mayor o menor), secuestro extorsivo, </w:t>
      </w:r>
      <w:r w:rsidRPr="00F97B7E">
        <w:rPr>
          <w:rFonts w:ascii="Times New Roman" w:hAnsi="Times New Roman" w:cs="Times New Roman"/>
          <w:sz w:val="24"/>
          <w:szCs w:val="24"/>
          <w:lang w:eastAsia="ar-SA"/>
        </w:rPr>
        <w:lastRenderedPageBreak/>
        <w:t xml:space="preserve">tentativa de violación, trata de personas, rapto y relación sexual con </w:t>
      </w:r>
      <w:r>
        <w:rPr>
          <w:rFonts w:ascii="Times New Roman" w:hAnsi="Times New Roman" w:cs="Times New Roman"/>
          <w:sz w:val="24"/>
          <w:szCs w:val="24"/>
          <w:lang w:eastAsia="ar-SA"/>
        </w:rPr>
        <w:t xml:space="preserve">personas </w:t>
      </w:r>
      <w:r w:rsidRPr="00F97B7E">
        <w:rPr>
          <w:rFonts w:ascii="Times New Roman" w:hAnsi="Times New Roman" w:cs="Times New Roman"/>
          <w:sz w:val="24"/>
          <w:szCs w:val="24"/>
          <w:lang w:eastAsia="ar-SA"/>
        </w:rPr>
        <w:t>menor</w:t>
      </w:r>
      <w:r>
        <w:rPr>
          <w:rFonts w:ascii="Times New Roman" w:hAnsi="Times New Roman" w:cs="Times New Roman"/>
          <w:sz w:val="24"/>
          <w:szCs w:val="24"/>
          <w:lang w:eastAsia="ar-SA"/>
        </w:rPr>
        <w:t>es</w:t>
      </w:r>
      <w:r w:rsidRPr="00F97B7E">
        <w:rPr>
          <w:rFonts w:ascii="Times New Roman" w:hAnsi="Times New Roman" w:cs="Times New Roman"/>
          <w:sz w:val="24"/>
          <w:szCs w:val="24"/>
          <w:lang w:eastAsia="ar-SA"/>
        </w:rPr>
        <w:t xml:space="preserve"> de edad.</w:t>
      </w:r>
    </w:p>
    <w:p w:rsidR="00BC1BC9" w:rsidRPr="00F97B7E" w:rsidRDefault="00BC1BC9" w:rsidP="00BC1BC9">
      <w:pPr>
        <w:pStyle w:val="Textoindependiente"/>
        <w:spacing w:line="360" w:lineRule="auto"/>
        <w:jc w:val="both"/>
        <w:rPr>
          <w:rFonts w:ascii="Times New Roman" w:hAnsi="Times New Roman" w:cs="Times New Roman"/>
          <w:sz w:val="24"/>
          <w:szCs w:val="24"/>
          <w:lang w:eastAsia="ar-SA"/>
        </w:rPr>
      </w:pPr>
    </w:p>
    <w:p w:rsidR="00BC1BC9" w:rsidRDefault="00BC1BC9" w:rsidP="00BC1BC9">
      <w:pPr>
        <w:spacing w:line="360" w:lineRule="auto"/>
        <w:jc w:val="center"/>
        <w:rPr>
          <w:rFonts w:ascii="Times New Roman" w:hAnsi="Times New Roman" w:cs="Times New Roman"/>
          <w:lang w:eastAsia="ar-SA"/>
        </w:rPr>
      </w:pPr>
      <w:r>
        <w:rPr>
          <w:rFonts w:ascii="Times New Roman" w:hAnsi="Times New Roman" w:cs="Times New Roman"/>
          <w:noProof/>
          <w:lang w:val="es-CR" w:eastAsia="es-CR"/>
        </w:rPr>
        <w:drawing>
          <wp:inline distT="0" distB="0" distL="0" distR="0">
            <wp:extent cx="4933950" cy="3200400"/>
            <wp:effectExtent l="0" t="0" r="38100" b="38100"/>
            <wp:docPr id="97" name="Objeto 1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BC1BC9" w:rsidRDefault="00BC1BC9" w:rsidP="00BC1BC9">
      <w:pPr>
        <w:spacing w:line="360" w:lineRule="auto"/>
        <w:jc w:val="both"/>
        <w:rPr>
          <w:rFonts w:ascii="Times New Roman" w:hAnsi="Times New Roman" w:cs="Times New Roman"/>
          <w:lang w:eastAsia="ar-SA"/>
        </w:rPr>
      </w:pPr>
    </w:p>
    <w:p w:rsidR="00BC1BC9" w:rsidRDefault="00BC1BC9" w:rsidP="00BC1BC9">
      <w:pPr>
        <w:spacing w:line="360" w:lineRule="auto"/>
        <w:jc w:val="both"/>
        <w:rPr>
          <w:rFonts w:ascii="Times New Roman" w:hAnsi="Times New Roman" w:cs="Times New Roman"/>
        </w:rPr>
      </w:pPr>
      <w:r>
        <w:rPr>
          <w:rFonts w:ascii="Times New Roman" w:hAnsi="Times New Roman" w:cs="Times New Roman"/>
        </w:rPr>
        <w:t xml:space="preserve">La información contenida en </w:t>
      </w:r>
      <w:r w:rsidRPr="00F97B7E">
        <w:rPr>
          <w:rFonts w:ascii="Times New Roman" w:hAnsi="Times New Roman" w:cs="Times New Roman"/>
        </w:rPr>
        <w:t>el gráfico anterior</w:t>
      </w:r>
      <w:r>
        <w:rPr>
          <w:rFonts w:ascii="Times New Roman" w:hAnsi="Times New Roman" w:cs="Times New Roman"/>
        </w:rPr>
        <w:t xml:space="preserve"> se observa la tercera baja anual consecutiva, así como una tendencia hacia la estabilización, considerando las pequeñas variaciones reflejadas por este indicador en el último bienio, llegando a unas 148 víctimas por cada 100.000 habitantes, en esta oportunidad. </w:t>
      </w:r>
    </w:p>
    <w:p w:rsidR="00BC1BC9" w:rsidRDefault="00BC1BC9" w:rsidP="00BC1BC9">
      <w:pPr>
        <w:spacing w:line="360" w:lineRule="auto"/>
        <w:jc w:val="both"/>
        <w:rPr>
          <w:rFonts w:ascii="Times New Roman" w:hAnsi="Times New Roman" w:cs="Times New Roman"/>
          <w:lang w:eastAsia="ar-SA"/>
        </w:rPr>
      </w:pPr>
    </w:p>
    <w:p w:rsidR="00BC1BC9" w:rsidRDefault="00BC1BC9" w:rsidP="00BC1BC9">
      <w:pPr>
        <w:spacing w:line="360" w:lineRule="auto"/>
        <w:jc w:val="both"/>
        <w:rPr>
          <w:rFonts w:ascii="Times New Roman" w:hAnsi="Times New Roman" w:cs="Times New Roman"/>
          <w:lang w:eastAsia="ar-SA"/>
        </w:rPr>
      </w:pPr>
      <w:r>
        <w:rPr>
          <w:rFonts w:ascii="Times New Roman" w:hAnsi="Times New Roman" w:cs="Times New Roman"/>
          <w:lang w:eastAsia="ar-SA"/>
        </w:rPr>
        <w:t xml:space="preserve">No obstante, se debe advertir que para este cálculo se excluyen los registros asociados a delitos por robos, </w:t>
      </w:r>
      <w:r w:rsidRPr="00F97B7E">
        <w:rPr>
          <w:rFonts w:ascii="Times New Roman" w:hAnsi="Times New Roman" w:cs="Times New Roman"/>
        </w:rPr>
        <w:t>hurto</w:t>
      </w:r>
      <w:r>
        <w:rPr>
          <w:rFonts w:ascii="Times New Roman" w:hAnsi="Times New Roman" w:cs="Times New Roman"/>
        </w:rPr>
        <w:t>s,</w:t>
      </w:r>
      <w:r w:rsidRPr="00F97B7E">
        <w:rPr>
          <w:rFonts w:ascii="Times New Roman" w:hAnsi="Times New Roman" w:cs="Times New Roman"/>
        </w:rPr>
        <w:t xml:space="preserve"> hurto</w:t>
      </w:r>
      <w:r>
        <w:rPr>
          <w:rFonts w:ascii="Times New Roman" w:hAnsi="Times New Roman" w:cs="Times New Roman"/>
        </w:rPr>
        <w:t>s</w:t>
      </w:r>
      <w:r w:rsidRPr="00F97B7E">
        <w:rPr>
          <w:rFonts w:ascii="Times New Roman" w:hAnsi="Times New Roman" w:cs="Times New Roman"/>
        </w:rPr>
        <w:t xml:space="preserve"> de ganado, estafas, extorsión, proxenetismo, tráfico y venta de droga y legitimación de capital</w:t>
      </w:r>
      <w:r>
        <w:rPr>
          <w:rFonts w:ascii="Times New Roman" w:hAnsi="Times New Roman" w:cs="Times New Roman"/>
        </w:rPr>
        <w:t xml:space="preserve">, por cuanto se </w:t>
      </w:r>
      <w:r>
        <w:rPr>
          <w:rFonts w:ascii="Times New Roman" w:hAnsi="Times New Roman" w:cs="Times New Roman"/>
          <w:lang w:eastAsia="ar-SA"/>
        </w:rPr>
        <w:t>consideran más adelante en la tasa de delincuencia, dado el perjuicio económico o material contra las víctimas.</w:t>
      </w:r>
    </w:p>
    <w:p w:rsidR="00BC1BC9" w:rsidRPr="00F97B7E" w:rsidRDefault="00BC1BC9" w:rsidP="00BC1BC9">
      <w:pPr>
        <w:pStyle w:val="Ttulo2"/>
        <w:rPr>
          <w:rFonts w:ascii="Times New Roman" w:hAnsi="Times New Roman" w:cs="Times New Roman"/>
          <w:i w:val="0"/>
          <w:sz w:val="24"/>
          <w:szCs w:val="24"/>
        </w:rPr>
      </w:pPr>
      <w:r w:rsidRPr="00F97B7E">
        <w:rPr>
          <w:rFonts w:ascii="Times New Roman" w:hAnsi="Times New Roman" w:cs="Times New Roman"/>
          <w:i w:val="0"/>
          <w:sz w:val="24"/>
          <w:szCs w:val="24"/>
        </w:rPr>
        <w:t>8.2 Tasa  de víctimas por homicidio doloso</w:t>
      </w:r>
    </w:p>
    <w:p w:rsidR="00BC1BC9" w:rsidRPr="00F97B7E" w:rsidRDefault="00BC1BC9" w:rsidP="00BC1BC9">
      <w:pPr>
        <w:spacing w:line="360" w:lineRule="auto"/>
        <w:rPr>
          <w:rFonts w:ascii="Times New Roman" w:hAnsi="Times New Roman" w:cs="Times New Roman"/>
        </w:rPr>
      </w:pPr>
    </w:p>
    <w:p w:rsidR="00BC1BC9" w:rsidRDefault="00BC1BC9" w:rsidP="00BC1BC9">
      <w:pPr>
        <w:spacing w:line="360" w:lineRule="auto"/>
        <w:jc w:val="both"/>
        <w:rPr>
          <w:rFonts w:ascii="Times New Roman" w:hAnsi="Times New Roman" w:cs="Times New Roman"/>
        </w:rPr>
      </w:pPr>
      <w:r>
        <w:rPr>
          <w:rFonts w:ascii="Times New Roman" w:hAnsi="Times New Roman" w:cs="Times New Roman"/>
        </w:rPr>
        <w:t>L</w:t>
      </w:r>
      <w:r w:rsidRPr="00F97B7E">
        <w:rPr>
          <w:rFonts w:ascii="Times New Roman" w:hAnsi="Times New Roman" w:cs="Times New Roman"/>
        </w:rPr>
        <w:t xml:space="preserve">a tasa de víctimas de homicidio doloso </w:t>
      </w:r>
      <w:r>
        <w:rPr>
          <w:rFonts w:ascii="Times New Roman" w:hAnsi="Times New Roman" w:cs="Times New Roman"/>
        </w:rPr>
        <w:t>resultó</w:t>
      </w:r>
      <w:r w:rsidRPr="00F97B7E">
        <w:rPr>
          <w:rFonts w:ascii="Times New Roman" w:hAnsi="Times New Roman" w:cs="Times New Roman"/>
        </w:rPr>
        <w:t xml:space="preserve"> de </w:t>
      </w:r>
      <w:r>
        <w:rPr>
          <w:rFonts w:ascii="Times New Roman" w:hAnsi="Times New Roman" w:cs="Times New Roman"/>
        </w:rPr>
        <w:t>11,5</w:t>
      </w:r>
      <w:r w:rsidRPr="00F97B7E">
        <w:rPr>
          <w:rFonts w:ascii="Times New Roman" w:hAnsi="Times New Roman" w:cs="Times New Roman"/>
        </w:rPr>
        <w:t xml:space="preserve"> por cada cien mil habitantes</w:t>
      </w:r>
      <w:r>
        <w:rPr>
          <w:rFonts w:ascii="Times New Roman" w:hAnsi="Times New Roman" w:cs="Times New Roman"/>
        </w:rPr>
        <w:t xml:space="preserve"> para el 2015, reflejando así su segundo repunte anual sucesivo.   </w:t>
      </w:r>
    </w:p>
    <w:p w:rsidR="00BC1BC9" w:rsidRDefault="00BC1BC9" w:rsidP="00BC1BC9">
      <w:pPr>
        <w:spacing w:line="360" w:lineRule="auto"/>
        <w:jc w:val="both"/>
        <w:rPr>
          <w:rFonts w:ascii="Times New Roman" w:hAnsi="Times New Roman" w:cs="Times New Roman"/>
        </w:rPr>
      </w:pPr>
    </w:p>
    <w:p w:rsidR="00BC1BC9" w:rsidRPr="00F97B7E" w:rsidRDefault="00BC1BC9" w:rsidP="00BC1BC9">
      <w:pPr>
        <w:spacing w:line="360" w:lineRule="auto"/>
        <w:jc w:val="center"/>
        <w:rPr>
          <w:rFonts w:ascii="Times New Roman" w:hAnsi="Times New Roman" w:cs="Times New Roman"/>
        </w:rPr>
      </w:pPr>
      <w:r>
        <w:rPr>
          <w:rFonts w:ascii="Times New Roman" w:hAnsi="Times New Roman" w:cs="Times New Roman"/>
          <w:noProof/>
          <w:lang w:val="es-CR" w:eastAsia="es-CR"/>
        </w:rPr>
        <w:drawing>
          <wp:inline distT="0" distB="0" distL="0" distR="0">
            <wp:extent cx="5048250" cy="3181350"/>
            <wp:effectExtent l="0" t="0" r="38100" b="38100"/>
            <wp:docPr id="98" name="Objet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C1BC9" w:rsidRDefault="00BC1BC9" w:rsidP="00BC1BC9">
      <w:pPr>
        <w:spacing w:line="360" w:lineRule="auto"/>
        <w:ind w:hanging="3"/>
        <w:jc w:val="both"/>
        <w:rPr>
          <w:rFonts w:ascii="Times New Roman" w:hAnsi="Times New Roman" w:cs="Times New Roman"/>
        </w:rPr>
      </w:pPr>
    </w:p>
    <w:p w:rsidR="00BC1BC9" w:rsidRDefault="00BC1BC9" w:rsidP="00BC1BC9">
      <w:pPr>
        <w:spacing w:line="360" w:lineRule="auto"/>
        <w:ind w:hanging="3"/>
        <w:jc w:val="both"/>
        <w:rPr>
          <w:rFonts w:ascii="Times New Roman" w:hAnsi="Times New Roman" w:cs="Times New Roman"/>
        </w:rPr>
      </w:pPr>
    </w:p>
    <w:p w:rsidR="00BC1BC9" w:rsidRDefault="00BC1BC9" w:rsidP="00BC1BC9">
      <w:pPr>
        <w:spacing w:line="360" w:lineRule="auto"/>
        <w:ind w:hanging="3"/>
        <w:jc w:val="both"/>
        <w:rPr>
          <w:rFonts w:ascii="Times New Roman" w:hAnsi="Times New Roman" w:cs="Times New Roman"/>
        </w:rPr>
      </w:pPr>
      <w:r>
        <w:rPr>
          <w:rFonts w:ascii="Times New Roman" w:hAnsi="Times New Roman" w:cs="Times New Roman"/>
        </w:rPr>
        <w:t xml:space="preserve">Por consiguiente, </w:t>
      </w:r>
      <w:proofErr w:type="spellStart"/>
      <w:r>
        <w:rPr>
          <w:rFonts w:ascii="Times New Roman" w:hAnsi="Times New Roman" w:cs="Times New Roman"/>
        </w:rPr>
        <w:t>elcomportamiento</w:t>
      </w:r>
      <w:proofErr w:type="spellEnd"/>
      <w:r>
        <w:rPr>
          <w:rFonts w:ascii="Times New Roman" w:hAnsi="Times New Roman" w:cs="Times New Roman"/>
        </w:rPr>
        <w:t xml:space="preserve"> de este </w:t>
      </w:r>
      <w:r w:rsidRPr="00F97B7E">
        <w:rPr>
          <w:rFonts w:ascii="Times New Roman" w:hAnsi="Times New Roman" w:cs="Times New Roman"/>
        </w:rPr>
        <w:t xml:space="preserve">indicador sugiere un deterioro en los valores y en la conducta social de los individuos, donde </w:t>
      </w:r>
      <w:r>
        <w:rPr>
          <w:rFonts w:ascii="Times New Roman" w:hAnsi="Times New Roman" w:cs="Times New Roman"/>
        </w:rPr>
        <w:t xml:space="preserve">los </w:t>
      </w:r>
      <w:r w:rsidRPr="00F97B7E">
        <w:rPr>
          <w:rFonts w:ascii="Times New Roman" w:hAnsi="Times New Roman" w:cs="Times New Roman"/>
        </w:rPr>
        <w:t>problemas por droga</w:t>
      </w:r>
      <w:r>
        <w:rPr>
          <w:rFonts w:ascii="Times New Roman" w:hAnsi="Times New Roman" w:cs="Times New Roman"/>
        </w:rPr>
        <w:t>s</w:t>
      </w:r>
      <w:r w:rsidRPr="00F97B7E">
        <w:rPr>
          <w:rFonts w:ascii="Times New Roman" w:hAnsi="Times New Roman" w:cs="Times New Roman"/>
        </w:rPr>
        <w:t xml:space="preserve"> y </w:t>
      </w:r>
      <w:r>
        <w:rPr>
          <w:rFonts w:ascii="Times New Roman" w:hAnsi="Times New Roman" w:cs="Times New Roman"/>
        </w:rPr>
        <w:t xml:space="preserve">por </w:t>
      </w:r>
      <w:r w:rsidRPr="00F97B7E">
        <w:rPr>
          <w:rFonts w:ascii="Times New Roman" w:hAnsi="Times New Roman" w:cs="Times New Roman"/>
        </w:rPr>
        <w:t xml:space="preserve">venganzas </w:t>
      </w:r>
      <w:r>
        <w:rPr>
          <w:rFonts w:ascii="Times New Roman" w:hAnsi="Times New Roman" w:cs="Times New Roman"/>
        </w:rPr>
        <w:t xml:space="preserve">se </w:t>
      </w:r>
      <w:r w:rsidRPr="00F97B7E">
        <w:rPr>
          <w:rFonts w:ascii="Times New Roman" w:hAnsi="Times New Roman" w:cs="Times New Roman"/>
        </w:rPr>
        <w:t xml:space="preserve">constituyen </w:t>
      </w:r>
      <w:r>
        <w:rPr>
          <w:rFonts w:ascii="Times New Roman" w:hAnsi="Times New Roman" w:cs="Times New Roman"/>
        </w:rPr>
        <w:t xml:space="preserve">en las </w:t>
      </w:r>
      <w:proofErr w:type="spellStart"/>
      <w:r>
        <w:rPr>
          <w:rFonts w:ascii="Times New Roman" w:hAnsi="Times New Roman" w:cs="Times New Roman"/>
        </w:rPr>
        <w:t>circustancia</w:t>
      </w:r>
      <w:proofErr w:type="spellEnd"/>
      <w:r w:rsidRPr="00F97B7E">
        <w:rPr>
          <w:rFonts w:ascii="Times New Roman" w:hAnsi="Times New Roman" w:cs="Times New Roman"/>
        </w:rPr>
        <w:t xml:space="preserve"> de mayor relevancia</w:t>
      </w:r>
      <w:r>
        <w:rPr>
          <w:rFonts w:ascii="Times New Roman" w:hAnsi="Times New Roman" w:cs="Times New Roman"/>
        </w:rPr>
        <w:t xml:space="preserve">. </w:t>
      </w:r>
    </w:p>
    <w:p w:rsidR="00BC1BC9" w:rsidRDefault="00BC1BC9" w:rsidP="00BC1BC9">
      <w:pPr>
        <w:spacing w:line="360" w:lineRule="auto"/>
        <w:ind w:hanging="3"/>
        <w:jc w:val="both"/>
        <w:rPr>
          <w:rFonts w:ascii="Times New Roman" w:hAnsi="Times New Roman" w:cs="Times New Roman"/>
        </w:rPr>
      </w:pPr>
    </w:p>
    <w:p w:rsidR="00BC1BC9" w:rsidRPr="00F97B7E" w:rsidRDefault="00BC1BC9" w:rsidP="00BC1BC9">
      <w:pPr>
        <w:pStyle w:val="Ttulo2"/>
        <w:rPr>
          <w:rFonts w:ascii="Times New Roman" w:hAnsi="Times New Roman" w:cs="Times New Roman"/>
          <w:i w:val="0"/>
          <w:sz w:val="24"/>
          <w:szCs w:val="24"/>
        </w:rPr>
      </w:pPr>
      <w:r w:rsidRPr="00F97B7E">
        <w:rPr>
          <w:rFonts w:ascii="Times New Roman" w:hAnsi="Times New Roman" w:cs="Times New Roman"/>
          <w:i w:val="0"/>
          <w:sz w:val="24"/>
          <w:szCs w:val="24"/>
        </w:rPr>
        <w:t>8.3    Tasa de víctimas de secuestro extorsivo</w:t>
      </w:r>
    </w:p>
    <w:p w:rsidR="00BC1BC9" w:rsidRPr="00F97B7E" w:rsidRDefault="00BC1BC9" w:rsidP="00BC1BC9">
      <w:pPr>
        <w:rPr>
          <w:rFonts w:ascii="Times New Roman" w:hAnsi="Times New Roman" w:cs="Times New Roman"/>
        </w:rPr>
      </w:pPr>
    </w:p>
    <w:p w:rsidR="00BC1BC9" w:rsidRDefault="00BC1BC9" w:rsidP="00BC1BC9">
      <w:pPr>
        <w:spacing w:line="360" w:lineRule="auto"/>
        <w:jc w:val="both"/>
        <w:rPr>
          <w:rFonts w:ascii="Times New Roman" w:hAnsi="Times New Roman" w:cs="Times New Roman"/>
        </w:rPr>
      </w:pPr>
      <w:r w:rsidRPr="00F97B7E">
        <w:rPr>
          <w:rFonts w:ascii="Times New Roman" w:hAnsi="Times New Roman" w:cs="Times New Roman"/>
        </w:rPr>
        <w:t xml:space="preserve">Este indicador se refiere </w:t>
      </w:r>
      <w:proofErr w:type="spellStart"/>
      <w:r w:rsidRPr="00F97B7E">
        <w:rPr>
          <w:rFonts w:ascii="Times New Roman" w:hAnsi="Times New Roman" w:cs="Times New Roman"/>
        </w:rPr>
        <w:t>a</w:t>
      </w:r>
      <w:r>
        <w:rPr>
          <w:rFonts w:ascii="Times New Roman" w:hAnsi="Times New Roman" w:cs="Times New Roman"/>
        </w:rPr>
        <w:t>lnúmero</w:t>
      </w:r>
      <w:proofErr w:type="spellEnd"/>
      <w:r w:rsidRPr="00F97B7E">
        <w:rPr>
          <w:rFonts w:ascii="Times New Roman" w:hAnsi="Times New Roman" w:cs="Times New Roman"/>
        </w:rPr>
        <w:t xml:space="preserve"> de personas secuestradas en </w:t>
      </w:r>
      <w:r>
        <w:rPr>
          <w:rFonts w:ascii="Times New Roman" w:hAnsi="Times New Roman" w:cs="Times New Roman"/>
        </w:rPr>
        <w:t xml:space="preserve">el </w:t>
      </w:r>
      <w:r w:rsidRPr="00F97B7E">
        <w:rPr>
          <w:rFonts w:ascii="Times New Roman" w:hAnsi="Times New Roman" w:cs="Times New Roman"/>
        </w:rPr>
        <w:t xml:space="preserve">territorio </w:t>
      </w:r>
      <w:proofErr w:type="spellStart"/>
      <w:r w:rsidRPr="00F97B7E">
        <w:rPr>
          <w:rFonts w:ascii="Times New Roman" w:hAnsi="Times New Roman" w:cs="Times New Roman"/>
        </w:rPr>
        <w:t>nacional</w:t>
      </w:r>
      <w:proofErr w:type="gramStart"/>
      <w:r>
        <w:rPr>
          <w:rFonts w:ascii="Times New Roman" w:hAnsi="Times New Roman" w:cs="Times New Roman"/>
        </w:rPr>
        <w:t>,con</w:t>
      </w:r>
      <w:proofErr w:type="spellEnd"/>
      <w:proofErr w:type="gramEnd"/>
      <w:r>
        <w:rPr>
          <w:rFonts w:ascii="Times New Roman" w:hAnsi="Times New Roman" w:cs="Times New Roman"/>
        </w:rPr>
        <w:t xml:space="preserve"> relación a </w:t>
      </w:r>
      <w:r w:rsidRPr="00F97B7E">
        <w:rPr>
          <w:rFonts w:ascii="Times New Roman" w:hAnsi="Times New Roman" w:cs="Times New Roman"/>
        </w:rPr>
        <w:t>la población</w:t>
      </w:r>
      <w:r>
        <w:rPr>
          <w:rFonts w:ascii="Times New Roman" w:hAnsi="Times New Roman" w:cs="Times New Roman"/>
        </w:rPr>
        <w:t xml:space="preserve"> total. </w:t>
      </w:r>
    </w:p>
    <w:p w:rsidR="00BC1BC9" w:rsidRDefault="00BC1BC9" w:rsidP="00BC1BC9">
      <w:pPr>
        <w:spacing w:line="360" w:lineRule="auto"/>
        <w:jc w:val="both"/>
        <w:rPr>
          <w:rFonts w:ascii="Times New Roman" w:hAnsi="Times New Roman" w:cs="Times New Roman"/>
        </w:rPr>
      </w:pPr>
    </w:p>
    <w:p w:rsidR="00BC1BC9" w:rsidRDefault="00BC1BC9" w:rsidP="00BC1BC9">
      <w:pPr>
        <w:spacing w:line="360" w:lineRule="auto"/>
        <w:jc w:val="both"/>
        <w:rPr>
          <w:rFonts w:ascii="Times New Roman" w:hAnsi="Times New Roman" w:cs="Times New Roman"/>
        </w:rPr>
      </w:pPr>
      <w:r>
        <w:rPr>
          <w:rFonts w:ascii="Times New Roman" w:hAnsi="Times New Roman" w:cs="Times New Roman"/>
        </w:rPr>
        <w:t>Los</w:t>
      </w:r>
      <w:r w:rsidRPr="00F97B7E">
        <w:rPr>
          <w:rFonts w:ascii="Times New Roman" w:hAnsi="Times New Roman" w:cs="Times New Roman"/>
        </w:rPr>
        <w:t xml:space="preserve"> resultado</w:t>
      </w:r>
      <w:r>
        <w:rPr>
          <w:rFonts w:ascii="Times New Roman" w:hAnsi="Times New Roman" w:cs="Times New Roman"/>
        </w:rPr>
        <w:t>s</w:t>
      </w:r>
      <w:r w:rsidRPr="00F97B7E">
        <w:rPr>
          <w:rFonts w:ascii="Times New Roman" w:hAnsi="Times New Roman" w:cs="Times New Roman"/>
        </w:rPr>
        <w:t xml:space="preserve"> </w:t>
      </w:r>
      <w:proofErr w:type="spellStart"/>
      <w:r w:rsidRPr="00F97B7E">
        <w:rPr>
          <w:rFonts w:ascii="Times New Roman" w:hAnsi="Times New Roman" w:cs="Times New Roman"/>
        </w:rPr>
        <w:t>obtenido</w:t>
      </w:r>
      <w:r>
        <w:rPr>
          <w:rFonts w:ascii="Times New Roman" w:hAnsi="Times New Roman" w:cs="Times New Roman"/>
        </w:rPr>
        <w:t>spara</w:t>
      </w:r>
      <w:proofErr w:type="spellEnd"/>
      <w:r w:rsidRPr="00F97B7E">
        <w:rPr>
          <w:rFonts w:ascii="Times New Roman" w:hAnsi="Times New Roman" w:cs="Times New Roman"/>
        </w:rPr>
        <w:t xml:space="preserve"> esta relación </w:t>
      </w:r>
      <w:r>
        <w:rPr>
          <w:rFonts w:ascii="Times New Roman" w:hAnsi="Times New Roman" w:cs="Times New Roman"/>
        </w:rPr>
        <w:t>durante</w:t>
      </w:r>
      <w:r w:rsidRPr="00F97B7E">
        <w:rPr>
          <w:rFonts w:ascii="Times New Roman" w:hAnsi="Times New Roman" w:cs="Times New Roman"/>
        </w:rPr>
        <w:t xml:space="preserve"> el último quinquenio</w:t>
      </w:r>
      <w:r>
        <w:rPr>
          <w:rFonts w:ascii="Times New Roman" w:hAnsi="Times New Roman" w:cs="Times New Roman"/>
        </w:rPr>
        <w:t xml:space="preserve"> determinan una evolución fluctuante, con un importante incremento en la actualidad al llegar a 0,23, lo cual implica un</w:t>
      </w:r>
      <w:r w:rsidRPr="00F97B7E">
        <w:rPr>
          <w:rFonts w:ascii="Times New Roman" w:hAnsi="Times New Roman" w:cs="Times New Roman"/>
        </w:rPr>
        <w:t xml:space="preserve"> valor </w:t>
      </w:r>
      <w:r>
        <w:rPr>
          <w:rFonts w:ascii="Times New Roman" w:hAnsi="Times New Roman" w:cs="Times New Roman"/>
        </w:rPr>
        <w:t>inferior a</w:t>
      </w:r>
      <w:r w:rsidRPr="00F97B7E">
        <w:rPr>
          <w:rFonts w:ascii="Times New Roman" w:hAnsi="Times New Roman" w:cs="Times New Roman"/>
        </w:rPr>
        <w:t xml:space="preserve"> una víctima por </w:t>
      </w:r>
      <w:r>
        <w:rPr>
          <w:rFonts w:ascii="Times New Roman" w:hAnsi="Times New Roman" w:cs="Times New Roman"/>
        </w:rPr>
        <w:t xml:space="preserve">cada </w:t>
      </w:r>
      <w:r w:rsidRPr="00F97B7E">
        <w:rPr>
          <w:rFonts w:ascii="Times New Roman" w:hAnsi="Times New Roman" w:cs="Times New Roman"/>
        </w:rPr>
        <w:t xml:space="preserve">cien mil habitantes, </w:t>
      </w:r>
      <w:r>
        <w:rPr>
          <w:rFonts w:ascii="Times New Roman" w:hAnsi="Times New Roman" w:cs="Times New Roman"/>
        </w:rPr>
        <w:t xml:space="preserve">siendo estos cocientes, por fortuna, sumamente bajos.   </w:t>
      </w:r>
    </w:p>
    <w:p w:rsidR="00BC1BC9" w:rsidRDefault="00BC1BC9" w:rsidP="00BC1BC9">
      <w:pPr>
        <w:spacing w:line="360" w:lineRule="auto"/>
        <w:jc w:val="both"/>
        <w:rPr>
          <w:rFonts w:ascii="Times New Roman" w:hAnsi="Times New Roman" w:cs="Times New Roman"/>
        </w:rPr>
      </w:pPr>
    </w:p>
    <w:p w:rsidR="00BC1BC9" w:rsidRPr="00F97B7E" w:rsidRDefault="00BC1BC9" w:rsidP="00BC1BC9">
      <w:pPr>
        <w:jc w:val="center"/>
        <w:rPr>
          <w:rFonts w:ascii="Times New Roman" w:hAnsi="Times New Roman" w:cs="Times New Roman"/>
        </w:rPr>
      </w:pPr>
      <w:r>
        <w:rPr>
          <w:rFonts w:ascii="Times New Roman" w:hAnsi="Times New Roman" w:cs="Times New Roman"/>
          <w:noProof/>
          <w:lang w:val="es-CR" w:eastAsia="es-CR"/>
        </w:rPr>
        <w:drawing>
          <wp:inline distT="0" distB="0" distL="0" distR="0">
            <wp:extent cx="5057775" cy="3324225"/>
            <wp:effectExtent l="0" t="0" r="28575" b="28575"/>
            <wp:docPr id="99" name="Objet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BC1BC9" w:rsidRDefault="00BC1BC9" w:rsidP="00BC1BC9">
      <w:pPr>
        <w:jc w:val="both"/>
        <w:rPr>
          <w:rFonts w:ascii="Times New Roman" w:hAnsi="Times New Roman" w:cs="Times New Roman"/>
        </w:rPr>
      </w:pPr>
    </w:p>
    <w:p w:rsidR="00BC1BC9" w:rsidRDefault="00BC1BC9" w:rsidP="00BC1BC9">
      <w:pPr>
        <w:jc w:val="both"/>
        <w:rPr>
          <w:rFonts w:ascii="Times New Roman" w:hAnsi="Times New Roman" w:cs="Times New Roman"/>
        </w:rPr>
      </w:pPr>
    </w:p>
    <w:p w:rsidR="00BC1BC9" w:rsidRDefault="00BC1BC9" w:rsidP="00BC1BC9">
      <w:pPr>
        <w:jc w:val="both"/>
        <w:rPr>
          <w:rFonts w:ascii="Times New Roman" w:hAnsi="Times New Roman" w:cs="Times New Roman"/>
        </w:rPr>
      </w:pPr>
    </w:p>
    <w:p w:rsidR="00BC1BC9" w:rsidRPr="00F97B7E" w:rsidRDefault="00BC1BC9" w:rsidP="00BC1BC9">
      <w:pPr>
        <w:pStyle w:val="Ttulo2"/>
        <w:rPr>
          <w:rFonts w:ascii="Times New Roman" w:hAnsi="Times New Roman" w:cs="Times New Roman"/>
          <w:i w:val="0"/>
          <w:sz w:val="24"/>
          <w:szCs w:val="24"/>
        </w:rPr>
      </w:pPr>
      <w:r w:rsidRPr="00F97B7E">
        <w:rPr>
          <w:rFonts w:ascii="Times New Roman" w:hAnsi="Times New Roman" w:cs="Times New Roman"/>
          <w:i w:val="0"/>
          <w:sz w:val="24"/>
          <w:szCs w:val="24"/>
        </w:rPr>
        <w:t>8.4      Tasa de Delincuencia</w:t>
      </w:r>
    </w:p>
    <w:p w:rsidR="00BC1BC9" w:rsidRPr="00F97B7E" w:rsidRDefault="00BC1BC9" w:rsidP="00BC1BC9">
      <w:pPr>
        <w:rPr>
          <w:rFonts w:ascii="Times New Roman" w:hAnsi="Times New Roman" w:cs="Times New Roman"/>
        </w:rPr>
      </w:pPr>
    </w:p>
    <w:p w:rsidR="00BC1BC9" w:rsidRDefault="00BC1BC9" w:rsidP="00BC1BC9">
      <w:pPr>
        <w:spacing w:line="360" w:lineRule="auto"/>
        <w:jc w:val="both"/>
        <w:rPr>
          <w:rFonts w:ascii="Times New Roman" w:hAnsi="Times New Roman" w:cs="Times New Roman"/>
        </w:rPr>
      </w:pPr>
      <w:r w:rsidRPr="00F97B7E">
        <w:rPr>
          <w:rFonts w:ascii="Times New Roman" w:hAnsi="Times New Roman" w:cs="Times New Roman"/>
        </w:rPr>
        <w:t xml:space="preserve">Este </w:t>
      </w:r>
      <w:proofErr w:type="spellStart"/>
      <w:r w:rsidRPr="00F97B7E">
        <w:rPr>
          <w:rFonts w:ascii="Times New Roman" w:hAnsi="Times New Roman" w:cs="Times New Roman"/>
        </w:rPr>
        <w:t>indicador</w:t>
      </w:r>
      <w:r>
        <w:rPr>
          <w:rFonts w:ascii="Times New Roman" w:hAnsi="Times New Roman" w:cs="Times New Roman"/>
        </w:rPr>
        <w:t>considera</w:t>
      </w:r>
      <w:proofErr w:type="spellEnd"/>
      <w:r w:rsidRPr="00F97B7E">
        <w:rPr>
          <w:rFonts w:ascii="Times New Roman" w:hAnsi="Times New Roman" w:cs="Times New Roman"/>
        </w:rPr>
        <w:t xml:space="preserve"> aquellos aspectos que lesionan los bienes jurídicos</w:t>
      </w:r>
      <w:r>
        <w:rPr>
          <w:rFonts w:ascii="Times New Roman" w:hAnsi="Times New Roman" w:cs="Times New Roman"/>
        </w:rPr>
        <w:t xml:space="preserve"> de las personas, tales como su </w:t>
      </w:r>
      <w:r w:rsidRPr="00F97B7E">
        <w:rPr>
          <w:rFonts w:ascii="Times New Roman" w:hAnsi="Times New Roman" w:cs="Times New Roman"/>
        </w:rPr>
        <w:t>patrimonio</w:t>
      </w:r>
      <w:r>
        <w:rPr>
          <w:rFonts w:ascii="Times New Roman" w:hAnsi="Times New Roman" w:cs="Times New Roman"/>
        </w:rPr>
        <w:t>,</w:t>
      </w:r>
      <w:r w:rsidRPr="00F97B7E">
        <w:rPr>
          <w:rFonts w:ascii="Times New Roman" w:hAnsi="Times New Roman" w:cs="Times New Roman"/>
        </w:rPr>
        <w:t xml:space="preserve"> la salud pública y </w:t>
      </w:r>
      <w:r>
        <w:rPr>
          <w:rFonts w:ascii="Times New Roman" w:hAnsi="Times New Roman" w:cs="Times New Roman"/>
        </w:rPr>
        <w:t xml:space="preserve">la </w:t>
      </w:r>
      <w:r w:rsidRPr="00F97B7E">
        <w:rPr>
          <w:rFonts w:ascii="Times New Roman" w:hAnsi="Times New Roman" w:cs="Times New Roman"/>
        </w:rPr>
        <w:t xml:space="preserve">libertad sexual y </w:t>
      </w:r>
      <w:r>
        <w:rPr>
          <w:rFonts w:ascii="Times New Roman" w:hAnsi="Times New Roman" w:cs="Times New Roman"/>
        </w:rPr>
        <w:t xml:space="preserve">por consiguiente se contemplan los </w:t>
      </w:r>
      <w:r w:rsidRPr="00F97B7E">
        <w:rPr>
          <w:rFonts w:ascii="Times New Roman" w:hAnsi="Times New Roman" w:cs="Times New Roman"/>
        </w:rPr>
        <w:t xml:space="preserve">delitos </w:t>
      </w:r>
      <w:r>
        <w:rPr>
          <w:rFonts w:ascii="Times New Roman" w:hAnsi="Times New Roman" w:cs="Times New Roman"/>
        </w:rPr>
        <w:t xml:space="preserve">relacionados con </w:t>
      </w:r>
      <w:r w:rsidRPr="00F97B7E">
        <w:rPr>
          <w:rFonts w:ascii="Times New Roman" w:hAnsi="Times New Roman" w:cs="Times New Roman"/>
        </w:rPr>
        <w:t>robo</w:t>
      </w:r>
      <w:r>
        <w:rPr>
          <w:rFonts w:ascii="Times New Roman" w:hAnsi="Times New Roman" w:cs="Times New Roman"/>
        </w:rPr>
        <w:t>s</w:t>
      </w:r>
      <w:r w:rsidRPr="00F97B7E">
        <w:rPr>
          <w:rFonts w:ascii="Times New Roman" w:hAnsi="Times New Roman" w:cs="Times New Roman"/>
        </w:rPr>
        <w:t xml:space="preserve"> con fuerza sobre las cosas, sobre las personas</w:t>
      </w:r>
      <w:r>
        <w:rPr>
          <w:rFonts w:ascii="Times New Roman" w:hAnsi="Times New Roman" w:cs="Times New Roman"/>
        </w:rPr>
        <w:t>, así como en los</w:t>
      </w:r>
      <w:r w:rsidRPr="00F97B7E">
        <w:rPr>
          <w:rFonts w:ascii="Times New Roman" w:hAnsi="Times New Roman" w:cs="Times New Roman"/>
        </w:rPr>
        <w:t xml:space="preserve"> medios de transporte, </w:t>
      </w:r>
      <w:r>
        <w:rPr>
          <w:rFonts w:ascii="Times New Roman" w:hAnsi="Times New Roman" w:cs="Times New Roman"/>
        </w:rPr>
        <w:t>además de h</w:t>
      </w:r>
      <w:r w:rsidRPr="00F97B7E">
        <w:rPr>
          <w:rFonts w:ascii="Times New Roman" w:hAnsi="Times New Roman" w:cs="Times New Roman"/>
        </w:rPr>
        <w:t>urto</w:t>
      </w:r>
      <w:r>
        <w:rPr>
          <w:rFonts w:ascii="Times New Roman" w:hAnsi="Times New Roman" w:cs="Times New Roman"/>
        </w:rPr>
        <w:t>s,</w:t>
      </w:r>
      <w:r w:rsidRPr="00F97B7E">
        <w:rPr>
          <w:rFonts w:ascii="Times New Roman" w:hAnsi="Times New Roman" w:cs="Times New Roman"/>
        </w:rPr>
        <w:t xml:space="preserve"> hurto</w:t>
      </w:r>
      <w:r>
        <w:rPr>
          <w:rFonts w:ascii="Times New Roman" w:hAnsi="Times New Roman" w:cs="Times New Roman"/>
        </w:rPr>
        <w:t>s</w:t>
      </w:r>
      <w:r w:rsidRPr="00F97B7E">
        <w:rPr>
          <w:rFonts w:ascii="Times New Roman" w:hAnsi="Times New Roman" w:cs="Times New Roman"/>
        </w:rPr>
        <w:t xml:space="preserve"> de ganado, estafas, extorsión, proxenetismo, tráfico y venta de droga</w:t>
      </w:r>
      <w:r>
        <w:rPr>
          <w:rFonts w:ascii="Times New Roman" w:hAnsi="Times New Roman" w:cs="Times New Roman"/>
        </w:rPr>
        <w:t>s</w:t>
      </w:r>
      <w:r w:rsidRPr="00F97B7E">
        <w:rPr>
          <w:rFonts w:ascii="Times New Roman" w:hAnsi="Times New Roman" w:cs="Times New Roman"/>
        </w:rPr>
        <w:t xml:space="preserve"> y legitimación de capital</w:t>
      </w:r>
      <w:r>
        <w:rPr>
          <w:rFonts w:ascii="Times New Roman" w:hAnsi="Times New Roman" w:cs="Times New Roman"/>
        </w:rPr>
        <w:t>es</w:t>
      </w:r>
      <w:r w:rsidRPr="00F97B7E">
        <w:rPr>
          <w:rFonts w:ascii="Times New Roman" w:hAnsi="Times New Roman" w:cs="Times New Roman"/>
        </w:rPr>
        <w:t>.</w:t>
      </w:r>
    </w:p>
    <w:p w:rsidR="00BC1BC9" w:rsidRPr="00F97B7E" w:rsidRDefault="00BC1BC9" w:rsidP="00BC1BC9">
      <w:pPr>
        <w:spacing w:line="360" w:lineRule="auto"/>
        <w:jc w:val="both"/>
        <w:rPr>
          <w:rFonts w:ascii="Times New Roman" w:hAnsi="Times New Roman" w:cs="Times New Roman"/>
        </w:rPr>
      </w:pPr>
    </w:p>
    <w:p w:rsidR="00BC1BC9" w:rsidRPr="00F97B7E" w:rsidRDefault="00BC1BC9" w:rsidP="00BC1BC9">
      <w:pPr>
        <w:spacing w:line="360" w:lineRule="auto"/>
        <w:jc w:val="center"/>
        <w:rPr>
          <w:rFonts w:ascii="Times New Roman" w:hAnsi="Times New Roman" w:cs="Times New Roman"/>
        </w:rPr>
      </w:pPr>
      <w:r>
        <w:rPr>
          <w:rFonts w:ascii="Times New Roman" w:hAnsi="Times New Roman" w:cs="Times New Roman"/>
          <w:noProof/>
          <w:lang w:val="es-CR" w:eastAsia="es-CR"/>
        </w:rPr>
        <w:lastRenderedPageBreak/>
        <w:drawing>
          <wp:inline distT="0" distB="0" distL="0" distR="0">
            <wp:extent cx="5038725" cy="3362325"/>
            <wp:effectExtent l="0" t="0" r="28575" b="28575"/>
            <wp:docPr id="100" name="Objet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C1BC9" w:rsidRPr="00EB586C" w:rsidRDefault="00BC1BC9" w:rsidP="00BC1BC9">
      <w:pPr>
        <w:tabs>
          <w:tab w:val="left" w:pos="720"/>
        </w:tabs>
        <w:spacing w:line="360" w:lineRule="auto"/>
        <w:jc w:val="both"/>
        <w:rPr>
          <w:rFonts w:ascii="Times New Roman" w:hAnsi="Times New Roman" w:cs="Times New Roman"/>
        </w:rPr>
      </w:pPr>
    </w:p>
    <w:p w:rsidR="00BC1BC9" w:rsidRDefault="00BC1BC9" w:rsidP="00BC1BC9">
      <w:pPr>
        <w:tabs>
          <w:tab w:val="left" w:pos="720"/>
        </w:tabs>
        <w:spacing w:line="360" w:lineRule="auto"/>
        <w:jc w:val="both"/>
        <w:rPr>
          <w:rFonts w:ascii="Times New Roman" w:hAnsi="Times New Roman" w:cs="Times New Roman"/>
        </w:rPr>
      </w:pPr>
      <w:r w:rsidRPr="00F97B7E">
        <w:rPr>
          <w:rFonts w:ascii="Times New Roman" w:hAnsi="Times New Roman" w:cs="Times New Roman"/>
        </w:rPr>
        <w:t xml:space="preserve">De </w:t>
      </w:r>
      <w:r>
        <w:rPr>
          <w:rFonts w:ascii="Times New Roman" w:hAnsi="Times New Roman" w:cs="Times New Roman"/>
        </w:rPr>
        <w:t>la información</w:t>
      </w:r>
      <w:r w:rsidRPr="00F97B7E">
        <w:rPr>
          <w:rFonts w:ascii="Times New Roman" w:hAnsi="Times New Roman" w:cs="Times New Roman"/>
        </w:rPr>
        <w:t xml:space="preserve"> anterior se deduce</w:t>
      </w:r>
      <w:r>
        <w:rPr>
          <w:rFonts w:ascii="Times New Roman" w:hAnsi="Times New Roman" w:cs="Times New Roman"/>
        </w:rPr>
        <w:t xml:space="preserve"> una baja en el cálculo atinente al 2015, luego de mostrar</w:t>
      </w:r>
      <w:r w:rsidRPr="00F97B7E">
        <w:rPr>
          <w:rFonts w:ascii="Times New Roman" w:hAnsi="Times New Roman" w:cs="Times New Roman"/>
        </w:rPr>
        <w:t xml:space="preserve"> un crecimiento </w:t>
      </w:r>
      <w:r>
        <w:rPr>
          <w:rFonts w:ascii="Times New Roman" w:hAnsi="Times New Roman" w:cs="Times New Roman"/>
        </w:rPr>
        <w:t>en el trienio 2012-2014</w:t>
      </w:r>
      <w:r w:rsidRPr="00F97B7E">
        <w:rPr>
          <w:rFonts w:ascii="Times New Roman" w:hAnsi="Times New Roman" w:cs="Times New Roman"/>
        </w:rPr>
        <w:t xml:space="preserve">, </w:t>
      </w:r>
      <w:r>
        <w:rPr>
          <w:rFonts w:ascii="Times New Roman" w:hAnsi="Times New Roman" w:cs="Times New Roman"/>
        </w:rPr>
        <w:t xml:space="preserve">llegando ahora a casi los 1.901 casos, sugiriendo así un progreso </w:t>
      </w:r>
      <w:r w:rsidRPr="00F97B7E">
        <w:rPr>
          <w:rFonts w:ascii="Times New Roman" w:hAnsi="Times New Roman" w:cs="Times New Roman"/>
        </w:rPr>
        <w:t>en la seguridad que tanto reclama la ciudadanía</w:t>
      </w:r>
      <w:r>
        <w:rPr>
          <w:rFonts w:ascii="Times New Roman" w:hAnsi="Times New Roman" w:cs="Times New Roman"/>
        </w:rPr>
        <w:t xml:space="preserve"> nacional</w:t>
      </w:r>
      <w:r w:rsidRPr="00F97B7E">
        <w:rPr>
          <w:rFonts w:ascii="Times New Roman" w:hAnsi="Times New Roman" w:cs="Times New Roman"/>
        </w:rPr>
        <w:t>.</w:t>
      </w:r>
    </w:p>
    <w:p w:rsidR="00BC1BC9" w:rsidRDefault="00BC1BC9" w:rsidP="00BC1BC9">
      <w:pPr>
        <w:tabs>
          <w:tab w:val="left" w:pos="720"/>
        </w:tabs>
        <w:spacing w:line="360" w:lineRule="auto"/>
        <w:jc w:val="both"/>
        <w:rPr>
          <w:rFonts w:ascii="Times New Roman" w:hAnsi="Times New Roman" w:cs="Times New Roman"/>
        </w:rPr>
      </w:pPr>
    </w:p>
    <w:p w:rsidR="00BC1BC9" w:rsidRDefault="00BC1BC9" w:rsidP="00BC1BC9">
      <w:pPr>
        <w:tabs>
          <w:tab w:val="left" w:pos="720"/>
        </w:tabs>
        <w:spacing w:line="360" w:lineRule="auto"/>
        <w:jc w:val="both"/>
        <w:rPr>
          <w:rFonts w:ascii="Times New Roman" w:hAnsi="Times New Roman" w:cs="Times New Roman"/>
        </w:rPr>
      </w:pPr>
      <w:r>
        <w:rPr>
          <w:rFonts w:ascii="Times New Roman" w:hAnsi="Times New Roman" w:cs="Times New Roman"/>
        </w:rPr>
        <w:t xml:space="preserve">De esta manera, se tiene para el presente año </w:t>
      </w:r>
      <w:r w:rsidRPr="00F97B7E">
        <w:rPr>
          <w:rFonts w:ascii="Times New Roman" w:hAnsi="Times New Roman" w:cs="Times New Roman"/>
        </w:rPr>
        <w:t xml:space="preserve">que se cometieron </w:t>
      </w:r>
      <w:r>
        <w:rPr>
          <w:rFonts w:ascii="Times New Roman" w:hAnsi="Times New Roman" w:cs="Times New Roman"/>
        </w:rPr>
        <w:t>unos1.901</w:t>
      </w:r>
      <w:r w:rsidRPr="00F97B7E">
        <w:rPr>
          <w:rFonts w:ascii="Times New Roman" w:hAnsi="Times New Roman" w:cs="Times New Roman"/>
        </w:rPr>
        <w:t xml:space="preserve"> delitos por cada cien mil habitantes, donde siguen destacando </w:t>
      </w:r>
      <w:r>
        <w:rPr>
          <w:rFonts w:ascii="Times New Roman" w:hAnsi="Times New Roman" w:cs="Times New Roman"/>
        </w:rPr>
        <w:t>los</w:t>
      </w:r>
      <w:r w:rsidRPr="00F97B7E">
        <w:rPr>
          <w:rFonts w:ascii="Times New Roman" w:hAnsi="Times New Roman" w:cs="Times New Roman"/>
        </w:rPr>
        <w:t xml:space="preserve"> robo</w:t>
      </w:r>
      <w:r>
        <w:rPr>
          <w:rFonts w:ascii="Times New Roman" w:hAnsi="Times New Roman" w:cs="Times New Roman"/>
        </w:rPr>
        <w:t>s</w:t>
      </w:r>
      <w:r w:rsidRPr="00F97B7E">
        <w:rPr>
          <w:rFonts w:ascii="Times New Roman" w:hAnsi="Times New Roman" w:cs="Times New Roman"/>
        </w:rPr>
        <w:t xml:space="preserve"> y </w:t>
      </w:r>
      <w:r>
        <w:rPr>
          <w:rFonts w:ascii="Times New Roman" w:hAnsi="Times New Roman" w:cs="Times New Roman"/>
        </w:rPr>
        <w:t>los</w:t>
      </w:r>
      <w:r w:rsidRPr="00F97B7E">
        <w:rPr>
          <w:rFonts w:ascii="Times New Roman" w:hAnsi="Times New Roman" w:cs="Times New Roman"/>
        </w:rPr>
        <w:t xml:space="preserve"> hurto</w:t>
      </w:r>
      <w:r>
        <w:rPr>
          <w:rFonts w:ascii="Times New Roman" w:hAnsi="Times New Roman" w:cs="Times New Roman"/>
        </w:rPr>
        <w:t>s</w:t>
      </w:r>
      <w:r w:rsidRPr="00F97B7E">
        <w:rPr>
          <w:rFonts w:ascii="Times New Roman" w:hAnsi="Times New Roman" w:cs="Times New Roman"/>
        </w:rPr>
        <w:t xml:space="preserve"> como los delitos de mayor incidencia. </w:t>
      </w:r>
    </w:p>
    <w:p w:rsidR="00BC1BC9" w:rsidRDefault="00BC1BC9" w:rsidP="00BC1BC9">
      <w:pPr>
        <w:tabs>
          <w:tab w:val="left" w:pos="720"/>
        </w:tabs>
        <w:spacing w:line="360" w:lineRule="auto"/>
        <w:jc w:val="both"/>
        <w:rPr>
          <w:rFonts w:ascii="Times New Roman" w:hAnsi="Times New Roman" w:cs="Times New Roman"/>
        </w:rPr>
      </w:pPr>
    </w:p>
    <w:p w:rsidR="00BC1BC9" w:rsidRPr="00F97B7E" w:rsidRDefault="00BC1BC9" w:rsidP="00BC1BC9">
      <w:pPr>
        <w:pStyle w:val="Ttulo2"/>
        <w:rPr>
          <w:rFonts w:ascii="Times New Roman" w:hAnsi="Times New Roman" w:cs="Times New Roman"/>
          <w:i w:val="0"/>
          <w:sz w:val="24"/>
          <w:szCs w:val="24"/>
        </w:rPr>
      </w:pPr>
      <w:r w:rsidRPr="00F97B7E">
        <w:rPr>
          <w:rFonts w:ascii="Times New Roman" w:hAnsi="Times New Roman" w:cs="Times New Roman"/>
          <w:i w:val="0"/>
          <w:sz w:val="24"/>
          <w:szCs w:val="24"/>
        </w:rPr>
        <w:t>8.5</w:t>
      </w:r>
      <w:r w:rsidRPr="00F97B7E">
        <w:rPr>
          <w:rFonts w:ascii="Times New Roman" w:hAnsi="Times New Roman" w:cs="Times New Roman"/>
          <w:i w:val="0"/>
          <w:sz w:val="24"/>
          <w:szCs w:val="24"/>
        </w:rPr>
        <w:tab/>
        <w:t>Tasa de denuncia por hurto</w:t>
      </w:r>
    </w:p>
    <w:p w:rsidR="00BC1BC9" w:rsidRPr="00F97B7E" w:rsidRDefault="00BC1BC9" w:rsidP="00BC1BC9">
      <w:pPr>
        <w:spacing w:line="360" w:lineRule="auto"/>
        <w:jc w:val="both"/>
        <w:rPr>
          <w:rFonts w:ascii="Times New Roman" w:hAnsi="Times New Roman" w:cs="Times New Roman"/>
          <w:highlight w:val="yellow"/>
          <w:lang w:eastAsia="ar-SA"/>
        </w:rPr>
      </w:pPr>
    </w:p>
    <w:p w:rsidR="00BC1BC9" w:rsidRPr="00F97B7E" w:rsidRDefault="00BC1BC9" w:rsidP="00BC1BC9">
      <w:pPr>
        <w:spacing w:line="360" w:lineRule="auto"/>
        <w:jc w:val="both"/>
        <w:rPr>
          <w:rFonts w:ascii="Times New Roman" w:hAnsi="Times New Roman" w:cs="Times New Roman"/>
          <w:lang w:eastAsia="ar-SA"/>
        </w:rPr>
      </w:pPr>
      <w:r>
        <w:rPr>
          <w:rFonts w:ascii="Times New Roman" w:hAnsi="Times New Roman" w:cs="Times New Roman"/>
          <w:lang w:eastAsia="ar-SA"/>
        </w:rPr>
        <w:t>E</w:t>
      </w:r>
      <w:r w:rsidRPr="00F97B7E">
        <w:rPr>
          <w:rFonts w:ascii="Times New Roman" w:hAnsi="Times New Roman" w:cs="Times New Roman"/>
          <w:lang w:eastAsia="ar-SA"/>
        </w:rPr>
        <w:t xml:space="preserve">l cálculo de este indicador </w:t>
      </w:r>
      <w:r>
        <w:rPr>
          <w:rFonts w:ascii="Times New Roman" w:hAnsi="Times New Roman" w:cs="Times New Roman"/>
          <w:lang w:eastAsia="ar-SA"/>
        </w:rPr>
        <w:t>considera</w:t>
      </w:r>
      <w:r w:rsidRPr="00F97B7E">
        <w:rPr>
          <w:rFonts w:ascii="Times New Roman" w:hAnsi="Times New Roman" w:cs="Times New Roman"/>
          <w:lang w:eastAsia="ar-SA"/>
        </w:rPr>
        <w:t xml:space="preserve"> la relación entre la entrada neta </w:t>
      </w:r>
      <w:r>
        <w:rPr>
          <w:rFonts w:ascii="Times New Roman" w:hAnsi="Times New Roman" w:cs="Times New Roman"/>
          <w:lang w:eastAsia="ar-SA"/>
        </w:rPr>
        <w:t>en materia P</w:t>
      </w:r>
      <w:r w:rsidRPr="00F97B7E">
        <w:rPr>
          <w:rFonts w:ascii="Times New Roman" w:hAnsi="Times New Roman" w:cs="Times New Roman"/>
          <w:lang w:eastAsia="ar-SA"/>
        </w:rPr>
        <w:t>enal</w:t>
      </w:r>
      <w:r>
        <w:rPr>
          <w:rFonts w:ascii="Times New Roman" w:hAnsi="Times New Roman" w:cs="Times New Roman"/>
          <w:lang w:eastAsia="ar-SA"/>
        </w:rPr>
        <w:t xml:space="preserve">, </w:t>
      </w:r>
      <w:r w:rsidRPr="00F97B7E">
        <w:rPr>
          <w:rFonts w:ascii="Times New Roman" w:hAnsi="Times New Roman" w:cs="Times New Roman"/>
          <w:lang w:eastAsia="ar-SA"/>
        </w:rPr>
        <w:t xml:space="preserve">a partir de los cambios </w:t>
      </w:r>
      <w:r>
        <w:rPr>
          <w:rFonts w:ascii="Times New Roman" w:hAnsi="Times New Roman" w:cs="Times New Roman"/>
          <w:lang w:eastAsia="ar-SA"/>
        </w:rPr>
        <w:t xml:space="preserve">implementados </w:t>
      </w:r>
      <w:r w:rsidRPr="00F97B7E">
        <w:rPr>
          <w:rFonts w:ascii="Times New Roman" w:hAnsi="Times New Roman" w:cs="Times New Roman"/>
          <w:lang w:eastAsia="ar-SA"/>
        </w:rPr>
        <w:t xml:space="preserve">en las políticas de persecución penal del Ministerio </w:t>
      </w:r>
      <w:proofErr w:type="spellStart"/>
      <w:r w:rsidRPr="00F97B7E">
        <w:rPr>
          <w:rFonts w:ascii="Times New Roman" w:hAnsi="Times New Roman" w:cs="Times New Roman"/>
          <w:lang w:eastAsia="ar-SA"/>
        </w:rPr>
        <w:t>Público</w:t>
      </w:r>
      <w:r>
        <w:rPr>
          <w:rFonts w:ascii="Times New Roman" w:hAnsi="Times New Roman" w:cs="Times New Roman"/>
          <w:lang w:eastAsia="ar-SA"/>
        </w:rPr>
        <w:t>,sobre</w:t>
      </w:r>
      <w:proofErr w:type="spellEnd"/>
      <w:r w:rsidRPr="00F97B7E">
        <w:rPr>
          <w:rFonts w:ascii="Times New Roman" w:hAnsi="Times New Roman" w:cs="Times New Roman"/>
          <w:lang w:eastAsia="ar-SA"/>
        </w:rPr>
        <w:t xml:space="preserve"> aquellos casos catalogados como hurtos en sus diferentes modalidades, </w:t>
      </w:r>
      <w:r>
        <w:rPr>
          <w:rFonts w:ascii="Times New Roman" w:hAnsi="Times New Roman" w:cs="Times New Roman"/>
          <w:lang w:eastAsia="ar-SA"/>
        </w:rPr>
        <w:t xml:space="preserve">versus </w:t>
      </w:r>
      <w:r w:rsidRPr="00F97B7E">
        <w:rPr>
          <w:rFonts w:ascii="Times New Roman" w:hAnsi="Times New Roman" w:cs="Times New Roman"/>
          <w:lang w:eastAsia="ar-SA"/>
        </w:rPr>
        <w:t xml:space="preserve">la población </w:t>
      </w:r>
      <w:r>
        <w:rPr>
          <w:rFonts w:ascii="Times New Roman" w:hAnsi="Times New Roman" w:cs="Times New Roman"/>
          <w:lang w:eastAsia="ar-SA"/>
        </w:rPr>
        <w:t>registrada a nivel nacional</w:t>
      </w:r>
      <w:r w:rsidRPr="00F97B7E">
        <w:rPr>
          <w:rFonts w:ascii="Times New Roman" w:hAnsi="Times New Roman" w:cs="Times New Roman"/>
          <w:lang w:eastAsia="ar-SA"/>
        </w:rPr>
        <w:t>.</w:t>
      </w:r>
    </w:p>
    <w:p w:rsidR="00BC1BC9" w:rsidRPr="00F97B7E" w:rsidRDefault="00BC1BC9" w:rsidP="00BC1BC9">
      <w:pPr>
        <w:tabs>
          <w:tab w:val="left" w:pos="720"/>
        </w:tabs>
        <w:spacing w:line="360" w:lineRule="auto"/>
        <w:jc w:val="both"/>
        <w:rPr>
          <w:rFonts w:ascii="Times New Roman" w:hAnsi="Times New Roman" w:cs="Times New Roman"/>
          <w:lang w:eastAsia="ar-SA"/>
        </w:rPr>
      </w:pPr>
    </w:p>
    <w:p w:rsidR="00BC1BC9" w:rsidRPr="00F97B7E" w:rsidRDefault="00BC1BC9" w:rsidP="00BC1BC9">
      <w:pPr>
        <w:tabs>
          <w:tab w:val="left" w:pos="720"/>
        </w:tabs>
        <w:spacing w:line="360" w:lineRule="auto"/>
        <w:jc w:val="both"/>
        <w:rPr>
          <w:rFonts w:ascii="Times New Roman" w:hAnsi="Times New Roman" w:cs="Times New Roman"/>
          <w:lang w:eastAsia="ar-SA"/>
        </w:rPr>
      </w:pPr>
      <w:r w:rsidRPr="00F97B7E">
        <w:rPr>
          <w:rFonts w:ascii="Times New Roman" w:hAnsi="Times New Roman" w:cs="Times New Roman"/>
          <w:lang w:eastAsia="ar-SA"/>
        </w:rPr>
        <w:t xml:space="preserve">Este indicador </w:t>
      </w:r>
      <w:proofErr w:type="spellStart"/>
      <w:r w:rsidRPr="00F97B7E">
        <w:rPr>
          <w:rFonts w:ascii="Times New Roman" w:hAnsi="Times New Roman" w:cs="Times New Roman"/>
          <w:lang w:eastAsia="ar-SA"/>
        </w:rPr>
        <w:t>alcanz</w:t>
      </w:r>
      <w:r>
        <w:rPr>
          <w:rFonts w:ascii="Times New Roman" w:hAnsi="Times New Roman" w:cs="Times New Roman"/>
          <w:lang w:eastAsia="ar-SA"/>
        </w:rPr>
        <w:t>óun</w:t>
      </w:r>
      <w:proofErr w:type="spellEnd"/>
      <w:r w:rsidRPr="00F97B7E">
        <w:rPr>
          <w:rFonts w:ascii="Times New Roman" w:hAnsi="Times New Roman" w:cs="Times New Roman"/>
          <w:lang w:eastAsia="ar-SA"/>
        </w:rPr>
        <w:t xml:space="preserve"> valor de </w:t>
      </w:r>
      <w:r>
        <w:rPr>
          <w:rFonts w:ascii="Times New Roman" w:hAnsi="Times New Roman" w:cs="Times New Roman"/>
          <w:lang w:eastAsia="ar-SA"/>
        </w:rPr>
        <w:t>697,7 durante el 2015</w:t>
      </w:r>
      <w:r w:rsidRPr="00F97B7E">
        <w:rPr>
          <w:rFonts w:ascii="Times New Roman" w:hAnsi="Times New Roman" w:cs="Times New Roman"/>
          <w:lang w:eastAsia="ar-SA"/>
        </w:rPr>
        <w:t xml:space="preserve">, </w:t>
      </w:r>
      <w:r>
        <w:rPr>
          <w:rFonts w:ascii="Times New Roman" w:hAnsi="Times New Roman" w:cs="Times New Roman"/>
          <w:lang w:eastAsia="ar-SA"/>
        </w:rPr>
        <w:t>exhibiendo una reducción en esta oportunidad, posterior a acusar un modelo creciente en el trienio 2012-2014, lo cual externa un aproximado de 698</w:t>
      </w:r>
      <w:r w:rsidRPr="00F97B7E">
        <w:rPr>
          <w:rFonts w:ascii="Times New Roman" w:hAnsi="Times New Roman" w:cs="Times New Roman"/>
          <w:lang w:eastAsia="ar-SA"/>
        </w:rPr>
        <w:t xml:space="preserve"> hurtos</w:t>
      </w:r>
      <w:r>
        <w:rPr>
          <w:rFonts w:ascii="Times New Roman" w:hAnsi="Times New Roman" w:cs="Times New Roman"/>
          <w:lang w:eastAsia="ar-SA"/>
        </w:rPr>
        <w:t>,</w:t>
      </w:r>
      <w:r w:rsidRPr="00F97B7E">
        <w:rPr>
          <w:rFonts w:ascii="Times New Roman" w:hAnsi="Times New Roman" w:cs="Times New Roman"/>
          <w:lang w:eastAsia="ar-SA"/>
        </w:rPr>
        <w:t xml:space="preserve"> por cada cien mil habitantes.</w:t>
      </w:r>
    </w:p>
    <w:p w:rsidR="00BC1BC9" w:rsidRPr="00F97B7E" w:rsidRDefault="00BC1BC9" w:rsidP="00BC1BC9">
      <w:pPr>
        <w:tabs>
          <w:tab w:val="left" w:pos="720"/>
        </w:tabs>
        <w:spacing w:line="360" w:lineRule="auto"/>
        <w:jc w:val="both"/>
        <w:rPr>
          <w:rFonts w:ascii="Times New Roman" w:hAnsi="Times New Roman" w:cs="Times New Roman"/>
          <w:lang w:eastAsia="ar-SA"/>
        </w:rPr>
      </w:pPr>
    </w:p>
    <w:p w:rsidR="00BC1BC9" w:rsidRPr="00F97B7E" w:rsidRDefault="003A1B7B" w:rsidP="00BC1BC9">
      <w:pPr>
        <w:spacing w:line="360" w:lineRule="auto"/>
        <w:jc w:val="center"/>
        <w:rPr>
          <w:rFonts w:ascii="Times New Roman" w:hAnsi="Times New Roman" w:cs="Times New Roman"/>
          <w:highlight w:val="yellow"/>
          <w:lang w:eastAsia="ar-SA"/>
        </w:rPr>
      </w:pPr>
      <w:r w:rsidRPr="003A1B7B">
        <w:rPr>
          <w:rFonts w:ascii="Times New Roman" w:hAnsi="Times New Roman" w:cs="Times New Roman"/>
          <w:noProof/>
          <w:highlight w:val="yellow"/>
          <w:lang w:val="es-CR" w:eastAsia="es-CR"/>
        </w:rPr>
        <w:pict>
          <v:shape id="Cuadro de texto 108" o:spid="_x0000_s1042" type="#_x0000_t202" style="position:absolute;left:0;text-align:left;margin-left:50.5pt;margin-top:213.05pt;width:324.5pt;height:18pt;z-index:25171558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" stroked="f">
            <v:fill opacity="0"/>
            <v:textbox inset="0,0,0,0">
              <w:txbxContent>
                <w:p w:rsidR="00071467" w:rsidRPr="00AF4B77" w:rsidRDefault="00071467" w:rsidP="00BC1BC9">
                  <w:pPr>
                    <w:rPr>
                      <w:rFonts w:ascii="Times New Roman" w:hAnsi="Times New Roman" w:cs="Times New Roman"/>
                      <w:sz w:val="16"/>
                      <w:szCs w:val="16"/>
                      <w:lang w:eastAsia="ar-SA"/>
                    </w:rPr>
                  </w:pPr>
                  <w:r w:rsidRPr="00AF4B77">
                    <w:rPr>
                      <w:rFonts w:ascii="Times New Roman" w:hAnsi="Times New Roman" w:cs="Times New Roman"/>
                      <w:sz w:val="16"/>
                      <w:szCs w:val="16"/>
                      <w:lang w:eastAsia="ar-SA"/>
                    </w:rPr>
                    <w:t xml:space="preserve">Fuente: Sección de Estadística, Dirección de Planificación e Instituto Nacional de Estadística y Censos. </w:t>
                  </w:r>
                </w:p>
              </w:txbxContent>
            </v:textbox>
          </v:shape>
        </w:pict>
      </w:r>
      <w:r w:rsidR="00BC1BC9">
        <w:rPr>
          <w:rFonts w:ascii="Times New Roman" w:hAnsi="Times New Roman" w:cs="Times New Roman"/>
          <w:noProof/>
          <w:lang w:val="es-CR" w:eastAsia="es-CR"/>
        </w:rPr>
        <w:drawing>
          <wp:inline distT="0" distB="0" distL="0" distR="0">
            <wp:extent cx="4581525" cy="3057525"/>
            <wp:effectExtent l="0" t="0" r="28575" b="28575"/>
            <wp:docPr id="101" name="Objet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BC1BC9" w:rsidRPr="00F97B7E" w:rsidRDefault="00BC1BC9" w:rsidP="00BC1BC9">
      <w:pPr>
        <w:pStyle w:val="Textoindependiente"/>
        <w:spacing w:line="360" w:lineRule="auto"/>
        <w:rPr>
          <w:rFonts w:ascii="Times New Roman" w:hAnsi="Times New Roman" w:cs="Times New Roman"/>
          <w:sz w:val="24"/>
          <w:szCs w:val="24"/>
          <w:highlight w:val="yellow"/>
          <w:lang w:eastAsia="ar-SA"/>
        </w:rPr>
      </w:pPr>
    </w:p>
    <w:p w:rsidR="00BC1BC9" w:rsidRPr="00F97B7E" w:rsidRDefault="00BC1BC9" w:rsidP="00BC1BC9">
      <w:pPr>
        <w:pStyle w:val="Textoindependiente"/>
        <w:spacing w:line="360" w:lineRule="auto"/>
        <w:rPr>
          <w:rFonts w:ascii="Times New Roman" w:hAnsi="Times New Roman" w:cs="Times New Roman"/>
          <w:b/>
          <w:sz w:val="24"/>
          <w:szCs w:val="24"/>
        </w:rPr>
      </w:pPr>
      <w:r w:rsidRPr="00F97B7E">
        <w:rPr>
          <w:rFonts w:ascii="Times New Roman" w:hAnsi="Times New Roman" w:cs="Times New Roman"/>
          <w:b/>
          <w:sz w:val="24"/>
          <w:szCs w:val="24"/>
        </w:rPr>
        <w:t>8.6</w:t>
      </w:r>
      <w:r w:rsidRPr="00F97B7E">
        <w:rPr>
          <w:rFonts w:ascii="Times New Roman" w:hAnsi="Times New Roman" w:cs="Times New Roman"/>
          <w:b/>
          <w:sz w:val="24"/>
          <w:szCs w:val="24"/>
        </w:rPr>
        <w:tab/>
        <w:t>Tasa de denuncia por robo</w:t>
      </w:r>
    </w:p>
    <w:p w:rsidR="00BC1BC9" w:rsidRPr="00F97B7E" w:rsidRDefault="00BC1BC9" w:rsidP="00BC1BC9">
      <w:pPr>
        <w:pStyle w:val="Textoindependiente"/>
        <w:spacing w:line="360" w:lineRule="auto"/>
        <w:rPr>
          <w:rFonts w:ascii="Times New Roman" w:hAnsi="Times New Roman" w:cs="Times New Roman"/>
          <w:sz w:val="24"/>
          <w:szCs w:val="24"/>
          <w:highlight w:val="yellow"/>
          <w:lang w:eastAsia="ar-SA"/>
        </w:rPr>
      </w:pPr>
    </w:p>
    <w:p w:rsidR="00BC1BC9" w:rsidRPr="00F97B7E" w:rsidRDefault="00BC1BC9" w:rsidP="00BC1BC9">
      <w:pPr>
        <w:pStyle w:val="Textoindependiente"/>
        <w:spacing w:line="36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La</w:t>
      </w:r>
      <w:r w:rsidRPr="00F97B7E">
        <w:rPr>
          <w:rFonts w:ascii="Times New Roman" w:hAnsi="Times New Roman" w:cs="Times New Roman"/>
          <w:sz w:val="24"/>
          <w:szCs w:val="24"/>
          <w:lang w:eastAsia="ar-SA"/>
        </w:rPr>
        <w:t xml:space="preserve"> fórmula de cálculo </w:t>
      </w:r>
      <w:r>
        <w:rPr>
          <w:rFonts w:ascii="Times New Roman" w:hAnsi="Times New Roman" w:cs="Times New Roman"/>
          <w:sz w:val="24"/>
          <w:szCs w:val="24"/>
          <w:lang w:eastAsia="ar-SA"/>
        </w:rPr>
        <w:t>de este indicador se encuentra</w:t>
      </w:r>
      <w:r w:rsidRPr="00F97B7E">
        <w:rPr>
          <w:rFonts w:ascii="Times New Roman" w:hAnsi="Times New Roman" w:cs="Times New Roman"/>
          <w:sz w:val="24"/>
          <w:szCs w:val="24"/>
          <w:lang w:eastAsia="ar-SA"/>
        </w:rPr>
        <w:t xml:space="preserve"> expresada como la entrada neta al Ministerio Público</w:t>
      </w:r>
      <w:r>
        <w:rPr>
          <w:rFonts w:ascii="Times New Roman" w:hAnsi="Times New Roman" w:cs="Times New Roman"/>
          <w:sz w:val="24"/>
          <w:szCs w:val="24"/>
          <w:lang w:eastAsia="ar-SA"/>
        </w:rPr>
        <w:t>,</w:t>
      </w:r>
      <w:r w:rsidRPr="00F97B7E">
        <w:rPr>
          <w:rFonts w:ascii="Times New Roman" w:hAnsi="Times New Roman" w:cs="Times New Roman"/>
          <w:sz w:val="24"/>
          <w:szCs w:val="24"/>
          <w:lang w:eastAsia="ar-SA"/>
        </w:rPr>
        <w:t xml:space="preserve"> en su clasificación de robo</w:t>
      </w:r>
      <w:r>
        <w:rPr>
          <w:rFonts w:ascii="Times New Roman" w:hAnsi="Times New Roman" w:cs="Times New Roman"/>
          <w:sz w:val="24"/>
          <w:szCs w:val="24"/>
          <w:lang w:eastAsia="ar-SA"/>
        </w:rPr>
        <w:t>s</w:t>
      </w:r>
      <w:r w:rsidRPr="00F97B7E">
        <w:rPr>
          <w:rFonts w:ascii="Times New Roman" w:hAnsi="Times New Roman" w:cs="Times New Roman"/>
          <w:sz w:val="24"/>
          <w:szCs w:val="24"/>
          <w:lang w:eastAsia="ar-SA"/>
        </w:rPr>
        <w:t xml:space="preserve"> en todas sus </w:t>
      </w:r>
      <w:proofErr w:type="spellStart"/>
      <w:r w:rsidRPr="00F97B7E">
        <w:rPr>
          <w:rFonts w:ascii="Times New Roman" w:hAnsi="Times New Roman" w:cs="Times New Roman"/>
          <w:sz w:val="24"/>
          <w:szCs w:val="24"/>
          <w:lang w:eastAsia="ar-SA"/>
        </w:rPr>
        <w:t>modalidades</w:t>
      </w:r>
      <w:proofErr w:type="gramStart"/>
      <w:r>
        <w:rPr>
          <w:rFonts w:ascii="Times New Roman" w:hAnsi="Times New Roman" w:cs="Times New Roman"/>
          <w:sz w:val="24"/>
          <w:szCs w:val="24"/>
          <w:lang w:eastAsia="ar-SA"/>
        </w:rPr>
        <w:t>,con</w:t>
      </w:r>
      <w:proofErr w:type="spellEnd"/>
      <w:proofErr w:type="gramEnd"/>
      <w:r>
        <w:rPr>
          <w:rFonts w:ascii="Times New Roman" w:hAnsi="Times New Roman" w:cs="Times New Roman"/>
          <w:sz w:val="24"/>
          <w:szCs w:val="24"/>
          <w:lang w:eastAsia="ar-SA"/>
        </w:rPr>
        <w:t xml:space="preserve"> relación a </w:t>
      </w:r>
      <w:r w:rsidRPr="00F97B7E">
        <w:rPr>
          <w:rFonts w:ascii="Times New Roman" w:hAnsi="Times New Roman" w:cs="Times New Roman"/>
          <w:sz w:val="24"/>
          <w:szCs w:val="24"/>
          <w:lang w:eastAsia="ar-SA"/>
        </w:rPr>
        <w:t xml:space="preserve">la población </w:t>
      </w:r>
      <w:r>
        <w:rPr>
          <w:rFonts w:ascii="Times New Roman" w:hAnsi="Times New Roman" w:cs="Times New Roman"/>
          <w:sz w:val="24"/>
          <w:szCs w:val="24"/>
          <w:lang w:eastAsia="ar-SA"/>
        </w:rPr>
        <w:t xml:space="preserve">nacional, con un factor de </w:t>
      </w:r>
      <w:proofErr w:type="spellStart"/>
      <w:r w:rsidRPr="00F97B7E">
        <w:rPr>
          <w:rFonts w:ascii="Times New Roman" w:hAnsi="Times New Roman" w:cs="Times New Roman"/>
          <w:sz w:val="24"/>
          <w:szCs w:val="24"/>
          <w:lang w:eastAsia="ar-SA"/>
        </w:rPr>
        <w:t>expan</w:t>
      </w:r>
      <w:r>
        <w:rPr>
          <w:rFonts w:ascii="Times New Roman" w:hAnsi="Times New Roman" w:cs="Times New Roman"/>
          <w:sz w:val="24"/>
          <w:szCs w:val="24"/>
          <w:lang w:eastAsia="ar-SA"/>
        </w:rPr>
        <w:t>siónde</w:t>
      </w:r>
      <w:proofErr w:type="spellEnd"/>
      <w:r w:rsidRPr="00F97B7E">
        <w:rPr>
          <w:rFonts w:ascii="Times New Roman" w:hAnsi="Times New Roman" w:cs="Times New Roman"/>
          <w:sz w:val="24"/>
          <w:szCs w:val="24"/>
          <w:lang w:eastAsia="ar-SA"/>
        </w:rPr>
        <w:t xml:space="preserve"> cien mil</w:t>
      </w:r>
      <w:r>
        <w:rPr>
          <w:rFonts w:ascii="Times New Roman" w:hAnsi="Times New Roman" w:cs="Times New Roman"/>
          <w:sz w:val="24"/>
          <w:szCs w:val="24"/>
          <w:lang w:eastAsia="ar-SA"/>
        </w:rPr>
        <w:t xml:space="preserve"> unidades</w:t>
      </w:r>
      <w:r w:rsidRPr="00F97B7E">
        <w:rPr>
          <w:rFonts w:ascii="Times New Roman" w:hAnsi="Times New Roman" w:cs="Times New Roman"/>
          <w:sz w:val="24"/>
          <w:szCs w:val="24"/>
          <w:lang w:eastAsia="ar-SA"/>
        </w:rPr>
        <w:t>.</w:t>
      </w:r>
    </w:p>
    <w:p w:rsidR="00BC1BC9" w:rsidRDefault="00BC1BC9" w:rsidP="00BC1BC9">
      <w:pPr>
        <w:pStyle w:val="Textoindependiente"/>
        <w:spacing w:line="360" w:lineRule="auto"/>
        <w:jc w:val="both"/>
        <w:rPr>
          <w:rFonts w:ascii="Times New Roman" w:hAnsi="Times New Roman" w:cs="Times New Roman"/>
          <w:sz w:val="24"/>
          <w:szCs w:val="24"/>
          <w:lang w:eastAsia="ar-SA"/>
        </w:rPr>
      </w:pPr>
    </w:p>
    <w:p w:rsidR="00BC1BC9" w:rsidRPr="00F97B7E" w:rsidRDefault="00BC1BC9" w:rsidP="00BC1BC9">
      <w:pPr>
        <w:pStyle w:val="Textoindependiente"/>
        <w:spacing w:line="360" w:lineRule="auto"/>
        <w:jc w:val="both"/>
        <w:rPr>
          <w:rFonts w:ascii="Times New Roman" w:hAnsi="Times New Roman" w:cs="Times New Roman"/>
          <w:sz w:val="24"/>
          <w:szCs w:val="24"/>
          <w:lang w:eastAsia="ar-SA"/>
        </w:rPr>
      </w:pPr>
    </w:p>
    <w:p w:rsidR="00BC1BC9" w:rsidRDefault="00BC1BC9" w:rsidP="00BC1BC9">
      <w:pPr>
        <w:pStyle w:val="Textoindependiente"/>
        <w:tabs>
          <w:tab w:val="left" w:pos="720"/>
        </w:tabs>
        <w:spacing w:line="360" w:lineRule="auto"/>
        <w:jc w:val="both"/>
        <w:rPr>
          <w:rFonts w:ascii="Times New Roman" w:hAnsi="Times New Roman" w:cs="Times New Roman"/>
          <w:sz w:val="24"/>
          <w:szCs w:val="24"/>
          <w:lang w:eastAsia="ar-SA"/>
        </w:rPr>
      </w:pPr>
      <w:r w:rsidRPr="00F97B7E">
        <w:rPr>
          <w:rFonts w:ascii="Times New Roman" w:hAnsi="Times New Roman" w:cs="Times New Roman"/>
          <w:sz w:val="24"/>
          <w:szCs w:val="24"/>
          <w:lang w:eastAsia="ar-SA"/>
        </w:rPr>
        <w:t xml:space="preserve">Las denuncias por robo se han caracterizado en los últimos años por un accionar inconstante, que aunado al </w:t>
      </w:r>
      <w:r>
        <w:rPr>
          <w:rFonts w:ascii="Times New Roman" w:hAnsi="Times New Roman" w:cs="Times New Roman"/>
          <w:sz w:val="24"/>
          <w:szCs w:val="24"/>
          <w:lang w:eastAsia="ar-SA"/>
        </w:rPr>
        <w:t>factor</w:t>
      </w:r>
      <w:r w:rsidRPr="00F97B7E">
        <w:rPr>
          <w:rFonts w:ascii="Times New Roman" w:hAnsi="Times New Roman" w:cs="Times New Roman"/>
          <w:sz w:val="24"/>
          <w:szCs w:val="24"/>
          <w:lang w:eastAsia="ar-SA"/>
        </w:rPr>
        <w:t xml:space="preserve"> poblacional</w:t>
      </w:r>
      <w:r>
        <w:rPr>
          <w:rFonts w:ascii="Times New Roman" w:hAnsi="Times New Roman" w:cs="Times New Roman"/>
          <w:sz w:val="24"/>
          <w:szCs w:val="24"/>
          <w:lang w:eastAsia="ar-SA"/>
        </w:rPr>
        <w:t xml:space="preserve">, provoca una oscilación en el </w:t>
      </w:r>
      <w:r w:rsidRPr="00F97B7E">
        <w:rPr>
          <w:rFonts w:ascii="Times New Roman" w:hAnsi="Times New Roman" w:cs="Times New Roman"/>
          <w:sz w:val="24"/>
          <w:szCs w:val="24"/>
          <w:lang w:eastAsia="ar-SA"/>
        </w:rPr>
        <w:t xml:space="preserve">comportamiento </w:t>
      </w:r>
      <w:r>
        <w:rPr>
          <w:rFonts w:ascii="Times New Roman" w:hAnsi="Times New Roman" w:cs="Times New Roman"/>
          <w:sz w:val="24"/>
          <w:szCs w:val="24"/>
          <w:lang w:eastAsia="ar-SA"/>
        </w:rPr>
        <w:t xml:space="preserve">relacionado </w:t>
      </w:r>
      <w:proofErr w:type="spellStart"/>
      <w:r>
        <w:rPr>
          <w:rFonts w:ascii="Times New Roman" w:hAnsi="Times New Roman" w:cs="Times New Roman"/>
          <w:sz w:val="24"/>
          <w:szCs w:val="24"/>
          <w:lang w:eastAsia="ar-SA"/>
        </w:rPr>
        <w:t>coneste</w:t>
      </w:r>
      <w:proofErr w:type="spellEnd"/>
      <w:r>
        <w:rPr>
          <w:rFonts w:ascii="Times New Roman" w:hAnsi="Times New Roman" w:cs="Times New Roman"/>
          <w:sz w:val="24"/>
          <w:szCs w:val="24"/>
          <w:lang w:eastAsia="ar-SA"/>
        </w:rPr>
        <w:t xml:space="preserve"> </w:t>
      </w:r>
      <w:r w:rsidRPr="00F97B7E">
        <w:rPr>
          <w:rFonts w:ascii="Times New Roman" w:hAnsi="Times New Roman" w:cs="Times New Roman"/>
          <w:sz w:val="24"/>
          <w:szCs w:val="24"/>
          <w:lang w:eastAsia="ar-SA"/>
        </w:rPr>
        <w:t xml:space="preserve">indicador. </w:t>
      </w:r>
    </w:p>
    <w:p w:rsidR="00BC1BC9" w:rsidRDefault="00BC1BC9" w:rsidP="00BC1BC9">
      <w:pPr>
        <w:pStyle w:val="Textoindependiente"/>
        <w:tabs>
          <w:tab w:val="left" w:pos="720"/>
        </w:tabs>
        <w:spacing w:line="360" w:lineRule="auto"/>
        <w:jc w:val="both"/>
        <w:rPr>
          <w:rFonts w:ascii="Times New Roman" w:hAnsi="Times New Roman" w:cs="Times New Roman"/>
          <w:sz w:val="24"/>
          <w:szCs w:val="24"/>
          <w:lang w:eastAsia="ar-SA"/>
        </w:rPr>
      </w:pPr>
    </w:p>
    <w:p w:rsidR="00BC1BC9" w:rsidRPr="00F97B7E" w:rsidRDefault="00BC1BC9" w:rsidP="00BC1BC9">
      <w:pPr>
        <w:pStyle w:val="Textoindependiente"/>
        <w:tabs>
          <w:tab w:val="left" w:pos="720"/>
        </w:tabs>
        <w:spacing w:line="360" w:lineRule="auto"/>
        <w:jc w:val="both"/>
        <w:rPr>
          <w:rFonts w:ascii="Times New Roman" w:hAnsi="Times New Roman" w:cs="Times New Roman"/>
          <w:sz w:val="24"/>
          <w:szCs w:val="24"/>
          <w:lang w:eastAsia="ar-SA"/>
        </w:rPr>
      </w:pPr>
      <w:r w:rsidRPr="00F97B7E">
        <w:rPr>
          <w:rFonts w:ascii="Times New Roman" w:hAnsi="Times New Roman" w:cs="Times New Roman"/>
          <w:sz w:val="24"/>
          <w:szCs w:val="24"/>
          <w:lang w:eastAsia="ar-SA"/>
        </w:rPr>
        <w:lastRenderedPageBreak/>
        <w:t>Para el 201</w:t>
      </w:r>
      <w:r>
        <w:rPr>
          <w:rFonts w:ascii="Times New Roman" w:hAnsi="Times New Roman" w:cs="Times New Roman"/>
          <w:sz w:val="24"/>
          <w:szCs w:val="24"/>
          <w:lang w:eastAsia="ar-SA"/>
        </w:rPr>
        <w:t xml:space="preserve">5 se obtuvo un cociente de 998 </w:t>
      </w:r>
      <w:r w:rsidRPr="00F97B7E">
        <w:rPr>
          <w:rFonts w:ascii="Times New Roman" w:hAnsi="Times New Roman" w:cs="Times New Roman"/>
          <w:sz w:val="24"/>
          <w:szCs w:val="24"/>
          <w:lang w:eastAsia="ar-SA"/>
        </w:rPr>
        <w:t>denuncias por robo</w:t>
      </w:r>
      <w:r>
        <w:rPr>
          <w:rFonts w:ascii="Times New Roman" w:hAnsi="Times New Roman" w:cs="Times New Roman"/>
          <w:sz w:val="24"/>
          <w:szCs w:val="24"/>
          <w:lang w:eastAsia="ar-SA"/>
        </w:rPr>
        <w:t>,</w:t>
      </w:r>
      <w:r w:rsidRPr="00F97B7E">
        <w:rPr>
          <w:rFonts w:ascii="Times New Roman" w:hAnsi="Times New Roman" w:cs="Times New Roman"/>
          <w:sz w:val="24"/>
          <w:szCs w:val="24"/>
          <w:lang w:eastAsia="ar-SA"/>
        </w:rPr>
        <w:t xml:space="preserve"> por cada cien mil habitantes. </w:t>
      </w:r>
    </w:p>
    <w:p w:rsidR="00BC1BC9" w:rsidRPr="00F97B7E" w:rsidRDefault="00BC1BC9" w:rsidP="00BC1BC9">
      <w:pPr>
        <w:pStyle w:val="Textoindependiente"/>
        <w:spacing w:line="360" w:lineRule="auto"/>
        <w:rPr>
          <w:rFonts w:ascii="Times New Roman" w:hAnsi="Times New Roman" w:cs="Times New Roman"/>
          <w:sz w:val="24"/>
          <w:szCs w:val="24"/>
          <w:highlight w:val="yellow"/>
          <w:lang w:eastAsia="ar-SA"/>
        </w:rPr>
      </w:pPr>
    </w:p>
    <w:p w:rsidR="00BC1BC9" w:rsidRPr="00F97B7E" w:rsidRDefault="003A1B7B" w:rsidP="00BC1BC9">
      <w:pPr>
        <w:pStyle w:val="Textoindependiente"/>
        <w:spacing w:line="360" w:lineRule="auto"/>
        <w:jc w:val="center"/>
        <w:rPr>
          <w:rFonts w:ascii="Times New Roman" w:hAnsi="Times New Roman" w:cs="Times New Roman"/>
          <w:sz w:val="24"/>
          <w:szCs w:val="24"/>
          <w:lang w:eastAsia="ar-SA"/>
        </w:rPr>
      </w:pPr>
      <w:r w:rsidRPr="003A1B7B">
        <w:rPr>
          <w:rFonts w:ascii="Times New Roman" w:hAnsi="Times New Roman" w:cs="Times New Roman"/>
          <w:noProof/>
          <w:sz w:val="24"/>
          <w:szCs w:val="24"/>
          <w:highlight w:val="yellow"/>
          <w:lang w:val="es-CR" w:eastAsia="es-CR"/>
        </w:rPr>
        <w:pict>
          <v:shape id="Cuadro de texto 107" o:spid="_x0000_s1043" type="#_x0000_t202" style="position:absolute;left:0;text-align:left;margin-left:38.5pt;margin-top:217.8pt;width:335.5pt;height:18pt;z-index:25171456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" stroked="f">
            <v:fill opacity="0"/>
            <v:textbox inset="0,0,0,0">
              <w:txbxContent>
                <w:p w:rsidR="00071467" w:rsidRPr="008B7C57" w:rsidRDefault="00071467" w:rsidP="00BC1BC9">
                  <w:pPr>
                    <w:rPr>
                      <w:rFonts w:ascii="Times New Roman" w:hAnsi="Times New Roman" w:cs="Times New Roman"/>
                      <w:sz w:val="16"/>
                      <w:szCs w:val="16"/>
                      <w:lang w:eastAsia="ar-SA"/>
                    </w:rPr>
                  </w:pPr>
                  <w:r w:rsidRPr="008B7C57">
                    <w:rPr>
                      <w:rFonts w:ascii="Times New Roman" w:hAnsi="Times New Roman" w:cs="Times New Roman"/>
                      <w:sz w:val="16"/>
                      <w:szCs w:val="16"/>
                      <w:lang w:eastAsia="ar-SA"/>
                    </w:rPr>
                    <w:t>Fuente: Sección de Estadística, Dirección de Planificación</w:t>
                  </w:r>
                  <w:r>
                    <w:rPr>
                      <w:rFonts w:ascii="Times New Roman" w:hAnsi="Times New Roman" w:cs="Times New Roman"/>
                      <w:sz w:val="16"/>
                      <w:szCs w:val="16"/>
                      <w:lang w:eastAsia="ar-SA"/>
                    </w:rPr>
                    <w:t xml:space="preserve"> e </w:t>
                  </w:r>
                  <w:r w:rsidRPr="008B7C57">
                    <w:rPr>
                      <w:rFonts w:ascii="Times New Roman" w:hAnsi="Times New Roman" w:cs="Times New Roman"/>
                      <w:sz w:val="16"/>
                      <w:szCs w:val="16"/>
                      <w:lang w:eastAsia="ar-SA"/>
                    </w:rPr>
                    <w:t>Instituto Nacional de Estadística y Censos</w:t>
                  </w:r>
                </w:p>
              </w:txbxContent>
            </v:textbox>
          </v:shape>
        </w:pict>
      </w:r>
      <w:r w:rsidR="00BC1BC9">
        <w:rPr>
          <w:rFonts w:ascii="Times New Roman" w:hAnsi="Times New Roman" w:cs="Times New Roman"/>
          <w:noProof/>
          <w:sz w:val="24"/>
          <w:szCs w:val="24"/>
          <w:lang w:val="es-CR" w:eastAsia="es-CR"/>
        </w:rPr>
        <w:drawing>
          <wp:inline distT="0" distB="0" distL="0" distR="0">
            <wp:extent cx="4933950" cy="3114675"/>
            <wp:effectExtent l="0" t="0" r="38100" b="28575"/>
            <wp:docPr id="102" name="Objet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BC1BC9" w:rsidRDefault="00BC1BC9" w:rsidP="00BC1BC9">
      <w:pPr>
        <w:rPr>
          <w:rFonts w:ascii="Times New Roman" w:hAnsi="Times New Roman" w:cs="Times New Roman"/>
        </w:rPr>
      </w:pPr>
    </w:p>
    <w:p w:rsidR="00BC1BC9" w:rsidRPr="00F97B7E" w:rsidRDefault="00BC1BC9" w:rsidP="00BC1BC9">
      <w:pPr>
        <w:rPr>
          <w:rFonts w:ascii="Times New Roman" w:hAnsi="Times New Roman" w:cs="Times New Roman"/>
        </w:rPr>
      </w:pPr>
    </w:p>
    <w:p w:rsidR="00BC1BC9" w:rsidRPr="00F97B7E" w:rsidRDefault="00BC1BC9" w:rsidP="00BC1BC9">
      <w:pPr>
        <w:pStyle w:val="Textoindependiente"/>
        <w:spacing w:line="360" w:lineRule="auto"/>
        <w:rPr>
          <w:rFonts w:ascii="Times New Roman" w:hAnsi="Times New Roman" w:cs="Times New Roman"/>
          <w:b/>
          <w:sz w:val="24"/>
          <w:szCs w:val="24"/>
        </w:rPr>
      </w:pPr>
      <w:r w:rsidRPr="00F97B7E">
        <w:rPr>
          <w:rFonts w:ascii="Times New Roman" w:hAnsi="Times New Roman" w:cs="Times New Roman"/>
          <w:b/>
          <w:sz w:val="24"/>
          <w:szCs w:val="24"/>
        </w:rPr>
        <w:t>8.7</w:t>
      </w:r>
      <w:r w:rsidRPr="00F97B7E">
        <w:rPr>
          <w:rFonts w:ascii="Times New Roman" w:hAnsi="Times New Roman" w:cs="Times New Roman"/>
          <w:b/>
          <w:sz w:val="24"/>
          <w:szCs w:val="24"/>
        </w:rPr>
        <w:tab/>
        <w:t>Tasa de muerte por arma de fuego</w:t>
      </w:r>
    </w:p>
    <w:p w:rsidR="00BC1BC9" w:rsidRPr="00F97B7E" w:rsidRDefault="00BC1BC9" w:rsidP="00BC1BC9">
      <w:pPr>
        <w:spacing w:line="360" w:lineRule="auto"/>
        <w:rPr>
          <w:rFonts w:ascii="Times New Roman" w:hAnsi="Times New Roman" w:cs="Times New Roman"/>
          <w:lang w:eastAsia="ar-SA"/>
        </w:rPr>
      </w:pPr>
    </w:p>
    <w:p w:rsidR="00BC1BC9" w:rsidRDefault="00BC1BC9" w:rsidP="00BC1BC9">
      <w:pPr>
        <w:spacing w:line="360" w:lineRule="auto"/>
        <w:jc w:val="both"/>
        <w:rPr>
          <w:rFonts w:ascii="Times New Roman" w:hAnsi="Times New Roman" w:cs="Times New Roman"/>
          <w:lang w:eastAsia="ar-SA"/>
        </w:rPr>
      </w:pPr>
      <w:r w:rsidRPr="00F97B7E">
        <w:rPr>
          <w:rFonts w:ascii="Times New Roman" w:hAnsi="Times New Roman" w:cs="Times New Roman"/>
          <w:lang w:eastAsia="ar-SA"/>
        </w:rPr>
        <w:t xml:space="preserve">Esta tasa agrupa aquellas muertes violentas, donde medió un arma de fuego en el deceso de una persona, a saber: homicidio doloso, homicidio culposo, muerte accidental y suicidio. </w:t>
      </w:r>
    </w:p>
    <w:p w:rsidR="00BC1BC9" w:rsidRDefault="00BC1BC9" w:rsidP="00BC1BC9">
      <w:pPr>
        <w:spacing w:line="360" w:lineRule="auto"/>
        <w:jc w:val="both"/>
        <w:rPr>
          <w:rFonts w:ascii="Times New Roman" w:hAnsi="Times New Roman" w:cs="Times New Roman"/>
          <w:lang w:eastAsia="ar-SA"/>
        </w:rPr>
      </w:pPr>
    </w:p>
    <w:p w:rsidR="00BC1BC9" w:rsidRDefault="00BC1BC9" w:rsidP="00BC1BC9">
      <w:pPr>
        <w:spacing w:line="360" w:lineRule="auto"/>
        <w:jc w:val="both"/>
        <w:rPr>
          <w:rFonts w:ascii="Times New Roman" w:hAnsi="Times New Roman" w:cs="Times New Roman"/>
          <w:lang w:eastAsia="ar-SA"/>
        </w:rPr>
      </w:pPr>
      <w:r>
        <w:rPr>
          <w:rFonts w:ascii="Times New Roman" w:hAnsi="Times New Roman" w:cs="Times New Roman"/>
          <w:lang w:eastAsia="ar-SA"/>
        </w:rPr>
        <w:t xml:space="preserve">Para el presente año este indicador externó un moderado descenso, al calcularse en 8,0, interrumpiendo el patrón ascendente de los últimos tres períodos, </w:t>
      </w:r>
      <w:r w:rsidRPr="00F97B7E">
        <w:rPr>
          <w:rFonts w:ascii="Times New Roman" w:hAnsi="Times New Roman" w:cs="Times New Roman"/>
          <w:lang w:eastAsia="ar-SA"/>
        </w:rPr>
        <w:t xml:space="preserve">lo que equivale a </w:t>
      </w:r>
      <w:r>
        <w:rPr>
          <w:rFonts w:ascii="Times New Roman" w:hAnsi="Times New Roman" w:cs="Times New Roman"/>
          <w:lang w:eastAsia="ar-SA"/>
        </w:rPr>
        <w:t>ocho</w:t>
      </w:r>
      <w:r w:rsidRPr="00F97B7E">
        <w:rPr>
          <w:rFonts w:ascii="Times New Roman" w:hAnsi="Times New Roman" w:cs="Times New Roman"/>
          <w:lang w:eastAsia="ar-SA"/>
        </w:rPr>
        <w:t xml:space="preserve"> muertes por arma de fuego</w:t>
      </w:r>
      <w:r>
        <w:rPr>
          <w:rFonts w:ascii="Times New Roman" w:hAnsi="Times New Roman" w:cs="Times New Roman"/>
          <w:lang w:eastAsia="ar-SA"/>
        </w:rPr>
        <w:t>,</w:t>
      </w:r>
      <w:r w:rsidRPr="00F97B7E">
        <w:rPr>
          <w:rFonts w:ascii="Times New Roman" w:hAnsi="Times New Roman" w:cs="Times New Roman"/>
          <w:lang w:eastAsia="ar-SA"/>
        </w:rPr>
        <w:t xml:space="preserve"> por cada cien mil habitantes</w:t>
      </w:r>
      <w:r>
        <w:rPr>
          <w:rFonts w:ascii="Times New Roman" w:hAnsi="Times New Roman" w:cs="Times New Roman"/>
          <w:lang w:eastAsia="ar-SA"/>
        </w:rPr>
        <w:t xml:space="preserve">. </w:t>
      </w:r>
    </w:p>
    <w:p w:rsidR="00BC1BC9" w:rsidRDefault="00BC1BC9" w:rsidP="00BC1BC9">
      <w:pPr>
        <w:spacing w:line="360" w:lineRule="auto"/>
        <w:jc w:val="both"/>
        <w:rPr>
          <w:rFonts w:ascii="Times New Roman" w:hAnsi="Times New Roman" w:cs="Times New Roman"/>
          <w:lang w:eastAsia="ar-SA"/>
        </w:rPr>
      </w:pPr>
    </w:p>
    <w:p w:rsidR="00BC1BC9" w:rsidRPr="00F97B7E" w:rsidRDefault="003A1B7B" w:rsidP="00BC1BC9">
      <w:pPr>
        <w:spacing w:line="360" w:lineRule="auto"/>
        <w:jc w:val="center"/>
        <w:rPr>
          <w:rFonts w:ascii="Times New Roman" w:hAnsi="Times New Roman" w:cs="Times New Roman"/>
        </w:rPr>
      </w:pPr>
      <w:r>
        <w:rPr>
          <w:rFonts w:ascii="Times New Roman" w:hAnsi="Times New Roman" w:cs="Times New Roman"/>
          <w:noProof/>
          <w:lang w:val="es-CR" w:eastAsia="es-CR"/>
        </w:rPr>
        <w:lastRenderedPageBreak/>
        <w:pict>
          <v:shape id="Cuadro de texto 106" o:spid="_x0000_s1044" type="#_x0000_t202" style="position:absolute;left:0;text-align:left;margin-left:45pt;margin-top:3in;width:319pt;height:18pt;z-index:25171660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" stroked="f">
            <v:fill opacity="0"/>
            <v:textbox inset="0,0,0,0">
              <w:txbxContent>
                <w:p w:rsidR="00071467" w:rsidRPr="0063090F" w:rsidRDefault="00071467" w:rsidP="00BC1BC9">
                  <w:pPr>
                    <w:rPr>
                      <w:rFonts w:ascii="Times New Roman" w:hAnsi="Times New Roman" w:cs="Times New Roman"/>
                      <w:sz w:val="16"/>
                      <w:szCs w:val="16"/>
                      <w:lang w:eastAsia="ar-SA"/>
                    </w:rPr>
                  </w:pPr>
                  <w:r w:rsidRPr="005003A3">
                    <w:rPr>
                      <w:rFonts w:ascii="Times New Roman" w:hAnsi="Times New Roman" w:cs="Times New Roman"/>
                      <w:sz w:val="16"/>
                      <w:szCs w:val="16"/>
                      <w:lang w:eastAsia="ar-SA"/>
                    </w:rPr>
                    <w:t>Fuente: Sección de Estadística, Dirección de Planificación</w:t>
                  </w:r>
                  <w:r>
                    <w:rPr>
                      <w:rFonts w:ascii="Times New Roman" w:hAnsi="Times New Roman" w:cs="Times New Roman"/>
                      <w:sz w:val="16"/>
                      <w:szCs w:val="16"/>
                      <w:lang w:eastAsia="ar-SA"/>
                    </w:rPr>
                    <w:t xml:space="preserve"> e </w:t>
                  </w:r>
                  <w:r w:rsidRPr="005003A3">
                    <w:rPr>
                      <w:rFonts w:ascii="Times New Roman" w:hAnsi="Times New Roman" w:cs="Times New Roman"/>
                      <w:sz w:val="16"/>
                      <w:szCs w:val="16"/>
                      <w:lang w:eastAsia="ar-SA"/>
                    </w:rPr>
                    <w:t>Instituto Nacional de Estadística y Censos</w:t>
                  </w:r>
                </w:p>
              </w:txbxContent>
            </v:textbox>
          </v:shape>
        </w:pict>
      </w:r>
      <w:r w:rsidR="00BC1BC9">
        <w:rPr>
          <w:rFonts w:ascii="Times New Roman" w:hAnsi="Times New Roman" w:cs="Times New Roman"/>
          <w:noProof/>
          <w:lang w:val="es-CR" w:eastAsia="es-CR"/>
        </w:rPr>
        <w:drawing>
          <wp:inline distT="0" distB="0" distL="0" distR="0">
            <wp:extent cx="4876800" cy="3076575"/>
            <wp:effectExtent l="0" t="0" r="38100" b="28575"/>
            <wp:docPr id="103" name="Objet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BC1BC9" w:rsidRPr="004A7E66" w:rsidRDefault="00BC1BC9" w:rsidP="00BC1BC9">
      <w:pPr>
        <w:spacing w:line="360" w:lineRule="auto"/>
        <w:jc w:val="both"/>
        <w:rPr>
          <w:rFonts w:ascii="Times New Roman" w:hAnsi="Times New Roman" w:cs="Times New Roman"/>
          <w:lang w:eastAsia="ar-SA"/>
        </w:rPr>
      </w:pPr>
    </w:p>
    <w:p w:rsidR="00BC1BC9" w:rsidRPr="00F97B7E" w:rsidRDefault="00BC1BC9" w:rsidP="00BC1BC9">
      <w:pPr>
        <w:pStyle w:val="Ttulo2"/>
        <w:rPr>
          <w:rFonts w:ascii="Times New Roman" w:hAnsi="Times New Roman" w:cs="Times New Roman"/>
          <w:i w:val="0"/>
          <w:sz w:val="24"/>
          <w:szCs w:val="24"/>
        </w:rPr>
      </w:pPr>
      <w:r w:rsidRPr="00F97B7E">
        <w:rPr>
          <w:rFonts w:ascii="Times New Roman" w:hAnsi="Times New Roman" w:cs="Times New Roman"/>
          <w:i w:val="0"/>
          <w:sz w:val="24"/>
          <w:szCs w:val="24"/>
        </w:rPr>
        <w:t>8.8</w:t>
      </w:r>
      <w:r w:rsidRPr="00F97B7E">
        <w:rPr>
          <w:rFonts w:ascii="Times New Roman" w:hAnsi="Times New Roman" w:cs="Times New Roman"/>
          <w:i w:val="0"/>
          <w:sz w:val="24"/>
          <w:szCs w:val="24"/>
        </w:rPr>
        <w:tab/>
        <w:t>Tasa de víctimas por accidentes de tránsito</w:t>
      </w:r>
    </w:p>
    <w:p w:rsidR="00BC1BC9" w:rsidRPr="00F97B7E" w:rsidRDefault="00BC1BC9" w:rsidP="00BC1BC9">
      <w:pPr>
        <w:spacing w:line="360" w:lineRule="auto"/>
        <w:jc w:val="both"/>
        <w:rPr>
          <w:rFonts w:ascii="Times New Roman" w:hAnsi="Times New Roman" w:cs="Times New Roman"/>
          <w:lang w:eastAsia="ar-SA"/>
        </w:rPr>
      </w:pPr>
    </w:p>
    <w:p w:rsidR="00BC1BC9" w:rsidRDefault="00BC1BC9" w:rsidP="00BC1BC9">
      <w:pPr>
        <w:spacing w:line="360" w:lineRule="auto"/>
        <w:jc w:val="both"/>
        <w:rPr>
          <w:rFonts w:ascii="Times New Roman" w:hAnsi="Times New Roman" w:cs="Times New Roman"/>
          <w:lang w:eastAsia="ar-SA"/>
        </w:rPr>
      </w:pPr>
      <w:r w:rsidRPr="00F97B7E">
        <w:rPr>
          <w:rFonts w:ascii="Times New Roman" w:hAnsi="Times New Roman" w:cs="Times New Roman"/>
          <w:lang w:eastAsia="ar-SA"/>
        </w:rPr>
        <w:t xml:space="preserve">Los accidentes de tránsito continúan siendo </w:t>
      </w:r>
      <w:r>
        <w:rPr>
          <w:rFonts w:ascii="Times New Roman" w:hAnsi="Times New Roman" w:cs="Times New Roman"/>
          <w:lang w:eastAsia="ar-SA"/>
        </w:rPr>
        <w:t>unas de las</w:t>
      </w:r>
      <w:r w:rsidRPr="00F97B7E">
        <w:rPr>
          <w:rFonts w:ascii="Times New Roman" w:hAnsi="Times New Roman" w:cs="Times New Roman"/>
          <w:lang w:eastAsia="ar-SA"/>
        </w:rPr>
        <w:t xml:space="preserve"> primera</w:t>
      </w:r>
      <w:r>
        <w:rPr>
          <w:rFonts w:ascii="Times New Roman" w:hAnsi="Times New Roman" w:cs="Times New Roman"/>
          <w:lang w:eastAsia="ar-SA"/>
        </w:rPr>
        <w:t>s</w:t>
      </w:r>
      <w:r w:rsidRPr="00F97B7E">
        <w:rPr>
          <w:rFonts w:ascii="Times New Roman" w:hAnsi="Times New Roman" w:cs="Times New Roman"/>
          <w:lang w:eastAsia="ar-SA"/>
        </w:rPr>
        <w:t xml:space="preserve"> causa</w:t>
      </w:r>
      <w:r>
        <w:rPr>
          <w:rFonts w:ascii="Times New Roman" w:hAnsi="Times New Roman" w:cs="Times New Roman"/>
          <w:lang w:eastAsia="ar-SA"/>
        </w:rPr>
        <w:t>s</w:t>
      </w:r>
      <w:r w:rsidRPr="00F97B7E">
        <w:rPr>
          <w:rFonts w:ascii="Times New Roman" w:hAnsi="Times New Roman" w:cs="Times New Roman"/>
          <w:lang w:eastAsia="ar-SA"/>
        </w:rPr>
        <w:t xml:space="preserve"> de muerte</w:t>
      </w:r>
      <w:r>
        <w:rPr>
          <w:rFonts w:ascii="Times New Roman" w:hAnsi="Times New Roman" w:cs="Times New Roman"/>
          <w:lang w:eastAsia="ar-SA"/>
        </w:rPr>
        <w:t>s</w:t>
      </w:r>
      <w:r w:rsidRPr="00F97B7E">
        <w:rPr>
          <w:rFonts w:ascii="Times New Roman" w:hAnsi="Times New Roman" w:cs="Times New Roman"/>
          <w:lang w:eastAsia="ar-SA"/>
        </w:rPr>
        <w:t xml:space="preserve"> violenta</w:t>
      </w:r>
      <w:r>
        <w:rPr>
          <w:rFonts w:ascii="Times New Roman" w:hAnsi="Times New Roman" w:cs="Times New Roman"/>
          <w:lang w:eastAsia="ar-SA"/>
        </w:rPr>
        <w:t>s</w:t>
      </w:r>
      <w:r w:rsidRPr="00F97B7E">
        <w:rPr>
          <w:rFonts w:ascii="Times New Roman" w:hAnsi="Times New Roman" w:cs="Times New Roman"/>
          <w:lang w:eastAsia="ar-SA"/>
        </w:rPr>
        <w:t xml:space="preserve"> en el país. </w:t>
      </w:r>
    </w:p>
    <w:p w:rsidR="00BC1BC9" w:rsidRPr="00F97B7E" w:rsidRDefault="00BC1BC9" w:rsidP="00BC1BC9">
      <w:pPr>
        <w:spacing w:line="360" w:lineRule="auto"/>
        <w:jc w:val="both"/>
        <w:rPr>
          <w:rFonts w:ascii="Times New Roman" w:hAnsi="Times New Roman" w:cs="Times New Roman"/>
          <w:lang w:eastAsia="ar-SA"/>
        </w:rPr>
      </w:pPr>
    </w:p>
    <w:p w:rsidR="00BC1BC9" w:rsidRPr="00F97B7E" w:rsidRDefault="003A1B7B" w:rsidP="00BC1BC9">
      <w:pPr>
        <w:spacing w:line="360" w:lineRule="auto"/>
        <w:jc w:val="center"/>
        <w:rPr>
          <w:rFonts w:ascii="Times New Roman" w:hAnsi="Times New Roman" w:cs="Times New Roman"/>
          <w:b/>
          <w:bCs/>
          <w:lang w:eastAsia="ar-SA"/>
        </w:rPr>
      </w:pPr>
      <w:r w:rsidRPr="003A1B7B">
        <w:rPr>
          <w:rFonts w:ascii="Times New Roman" w:hAnsi="Times New Roman" w:cs="Times New Roman"/>
          <w:noProof/>
          <w:lang w:val="es-CR" w:eastAsia="es-CR"/>
        </w:rPr>
        <w:lastRenderedPageBreak/>
        <w:pict>
          <v:shape id="Cuadro de texto 105" o:spid="_x0000_s1045" type="#_x0000_t202" style="position:absolute;left:0;text-align:left;margin-left:38.5pt;margin-top:3in;width:341pt;height:10pt;z-index:25171353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" stroked="f">
            <v:fill opacity="0"/>
            <v:textbox inset="0,0,0,0">
              <w:txbxContent>
                <w:p w:rsidR="00071467" w:rsidRDefault="00071467" w:rsidP="00BC1BC9">
                  <w:pPr>
                    <w:rPr>
                      <w:sz w:val="14"/>
                      <w:szCs w:val="14"/>
                      <w:lang w:eastAsia="ar-SA"/>
                    </w:rPr>
                  </w:pPr>
                  <w:r w:rsidRPr="00D71540">
                    <w:rPr>
                      <w:rFonts w:ascii="Times New Roman" w:hAnsi="Times New Roman" w:cs="Times New Roman"/>
                      <w:sz w:val="14"/>
                      <w:szCs w:val="14"/>
                      <w:lang w:eastAsia="ar-SA"/>
                    </w:rPr>
                    <w:t>Fuente: Sección de Estadística, Dirección de Planificación</w:t>
                  </w:r>
                  <w:r>
                    <w:rPr>
                      <w:rFonts w:ascii="Times New Roman" w:hAnsi="Times New Roman" w:cs="Times New Roman"/>
                      <w:sz w:val="14"/>
                      <w:szCs w:val="14"/>
                      <w:lang w:eastAsia="ar-SA"/>
                    </w:rPr>
                    <w:t xml:space="preserve"> e </w:t>
                  </w:r>
                  <w:r w:rsidRPr="00D71540">
                    <w:rPr>
                      <w:rFonts w:ascii="Times New Roman" w:hAnsi="Times New Roman" w:cs="Times New Roman"/>
                      <w:sz w:val="14"/>
                      <w:szCs w:val="14"/>
                      <w:lang w:eastAsia="ar-SA"/>
                    </w:rPr>
                    <w:t>Instituto Nacional de Estadística y Censos.</w:t>
                  </w:r>
                </w:p>
              </w:txbxContent>
            </v:textbox>
          </v:shape>
        </w:pict>
      </w:r>
      <w:r w:rsidR="00BC1BC9">
        <w:rPr>
          <w:rFonts w:ascii="Times New Roman" w:hAnsi="Times New Roman" w:cs="Times New Roman"/>
          <w:noProof/>
          <w:lang w:val="es-CR" w:eastAsia="es-CR"/>
        </w:rPr>
        <w:drawing>
          <wp:inline distT="0" distB="0" distL="0" distR="0">
            <wp:extent cx="5076825" cy="3152775"/>
            <wp:effectExtent l="0" t="0" r="28575" b="28575"/>
            <wp:docPr id="104" name="Objet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BC1BC9" w:rsidRDefault="00BC1BC9" w:rsidP="00BC1BC9">
      <w:pPr>
        <w:spacing w:line="360" w:lineRule="auto"/>
        <w:jc w:val="both"/>
        <w:rPr>
          <w:rFonts w:ascii="Times New Roman" w:hAnsi="Times New Roman" w:cs="Times New Roman"/>
          <w:lang w:eastAsia="ar-SA"/>
        </w:rPr>
      </w:pPr>
      <w:r>
        <w:rPr>
          <w:rFonts w:ascii="Times New Roman" w:hAnsi="Times New Roman" w:cs="Times New Roman"/>
          <w:lang w:eastAsia="ar-SA"/>
        </w:rPr>
        <w:t>Los</w:t>
      </w:r>
      <w:r w:rsidRPr="00F97B7E">
        <w:rPr>
          <w:rFonts w:ascii="Times New Roman" w:hAnsi="Times New Roman" w:cs="Times New Roman"/>
          <w:lang w:eastAsia="ar-SA"/>
        </w:rPr>
        <w:t xml:space="preserve"> </w:t>
      </w:r>
      <w:proofErr w:type="spellStart"/>
      <w:r w:rsidRPr="00F97B7E">
        <w:rPr>
          <w:rFonts w:ascii="Times New Roman" w:hAnsi="Times New Roman" w:cs="Times New Roman"/>
          <w:lang w:eastAsia="ar-SA"/>
        </w:rPr>
        <w:t>dato</w:t>
      </w:r>
      <w:r>
        <w:rPr>
          <w:rFonts w:ascii="Times New Roman" w:hAnsi="Times New Roman" w:cs="Times New Roman"/>
          <w:lang w:eastAsia="ar-SA"/>
        </w:rPr>
        <w:t>silustrados</w:t>
      </w:r>
      <w:proofErr w:type="spellEnd"/>
      <w:r>
        <w:rPr>
          <w:rFonts w:ascii="Times New Roman" w:hAnsi="Times New Roman" w:cs="Times New Roman"/>
          <w:lang w:eastAsia="ar-SA"/>
        </w:rPr>
        <w:t xml:space="preserve"> en el gráfico anterior enuncian una razón de 12,6 víctimas </w:t>
      </w:r>
      <w:r w:rsidRPr="00F97B7E">
        <w:rPr>
          <w:rFonts w:ascii="Times New Roman" w:hAnsi="Times New Roman" w:cs="Times New Roman"/>
          <w:lang w:eastAsia="ar-SA"/>
        </w:rPr>
        <w:t xml:space="preserve">por </w:t>
      </w:r>
      <w:r>
        <w:rPr>
          <w:rFonts w:ascii="Times New Roman" w:hAnsi="Times New Roman" w:cs="Times New Roman"/>
          <w:lang w:eastAsia="ar-SA"/>
        </w:rPr>
        <w:t xml:space="preserve">cada </w:t>
      </w:r>
      <w:r w:rsidRPr="00F97B7E">
        <w:rPr>
          <w:rFonts w:ascii="Times New Roman" w:hAnsi="Times New Roman" w:cs="Times New Roman"/>
          <w:lang w:eastAsia="ar-SA"/>
        </w:rPr>
        <w:t>cien mil habitantes</w:t>
      </w:r>
      <w:r>
        <w:rPr>
          <w:rFonts w:ascii="Times New Roman" w:hAnsi="Times New Roman" w:cs="Times New Roman"/>
          <w:lang w:eastAsia="ar-SA"/>
        </w:rPr>
        <w:t xml:space="preserve"> durante el 2015. </w:t>
      </w:r>
    </w:p>
    <w:p w:rsidR="00BC1BC9" w:rsidRDefault="00BC1BC9" w:rsidP="00BC1BC9">
      <w:pPr>
        <w:spacing w:line="360" w:lineRule="auto"/>
        <w:jc w:val="both"/>
        <w:rPr>
          <w:rFonts w:ascii="Times New Roman" w:hAnsi="Times New Roman" w:cs="Times New Roman"/>
          <w:lang w:eastAsia="ar-SA"/>
        </w:rPr>
      </w:pPr>
    </w:p>
    <w:p w:rsidR="00BC1BC9" w:rsidRDefault="00BC1BC9" w:rsidP="00BC1BC9">
      <w:pPr>
        <w:spacing w:line="360" w:lineRule="auto"/>
        <w:jc w:val="both"/>
        <w:rPr>
          <w:rFonts w:ascii="Times New Roman" w:hAnsi="Times New Roman" w:cs="Times New Roman"/>
          <w:lang w:eastAsia="ar-SA"/>
        </w:rPr>
      </w:pPr>
      <w:r>
        <w:rPr>
          <w:rFonts w:ascii="Times New Roman" w:hAnsi="Times New Roman" w:cs="Times New Roman"/>
          <w:lang w:eastAsia="ar-SA"/>
        </w:rPr>
        <w:t xml:space="preserve">Sin embargo, se percibe ahora el resultado más bajo del último quinquenio, luego de reflejar esta razón un comportamiento fluctuante en el quinquenio explorado. </w:t>
      </w:r>
    </w:p>
    <w:p w:rsidR="009030AD" w:rsidRPr="009030AD" w:rsidRDefault="009030AD" w:rsidP="009030AD">
      <w:pPr>
        <w:spacing w:line="360" w:lineRule="auto"/>
        <w:jc w:val="both"/>
        <w:rPr>
          <w:rFonts w:ascii="Times New Roman" w:hAnsi="Times New Roman" w:cs="Times New Roman"/>
        </w:rPr>
      </w:pPr>
    </w:p>
    <w:p w:rsidR="009030AD" w:rsidRPr="009030AD" w:rsidRDefault="009030AD" w:rsidP="009030AD">
      <w:pPr>
        <w:rPr>
          <w:rFonts w:ascii="Times New Roman" w:hAnsi="Times New Roman" w:cs="Times New Roman"/>
        </w:rPr>
      </w:pPr>
    </w:p>
    <w:p w:rsidR="009030AD" w:rsidRDefault="009030AD" w:rsidP="00E9575C">
      <w:pPr>
        <w:pStyle w:val="Textoindependiente"/>
        <w:spacing w:line="360" w:lineRule="auto"/>
        <w:jc w:val="both"/>
        <w:rPr>
          <w:rFonts w:ascii="Times New Roman" w:hAnsi="Times New Roman" w:cs="Times New Roman"/>
          <w:sz w:val="24"/>
          <w:szCs w:val="24"/>
        </w:rPr>
      </w:pPr>
    </w:p>
    <w:p w:rsidR="009030AD" w:rsidRDefault="009030AD" w:rsidP="00E9575C">
      <w:pPr>
        <w:pStyle w:val="Textoindependiente"/>
        <w:spacing w:line="360" w:lineRule="auto"/>
        <w:jc w:val="both"/>
        <w:rPr>
          <w:rFonts w:ascii="Times New Roman" w:hAnsi="Times New Roman" w:cs="Times New Roman"/>
          <w:sz w:val="24"/>
          <w:szCs w:val="24"/>
        </w:rPr>
      </w:pPr>
    </w:p>
    <w:p w:rsidR="009030AD" w:rsidRPr="00951A97" w:rsidRDefault="009030AD" w:rsidP="00E9575C">
      <w:pPr>
        <w:pStyle w:val="Textoindependiente"/>
        <w:spacing w:line="360" w:lineRule="auto"/>
        <w:jc w:val="both"/>
        <w:rPr>
          <w:rFonts w:ascii="Times New Roman" w:hAnsi="Times New Roman" w:cs="Times New Roman"/>
          <w:sz w:val="24"/>
          <w:szCs w:val="24"/>
        </w:rPr>
      </w:pPr>
    </w:p>
    <w:p w:rsidR="007D737B" w:rsidRPr="00684DCA" w:rsidRDefault="00E9575C" w:rsidP="009030AD">
      <w:pPr>
        <w:pStyle w:val="Textoindependiente"/>
        <w:spacing w:line="360" w:lineRule="auto"/>
        <w:jc w:val="center"/>
        <w:rPr>
          <w:rFonts w:ascii="Times New Roman" w:hAnsi="Times New Roman" w:cs="Times New Roman"/>
        </w:rPr>
      </w:pPr>
      <w:r>
        <w:rPr>
          <w:rFonts w:ascii="Times New Roman" w:hAnsi="Times New Roman" w:cs="Times New Roman"/>
        </w:rPr>
        <w:br w:type="page"/>
      </w:r>
    </w:p>
    <w:p w:rsidR="007D737B" w:rsidRPr="00684DCA" w:rsidRDefault="007D737B" w:rsidP="007D737B">
      <w:pPr>
        <w:spacing w:line="360" w:lineRule="auto"/>
        <w:jc w:val="center"/>
        <w:rPr>
          <w:rFonts w:ascii="Times New Roman" w:hAnsi="Times New Roman" w:cs="Times New Roman"/>
        </w:rPr>
      </w:pPr>
    </w:p>
    <w:p w:rsidR="008833DF" w:rsidRPr="008833DF" w:rsidRDefault="008833DF" w:rsidP="008833DF">
      <w:pPr>
        <w:jc w:val="center"/>
        <w:rPr>
          <w:rFonts w:ascii="Times New Roman" w:hAnsi="Times New Roman" w:cs="Times New Roman"/>
          <w:lang w:eastAsia="ar-SA"/>
        </w:rPr>
      </w:pPr>
    </w:p>
    <w:p w:rsidR="008833DF" w:rsidRPr="008833DF" w:rsidRDefault="008833DF" w:rsidP="008833DF">
      <w:pPr>
        <w:keepNext/>
        <w:widowControl/>
        <w:numPr>
          <w:ilvl w:val="0"/>
          <w:numId w:val="12"/>
        </w:numPr>
        <w:pBdr>
          <w:top w:val="single" w:sz="4" w:space="1" w:color="000000"/>
          <w:left w:val="single" w:sz="4" w:space="4" w:color="000000"/>
          <w:bottom w:val="single" w:sz="4" w:space="1" w:color="000000"/>
          <w:right w:val="single" w:sz="4" w:space="4" w:color="000000"/>
        </w:pBdr>
        <w:shd w:val="clear" w:color="auto" w:fill="000000"/>
        <w:tabs>
          <w:tab w:val="left" w:pos="360"/>
          <w:tab w:val="left" w:pos="720"/>
          <w:tab w:val="left" w:pos="900"/>
        </w:tabs>
        <w:suppressAutoHyphens/>
        <w:autoSpaceDE/>
        <w:autoSpaceDN/>
        <w:adjustRightInd/>
        <w:spacing w:line="480" w:lineRule="atLeast"/>
        <w:jc w:val="center"/>
        <w:outlineLvl w:val="0"/>
        <w:rPr>
          <w:rFonts w:ascii="Times New Roman" w:hAnsi="Times New Roman" w:cs="Times New Roman"/>
          <w:b/>
          <w:bCs/>
          <w:iCs/>
          <w:color w:val="FFFFFF"/>
          <w:spacing w:val="-3"/>
          <w:sz w:val="28"/>
          <w:szCs w:val="28"/>
          <w:u w:color="000000"/>
          <w:lang w:eastAsia="ar-SA"/>
        </w:rPr>
      </w:pPr>
      <w:r w:rsidRPr="008833DF">
        <w:rPr>
          <w:rFonts w:ascii="Times New Roman" w:hAnsi="Times New Roman" w:cs="Times New Roman"/>
          <w:b/>
          <w:bCs/>
          <w:iCs/>
          <w:color w:val="FFFFFF"/>
          <w:spacing w:val="-3"/>
          <w:sz w:val="28"/>
          <w:szCs w:val="28"/>
          <w:u w:color="000000"/>
          <w:lang w:eastAsia="ar-SA"/>
        </w:rPr>
        <w:t xml:space="preserve">          VIOLENCIA DOMÉSTICA Y GÉNERO</w:t>
      </w:r>
    </w:p>
    <w:p w:rsidR="008833DF" w:rsidRPr="008833DF" w:rsidRDefault="008833DF" w:rsidP="008833DF">
      <w:pPr>
        <w:spacing w:line="360" w:lineRule="auto"/>
        <w:jc w:val="both"/>
        <w:rPr>
          <w:rFonts w:ascii="Times New Roman" w:hAnsi="Times New Roman" w:cs="Times New Roman"/>
          <w:color w:val="FFFFFF"/>
          <w:lang w:eastAsia="ar-SA"/>
        </w:rPr>
      </w:pPr>
    </w:p>
    <w:p w:rsidR="008833DF" w:rsidRPr="008833DF" w:rsidRDefault="008833DF" w:rsidP="008833DF">
      <w:pPr>
        <w:spacing w:line="360" w:lineRule="auto"/>
        <w:jc w:val="center"/>
        <w:rPr>
          <w:rFonts w:ascii="Times New Roman" w:hAnsi="Times New Roman" w:cs="Times New Roman"/>
          <w:lang w:eastAsia="ar-SA"/>
        </w:rPr>
      </w:pPr>
    </w:p>
    <w:p w:rsidR="008833DF" w:rsidRPr="008833DF" w:rsidRDefault="008833DF" w:rsidP="008833DF">
      <w:pPr>
        <w:spacing w:line="360" w:lineRule="auto"/>
        <w:jc w:val="both"/>
        <w:rPr>
          <w:rFonts w:ascii="Times New Roman" w:hAnsi="Times New Roman" w:cs="Times New Roman"/>
          <w:lang w:eastAsia="ar-SA"/>
        </w:rPr>
      </w:pPr>
      <w:r w:rsidRPr="008833DF">
        <w:rPr>
          <w:rFonts w:ascii="Times New Roman" w:hAnsi="Times New Roman" w:cs="Times New Roman"/>
          <w:lang w:eastAsia="ar-SA"/>
        </w:rPr>
        <w:t xml:space="preserve">El siguiente apartado tiene el propósito de contar con indicadores y análisis relacionados con la Violencia Doméstica y Género. Para complementar este ámbito se han desarrollado cuatro indicadores. </w:t>
      </w:r>
    </w:p>
    <w:p w:rsidR="008833DF" w:rsidRPr="008833DF" w:rsidRDefault="008833DF" w:rsidP="008833DF">
      <w:pPr>
        <w:spacing w:line="360" w:lineRule="auto"/>
        <w:rPr>
          <w:rFonts w:ascii="Times New Roman" w:hAnsi="Times New Roman" w:cs="Times New Roman"/>
          <w:lang w:eastAsia="ar-SA"/>
        </w:rPr>
      </w:pPr>
    </w:p>
    <w:p w:rsidR="008833DF" w:rsidRPr="008833DF" w:rsidRDefault="008833DF" w:rsidP="008833DF">
      <w:pPr>
        <w:keepNext/>
        <w:spacing w:before="240" w:after="60"/>
        <w:ind w:left="705" w:hanging="705"/>
        <w:outlineLvl w:val="1"/>
        <w:rPr>
          <w:rFonts w:ascii="Times New Roman" w:hAnsi="Times New Roman" w:cs="Times New Roman"/>
          <w:b/>
          <w:bCs/>
          <w:iCs/>
        </w:rPr>
      </w:pPr>
      <w:r w:rsidRPr="005334D8">
        <w:rPr>
          <w:rFonts w:ascii="Times New Roman" w:hAnsi="Times New Roman" w:cs="Times New Roman"/>
          <w:b/>
          <w:bCs/>
          <w:iCs/>
          <w:highlight w:val="yellow"/>
        </w:rPr>
        <w:t>9.1</w:t>
      </w:r>
      <w:r w:rsidRPr="005334D8">
        <w:rPr>
          <w:rFonts w:ascii="Times New Roman" w:hAnsi="Times New Roman" w:cs="Times New Roman"/>
          <w:b/>
          <w:bCs/>
          <w:iCs/>
          <w:highlight w:val="yellow"/>
        </w:rPr>
        <w:tab/>
        <w:t>Porcentaje de denuncias relacionadas con la Ley de Penalización de la Violencia Contra</w:t>
      </w:r>
      <w:r w:rsidRPr="008833DF">
        <w:rPr>
          <w:rFonts w:ascii="Times New Roman" w:hAnsi="Times New Roman" w:cs="Times New Roman"/>
          <w:b/>
          <w:bCs/>
          <w:iCs/>
        </w:rPr>
        <w:t xml:space="preserve"> la Mujer (LPVCM) </w:t>
      </w:r>
    </w:p>
    <w:p w:rsidR="008833DF" w:rsidRPr="008833DF" w:rsidRDefault="008833DF" w:rsidP="008833DF"/>
    <w:p w:rsidR="008833DF" w:rsidRPr="008833DF" w:rsidRDefault="008833DF" w:rsidP="008833DF">
      <w:pPr>
        <w:widowControl/>
        <w:suppressAutoHyphens/>
        <w:autoSpaceDE/>
        <w:autoSpaceDN/>
        <w:adjustRightInd/>
        <w:spacing w:before="240" w:after="360" w:line="360" w:lineRule="auto"/>
        <w:jc w:val="both"/>
        <w:rPr>
          <w:rFonts w:ascii="Times New Roman" w:hAnsi="Times New Roman" w:cs="Times New Roman"/>
          <w:bCs/>
          <w:color w:val="000000"/>
          <w:lang w:val="es-CR" w:eastAsia="zh-CN"/>
        </w:rPr>
      </w:pPr>
      <w:r w:rsidRPr="008833DF">
        <w:rPr>
          <w:rFonts w:ascii="Times New Roman" w:hAnsi="Times New Roman" w:cs="Times New Roman"/>
          <w:bCs/>
          <w:color w:val="000000"/>
          <w:lang w:val="es-CR" w:eastAsia="zh-CN"/>
        </w:rPr>
        <w:t xml:space="preserve">Este indicador mide la proporción de la entrada </w:t>
      </w:r>
      <w:r w:rsidR="00DF7DEA" w:rsidRPr="008833DF">
        <w:rPr>
          <w:rFonts w:ascii="Times New Roman" w:hAnsi="Times New Roman" w:cs="Times New Roman"/>
          <w:bCs/>
          <w:color w:val="000000"/>
          <w:lang w:val="es-CR" w:eastAsia="zh-CN"/>
        </w:rPr>
        <w:t>neta</w:t>
      </w:r>
      <w:r w:rsidR="00DF7DEA" w:rsidRPr="008833DF">
        <w:rPr>
          <w:rFonts w:ascii="Times New Roman" w:hAnsi="Times New Roman" w:cs="Times New Roman"/>
          <w:bCs/>
          <w:color w:val="000000"/>
          <w:vertAlign w:val="superscript"/>
          <w:lang w:val="es-CR" w:eastAsia="zh-CN"/>
        </w:rPr>
        <w:t xml:space="preserve"> (</w:t>
      </w:r>
      <w:r w:rsidRPr="008833DF">
        <w:rPr>
          <w:rFonts w:ascii="Times New Roman" w:hAnsi="Times New Roman" w:cs="Times New Roman"/>
          <w:bCs/>
          <w:color w:val="000000"/>
          <w:vertAlign w:val="superscript"/>
          <w:lang w:val="es-CR" w:eastAsia="zh-CN"/>
        </w:rPr>
        <w:footnoteReference w:id="12"/>
      </w:r>
      <w:r w:rsidRPr="008833DF">
        <w:rPr>
          <w:rFonts w:ascii="Times New Roman" w:hAnsi="Times New Roman" w:cs="Times New Roman"/>
          <w:bCs/>
          <w:color w:val="000000"/>
          <w:vertAlign w:val="superscript"/>
          <w:lang w:val="es-CR" w:eastAsia="zh-CN"/>
        </w:rPr>
        <w:t>)</w:t>
      </w:r>
      <w:r w:rsidRPr="008833DF">
        <w:rPr>
          <w:rFonts w:ascii="Times New Roman" w:hAnsi="Times New Roman" w:cs="Times New Roman"/>
          <w:bCs/>
          <w:color w:val="000000"/>
          <w:lang w:val="es-CR" w:eastAsia="zh-CN"/>
        </w:rPr>
        <w:t xml:space="preserve"> en las Fiscalías Penales del Ministerio Público de los asuntos relacionados con delitos asociados con la Ley de Penalización de la Violencia Contra la Mujer. En la siguiente tabla se despliegan los datos anuales reportados para cada tipo de delito estipulado en la legislación indicada y al final de la misma se presenta el porcentaje resultante. Se despliegan solo los últimos cuatro años debido a que en la entrada neta al Ministerio Público a partir del 2012 disminuye al cambiar la política persecutoria que elimina el consumo de droga como un delito.</w:t>
      </w:r>
    </w:p>
    <w:p w:rsidR="008833DF" w:rsidRPr="008833DF" w:rsidRDefault="008833DF" w:rsidP="008833DF">
      <w:pPr>
        <w:widowControl/>
        <w:suppressAutoHyphens/>
        <w:autoSpaceDE/>
        <w:autoSpaceDN/>
        <w:adjustRightInd/>
        <w:spacing w:before="240" w:after="360" w:line="360" w:lineRule="auto"/>
        <w:jc w:val="both"/>
        <w:rPr>
          <w:rFonts w:ascii="Times New Roman" w:hAnsi="Times New Roman" w:cs="Times New Roman"/>
          <w:bCs/>
          <w:color w:val="000000"/>
          <w:lang w:val="es-CR" w:eastAsia="zh-CN"/>
        </w:rPr>
      </w:pPr>
      <w:r w:rsidRPr="008833DF">
        <w:rPr>
          <w:rFonts w:ascii="Times New Roman" w:hAnsi="Times New Roman" w:cs="Times New Roman"/>
          <w:bCs/>
          <w:color w:val="000000"/>
          <w:lang w:val="es-CR" w:eastAsia="zh-CN"/>
        </w:rPr>
        <w:t xml:space="preserve">En los últimos tres años el peso relativo de las infracciones a la Ley de Penalización de la Violencia Contra la Mujer se presenta relativamente estable. En el 2012, el 14,3% de la entrada neta al Ministerio Público provenía de denuncias realizadas por la infracción a dicha Ley, porcentaje que cae un año después al 12.6%, luego al 11,3% en el 2014 y en el 2015 se presenta un leve repunte a 11,7%; en estos tres años tal proporción oscila alrededor de un 12% anual, casi tres puntos porcentuales menos </w:t>
      </w:r>
      <w:r w:rsidR="00DF7DEA">
        <w:rPr>
          <w:rFonts w:ascii="Times New Roman" w:hAnsi="Times New Roman" w:cs="Times New Roman"/>
          <w:bCs/>
          <w:color w:val="000000"/>
          <w:lang w:val="es-CR" w:eastAsia="zh-CN"/>
        </w:rPr>
        <w:t>que el monto más alto (2012=14,3</w:t>
      </w:r>
      <w:r w:rsidRPr="008833DF">
        <w:rPr>
          <w:rFonts w:ascii="Times New Roman" w:hAnsi="Times New Roman" w:cs="Times New Roman"/>
          <w:bCs/>
          <w:color w:val="000000"/>
          <w:lang w:val="es-CR" w:eastAsia="zh-CN"/>
        </w:rPr>
        <w:t xml:space="preserve">%). </w:t>
      </w:r>
    </w:p>
    <w:tbl>
      <w:tblPr>
        <w:tblW w:w="8407" w:type="dxa"/>
        <w:jc w:val="center"/>
        <w:tblCellMar>
          <w:left w:w="70" w:type="dxa"/>
          <w:right w:w="70" w:type="dxa"/>
        </w:tblCellMar>
        <w:tblLook w:val="04A0"/>
      </w:tblPr>
      <w:tblGrid>
        <w:gridCol w:w="4247"/>
        <w:gridCol w:w="1040"/>
        <w:gridCol w:w="1040"/>
        <w:gridCol w:w="1040"/>
        <w:gridCol w:w="1040"/>
      </w:tblGrid>
      <w:tr w:rsidR="008833DF" w:rsidRPr="008833DF" w:rsidTr="00B14F0E">
        <w:trPr>
          <w:trHeight w:val="300"/>
          <w:jc w:val="center"/>
        </w:trPr>
        <w:tc>
          <w:tcPr>
            <w:tcW w:w="4247" w:type="dxa"/>
            <w:vMerge w:val="restart"/>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center"/>
              <w:rPr>
                <w:rFonts w:ascii="Times New Roman" w:hAnsi="Times New Roman" w:cs="Times New Roman"/>
                <w:b/>
                <w:bCs/>
                <w:color w:val="000000"/>
                <w:sz w:val="22"/>
                <w:szCs w:val="22"/>
                <w:lang w:val="es-CR" w:eastAsia="es-CR"/>
              </w:rPr>
            </w:pPr>
            <w:r w:rsidRPr="008833DF">
              <w:rPr>
                <w:rFonts w:ascii="Times New Roman" w:hAnsi="Times New Roman" w:cs="Times New Roman"/>
                <w:b/>
                <w:bCs/>
                <w:color w:val="000000"/>
                <w:sz w:val="22"/>
                <w:szCs w:val="22"/>
                <w:lang w:eastAsia="es-CR"/>
              </w:rPr>
              <w:lastRenderedPageBreak/>
              <w:t>Delito Denunciado</w:t>
            </w:r>
          </w:p>
        </w:tc>
        <w:tc>
          <w:tcPr>
            <w:tcW w:w="4160" w:type="dxa"/>
            <w:gridSpan w:val="4"/>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center"/>
              <w:rPr>
                <w:rFonts w:ascii="Times New Roman" w:hAnsi="Times New Roman" w:cs="Times New Roman"/>
                <w:b/>
                <w:bCs/>
                <w:color w:val="000000"/>
                <w:sz w:val="22"/>
                <w:szCs w:val="22"/>
                <w:lang w:val="es-CR" w:eastAsia="es-CR"/>
              </w:rPr>
            </w:pPr>
            <w:r w:rsidRPr="008833DF">
              <w:rPr>
                <w:rFonts w:ascii="Times New Roman" w:hAnsi="Times New Roman" w:cs="Times New Roman"/>
                <w:b/>
                <w:bCs/>
                <w:color w:val="000000"/>
                <w:sz w:val="22"/>
                <w:szCs w:val="22"/>
                <w:lang w:eastAsia="es-CR"/>
              </w:rPr>
              <w:t>Año</w:t>
            </w:r>
          </w:p>
        </w:tc>
      </w:tr>
      <w:tr w:rsidR="008833DF" w:rsidRPr="008833DF" w:rsidTr="00B14F0E">
        <w:trPr>
          <w:trHeight w:val="300"/>
          <w:jc w:val="center"/>
        </w:trPr>
        <w:tc>
          <w:tcPr>
            <w:tcW w:w="4247" w:type="dxa"/>
            <w:vMerge/>
            <w:tcBorders>
              <w:top w:val="nil"/>
              <w:left w:val="nil"/>
              <w:bottom w:val="nil"/>
              <w:right w:val="nil"/>
            </w:tcBorders>
            <w:vAlign w:val="center"/>
            <w:hideMark/>
          </w:tcPr>
          <w:p w:rsidR="008833DF" w:rsidRPr="008833DF" w:rsidRDefault="008833DF" w:rsidP="008833DF">
            <w:pPr>
              <w:widowControl/>
              <w:autoSpaceDE/>
              <w:autoSpaceDN/>
              <w:adjustRightInd/>
              <w:rPr>
                <w:rFonts w:ascii="Times New Roman" w:hAnsi="Times New Roman" w:cs="Times New Roman"/>
                <w:b/>
                <w:bCs/>
                <w:color w:val="000000"/>
                <w:sz w:val="22"/>
                <w:szCs w:val="22"/>
                <w:lang w:val="es-CR" w:eastAsia="es-CR"/>
              </w:rPr>
            </w:pP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center"/>
              <w:rPr>
                <w:rFonts w:ascii="Times New Roman" w:hAnsi="Times New Roman" w:cs="Times New Roman"/>
                <w:b/>
                <w:bCs/>
                <w:color w:val="000000"/>
                <w:sz w:val="22"/>
                <w:szCs w:val="22"/>
                <w:lang w:val="es-CR" w:eastAsia="es-CR"/>
              </w:rPr>
            </w:pPr>
            <w:r w:rsidRPr="008833DF">
              <w:rPr>
                <w:rFonts w:ascii="Times New Roman" w:hAnsi="Times New Roman" w:cs="Times New Roman"/>
                <w:b/>
                <w:bCs/>
                <w:color w:val="000000"/>
                <w:sz w:val="22"/>
                <w:szCs w:val="22"/>
                <w:lang w:eastAsia="es-CR"/>
              </w:rPr>
              <w:t>2012</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center"/>
              <w:rPr>
                <w:rFonts w:ascii="Times New Roman" w:hAnsi="Times New Roman" w:cs="Times New Roman"/>
                <w:b/>
                <w:bCs/>
                <w:color w:val="000000"/>
                <w:sz w:val="22"/>
                <w:szCs w:val="22"/>
                <w:lang w:val="es-CR" w:eastAsia="es-CR"/>
              </w:rPr>
            </w:pPr>
            <w:r w:rsidRPr="008833DF">
              <w:rPr>
                <w:rFonts w:ascii="Times New Roman" w:hAnsi="Times New Roman" w:cs="Times New Roman"/>
                <w:b/>
                <w:bCs/>
                <w:color w:val="000000"/>
                <w:sz w:val="22"/>
                <w:szCs w:val="22"/>
                <w:lang w:eastAsia="es-CR"/>
              </w:rPr>
              <w:t>2013</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center"/>
              <w:rPr>
                <w:rFonts w:ascii="Times New Roman" w:hAnsi="Times New Roman" w:cs="Times New Roman"/>
                <w:b/>
                <w:bCs/>
                <w:color w:val="000000"/>
                <w:sz w:val="22"/>
                <w:szCs w:val="22"/>
                <w:lang w:val="es-CR" w:eastAsia="es-CR"/>
              </w:rPr>
            </w:pPr>
            <w:r w:rsidRPr="008833DF">
              <w:rPr>
                <w:rFonts w:ascii="Times New Roman" w:hAnsi="Times New Roman" w:cs="Times New Roman"/>
                <w:b/>
                <w:bCs/>
                <w:color w:val="000000"/>
                <w:sz w:val="22"/>
                <w:szCs w:val="22"/>
                <w:lang w:eastAsia="es-CR"/>
              </w:rPr>
              <w:t>2014</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center"/>
              <w:rPr>
                <w:rFonts w:ascii="Times New Roman" w:hAnsi="Times New Roman" w:cs="Times New Roman"/>
                <w:b/>
                <w:bCs/>
                <w:color w:val="000000"/>
                <w:sz w:val="22"/>
                <w:szCs w:val="22"/>
                <w:lang w:val="es-CR" w:eastAsia="es-CR"/>
              </w:rPr>
            </w:pPr>
            <w:r w:rsidRPr="008833DF">
              <w:rPr>
                <w:rFonts w:ascii="Times New Roman" w:hAnsi="Times New Roman" w:cs="Times New Roman"/>
                <w:b/>
                <w:bCs/>
                <w:color w:val="000000"/>
                <w:sz w:val="22"/>
                <w:szCs w:val="22"/>
                <w:lang w:eastAsia="es-CR"/>
              </w:rPr>
              <w:t>2015</w:t>
            </w:r>
          </w:p>
        </w:tc>
      </w:tr>
      <w:tr w:rsidR="008833DF" w:rsidRPr="008833DF" w:rsidTr="00B14F0E">
        <w:trPr>
          <w:trHeight w:val="300"/>
          <w:jc w:val="center"/>
        </w:trPr>
        <w:tc>
          <w:tcPr>
            <w:tcW w:w="4247"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rPr>
                <w:rFonts w:ascii="Times New Roman" w:hAnsi="Times New Roman" w:cs="Times New Roman"/>
                <w:color w:val="000000"/>
                <w:sz w:val="22"/>
                <w:szCs w:val="22"/>
                <w:lang w:val="es-CR" w:eastAsia="es-CR"/>
              </w:rPr>
            </w:pP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rPr>
                <w:rFonts w:ascii="Times New Roman" w:hAnsi="Times New Roman" w:cs="Times New Roman"/>
                <w:color w:val="000000"/>
                <w:sz w:val="22"/>
                <w:szCs w:val="22"/>
                <w:lang w:val="es-CR" w:eastAsia="es-CR"/>
              </w:rPr>
            </w:pP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rPr>
                <w:rFonts w:ascii="Times New Roman" w:hAnsi="Times New Roman" w:cs="Times New Roman"/>
                <w:color w:val="000000"/>
                <w:sz w:val="22"/>
                <w:szCs w:val="22"/>
                <w:lang w:val="es-CR" w:eastAsia="es-CR"/>
              </w:rPr>
            </w:pP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rPr>
                <w:rFonts w:ascii="Times New Roman" w:hAnsi="Times New Roman" w:cs="Times New Roman"/>
                <w:color w:val="000000"/>
                <w:sz w:val="22"/>
                <w:szCs w:val="22"/>
                <w:lang w:val="es-CR" w:eastAsia="es-CR"/>
              </w:rPr>
            </w:pP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rPr>
                <w:rFonts w:ascii="Times New Roman" w:hAnsi="Times New Roman" w:cs="Times New Roman"/>
                <w:color w:val="000000"/>
                <w:sz w:val="22"/>
                <w:szCs w:val="22"/>
                <w:lang w:val="es-CR" w:eastAsia="es-CR"/>
              </w:rPr>
            </w:pPr>
          </w:p>
        </w:tc>
      </w:tr>
      <w:tr w:rsidR="008833DF" w:rsidRPr="008833DF" w:rsidTr="00B14F0E">
        <w:trPr>
          <w:trHeight w:val="300"/>
          <w:jc w:val="center"/>
        </w:trPr>
        <w:tc>
          <w:tcPr>
            <w:tcW w:w="4247"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rPr>
                <w:rFonts w:ascii="Times New Roman" w:hAnsi="Times New Roman" w:cs="Times New Roman"/>
                <w:b/>
                <w:bCs/>
                <w:color w:val="000000"/>
                <w:sz w:val="22"/>
                <w:szCs w:val="22"/>
                <w:lang w:val="es-CR" w:eastAsia="es-CR"/>
              </w:rPr>
            </w:pPr>
            <w:r w:rsidRPr="008833DF">
              <w:rPr>
                <w:rFonts w:ascii="Times New Roman" w:hAnsi="Times New Roman" w:cs="Times New Roman"/>
                <w:b/>
                <w:bCs/>
                <w:color w:val="000000"/>
                <w:sz w:val="22"/>
                <w:szCs w:val="22"/>
                <w:lang w:eastAsia="es-CR"/>
              </w:rPr>
              <w:t>Total</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b/>
                <w:bCs/>
                <w:color w:val="000000"/>
                <w:sz w:val="22"/>
                <w:szCs w:val="22"/>
                <w:lang w:val="es-CR" w:eastAsia="es-CR"/>
              </w:rPr>
            </w:pPr>
            <w:r w:rsidRPr="008833DF">
              <w:rPr>
                <w:rFonts w:ascii="Times New Roman" w:hAnsi="Times New Roman" w:cs="Times New Roman"/>
                <w:b/>
                <w:bCs/>
                <w:color w:val="000000"/>
                <w:sz w:val="22"/>
                <w:szCs w:val="22"/>
                <w:lang w:eastAsia="es-CR"/>
              </w:rPr>
              <w:t>146.207</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b/>
                <w:bCs/>
                <w:color w:val="000000"/>
                <w:sz w:val="22"/>
                <w:szCs w:val="22"/>
                <w:lang w:val="es-CR" w:eastAsia="es-CR"/>
              </w:rPr>
            </w:pPr>
            <w:r w:rsidRPr="008833DF">
              <w:rPr>
                <w:rFonts w:ascii="Times New Roman" w:hAnsi="Times New Roman" w:cs="Times New Roman"/>
                <w:b/>
                <w:bCs/>
                <w:color w:val="000000"/>
                <w:sz w:val="22"/>
                <w:szCs w:val="22"/>
                <w:lang w:eastAsia="es-CR"/>
              </w:rPr>
              <w:t>161.055</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b/>
                <w:bCs/>
                <w:color w:val="000000"/>
                <w:sz w:val="22"/>
                <w:szCs w:val="22"/>
                <w:lang w:val="es-CR" w:eastAsia="es-CR"/>
              </w:rPr>
            </w:pPr>
            <w:r w:rsidRPr="008833DF">
              <w:rPr>
                <w:rFonts w:ascii="Times New Roman" w:hAnsi="Times New Roman" w:cs="Times New Roman"/>
                <w:b/>
                <w:bCs/>
                <w:color w:val="000000"/>
                <w:sz w:val="22"/>
                <w:szCs w:val="22"/>
                <w:lang w:eastAsia="es-CR"/>
              </w:rPr>
              <w:t>170.656</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b/>
                <w:bCs/>
                <w:color w:val="000000"/>
                <w:sz w:val="22"/>
                <w:szCs w:val="22"/>
                <w:lang w:val="es-CR" w:eastAsia="es-CR"/>
              </w:rPr>
            </w:pPr>
            <w:r w:rsidRPr="008833DF">
              <w:rPr>
                <w:rFonts w:ascii="Times New Roman" w:hAnsi="Times New Roman" w:cs="Times New Roman"/>
                <w:b/>
                <w:bCs/>
                <w:color w:val="000000"/>
                <w:sz w:val="22"/>
                <w:szCs w:val="22"/>
                <w:lang w:eastAsia="es-CR"/>
              </w:rPr>
              <w:t>159.790</w:t>
            </w:r>
          </w:p>
        </w:tc>
      </w:tr>
      <w:tr w:rsidR="008833DF" w:rsidRPr="008833DF" w:rsidTr="00B14F0E">
        <w:trPr>
          <w:trHeight w:val="300"/>
          <w:jc w:val="center"/>
        </w:trPr>
        <w:tc>
          <w:tcPr>
            <w:tcW w:w="4247"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rPr>
                <w:rFonts w:ascii="Times New Roman" w:hAnsi="Times New Roman" w:cs="Times New Roman"/>
                <w:color w:val="000000"/>
                <w:sz w:val="22"/>
                <w:szCs w:val="22"/>
                <w:lang w:val="es-CR" w:eastAsia="es-CR"/>
              </w:rPr>
            </w:pP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color w:val="000000"/>
                <w:sz w:val="22"/>
                <w:szCs w:val="22"/>
                <w:lang w:val="es-CR" w:eastAsia="es-CR"/>
              </w:rPr>
            </w:pP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color w:val="000000"/>
                <w:sz w:val="22"/>
                <w:szCs w:val="22"/>
                <w:lang w:val="es-CR" w:eastAsia="es-CR"/>
              </w:rPr>
            </w:pP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color w:val="000000"/>
                <w:sz w:val="22"/>
                <w:szCs w:val="22"/>
                <w:lang w:val="es-CR" w:eastAsia="es-CR"/>
              </w:rPr>
            </w:pP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color w:val="000000"/>
                <w:sz w:val="22"/>
                <w:szCs w:val="22"/>
                <w:lang w:val="es-CR" w:eastAsia="es-CR"/>
              </w:rPr>
            </w:pPr>
          </w:p>
        </w:tc>
      </w:tr>
      <w:tr w:rsidR="008833DF" w:rsidRPr="008833DF" w:rsidTr="00B14F0E">
        <w:trPr>
          <w:trHeight w:val="300"/>
          <w:jc w:val="center"/>
        </w:trPr>
        <w:tc>
          <w:tcPr>
            <w:tcW w:w="4247"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rPr>
                <w:rFonts w:ascii="Times New Roman" w:hAnsi="Times New Roman" w:cs="Times New Roman"/>
                <w:b/>
                <w:bCs/>
                <w:color w:val="000000"/>
                <w:sz w:val="22"/>
                <w:szCs w:val="22"/>
                <w:lang w:val="es-CR" w:eastAsia="es-CR"/>
              </w:rPr>
            </w:pPr>
            <w:r w:rsidRPr="008833DF">
              <w:rPr>
                <w:rFonts w:ascii="Times New Roman" w:hAnsi="Times New Roman" w:cs="Times New Roman"/>
                <w:b/>
                <w:bCs/>
                <w:color w:val="000000"/>
                <w:sz w:val="22"/>
                <w:szCs w:val="22"/>
                <w:lang w:eastAsia="es-CR"/>
              </w:rPr>
              <w:t>Infracciones por LPVCM</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b/>
                <w:bCs/>
                <w:color w:val="000000"/>
                <w:sz w:val="22"/>
                <w:szCs w:val="22"/>
                <w:lang w:val="es-CR" w:eastAsia="es-CR"/>
              </w:rPr>
            </w:pPr>
            <w:r w:rsidRPr="008833DF">
              <w:rPr>
                <w:rFonts w:ascii="Times New Roman" w:hAnsi="Times New Roman" w:cs="Times New Roman"/>
                <w:b/>
                <w:bCs/>
                <w:color w:val="000000"/>
                <w:sz w:val="22"/>
                <w:szCs w:val="22"/>
                <w:lang w:eastAsia="es-CR"/>
              </w:rPr>
              <w:t>20.850</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b/>
                <w:bCs/>
                <w:color w:val="000000"/>
                <w:sz w:val="22"/>
                <w:szCs w:val="22"/>
                <w:lang w:val="es-CR" w:eastAsia="es-CR"/>
              </w:rPr>
            </w:pPr>
            <w:r w:rsidRPr="008833DF">
              <w:rPr>
                <w:rFonts w:ascii="Times New Roman" w:hAnsi="Times New Roman" w:cs="Times New Roman"/>
                <w:b/>
                <w:bCs/>
                <w:color w:val="000000"/>
                <w:sz w:val="22"/>
                <w:szCs w:val="22"/>
                <w:lang w:eastAsia="es-CR"/>
              </w:rPr>
              <w:t>20.349</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b/>
                <w:bCs/>
                <w:color w:val="000000"/>
                <w:sz w:val="22"/>
                <w:szCs w:val="22"/>
                <w:lang w:val="es-CR" w:eastAsia="es-CR"/>
              </w:rPr>
            </w:pPr>
            <w:r w:rsidRPr="008833DF">
              <w:rPr>
                <w:rFonts w:ascii="Times New Roman" w:hAnsi="Times New Roman" w:cs="Times New Roman"/>
                <w:b/>
                <w:bCs/>
                <w:color w:val="000000"/>
                <w:sz w:val="22"/>
                <w:szCs w:val="22"/>
                <w:lang w:eastAsia="es-CR"/>
              </w:rPr>
              <w:t>19.284</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b/>
                <w:bCs/>
                <w:color w:val="000000"/>
                <w:sz w:val="22"/>
                <w:szCs w:val="22"/>
                <w:lang w:val="es-CR" w:eastAsia="es-CR"/>
              </w:rPr>
            </w:pPr>
            <w:r w:rsidRPr="008833DF">
              <w:rPr>
                <w:rFonts w:ascii="Times New Roman" w:hAnsi="Times New Roman" w:cs="Times New Roman"/>
                <w:b/>
                <w:bCs/>
                <w:color w:val="000000"/>
                <w:sz w:val="22"/>
                <w:szCs w:val="22"/>
                <w:lang w:eastAsia="es-CR"/>
              </w:rPr>
              <w:t>18.693</w:t>
            </w:r>
          </w:p>
        </w:tc>
      </w:tr>
      <w:tr w:rsidR="008833DF" w:rsidRPr="008833DF" w:rsidTr="00B14F0E">
        <w:trPr>
          <w:trHeight w:val="300"/>
          <w:jc w:val="center"/>
        </w:trPr>
        <w:tc>
          <w:tcPr>
            <w:tcW w:w="4247"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rPr>
                <w:rFonts w:ascii="Times New Roman" w:hAnsi="Times New Roman" w:cs="Times New Roman"/>
                <w:color w:val="000000"/>
                <w:sz w:val="22"/>
                <w:szCs w:val="22"/>
                <w:lang w:val="es-CR" w:eastAsia="es-CR"/>
              </w:rPr>
            </w:pPr>
            <w:r w:rsidRPr="008833DF">
              <w:rPr>
                <w:rFonts w:ascii="Times New Roman" w:hAnsi="Times New Roman" w:cs="Times New Roman"/>
                <w:color w:val="000000"/>
                <w:sz w:val="22"/>
                <w:szCs w:val="22"/>
                <w:lang w:eastAsia="es-CR"/>
              </w:rPr>
              <w:t>Amenazas contra una mujer</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color w:val="000000"/>
                <w:sz w:val="22"/>
                <w:szCs w:val="22"/>
                <w:lang w:val="es-CR" w:eastAsia="es-CR"/>
              </w:rPr>
            </w:pPr>
            <w:r w:rsidRPr="008833DF">
              <w:rPr>
                <w:rFonts w:ascii="Times New Roman" w:hAnsi="Times New Roman" w:cs="Times New Roman"/>
                <w:color w:val="000000"/>
                <w:sz w:val="22"/>
                <w:szCs w:val="22"/>
                <w:lang w:eastAsia="es-CR"/>
              </w:rPr>
              <w:t>3.848</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color w:val="000000"/>
                <w:sz w:val="22"/>
                <w:szCs w:val="22"/>
                <w:lang w:val="es-CR" w:eastAsia="es-CR"/>
              </w:rPr>
            </w:pPr>
            <w:r w:rsidRPr="008833DF">
              <w:rPr>
                <w:rFonts w:ascii="Times New Roman" w:hAnsi="Times New Roman" w:cs="Times New Roman"/>
                <w:color w:val="000000"/>
                <w:sz w:val="22"/>
                <w:szCs w:val="22"/>
                <w:lang w:eastAsia="es-CR"/>
              </w:rPr>
              <w:t>2.640</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color w:val="000000"/>
                <w:sz w:val="22"/>
                <w:szCs w:val="22"/>
                <w:lang w:val="es-CR" w:eastAsia="es-CR"/>
              </w:rPr>
            </w:pPr>
            <w:r w:rsidRPr="008833DF">
              <w:rPr>
                <w:rFonts w:ascii="Times New Roman" w:hAnsi="Times New Roman" w:cs="Times New Roman"/>
                <w:color w:val="000000"/>
                <w:sz w:val="22"/>
                <w:szCs w:val="22"/>
                <w:lang w:eastAsia="es-CR"/>
              </w:rPr>
              <w:t>2.103</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color w:val="000000"/>
                <w:sz w:val="22"/>
                <w:szCs w:val="22"/>
                <w:lang w:val="es-CR" w:eastAsia="es-CR"/>
              </w:rPr>
            </w:pPr>
            <w:r w:rsidRPr="008833DF">
              <w:rPr>
                <w:rFonts w:ascii="Times New Roman" w:hAnsi="Times New Roman" w:cs="Times New Roman"/>
                <w:color w:val="000000"/>
                <w:sz w:val="22"/>
                <w:szCs w:val="22"/>
                <w:lang w:eastAsia="es-CR"/>
              </w:rPr>
              <w:t>1.738</w:t>
            </w:r>
          </w:p>
        </w:tc>
      </w:tr>
      <w:tr w:rsidR="008833DF" w:rsidRPr="008833DF" w:rsidTr="00B14F0E">
        <w:trPr>
          <w:trHeight w:val="300"/>
          <w:jc w:val="center"/>
        </w:trPr>
        <w:tc>
          <w:tcPr>
            <w:tcW w:w="4247"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rPr>
                <w:rFonts w:ascii="Times New Roman" w:hAnsi="Times New Roman" w:cs="Times New Roman"/>
                <w:color w:val="000000"/>
                <w:sz w:val="22"/>
                <w:szCs w:val="22"/>
                <w:lang w:val="es-CR" w:eastAsia="es-CR"/>
              </w:rPr>
            </w:pPr>
            <w:r w:rsidRPr="008833DF">
              <w:rPr>
                <w:rFonts w:ascii="Times New Roman" w:hAnsi="Times New Roman" w:cs="Times New Roman"/>
                <w:color w:val="000000"/>
                <w:sz w:val="22"/>
                <w:szCs w:val="22"/>
                <w:lang w:eastAsia="es-CR"/>
              </w:rPr>
              <w:t>Incumplimiento de una medida de protección</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color w:val="000000"/>
                <w:sz w:val="22"/>
                <w:szCs w:val="22"/>
                <w:lang w:val="es-CR" w:eastAsia="es-CR"/>
              </w:rPr>
            </w:pPr>
            <w:r w:rsidRPr="008833DF">
              <w:rPr>
                <w:rFonts w:ascii="Times New Roman" w:hAnsi="Times New Roman" w:cs="Times New Roman"/>
                <w:color w:val="000000"/>
                <w:sz w:val="22"/>
                <w:szCs w:val="22"/>
                <w:lang w:eastAsia="es-CR"/>
              </w:rPr>
              <w:t>6.603</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color w:val="000000"/>
                <w:sz w:val="22"/>
                <w:szCs w:val="22"/>
                <w:lang w:val="es-CR" w:eastAsia="es-CR"/>
              </w:rPr>
            </w:pPr>
            <w:r w:rsidRPr="008833DF">
              <w:rPr>
                <w:rFonts w:ascii="Times New Roman" w:hAnsi="Times New Roman" w:cs="Times New Roman"/>
                <w:color w:val="000000"/>
                <w:sz w:val="22"/>
                <w:szCs w:val="22"/>
                <w:lang w:eastAsia="es-CR"/>
              </w:rPr>
              <w:t>6.768</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color w:val="000000"/>
                <w:sz w:val="22"/>
                <w:szCs w:val="22"/>
                <w:lang w:val="es-CR" w:eastAsia="es-CR"/>
              </w:rPr>
            </w:pPr>
            <w:r w:rsidRPr="008833DF">
              <w:rPr>
                <w:rFonts w:ascii="Times New Roman" w:hAnsi="Times New Roman" w:cs="Times New Roman"/>
                <w:color w:val="000000"/>
                <w:sz w:val="22"/>
                <w:szCs w:val="22"/>
                <w:lang w:eastAsia="es-CR"/>
              </w:rPr>
              <w:t>5.995</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color w:val="000000"/>
                <w:sz w:val="22"/>
                <w:szCs w:val="22"/>
                <w:lang w:val="es-CR" w:eastAsia="es-CR"/>
              </w:rPr>
            </w:pPr>
            <w:r w:rsidRPr="008833DF">
              <w:rPr>
                <w:rFonts w:ascii="Times New Roman" w:hAnsi="Times New Roman" w:cs="Times New Roman"/>
                <w:color w:val="000000"/>
                <w:sz w:val="22"/>
                <w:szCs w:val="22"/>
                <w:lang w:eastAsia="es-CR"/>
              </w:rPr>
              <w:t>6.421</w:t>
            </w:r>
          </w:p>
        </w:tc>
      </w:tr>
      <w:tr w:rsidR="008833DF" w:rsidRPr="008833DF" w:rsidTr="00B14F0E">
        <w:trPr>
          <w:trHeight w:val="300"/>
          <w:jc w:val="center"/>
        </w:trPr>
        <w:tc>
          <w:tcPr>
            <w:tcW w:w="4247"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rPr>
                <w:rFonts w:ascii="Times New Roman" w:hAnsi="Times New Roman" w:cs="Times New Roman"/>
                <w:color w:val="000000"/>
                <w:sz w:val="22"/>
                <w:szCs w:val="22"/>
                <w:lang w:val="es-CR" w:eastAsia="es-CR"/>
              </w:rPr>
            </w:pPr>
            <w:r w:rsidRPr="008833DF">
              <w:rPr>
                <w:rFonts w:ascii="Times New Roman" w:hAnsi="Times New Roman" w:cs="Times New Roman"/>
                <w:color w:val="000000"/>
                <w:sz w:val="22"/>
                <w:szCs w:val="22"/>
                <w:lang w:eastAsia="es-CR"/>
              </w:rPr>
              <w:t>Maltrato</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color w:val="000000"/>
                <w:sz w:val="22"/>
                <w:szCs w:val="22"/>
                <w:lang w:val="es-CR" w:eastAsia="es-CR"/>
              </w:rPr>
            </w:pPr>
            <w:r w:rsidRPr="008833DF">
              <w:rPr>
                <w:rFonts w:ascii="Times New Roman" w:hAnsi="Times New Roman" w:cs="Times New Roman"/>
                <w:color w:val="000000"/>
                <w:sz w:val="22"/>
                <w:szCs w:val="22"/>
                <w:lang w:eastAsia="es-CR"/>
              </w:rPr>
              <w:t>5.685</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color w:val="000000"/>
                <w:sz w:val="22"/>
                <w:szCs w:val="22"/>
                <w:lang w:val="es-CR" w:eastAsia="es-CR"/>
              </w:rPr>
            </w:pPr>
            <w:r w:rsidRPr="008833DF">
              <w:rPr>
                <w:rFonts w:ascii="Times New Roman" w:hAnsi="Times New Roman" w:cs="Times New Roman"/>
                <w:color w:val="000000"/>
                <w:sz w:val="22"/>
                <w:szCs w:val="22"/>
                <w:lang w:eastAsia="es-CR"/>
              </w:rPr>
              <w:t>6.081</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color w:val="000000"/>
                <w:sz w:val="22"/>
                <w:szCs w:val="22"/>
                <w:lang w:val="es-CR" w:eastAsia="es-CR"/>
              </w:rPr>
            </w:pPr>
            <w:r w:rsidRPr="008833DF">
              <w:rPr>
                <w:rFonts w:ascii="Times New Roman" w:hAnsi="Times New Roman" w:cs="Times New Roman"/>
                <w:color w:val="000000"/>
                <w:sz w:val="22"/>
                <w:szCs w:val="22"/>
                <w:lang w:eastAsia="es-CR"/>
              </w:rPr>
              <w:t>6.875</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color w:val="000000"/>
                <w:sz w:val="22"/>
                <w:szCs w:val="22"/>
                <w:lang w:val="es-CR" w:eastAsia="es-CR"/>
              </w:rPr>
            </w:pPr>
            <w:r w:rsidRPr="008833DF">
              <w:rPr>
                <w:rFonts w:ascii="Times New Roman" w:hAnsi="Times New Roman" w:cs="Times New Roman"/>
                <w:color w:val="000000"/>
                <w:sz w:val="22"/>
                <w:szCs w:val="22"/>
                <w:lang w:eastAsia="es-CR"/>
              </w:rPr>
              <w:t>6.762</w:t>
            </w:r>
          </w:p>
        </w:tc>
      </w:tr>
      <w:tr w:rsidR="008833DF" w:rsidRPr="008833DF" w:rsidTr="00B14F0E">
        <w:trPr>
          <w:trHeight w:val="300"/>
          <w:jc w:val="center"/>
        </w:trPr>
        <w:tc>
          <w:tcPr>
            <w:tcW w:w="4247"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rPr>
                <w:rFonts w:ascii="Times New Roman" w:hAnsi="Times New Roman" w:cs="Times New Roman"/>
                <w:color w:val="000000"/>
                <w:sz w:val="22"/>
                <w:szCs w:val="22"/>
                <w:lang w:val="es-CR" w:eastAsia="es-CR"/>
              </w:rPr>
            </w:pPr>
            <w:r w:rsidRPr="008833DF">
              <w:rPr>
                <w:rFonts w:ascii="Times New Roman" w:hAnsi="Times New Roman" w:cs="Times New Roman"/>
                <w:color w:val="000000"/>
                <w:sz w:val="22"/>
                <w:szCs w:val="22"/>
                <w:lang w:eastAsia="es-CR"/>
              </w:rPr>
              <w:t xml:space="preserve">Ofensas a la dignidad </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color w:val="000000"/>
                <w:sz w:val="22"/>
                <w:szCs w:val="22"/>
                <w:lang w:val="es-CR" w:eastAsia="es-CR"/>
              </w:rPr>
            </w:pPr>
            <w:r w:rsidRPr="008833DF">
              <w:rPr>
                <w:rFonts w:ascii="Times New Roman" w:hAnsi="Times New Roman" w:cs="Times New Roman"/>
                <w:color w:val="000000"/>
                <w:sz w:val="22"/>
                <w:szCs w:val="22"/>
                <w:lang w:eastAsia="es-CR"/>
              </w:rPr>
              <w:t>2.812</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color w:val="000000"/>
                <w:sz w:val="22"/>
                <w:szCs w:val="22"/>
                <w:lang w:val="es-CR" w:eastAsia="es-CR"/>
              </w:rPr>
            </w:pPr>
            <w:r w:rsidRPr="008833DF">
              <w:rPr>
                <w:rFonts w:ascii="Times New Roman" w:hAnsi="Times New Roman" w:cs="Times New Roman"/>
                <w:color w:val="000000"/>
                <w:sz w:val="22"/>
                <w:szCs w:val="22"/>
                <w:lang w:eastAsia="es-CR"/>
              </w:rPr>
              <w:t>4.038</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color w:val="000000"/>
                <w:sz w:val="22"/>
                <w:szCs w:val="22"/>
                <w:lang w:val="es-CR" w:eastAsia="es-CR"/>
              </w:rPr>
            </w:pPr>
            <w:r w:rsidRPr="008833DF">
              <w:rPr>
                <w:rFonts w:ascii="Times New Roman" w:hAnsi="Times New Roman" w:cs="Times New Roman"/>
                <w:color w:val="000000"/>
                <w:sz w:val="22"/>
                <w:szCs w:val="22"/>
                <w:lang w:eastAsia="es-CR"/>
              </w:rPr>
              <w:t>3.708</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color w:val="000000"/>
                <w:sz w:val="22"/>
                <w:szCs w:val="22"/>
                <w:lang w:val="es-CR" w:eastAsia="es-CR"/>
              </w:rPr>
            </w:pPr>
            <w:r w:rsidRPr="008833DF">
              <w:rPr>
                <w:rFonts w:ascii="Times New Roman" w:hAnsi="Times New Roman" w:cs="Times New Roman"/>
                <w:color w:val="000000"/>
                <w:sz w:val="22"/>
                <w:szCs w:val="22"/>
                <w:lang w:eastAsia="es-CR"/>
              </w:rPr>
              <w:t>3.201</w:t>
            </w:r>
          </w:p>
        </w:tc>
      </w:tr>
      <w:tr w:rsidR="008833DF" w:rsidRPr="008833DF" w:rsidTr="00B14F0E">
        <w:trPr>
          <w:trHeight w:val="300"/>
          <w:jc w:val="center"/>
        </w:trPr>
        <w:tc>
          <w:tcPr>
            <w:tcW w:w="4247"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rPr>
                <w:rFonts w:ascii="Times New Roman" w:hAnsi="Times New Roman" w:cs="Times New Roman"/>
                <w:color w:val="000000"/>
                <w:sz w:val="22"/>
                <w:szCs w:val="22"/>
                <w:lang w:val="es-CR" w:eastAsia="es-CR"/>
              </w:rPr>
            </w:pPr>
            <w:r w:rsidRPr="008833DF">
              <w:rPr>
                <w:rFonts w:ascii="Times New Roman" w:hAnsi="Times New Roman" w:cs="Times New Roman"/>
                <w:color w:val="000000"/>
                <w:sz w:val="22"/>
                <w:szCs w:val="22"/>
                <w:lang w:eastAsia="es-CR"/>
              </w:rPr>
              <w:t>Violencia emocional</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color w:val="000000"/>
                <w:sz w:val="22"/>
                <w:szCs w:val="22"/>
                <w:lang w:val="es-CR" w:eastAsia="es-CR"/>
              </w:rPr>
            </w:pPr>
            <w:r w:rsidRPr="008833DF">
              <w:rPr>
                <w:rFonts w:ascii="Times New Roman" w:hAnsi="Times New Roman" w:cs="Times New Roman"/>
                <w:color w:val="000000"/>
                <w:sz w:val="22"/>
                <w:szCs w:val="22"/>
                <w:lang w:eastAsia="es-CR"/>
              </w:rPr>
              <w:t>958</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color w:val="000000"/>
                <w:sz w:val="22"/>
                <w:szCs w:val="22"/>
                <w:lang w:val="es-CR" w:eastAsia="es-CR"/>
              </w:rPr>
            </w:pPr>
            <w:r w:rsidRPr="008833DF">
              <w:rPr>
                <w:rFonts w:ascii="Times New Roman" w:hAnsi="Times New Roman" w:cs="Times New Roman"/>
                <w:color w:val="000000"/>
                <w:sz w:val="22"/>
                <w:szCs w:val="22"/>
                <w:lang w:eastAsia="es-CR"/>
              </w:rPr>
              <w:t>223</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color w:val="000000"/>
                <w:sz w:val="22"/>
                <w:szCs w:val="22"/>
                <w:lang w:val="es-CR" w:eastAsia="es-CR"/>
              </w:rPr>
            </w:pPr>
            <w:r w:rsidRPr="008833DF">
              <w:rPr>
                <w:rFonts w:ascii="Times New Roman" w:hAnsi="Times New Roman" w:cs="Times New Roman"/>
                <w:color w:val="000000"/>
                <w:sz w:val="22"/>
                <w:szCs w:val="22"/>
                <w:lang w:eastAsia="es-CR"/>
              </w:rPr>
              <w:t>64</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color w:val="000000"/>
                <w:sz w:val="22"/>
                <w:szCs w:val="22"/>
                <w:lang w:val="es-CR" w:eastAsia="es-CR"/>
              </w:rPr>
            </w:pPr>
            <w:r w:rsidRPr="008833DF">
              <w:rPr>
                <w:rFonts w:ascii="Times New Roman" w:hAnsi="Times New Roman" w:cs="Times New Roman"/>
                <w:color w:val="000000"/>
                <w:sz w:val="22"/>
                <w:szCs w:val="22"/>
                <w:lang w:eastAsia="es-CR"/>
              </w:rPr>
              <w:t>77</w:t>
            </w:r>
          </w:p>
        </w:tc>
      </w:tr>
      <w:tr w:rsidR="008833DF" w:rsidRPr="008833DF" w:rsidTr="00B14F0E">
        <w:trPr>
          <w:trHeight w:val="300"/>
          <w:jc w:val="center"/>
        </w:trPr>
        <w:tc>
          <w:tcPr>
            <w:tcW w:w="4247"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rPr>
                <w:rFonts w:ascii="Times New Roman" w:hAnsi="Times New Roman" w:cs="Times New Roman"/>
                <w:color w:val="000000"/>
                <w:sz w:val="22"/>
                <w:szCs w:val="22"/>
                <w:lang w:val="es-CR" w:eastAsia="es-CR"/>
              </w:rPr>
            </w:pPr>
            <w:r w:rsidRPr="008833DF">
              <w:rPr>
                <w:rFonts w:ascii="Times New Roman" w:hAnsi="Times New Roman" w:cs="Times New Roman"/>
                <w:color w:val="000000"/>
                <w:sz w:val="22"/>
                <w:szCs w:val="22"/>
                <w:lang w:eastAsia="es-CR"/>
              </w:rPr>
              <w:t>Daño patrimonial</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color w:val="000000"/>
                <w:sz w:val="22"/>
                <w:szCs w:val="22"/>
                <w:lang w:val="es-CR" w:eastAsia="es-CR"/>
              </w:rPr>
            </w:pPr>
            <w:r w:rsidRPr="008833DF">
              <w:rPr>
                <w:rFonts w:ascii="Times New Roman" w:hAnsi="Times New Roman" w:cs="Times New Roman"/>
                <w:color w:val="000000"/>
                <w:sz w:val="22"/>
                <w:szCs w:val="22"/>
                <w:lang w:eastAsia="es-CR"/>
              </w:rPr>
              <w:t>146</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color w:val="000000"/>
                <w:sz w:val="22"/>
                <w:szCs w:val="22"/>
                <w:lang w:val="es-CR" w:eastAsia="es-CR"/>
              </w:rPr>
            </w:pPr>
            <w:r w:rsidRPr="008833DF">
              <w:rPr>
                <w:rFonts w:ascii="Times New Roman" w:hAnsi="Times New Roman" w:cs="Times New Roman"/>
                <w:color w:val="000000"/>
                <w:sz w:val="22"/>
                <w:szCs w:val="22"/>
                <w:lang w:eastAsia="es-CR"/>
              </w:rPr>
              <w:t>173</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color w:val="000000"/>
                <w:sz w:val="22"/>
                <w:szCs w:val="22"/>
                <w:lang w:val="es-CR" w:eastAsia="es-CR"/>
              </w:rPr>
            </w:pPr>
            <w:r w:rsidRPr="008833DF">
              <w:rPr>
                <w:rFonts w:ascii="Times New Roman" w:hAnsi="Times New Roman" w:cs="Times New Roman"/>
                <w:color w:val="000000"/>
                <w:sz w:val="22"/>
                <w:szCs w:val="22"/>
                <w:lang w:eastAsia="es-CR"/>
              </w:rPr>
              <w:t>115</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color w:val="000000"/>
                <w:sz w:val="22"/>
                <w:szCs w:val="22"/>
                <w:lang w:val="es-CR" w:eastAsia="es-CR"/>
              </w:rPr>
            </w:pPr>
            <w:r w:rsidRPr="008833DF">
              <w:rPr>
                <w:rFonts w:ascii="Times New Roman" w:hAnsi="Times New Roman" w:cs="Times New Roman"/>
                <w:color w:val="000000"/>
                <w:sz w:val="22"/>
                <w:szCs w:val="22"/>
                <w:lang w:eastAsia="es-CR"/>
              </w:rPr>
              <w:t>106</w:t>
            </w:r>
          </w:p>
        </w:tc>
      </w:tr>
      <w:tr w:rsidR="008833DF" w:rsidRPr="008833DF" w:rsidTr="00B14F0E">
        <w:trPr>
          <w:trHeight w:val="300"/>
          <w:jc w:val="center"/>
        </w:trPr>
        <w:tc>
          <w:tcPr>
            <w:tcW w:w="4247"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rPr>
                <w:rFonts w:ascii="Times New Roman" w:hAnsi="Times New Roman" w:cs="Times New Roman"/>
                <w:color w:val="000000"/>
                <w:sz w:val="22"/>
                <w:szCs w:val="22"/>
                <w:lang w:val="es-CR" w:eastAsia="es-CR"/>
              </w:rPr>
            </w:pPr>
            <w:r w:rsidRPr="008833DF">
              <w:rPr>
                <w:rFonts w:ascii="Times New Roman" w:hAnsi="Times New Roman" w:cs="Times New Roman"/>
                <w:color w:val="000000"/>
                <w:sz w:val="22"/>
                <w:szCs w:val="22"/>
                <w:lang w:eastAsia="es-CR"/>
              </w:rPr>
              <w:t>Violación contra mujer</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color w:val="000000"/>
                <w:sz w:val="22"/>
                <w:szCs w:val="22"/>
                <w:lang w:val="es-CR" w:eastAsia="es-CR"/>
              </w:rPr>
            </w:pPr>
            <w:r w:rsidRPr="008833DF">
              <w:rPr>
                <w:rFonts w:ascii="Times New Roman" w:hAnsi="Times New Roman" w:cs="Times New Roman"/>
                <w:color w:val="000000"/>
                <w:sz w:val="22"/>
                <w:szCs w:val="22"/>
                <w:lang w:eastAsia="es-CR"/>
              </w:rPr>
              <w:t>123</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color w:val="000000"/>
                <w:sz w:val="22"/>
                <w:szCs w:val="22"/>
                <w:lang w:val="es-CR" w:eastAsia="es-CR"/>
              </w:rPr>
            </w:pPr>
            <w:r w:rsidRPr="008833DF">
              <w:rPr>
                <w:rFonts w:ascii="Times New Roman" w:hAnsi="Times New Roman" w:cs="Times New Roman"/>
                <w:color w:val="000000"/>
                <w:sz w:val="22"/>
                <w:szCs w:val="22"/>
                <w:lang w:eastAsia="es-CR"/>
              </w:rPr>
              <w:t>84</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color w:val="000000"/>
                <w:sz w:val="22"/>
                <w:szCs w:val="22"/>
                <w:lang w:val="es-CR" w:eastAsia="es-CR"/>
              </w:rPr>
            </w:pPr>
            <w:r w:rsidRPr="008833DF">
              <w:rPr>
                <w:rFonts w:ascii="Times New Roman" w:hAnsi="Times New Roman" w:cs="Times New Roman"/>
                <w:color w:val="000000"/>
                <w:sz w:val="22"/>
                <w:szCs w:val="22"/>
                <w:lang w:eastAsia="es-CR"/>
              </w:rPr>
              <w:t>75</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color w:val="000000"/>
                <w:sz w:val="22"/>
                <w:szCs w:val="22"/>
                <w:lang w:val="es-CR" w:eastAsia="es-CR"/>
              </w:rPr>
            </w:pPr>
            <w:r w:rsidRPr="008833DF">
              <w:rPr>
                <w:rFonts w:ascii="Times New Roman" w:hAnsi="Times New Roman" w:cs="Times New Roman"/>
                <w:color w:val="000000"/>
                <w:sz w:val="22"/>
                <w:szCs w:val="22"/>
                <w:lang w:eastAsia="es-CR"/>
              </w:rPr>
              <w:t>79</w:t>
            </w:r>
          </w:p>
        </w:tc>
      </w:tr>
      <w:tr w:rsidR="008833DF" w:rsidRPr="008833DF" w:rsidTr="00B14F0E">
        <w:trPr>
          <w:trHeight w:val="300"/>
          <w:jc w:val="center"/>
        </w:trPr>
        <w:tc>
          <w:tcPr>
            <w:tcW w:w="4247"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rPr>
                <w:rFonts w:ascii="Times New Roman" w:hAnsi="Times New Roman" w:cs="Times New Roman"/>
                <w:color w:val="000000"/>
                <w:sz w:val="22"/>
                <w:szCs w:val="22"/>
                <w:lang w:val="es-CR" w:eastAsia="es-CR"/>
              </w:rPr>
            </w:pPr>
            <w:r w:rsidRPr="008833DF">
              <w:rPr>
                <w:rFonts w:ascii="Times New Roman" w:hAnsi="Times New Roman" w:cs="Times New Roman"/>
                <w:color w:val="000000"/>
                <w:sz w:val="22"/>
                <w:szCs w:val="22"/>
                <w:lang w:eastAsia="es-CR"/>
              </w:rPr>
              <w:t>Otras infracciones</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color w:val="000000"/>
                <w:sz w:val="22"/>
                <w:szCs w:val="22"/>
                <w:lang w:val="es-CR" w:eastAsia="es-CR"/>
              </w:rPr>
            </w:pPr>
            <w:r w:rsidRPr="008833DF">
              <w:rPr>
                <w:rFonts w:ascii="Times New Roman" w:hAnsi="Times New Roman" w:cs="Times New Roman"/>
                <w:color w:val="000000"/>
                <w:sz w:val="22"/>
                <w:szCs w:val="22"/>
                <w:lang w:eastAsia="es-CR"/>
              </w:rPr>
              <w:t>655</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color w:val="000000"/>
                <w:sz w:val="22"/>
                <w:szCs w:val="22"/>
                <w:lang w:val="es-CR" w:eastAsia="es-CR"/>
              </w:rPr>
            </w:pPr>
            <w:r w:rsidRPr="008833DF">
              <w:rPr>
                <w:rFonts w:ascii="Times New Roman" w:hAnsi="Times New Roman" w:cs="Times New Roman"/>
                <w:color w:val="000000"/>
                <w:sz w:val="22"/>
                <w:szCs w:val="22"/>
                <w:lang w:eastAsia="es-CR"/>
              </w:rPr>
              <w:t>286</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color w:val="000000"/>
                <w:sz w:val="22"/>
                <w:szCs w:val="22"/>
                <w:lang w:val="es-CR" w:eastAsia="es-CR"/>
              </w:rPr>
            </w:pPr>
            <w:r w:rsidRPr="008833DF">
              <w:rPr>
                <w:rFonts w:ascii="Times New Roman" w:hAnsi="Times New Roman" w:cs="Times New Roman"/>
                <w:color w:val="000000"/>
                <w:sz w:val="22"/>
                <w:szCs w:val="22"/>
                <w:lang w:eastAsia="es-CR"/>
              </w:rPr>
              <w:t>349</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color w:val="000000"/>
                <w:sz w:val="22"/>
                <w:szCs w:val="22"/>
                <w:lang w:val="es-CR" w:eastAsia="es-CR"/>
              </w:rPr>
            </w:pPr>
            <w:r w:rsidRPr="008833DF">
              <w:rPr>
                <w:rFonts w:ascii="Times New Roman" w:hAnsi="Times New Roman" w:cs="Times New Roman"/>
                <w:color w:val="000000"/>
                <w:sz w:val="22"/>
                <w:szCs w:val="22"/>
                <w:lang w:eastAsia="es-CR"/>
              </w:rPr>
              <w:t>309</w:t>
            </w:r>
          </w:p>
        </w:tc>
      </w:tr>
      <w:tr w:rsidR="008833DF" w:rsidRPr="008833DF" w:rsidTr="00B14F0E">
        <w:trPr>
          <w:trHeight w:val="300"/>
          <w:jc w:val="center"/>
        </w:trPr>
        <w:tc>
          <w:tcPr>
            <w:tcW w:w="4247"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rPr>
                <w:rFonts w:ascii="Times New Roman" w:hAnsi="Times New Roman" w:cs="Times New Roman"/>
                <w:color w:val="000000"/>
                <w:sz w:val="22"/>
                <w:szCs w:val="22"/>
                <w:lang w:val="es-CR" w:eastAsia="es-CR"/>
              </w:rPr>
            </w:pPr>
            <w:r w:rsidRPr="008833DF">
              <w:rPr>
                <w:rFonts w:ascii="Times New Roman" w:hAnsi="Times New Roman" w:cs="Times New Roman"/>
                <w:color w:val="000000"/>
                <w:sz w:val="22"/>
                <w:szCs w:val="22"/>
                <w:lang w:eastAsia="es-CR"/>
              </w:rPr>
              <w:t>No especificadas</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color w:val="000000"/>
                <w:sz w:val="22"/>
                <w:szCs w:val="22"/>
                <w:lang w:val="es-CR" w:eastAsia="es-CR"/>
              </w:rPr>
            </w:pPr>
            <w:r w:rsidRPr="008833DF">
              <w:rPr>
                <w:rFonts w:ascii="Times New Roman" w:hAnsi="Times New Roman" w:cs="Times New Roman"/>
                <w:color w:val="000000"/>
                <w:sz w:val="22"/>
                <w:szCs w:val="22"/>
                <w:lang w:eastAsia="es-CR"/>
              </w:rPr>
              <w:t>20</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color w:val="000000"/>
                <w:sz w:val="22"/>
                <w:szCs w:val="22"/>
                <w:lang w:val="es-CR" w:eastAsia="es-CR"/>
              </w:rPr>
            </w:pPr>
            <w:r w:rsidRPr="008833DF">
              <w:rPr>
                <w:rFonts w:ascii="Times New Roman" w:hAnsi="Times New Roman" w:cs="Times New Roman"/>
                <w:color w:val="000000"/>
                <w:sz w:val="22"/>
                <w:szCs w:val="22"/>
                <w:lang w:eastAsia="es-CR"/>
              </w:rPr>
              <w:t>56</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color w:val="000000"/>
                <w:sz w:val="22"/>
                <w:szCs w:val="22"/>
                <w:lang w:val="es-CR" w:eastAsia="es-CR"/>
              </w:rPr>
            </w:pPr>
            <w:r w:rsidRPr="008833DF">
              <w:rPr>
                <w:rFonts w:ascii="Times New Roman" w:hAnsi="Times New Roman" w:cs="Times New Roman"/>
                <w:color w:val="000000"/>
                <w:sz w:val="22"/>
                <w:szCs w:val="22"/>
                <w:lang w:eastAsia="es-CR"/>
              </w:rPr>
              <w:t>---</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right"/>
              <w:rPr>
                <w:rFonts w:ascii="Times New Roman" w:hAnsi="Times New Roman" w:cs="Times New Roman"/>
                <w:color w:val="000000"/>
                <w:sz w:val="22"/>
                <w:szCs w:val="22"/>
                <w:lang w:val="es-CR" w:eastAsia="es-CR"/>
              </w:rPr>
            </w:pPr>
            <w:r w:rsidRPr="008833DF">
              <w:rPr>
                <w:rFonts w:ascii="Times New Roman" w:hAnsi="Times New Roman" w:cs="Times New Roman"/>
                <w:color w:val="000000"/>
                <w:sz w:val="22"/>
                <w:szCs w:val="22"/>
                <w:lang w:eastAsia="es-CR"/>
              </w:rPr>
              <w:t>---</w:t>
            </w:r>
          </w:p>
        </w:tc>
      </w:tr>
      <w:tr w:rsidR="008833DF" w:rsidRPr="008833DF" w:rsidTr="00B14F0E">
        <w:trPr>
          <w:trHeight w:val="659"/>
          <w:jc w:val="center"/>
        </w:trPr>
        <w:tc>
          <w:tcPr>
            <w:tcW w:w="4247"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rPr>
                <w:rFonts w:ascii="Times New Roman" w:hAnsi="Times New Roman" w:cs="Times New Roman"/>
                <w:b/>
                <w:bCs/>
                <w:color w:val="000000"/>
                <w:sz w:val="22"/>
                <w:szCs w:val="22"/>
                <w:lang w:val="es-CR" w:eastAsia="es-CR"/>
              </w:rPr>
            </w:pPr>
            <w:r w:rsidRPr="008833DF">
              <w:rPr>
                <w:rFonts w:ascii="Times New Roman" w:hAnsi="Times New Roman" w:cs="Times New Roman"/>
                <w:b/>
                <w:bCs/>
                <w:color w:val="000000"/>
                <w:sz w:val="22"/>
                <w:szCs w:val="22"/>
                <w:lang w:eastAsia="es-CR"/>
              </w:rPr>
              <w:t>Porcentaje Infracciones por LPVCM</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center"/>
              <w:rPr>
                <w:rFonts w:ascii="Times New Roman" w:hAnsi="Times New Roman" w:cs="Times New Roman"/>
                <w:b/>
                <w:bCs/>
                <w:color w:val="000000"/>
                <w:sz w:val="22"/>
                <w:szCs w:val="22"/>
                <w:lang w:val="es-CR" w:eastAsia="es-CR"/>
              </w:rPr>
            </w:pPr>
            <w:r w:rsidRPr="008833DF">
              <w:rPr>
                <w:rFonts w:ascii="Times New Roman" w:hAnsi="Times New Roman" w:cs="Times New Roman"/>
                <w:b/>
                <w:bCs/>
                <w:color w:val="000000"/>
                <w:sz w:val="22"/>
                <w:szCs w:val="22"/>
                <w:lang w:eastAsia="es-CR"/>
              </w:rPr>
              <w:t>14,3%</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center"/>
              <w:rPr>
                <w:rFonts w:ascii="Times New Roman" w:hAnsi="Times New Roman" w:cs="Times New Roman"/>
                <w:b/>
                <w:bCs/>
                <w:color w:val="000000"/>
                <w:sz w:val="22"/>
                <w:szCs w:val="22"/>
                <w:lang w:val="es-CR" w:eastAsia="es-CR"/>
              </w:rPr>
            </w:pPr>
            <w:r w:rsidRPr="008833DF">
              <w:rPr>
                <w:rFonts w:ascii="Times New Roman" w:hAnsi="Times New Roman" w:cs="Times New Roman"/>
                <w:b/>
                <w:bCs/>
                <w:color w:val="000000"/>
                <w:sz w:val="22"/>
                <w:szCs w:val="22"/>
                <w:lang w:eastAsia="es-CR"/>
              </w:rPr>
              <w:t>12,6%</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center"/>
              <w:rPr>
                <w:rFonts w:ascii="Times New Roman" w:hAnsi="Times New Roman" w:cs="Times New Roman"/>
                <w:b/>
                <w:bCs/>
                <w:color w:val="000000"/>
                <w:sz w:val="22"/>
                <w:szCs w:val="22"/>
                <w:lang w:val="es-CR" w:eastAsia="es-CR"/>
              </w:rPr>
            </w:pPr>
            <w:r w:rsidRPr="008833DF">
              <w:rPr>
                <w:rFonts w:ascii="Times New Roman" w:hAnsi="Times New Roman" w:cs="Times New Roman"/>
                <w:b/>
                <w:bCs/>
                <w:color w:val="000000"/>
                <w:sz w:val="22"/>
                <w:szCs w:val="22"/>
                <w:lang w:eastAsia="es-CR"/>
              </w:rPr>
              <w:t>11,3%</w:t>
            </w:r>
          </w:p>
        </w:tc>
        <w:tc>
          <w:tcPr>
            <w:tcW w:w="1040" w:type="dxa"/>
            <w:tcBorders>
              <w:top w:val="nil"/>
              <w:left w:val="nil"/>
              <w:bottom w:val="nil"/>
              <w:right w:val="nil"/>
            </w:tcBorders>
            <w:shd w:val="clear" w:color="auto" w:fill="auto"/>
            <w:vAlign w:val="center"/>
            <w:hideMark/>
          </w:tcPr>
          <w:p w:rsidR="008833DF" w:rsidRPr="008833DF" w:rsidRDefault="008833DF" w:rsidP="008833DF">
            <w:pPr>
              <w:widowControl/>
              <w:autoSpaceDE/>
              <w:autoSpaceDN/>
              <w:adjustRightInd/>
              <w:jc w:val="center"/>
              <w:rPr>
                <w:rFonts w:ascii="Times New Roman" w:hAnsi="Times New Roman" w:cs="Times New Roman"/>
                <w:b/>
                <w:bCs/>
                <w:color w:val="000000"/>
                <w:sz w:val="22"/>
                <w:szCs w:val="22"/>
                <w:lang w:val="es-CR" w:eastAsia="es-CR"/>
              </w:rPr>
            </w:pPr>
            <w:r w:rsidRPr="008833DF">
              <w:rPr>
                <w:rFonts w:ascii="Times New Roman" w:hAnsi="Times New Roman" w:cs="Times New Roman"/>
                <w:b/>
                <w:bCs/>
                <w:color w:val="000000"/>
                <w:sz w:val="22"/>
                <w:szCs w:val="22"/>
                <w:lang w:eastAsia="es-CR"/>
              </w:rPr>
              <w:t>11,7%</w:t>
            </w:r>
          </w:p>
        </w:tc>
      </w:tr>
    </w:tbl>
    <w:p w:rsidR="008833DF" w:rsidRPr="008833DF" w:rsidRDefault="008833DF" w:rsidP="008833DF">
      <w:pPr>
        <w:keepNext/>
        <w:outlineLvl w:val="1"/>
        <w:rPr>
          <w:rFonts w:ascii="Times New Roman" w:hAnsi="Times New Roman" w:cs="Times New Roman"/>
          <w:b/>
          <w:bCs/>
          <w:i/>
          <w:iCs/>
        </w:rPr>
      </w:pPr>
    </w:p>
    <w:p w:rsidR="008833DF" w:rsidRPr="008833DF" w:rsidRDefault="008833DF" w:rsidP="008833DF"/>
    <w:p w:rsidR="008833DF" w:rsidRPr="008833DF" w:rsidRDefault="008833DF" w:rsidP="008833DF">
      <w:pPr>
        <w:keepNext/>
        <w:ind w:left="705" w:hanging="705"/>
        <w:outlineLvl w:val="1"/>
        <w:rPr>
          <w:rFonts w:ascii="Times New Roman" w:hAnsi="Times New Roman" w:cs="Times New Roman"/>
          <w:b/>
          <w:bCs/>
          <w:iCs/>
        </w:rPr>
      </w:pPr>
      <w:r w:rsidRPr="005334D8">
        <w:rPr>
          <w:rFonts w:ascii="Times New Roman" w:hAnsi="Times New Roman" w:cs="Times New Roman"/>
          <w:b/>
          <w:bCs/>
          <w:iCs/>
          <w:highlight w:val="yellow"/>
        </w:rPr>
        <w:t>9.2</w:t>
      </w:r>
      <w:r w:rsidRPr="005334D8">
        <w:rPr>
          <w:rFonts w:ascii="Times New Roman" w:hAnsi="Times New Roman" w:cs="Times New Roman"/>
          <w:b/>
          <w:bCs/>
          <w:iCs/>
          <w:highlight w:val="yellow"/>
        </w:rPr>
        <w:tab/>
        <w:t>Porcentaje de casos terminados por la Ley de Penalización de la Violencia Contra la Mujer (LPVCM) en Juzgados Penales.</w:t>
      </w:r>
    </w:p>
    <w:p w:rsidR="008833DF" w:rsidRPr="008833DF" w:rsidRDefault="008833DF" w:rsidP="008833DF">
      <w:pPr>
        <w:jc w:val="both"/>
        <w:rPr>
          <w:rFonts w:ascii="Times New Roman" w:hAnsi="Times New Roman" w:cs="Times New Roman"/>
        </w:rPr>
      </w:pPr>
    </w:p>
    <w:p w:rsidR="008833DF" w:rsidRPr="008833DF" w:rsidRDefault="008833DF" w:rsidP="008833DF">
      <w:pPr>
        <w:widowControl/>
        <w:suppressAutoHyphens/>
        <w:autoSpaceDE/>
        <w:autoSpaceDN/>
        <w:adjustRightInd/>
        <w:spacing w:before="240" w:after="360" w:line="360" w:lineRule="auto"/>
        <w:jc w:val="both"/>
        <w:rPr>
          <w:rFonts w:ascii="Times New Roman" w:hAnsi="Times New Roman" w:cs="Times New Roman"/>
          <w:bCs/>
          <w:color w:val="000000"/>
          <w:lang w:val="es-CR" w:eastAsia="zh-CN"/>
        </w:rPr>
      </w:pPr>
      <w:r w:rsidRPr="008833DF">
        <w:rPr>
          <w:rFonts w:ascii="Times New Roman" w:hAnsi="Times New Roman" w:cs="Times New Roman"/>
          <w:bCs/>
          <w:color w:val="000000"/>
          <w:lang w:val="es-CR" w:eastAsia="zh-CN"/>
        </w:rPr>
        <w:t>Este indicador es el resultado de dividir la cantidad de asuntos por infracción a LPVCM terminados en los juzgados penales entre el total de casos terminados en el conjunto de juzgados penales.</w:t>
      </w:r>
    </w:p>
    <w:p w:rsidR="008833DF" w:rsidRPr="008833DF" w:rsidRDefault="008833DF" w:rsidP="008833DF">
      <w:pPr>
        <w:widowControl/>
        <w:suppressAutoHyphens/>
        <w:autoSpaceDE/>
        <w:autoSpaceDN/>
        <w:adjustRightInd/>
        <w:spacing w:before="240" w:after="360" w:line="360" w:lineRule="auto"/>
        <w:jc w:val="both"/>
        <w:rPr>
          <w:rFonts w:ascii="Times New Roman" w:hAnsi="Times New Roman" w:cs="Times New Roman"/>
          <w:bCs/>
          <w:color w:val="000000"/>
          <w:lang w:val="es-CR" w:eastAsia="zh-CN"/>
        </w:rPr>
      </w:pPr>
      <w:r w:rsidRPr="008833DF">
        <w:rPr>
          <w:rFonts w:ascii="Times New Roman" w:hAnsi="Times New Roman" w:cs="Times New Roman"/>
          <w:bCs/>
          <w:color w:val="000000"/>
          <w:lang w:val="es-CR" w:eastAsia="zh-CN"/>
        </w:rPr>
        <w:t xml:space="preserve">Durante el 2015 este peso relativo se redujo levemente respecto al resultado del 2014. En la gráfica siguiente se presentan los resultados anuales de este indicador y se puede observar que en este año el </w:t>
      </w:r>
      <w:r w:rsidRPr="008833DF">
        <w:rPr>
          <w:rFonts w:ascii="Times New Roman" w:hAnsi="Times New Roman" w:cs="Times New Roman"/>
          <w:b/>
          <w:bCs/>
          <w:color w:val="000000"/>
          <w:lang w:val="es-CR" w:eastAsia="zh-CN"/>
        </w:rPr>
        <w:t>14,5%</w:t>
      </w:r>
      <w:r w:rsidRPr="008833DF">
        <w:rPr>
          <w:rFonts w:ascii="Times New Roman" w:hAnsi="Times New Roman" w:cs="Times New Roman"/>
          <w:bCs/>
          <w:color w:val="000000"/>
          <w:lang w:val="es-CR" w:eastAsia="zh-CN"/>
        </w:rPr>
        <w:t xml:space="preserve"> de los asuntos terminados en los juzgados penales eran en asuntos asociados con la infracción a </w:t>
      </w:r>
      <w:r w:rsidRPr="008833DF">
        <w:rPr>
          <w:rFonts w:ascii="Times New Roman" w:hAnsi="Times New Roman" w:cs="Times New Roman"/>
          <w:bCs/>
          <w:lang w:val="es-CR" w:eastAsia="zh-CN"/>
        </w:rPr>
        <w:t xml:space="preserve">LPVCM, porcentaje similar al que se reportó un año </w:t>
      </w:r>
      <w:proofErr w:type="gramStart"/>
      <w:r w:rsidRPr="008833DF">
        <w:rPr>
          <w:rFonts w:ascii="Times New Roman" w:hAnsi="Times New Roman" w:cs="Times New Roman"/>
          <w:bCs/>
          <w:lang w:val="es-CR" w:eastAsia="zh-CN"/>
        </w:rPr>
        <w:t>antes(</w:t>
      </w:r>
      <w:proofErr w:type="gramEnd"/>
      <w:r w:rsidRPr="008833DF">
        <w:rPr>
          <w:rFonts w:ascii="Times New Roman" w:hAnsi="Times New Roman" w:cs="Times New Roman"/>
          <w:b/>
          <w:bCs/>
          <w:lang w:val="es-CR" w:eastAsia="zh-CN"/>
        </w:rPr>
        <w:t>14,9%</w:t>
      </w:r>
      <w:r w:rsidRPr="008833DF">
        <w:rPr>
          <w:rFonts w:ascii="Times New Roman" w:hAnsi="Times New Roman" w:cs="Times New Roman"/>
          <w:bCs/>
          <w:lang w:val="es-CR" w:eastAsia="zh-CN"/>
        </w:rPr>
        <w:t xml:space="preserve">) </w:t>
      </w:r>
    </w:p>
    <w:p w:rsidR="008833DF" w:rsidRPr="008833DF" w:rsidRDefault="008833DF" w:rsidP="008833DF">
      <w:pPr>
        <w:jc w:val="both"/>
        <w:rPr>
          <w:rFonts w:ascii="Times New Roman" w:hAnsi="Times New Roman" w:cs="Times New Roman"/>
        </w:rPr>
      </w:pPr>
    </w:p>
    <w:p w:rsidR="008833DF" w:rsidRPr="008833DF" w:rsidRDefault="008833DF" w:rsidP="008833DF">
      <w:pPr>
        <w:jc w:val="both"/>
        <w:rPr>
          <w:rFonts w:ascii="Times New Roman" w:hAnsi="Times New Roman" w:cs="Times New Roman"/>
        </w:rPr>
      </w:pPr>
    </w:p>
    <w:p w:rsidR="008833DF" w:rsidRPr="008833DF" w:rsidRDefault="008833DF" w:rsidP="008833DF">
      <w:pPr>
        <w:jc w:val="both"/>
        <w:rPr>
          <w:rFonts w:ascii="Times New Roman" w:hAnsi="Times New Roman" w:cs="Times New Roman"/>
        </w:rPr>
      </w:pPr>
    </w:p>
    <w:p w:rsidR="008833DF" w:rsidRPr="008833DF" w:rsidRDefault="008833DF" w:rsidP="008833DF">
      <w:pPr>
        <w:jc w:val="center"/>
      </w:pPr>
      <w:r w:rsidRPr="008833DF">
        <w:rPr>
          <w:noProof/>
          <w:lang w:val="es-CR" w:eastAsia="es-CR"/>
        </w:rPr>
        <w:lastRenderedPageBreak/>
        <w:drawing>
          <wp:inline distT="0" distB="0" distL="0" distR="0">
            <wp:extent cx="4402455" cy="2973705"/>
            <wp:effectExtent l="0" t="0" r="36195" b="36195"/>
            <wp:docPr id="32" name="Objeto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8833DF" w:rsidRPr="008833DF" w:rsidRDefault="008833DF" w:rsidP="008833DF"/>
    <w:p w:rsidR="008833DF" w:rsidRPr="008833DF" w:rsidRDefault="008833DF" w:rsidP="008833DF">
      <w:pPr>
        <w:keepNext/>
        <w:ind w:left="705" w:hanging="705"/>
        <w:outlineLvl w:val="1"/>
        <w:rPr>
          <w:rFonts w:ascii="Times New Roman" w:hAnsi="Times New Roman" w:cs="Times New Roman"/>
          <w:b/>
          <w:bCs/>
          <w:iCs/>
        </w:rPr>
      </w:pPr>
      <w:r w:rsidRPr="005334D8">
        <w:rPr>
          <w:rFonts w:ascii="Times New Roman" w:hAnsi="Times New Roman" w:cs="Times New Roman"/>
          <w:b/>
          <w:bCs/>
          <w:iCs/>
          <w:highlight w:val="yellow"/>
        </w:rPr>
        <w:t xml:space="preserve">9.3 </w:t>
      </w:r>
      <w:r w:rsidRPr="005334D8">
        <w:rPr>
          <w:rFonts w:ascii="Times New Roman" w:hAnsi="Times New Roman" w:cs="Times New Roman"/>
          <w:b/>
          <w:bCs/>
          <w:iCs/>
          <w:highlight w:val="yellow"/>
        </w:rPr>
        <w:tab/>
        <w:t>Porcentaje de casos terminados por la Ley de Penalización de la Violencia Contra la Mujer (LPVCM) en Tribunales Penales.</w:t>
      </w:r>
    </w:p>
    <w:p w:rsidR="008833DF" w:rsidRPr="008833DF" w:rsidRDefault="008833DF" w:rsidP="008833DF">
      <w:pPr>
        <w:rPr>
          <w:rFonts w:ascii="Times New Roman" w:hAnsi="Times New Roman" w:cs="Times New Roman"/>
          <w:bCs/>
          <w:color w:val="000000"/>
          <w:lang w:val="es-CR" w:eastAsia="zh-CN"/>
        </w:rPr>
      </w:pPr>
    </w:p>
    <w:p w:rsidR="008833DF" w:rsidRPr="008833DF" w:rsidRDefault="008833DF" w:rsidP="008833DF">
      <w:pPr>
        <w:widowControl/>
        <w:suppressAutoHyphens/>
        <w:autoSpaceDE/>
        <w:autoSpaceDN/>
        <w:adjustRightInd/>
        <w:spacing w:before="240" w:after="360" w:line="360" w:lineRule="auto"/>
        <w:jc w:val="both"/>
        <w:rPr>
          <w:rFonts w:ascii="Times New Roman" w:hAnsi="Times New Roman" w:cs="Times New Roman"/>
          <w:bCs/>
          <w:color w:val="000000"/>
          <w:lang w:val="es-CR" w:eastAsia="zh-CN"/>
        </w:rPr>
      </w:pPr>
      <w:r w:rsidRPr="008833DF">
        <w:rPr>
          <w:rFonts w:ascii="Times New Roman" w:hAnsi="Times New Roman" w:cs="Times New Roman"/>
          <w:bCs/>
          <w:color w:val="000000"/>
          <w:lang w:val="es-CR" w:eastAsia="zh-CN"/>
        </w:rPr>
        <w:t>Este porcentaje es el producto de dividir la cantidad de asuntos por infracción a LPVCM terminados en los tribunales penales entre el total de casos terminados en el conjunto de tribunales penales.</w:t>
      </w:r>
    </w:p>
    <w:p w:rsidR="008833DF" w:rsidRPr="008833DF" w:rsidRDefault="008833DF" w:rsidP="008833DF">
      <w:pPr>
        <w:widowControl/>
        <w:suppressAutoHyphens/>
        <w:autoSpaceDE/>
        <w:autoSpaceDN/>
        <w:adjustRightInd/>
        <w:spacing w:before="240" w:after="360" w:line="360" w:lineRule="auto"/>
        <w:jc w:val="both"/>
        <w:rPr>
          <w:rFonts w:ascii="Times New Roman" w:hAnsi="Times New Roman" w:cs="Times New Roman"/>
          <w:bCs/>
          <w:color w:val="000000"/>
          <w:lang w:val="es-CR" w:eastAsia="zh-CN"/>
        </w:rPr>
      </w:pPr>
      <w:r w:rsidRPr="008833DF">
        <w:rPr>
          <w:rFonts w:ascii="Times New Roman" w:hAnsi="Times New Roman" w:cs="Times New Roman"/>
          <w:bCs/>
          <w:color w:val="000000"/>
          <w:lang w:val="es-CR" w:eastAsia="zh-CN"/>
        </w:rPr>
        <w:t xml:space="preserve">Continúa la tendencia creciente de este indicador en los últimos cuatro años. Como se despliega en el siguiente gráfico en el 2012 se tenía que el </w:t>
      </w:r>
      <w:r w:rsidRPr="008833DF">
        <w:rPr>
          <w:rFonts w:ascii="Times New Roman" w:hAnsi="Times New Roman" w:cs="Times New Roman"/>
          <w:b/>
          <w:bCs/>
          <w:color w:val="000000"/>
          <w:lang w:val="es-CR" w:eastAsia="zh-CN"/>
        </w:rPr>
        <w:t>6,7%</w:t>
      </w:r>
      <w:r w:rsidRPr="008833DF">
        <w:rPr>
          <w:rFonts w:ascii="Times New Roman" w:hAnsi="Times New Roman" w:cs="Times New Roman"/>
          <w:bCs/>
          <w:color w:val="000000"/>
          <w:lang w:val="es-CR" w:eastAsia="zh-CN"/>
        </w:rPr>
        <w:t xml:space="preserve"> de los asuntos terminados en el conglomerado de tribunales penales eran asuntos relacionados con la </w:t>
      </w:r>
      <w:r w:rsidR="00DF7DEA" w:rsidRPr="008833DF">
        <w:rPr>
          <w:rFonts w:ascii="Times New Roman" w:hAnsi="Times New Roman" w:cs="Times New Roman"/>
          <w:bCs/>
          <w:color w:val="000000"/>
          <w:lang w:val="es-CR" w:eastAsia="zh-CN"/>
        </w:rPr>
        <w:t>infracción a</w:t>
      </w:r>
      <w:r w:rsidRPr="008833DF">
        <w:rPr>
          <w:rFonts w:ascii="Times New Roman" w:hAnsi="Times New Roman" w:cs="Times New Roman"/>
          <w:bCs/>
          <w:color w:val="000000"/>
          <w:lang w:val="es-CR" w:eastAsia="zh-CN"/>
        </w:rPr>
        <w:t xml:space="preserve"> esta ley específica. Este porcentaje irá creciendo año con año hasta llegar al 2015 cuando el </w:t>
      </w:r>
      <w:r w:rsidRPr="008833DF">
        <w:rPr>
          <w:rFonts w:ascii="Times New Roman" w:hAnsi="Times New Roman" w:cs="Times New Roman"/>
          <w:b/>
          <w:bCs/>
          <w:color w:val="000000"/>
          <w:lang w:val="es-CR" w:eastAsia="zh-CN"/>
        </w:rPr>
        <w:t>8,7%</w:t>
      </w:r>
      <w:r w:rsidRPr="008833DF">
        <w:rPr>
          <w:rFonts w:ascii="Times New Roman" w:hAnsi="Times New Roman" w:cs="Times New Roman"/>
          <w:bCs/>
          <w:color w:val="000000"/>
          <w:lang w:val="es-CR" w:eastAsia="zh-CN"/>
        </w:rPr>
        <w:t xml:space="preserve"> de los asuntos terminados en ese año eran en </w:t>
      </w:r>
      <w:r w:rsidR="00DF7DEA" w:rsidRPr="008833DF">
        <w:rPr>
          <w:rFonts w:ascii="Times New Roman" w:hAnsi="Times New Roman" w:cs="Times New Roman"/>
          <w:bCs/>
          <w:color w:val="000000"/>
          <w:lang w:val="es-CR" w:eastAsia="zh-CN"/>
        </w:rPr>
        <w:t>casos relacionados</w:t>
      </w:r>
      <w:r w:rsidRPr="008833DF">
        <w:rPr>
          <w:rFonts w:ascii="Times New Roman" w:hAnsi="Times New Roman" w:cs="Times New Roman"/>
          <w:bCs/>
          <w:color w:val="000000"/>
          <w:lang w:val="es-CR" w:eastAsia="zh-CN"/>
        </w:rPr>
        <w:t xml:space="preserve"> con la LPVCM; esto es, aumento de dos puntos porcentuales en cuatro años.</w:t>
      </w:r>
    </w:p>
    <w:p w:rsidR="008833DF" w:rsidRPr="008833DF" w:rsidRDefault="008833DF" w:rsidP="008833DF">
      <w:pPr>
        <w:widowControl/>
        <w:suppressAutoHyphens/>
        <w:autoSpaceDE/>
        <w:autoSpaceDN/>
        <w:adjustRightInd/>
        <w:spacing w:before="240" w:after="360" w:line="360" w:lineRule="auto"/>
        <w:jc w:val="both"/>
        <w:rPr>
          <w:rFonts w:ascii="Times New Roman" w:hAnsi="Times New Roman" w:cs="Times New Roman"/>
          <w:bCs/>
          <w:color w:val="000000"/>
          <w:lang w:val="es-CR" w:eastAsia="zh-CN"/>
        </w:rPr>
      </w:pPr>
    </w:p>
    <w:p w:rsidR="008833DF" w:rsidRPr="008833DF" w:rsidRDefault="008833DF" w:rsidP="008833DF">
      <w:pPr>
        <w:rPr>
          <w:rFonts w:ascii="Times New Roman" w:hAnsi="Times New Roman" w:cs="Times New Roman"/>
          <w:lang w:val="es-CR"/>
        </w:rPr>
      </w:pPr>
    </w:p>
    <w:p w:rsidR="008833DF" w:rsidRPr="008833DF" w:rsidRDefault="008833DF" w:rsidP="008833DF"/>
    <w:p w:rsidR="008833DF" w:rsidRPr="008833DF" w:rsidRDefault="008833DF" w:rsidP="008833DF"/>
    <w:p w:rsidR="008833DF" w:rsidRPr="008833DF" w:rsidRDefault="008833DF" w:rsidP="008833DF"/>
    <w:p w:rsidR="008833DF" w:rsidRPr="008833DF" w:rsidRDefault="008833DF" w:rsidP="008833DF">
      <w:pPr>
        <w:spacing w:line="360" w:lineRule="auto"/>
        <w:jc w:val="center"/>
      </w:pPr>
      <w:r w:rsidRPr="008833DF">
        <w:rPr>
          <w:noProof/>
          <w:lang w:val="es-CR" w:eastAsia="es-CR"/>
        </w:rPr>
        <w:drawing>
          <wp:inline distT="0" distB="0" distL="0" distR="0">
            <wp:extent cx="4402455" cy="2973705"/>
            <wp:effectExtent l="0" t="0" r="36195" b="36195"/>
            <wp:docPr id="33" name="Objeto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8833DF" w:rsidRPr="008833DF" w:rsidRDefault="008833DF" w:rsidP="008833DF">
      <w:pPr>
        <w:widowControl/>
        <w:suppressAutoHyphens/>
        <w:autoSpaceDE/>
        <w:autoSpaceDN/>
        <w:adjustRightInd/>
        <w:spacing w:line="360" w:lineRule="auto"/>
        <w:jc w:val="both"/>
        <w:rPr>
          <w:rFonts w:ascii="Times New Roman" w:hAnsi="Times New Roman" w:cs="Times New Roman"/>
          <w:bCs/>
          <w:color w:val="000000"/>
          <w:lang w:val="es-CR" w:eastAsia="zh-CN"/>
        </w:rPr>
      </w:pPr>
    </w:p>
    <w:p w:rsidR="008833DF" w:rsidRPr="008833DF" w:rsidRDefault="008833DF" w:rsidP="008833DF">
      <w:pPr>
        <w:widowControl/>
        <w:suppressAutoHyphens/>
        <w:autoSpaceDE/>
        <w:autoSpaceDN/>
        <w:adjustRightInd/>
        <w:spacing w:line="360" w:lineRule="auto"/>
        <w:jc w:val="both"/>
        <w:rPr>
          <w:rFonts w:ascii="Times New Roman" w:hAnsi="Times New Roman" w:cs="Times New Roman"/>
          <w:bCs/>
          <w:color w:val="000000"/>
          <w:lang w:val="es-CR" w:eastAsia="zh-CN"/>
        </w:rPr>
      </w:pPr>
    </w:p>
    <w:p w:rsidR="008833DF" w:rsidRPr="008833DF" w:rsidRDefault="008833DF" w:rsidP="008833DF">
      <w:pPr>
        <w:spacing w:line="360" w:lineRule="auto"/>
        <w:rPr>
          <w:rFonts w:ascii="Times New Roman" w:hAnsi="Times New Roman" w:cs="Times New Roman"/>
          <w:b/>
        </w:rPr>
      </w:pPr>
      <w:r w:rsidRPr="005334D8">
        <w:rPr>
          <w:rFonts w:ascii="Times New Roman" w:hAnsi="Times New Roman" w:cs="Times New Roman"/>
          <w:b/>
          <w:highlight w:val="yellow"/>
        </w:rPr>
        <w:t>9.4</w:t>
      </w:r>
      <w:r w:rsidRPr="005334D8">
        <w:rPr>
          <w:rFonts w:ascii="Times New Roman" w:hAnsi="Times New Roman" w:cs="Times New Roman"/>
          <w:b/>
          <w:highlight w:val="yellow"/>
        </w:rPr>
        <w:tab/>
        <w:t>Tasa de denuncia por violencia intrafamiliar/familiar</w:t>
      </w:r>
    </w:p>
    <w:p w:rsidR="008833DF" w:rsidRPr="008833DF" w:rsidRDefault="008833DF" w:rsidP="008833DF">
      <w:pPr>
        <w:keepNext/>
        <w:outlineLvl w:val="1"/>
        <w:rPr>
          <w:rFonts w:ascii="Times New Roman" w:hAnsi="Times New Roman" w:cs="Times New Roman"/>
          <w:b/>
          <w:bCs/>
          <w:i/>
          <w:iCs/>
        </w:rPr>
      </w:pPr>
    </w:p>
    <w:p w:rsidR="008833DF" w:rsidRPr="008833DF" w:rsidRDefault="008833DF" w:rsidP="008833DF">
      <w:pPr>
        <w:spacing w:line="360" w:lineRule="auto"/>
        <w:jc w:val="both"/>
        <w:rPr>
          <w:rFonts w:ascii="Times New Roman" w:hAnsi="Times New Roman" w:cs="Times New Roman"/>
        </w:rPr>
      </w:pPr>
      <w:r w:rsidRPr="008833DF">
        <w:rPr>
          <w:rFonts w:ascii="Times New Roman" w:hAnsi="Times New Roman" w:cs="Times New Roman"/>
        </w:rPr>
        <w:t>Este indicador es producto de dividir la cantidad anual de casos entrados en los juzgados competentes en materia de Violencia Doméstica entre la población, valor que es amplificado por 100.000 habitantes.</w:t>
      </w:r>
    </w:p>
    <w:p w:rsidR="008833DF" w:rsidRPr="008833DF" w:rsidRDefault="008833DF" w:rsidP="008833DF">
      <w:pPr>
        <w:keepNext/>
        <w:outlineLvl w:val="1"/>
        <w:rPr>
          <w:rFonts w:ascii="Times New Roman" w:hAnsi="Times New Roman" w:cs="Times New Roman"/>
          <w:b/>
          <w:bCs/>
          <w:i/>
          <w:iCs/>
        </w:rPr>
      </w:pPr>
    </w:p>
    <w:p w:rsidR="008833DF" w:rsidRPr="008833DF" w:rsidRDefault="008833DF" w:rsidP="008833DF">
      <w:pPr>
        <w:spacing w:line="360" w:lineRule="auto"/>
        <w:jc w:val="both"/>
        <w:rPr>
          <w:rFonts w:ascii="Times New Roman" w:hAnsi="Times New Roman" w:cs="Times New Roman"/>
        </w:rPr>
      </w:pPr>
      <w:r w:rsidRPr="008833DF">
        <w:rPr>
          <w:rFonts w:ascii="Times New Roman" w:hAnsi="Times New Roman" w:cs="Times New Roman"/>
        </w:rPr>
        <w:t xml:space="preserve">Los juzgados competentes dictan las medidas de protección a favor de las víctimas de violencia intrafamiliar al momento de solicitarlas, las cuales se mantienen vigentes por una duración máxima de un año, al momento de comparecer a la audiencia señalada por la Jueza o el Juez y/o de que éste último así lo considere conveniente; no obstante, estas medidas también, </w:t>
      </w:r>
      <w:r w:rsidR="00DF7DEA" w:rsidRPr="008833DF">
        <w:rPr>
          <w:rFonts w:ascii="Times New Roman" w:hAnsi="Times New Roman" w:cs="Times New Roman"/>
        </w:rPr>
        <w:t>pueden ser</w:t>
      </w:r>
      <w:r w:rsidRPr="008833DF">
        <w:rPr>
          <w:rFonts w:ascii="Times New Roman" w:hAnsi="Times New Roman" w:cs="Times New Roman"/>
        </w:rPr>
        <w:t xml:space="preserve"> levantadas, mantenidas o modificadas, según sea el caso. </w:t>
      </w:r>
    </w:p>
    <w:p w:rsidR="008833DF" w:rsidRPr="008833DF" w:rsidRDefault="008833DF" w:rsidP="008833DF">
      <w:pPr>
        <w:spacing w:line="360" w:lineRule="auto"/>
        <w:jc w:val="both"/>
        <w:rPr>
          <w:rFonts w:ascii="Times New Roman" w:hAnsi="Times New Roman" w:cs="Times New Roman"/>
        </w:rPr>
      </w:pPr>
    </w:p>
    <w:p w:rsidR="008833DF" w:rsidRPr="008833DF" w:rsidRDefault="008833DF" w:rsidP="008833DF">
      <w:pPr>
        <w:spacing w:line="360" w:lineRule="auto"/>
        <w:jc w:val="both"/>
        <w:rPr>
          <w:rFonts w:ascii="Times New Roman" w:hAnsi="Times New Roman" w:cs="Times New Roman"/>
        </w:rPr>
      </w:pPr>
      <w:r w:rsidRPr="008833DF">
        <w:rPr>
          <w:rFonts w:ascii="Times New Roman" w:hAnsi="Times New Roman" w:cs="Times New Roman"/>
        </w:rPr>
        <w:t xml:space="preserve">Como se muestra en la siguiente gráfica, esta tasa de denuncia se mantiene relativamente estable en los últimos tres años y para el 2015 se tienen 1003 denuncias por cada cien mil habitantes del </w:t>
      </w:r>
      <w:r w:rsidRPr="008833DF">
        <w:rPr>
          <w:rFonts w:ascii="Times New Roman" w:hAnsi="Times New Roman" w:cs="Times New Roman"/>
        </w:rPr>
        <w:lastRenderedPageBreak/>
        <w:t>país, solo dos denuncias menos por cada cien mil habitantes respecto al resultado del 2014 y solo 7 denuncias por cien mil habitantes por encima de lo calculado en el 2013. Esta relativa estabilidad se diferencia de lo acaecido antes del 2013 cuando los niveles alcanzados por el indicador eran mayores.</w:t>
      </w:r>
    </w:p>
    <w:p w:rsidR="008833DF" w:rsidRPr="008833DF" w:rsidRDefault="008833DF" w:rsidP="008833DF">
      <w:pPr>
        <w:spacing w:line="360" w:lineRule="auto"/>
        <w:jc w:val="both"/>
        <w:rPr>
          <w:rFonts w:ascii="Times New Roman" w:hAnsi="Times New Roman" w:cs="Times New Roman"/>
        </w:rPr>
      </w:pPr>
    </w:p>
    <w:p w:rsidR="008833DF" w:rsidRPr="008833DF" w:rsidRDefault="008833DF" w:rsidP="008833DF">
      <w:pPr>
        <w:jc w:val="both"/>
        <w:rPr>
          <w:rFonts w:ascii="Times New Roman" w:hAnsi="Times New Roman" w:cs="Times New Roman"/>
        </w:rPr>
      </w:pPr>
    </w:p>
    <w:p w:rsidR="008833DF" w:rsidRPr="008833DF" w:rsidRDefault="003A1B7B" w:rsidP="008833DF">
      <w:pPr>
        <w:jc w:val="center"/>
        <w:rPr>
          <w:rFonts w:ascii="Times New Roman" w:hAnsi="Times New Roman" w:cs="Times New Roman"/>
        </w:rPr>
      </w:pPr>
      <w:r>
        <w:rPr>
          <w:rFonts w:ascii="Times New Roman" w:hAnsi="Times New Roman" w:cs="Times New Roman"/>
          <w:noProof/>
          <w:lang w:val="es-CR" w:eastAsia="es-CR"/>
        </w:rPr>
        <w:pict>
          <v:shape id="Cuadro de texto 35" o:spid="_x0000_s1046" type="#_x0000_t202" style="position:absolute;left:0;text-align:left;margin-left:61.7pt;margin-top:227pt;width:253.45pt;height:12.25pt;z-index:25171968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" stroked="f">
            <v:fill opacity="0"/>
            <v:textbox inset="0,0,0,0">
              <w:txbxContent>
                <w:p w:rsidR="00071467" w:rsidRDefault="00071467" w:rsidP="008833DF">
                  <w:pPr>
                    <w:rPr>
                      <w:sz w:val="14"/>
                      <w:szCs w:val="14"/>
                      <w:lang w:eastAsia="ar-SA"/>
                    </w:rPr>
                  </w:pPr>
                  <w:r>
                    <w:rPr>
                      <w:sz w:val="14"/>
                      <w:szCs w:val="14"/>
                      <w:lang w:eastAsia="ar-SA"/>
                    </w:rPr>
                    <w:t>Elaborado por: Sección de Estadística, Dirección de Planificación.</w:t>
                  </w:r>
                </w:p>
              </w:txbxContent>
            </v:textbox>
          </v:shape>
        </w:pict>
      </w:r>
      <w:r w:rsidR="008833DF" w:rsidRPr="008833DF">
        <w:rPr>
          <w:rFonts w:ascii="Times New Roman" w:hAnsi="Times New Roman" w:cs="Times New Roman"/>
          <w:noProof/>
          <w:lang w:val="es-CR" w:eastAsia="es-CR"/>
        </w:rPr>
        <w:drawing>
          <wp:inline distT="0" distB="0" distL="0" distR="0">
            <wp:extent cx="4428490" cy="3030855"/>
            <wp:effectExtent l="19050" t="0" r="10160" b="17145"/>
            <wp:docPr id="48" name="Objeto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8833DF" w:rsidRPr="008833DF" w:rsidRDefault="008833DF" w:rsidP="008833DF">
      <w:pPr>
        <w:keepNext/>
        <w:spacing w:before="240" w:after="60"/>
        <w:outlineLvl w:val="1"/>
        <w:rPr>
          <w:rFonts w:ascii="Times New Roman" w:hAnsi="Times New Roman" w:cs="Times New Roman"/>
          <w:b/>
          <w:bCs/>
          <w:i/>
          <w:iCs/>
        </w:rPr>
      </w:pPr>
    </w:p>
    <w:p w:rsidR="008833DF" w:rsidRPr="008833DF" w:rsidRDefault="008528B2" w:rsidP="008833DF">
      <w:pPr>
        <w:keepNext/>
        <w:spacing w:before="240" w:after="60"/>
        <w:ind w:left="705" w:hanging="705"/>
        <w:outlineLvl w:val="1"/>
        <w:rPr>
          <w:rFonts w:ascii="Times New Roman" w:hAnsi="Times New Roman" w:cs="Times New Roman"/>
          <w:b/>
          <w:bCs/>
          <w:iCs/>
        </w:rPr>
      </w:pPr>
      <w:r w:rsidRPr="005334D8">
        <w:rPr>
          <w:rFonts w:ascii="Times New Roman" w:hAnsi="Times New Roman" w:cs="Times New Roman"/>
          <w:b/>
          <w:bCs/>
          <w:iCs/>
          <w:highlight w:val="yellow"/>
        </w:rPr>
        <w:t>9.5</w:t>
      </w:r>
      <w:r w:rsidR="008833DF" w:rsidRPr="005334D8">
        <w:rPr>
          <w:rFonts w:ascii="Times New Roman" w:hAnsi="Times New Roman" w:cs="Times New Roman"/>
          <w:b/>
          <w:bCs/>
          <w:iCs/>
          <w:highlight w:val="yellow"/>
        </w:rPr>
        <w:tab/>
        <w:t>Total de casos terminados en los juzgados competentes en materia de Violencia Doméstica</w:t>
      </w:r>
    </w:p>
    <w:p w:rsidR="008833DF" w:rsidRPr="008833DF" w:rsidRDefault="008833DF" w:rsidP="008833DF">
      <w:pPr>
        <w:keepNext/>
        <w:spacing w:before="240" w:after="60"/>
        <w:outlineLvl w:val="1"/>
        <w:rPr>
          <w:rFonts w:ascii="Times New Roman" w:hAnsi="Times New Roman" w:cs="Times New Roman"/>
          <w:b/>
          <w:bCs/>
          <w:i/>
          <w:iCs/>
        </w:rPr>
      </w:pPr>
    </w:p>
    <w:p w:rsidR="008833DF" w:rsidRPr="008833DF" w:rsidRDefault="008833DF" w:rsidP="008833DF">
      <w:pPr>
        <w:spacing w:line="360" w:lineRule="auto"/>
        <w:jc w:val="both"/>
        <w:rPr>
          <w:rFonts w:ascii="Times New Roman" w:hAnsi="Times New Roman" w:cs="Times New Roman"/>
        </w:rPr>
      </w:pPr>
      <w:r w:rsidRPr="008833DF">
        <w:rPr>
          <w:rFonts w:ascii="Times New Roman" w:hAnsi="Times New Roman" w:cs="Times New Roman"/>
        </w:rPr>
        <w:t xml:space="preserve">Tal y como se mencionó en la edición anterior, la disminución acaecida en el período 2011-2012 “…es atribuible a los cambios en la legislación, ello por cuanto establece que las medidas de protección deben permanecer al menos un año dentro del circulante, para poder finiquitarse”. </w:t>
      </w:r>
    </w:p>
    <w:p w:rsidR="008833DF" w:rsidRPr="008833DF" w:rsidRDefault="008833DF" w:rsidP="008833DF">
      <w:pPr>
        <w:spacing w:line="360" w:lineRule="auto"/>
        <w:jc w:val="both"/>
        <w:rPr>
          <w:rFonts w:ascii="Times New Roman" w:hAnsi="Times New Roman" w:cs="Times New Roman"/>
        </w:rPr>
      </w:pPr>
    </w:p>
    <w:p w:rsidR="008833DF" w:rsidRPr="008833DF" w:rsidRDefault="008833DF" w:rsidP="008833DF">
      <w:pPr>
        <w:spacing w:line="360" w:lineRule="auto"/>
        <w:jc w:val="both"/>
        <w:rPr>
          <w:rFonts w:ascii="Times New Roman" w:hAnsi="Times New Roman" w:cs="Times New Roman"/>
        </w:rPr>
      </w:pPr>
      <w:r w:rsidRPr="008833DF">
        <w:rPr>
          <w:rFonts w:ascii="Times New Roman" w:hAnsi="Times New Roman" w:cs="Times New Roman"/>
        </w:rPr>
        <w:t xml:space="preserve">Ahora </w:t>
      </w:r>
      <w:r w:rsidR="00DF7DEA" w:rsidRPr="008833DF">
        <w:rPr>
          <w:rFonts w:ascii="Times New Roman" w:hAnsi="Times New Roman" w:cs="Times New Roman"/>
        </w:rPr>
        <w:t>bien,</w:t>
      </w:r>
      <w:r w:rsidRPr="008833DF">
        <w:rPr>
          <w:rFonts w:ascii="Times New Roman" w:hAnsi="Times New Roman" w:cs="Times New Roman"/>
        </w:rPr>
        <w:t xml:space="preserve"> para la información estadística luego del cambio de legislación se tiene que el último año aumentó el nivel resolutivo en asuntos de Violencia Doméstica. Para el 2015, el volumen resolutivo (</w:t>
      </w:r>
      <w:r w:rsidRPr="008833DF">
        <w:rPr>
          <w:rFonts w:ascii="Times New Roman" w:hAnsi="Times New Roman" w:cs="Times New Roman"/>
          <w:b/>
        </w:rPr>
        <w:t>62.125</w:t>
      </w:r>
      <w:r w:rsidRPr="008833DF">
        <w:rPr>
          <w:rFonts w:ascii="Times New Roman" w:hAnsi="Times New Roman" w:cs="Times New Roman"/>
        </w:rPr>
        <w:t xml:space="preserve"> casos terminados) es poco más del </w:t>
      </w:r>
      <w:r w:rsidRPr="008833DF">
        <w:rPr>
          <w:rFonts w:ascii="Times New Roman" w:hAnsi="Times New Roman" w:cs="Times New Roman"/>
          <w:b/>
        </w:rPr>
        <w:t>8%</w:t>
      </w:r>
      <w:r w:rsidRPr="008833DF">
        <w:rPr>
          <w:rFonts w:ascii="Times New Roman" w:hAnsi="Times New Roman" w:cs="Times New Roman"/>
        </w:rPr>
        <w:t xml:space="preserve"> (</w:t>
      </w:r>
      <w:r w:rsidRPr="008833DF">
        <w:rPr>
          <w:rFonts w:ascii="Times New Roman" w:hAnsi="Times New Roman" w:cs="Times New Roman"/>
          <w:b/>
        </w:rPr>
        <w:t>8,4%</w:t>
      </w:r>
      <w:r w:rsidRPr="008833DF">
        <w:rPr>
          <w:rFonts w:ascii="Times New Roman" w:hAnsi="Times New Roman" w:cs="Times New Roman"/>
        </w:rPr>
        <w:t xml:space="preserve">) respecto al reportado en </w:t>
      </w:r>
      <w:r w:rsidR="00AE48EC" w:rsidRPr="008833DF">
        <w:rPr>
          <w:rFonts w:ascii="Times New Roman" w:hAnsi="Times New Roman" w:cs="Times New Roman"/>
        </w:rPr>
        <w:t xml:space="preserve">el </w:t>
      </w:r>
      <w:r w:rsidR="00AE48EC" w:rsidRPr="008833DF">
        <w:rPr>
          <w:rFonts w:ascii="Times New Roman" w:hAnsi="Times New Roman" w:cs="Times New Roman"/>
        </w:rPr>
        <w:lastRenderedPageBreak/>
        <w:t>2014</w:t>
      </w:r>
      <w:r w:rsidRPr="008833DF">
        <w:rPr>
          <w:rFonts w:ascii="Times New Roman" w:hAnsi="Times New Roman" w:cs="Times New Roman"/>
        </w:rPr>
        <w:t>(</w:t>
      </w:r>
      <w:r w:rsidRPr="008833DF">
        <w:rPr>
          <w:rFonts w:ascii="Times New Roman" w:hAnsi="Times New Roman" w:cs="Times New Roman"/>
          <w:b/>
        </w:rPr>
        <w:t>57.291</w:t>
      </w:r>
      <w:r w:rsidRPr="008833DF">
        <w:rPr>
          <w:rFonts w:ascii="Times New Roman" w:hAnsi="Times New Roman" w:cs="Times New Roman"/>
        </w:rPr>
        <w:t xml:space="preserve"> asuntos terminados); tal repunte en la cifra de casos terminados inclusive supera el ejercicio del 2013 (</w:t>
      </w:r>
      <w:r w:rsidRPr="008833DF">
        <w:rPr>
          <w:rFonts w:ascii="Times New Roman" w:hAnsi="Times New Roman" w:cs="Times New Roman"/>
          <w:b/>
        </w:rPr>
        <w:t>59.452</w:t>
      </w:r>
      <w:r w:rsidRPr="008833DF">
        <w:rPr>
          <w:rFonts w:ascii="Times New Roman" w:hAnsi="Times New Roman" w:cs="Times New Roman"/>
        </w:rPr>
        <w:t xml:space="preserve"> asuntos terminados) al ser de </w:t>
      </w:r>
      <w:r w:rsidRPr="008833DF">
        <w:rPr>
          <w:rFonts w:ascii="Times New Roman" w:hAnsi="Times New Roman" w:cs="Times New Roman"/>
          <w:b/>
        </w:rPr>
        <w:t>4,5%</w:t>
      </w:r>
      <w:r w:rsidRPr="008833DF">
        <w:rPr>
          <w:rFonts w:ascii="Times New Roman" w:hAnsi="Times New Roman" w:cs="Times New Roman"/>
        </w:rPr>
        <w:t xml:space="preserve"> mayor que el reportado dos años antes.  Estos resultados pueden estar señalando la conformación de una tendencia creciente en el nivel resolutivo de la materia luego de los cambios legales comentados.  </w:t>
      </w:r>
    </w:p>
    <w:p w:rsidR="008833DF" w:rsidRPr="008833DF" w:rsidRDefault="008833DF" w:rsidP="008833DF">
      <w:pPr>
        <w:spacing w:line="360" w:lineRule="auto"/>
        <w:jc w:val="both"/>
        <w:rPr>
          <w:rFonts w:ascii="Times New Roman" w:hAnsi="Times New Roman" w:cs="Times New Roman"/>
        </w:rPr>
      </w:pPr>
    </w:p>
    <w:p w:rsidR="008833DF" w:rsidRPr="008833DF" w:rsidRDefault="003A1B7B" w:rsidP="008833DF">
      <w:pPr>
        <w:spacing w:line="360" w:lineRule="auto"/>
        <w:jc w:val="center"/>
        <w:rPr>
          <w:rFonts w:ascii="Times New Roman" w:hAnsi="Times New Roman" w:cs="Times New Roman"/>
        </w:rPr>
      </w:pPr>
      <w:r>
        <w:rPr>
          <w:rFonts w:ascii="Times New Roman" w:hAnsi="Times New Roman" w:cs="Times New Roman"/>
          <w:noProof/>
          <w:lang w:val="es-CR" w:eastAsia="es-CR"/>
        </w:rPr>
        <w:pict>
          <v:shape id="Cuadro de texto 34" o:spid="_x0000_s1047" type="#_x0000_t202" style="position:absolute;left:0;text-align:left;margin-left:160.7pt;margin-top:214.2pt;width:221.9pt;height:10.25pt;z-index:25171865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" stroked="f">
            <v:fill opacity="0"/>
            <v:textbox inset="0,0,0,0">
              <w:txbxContent>
                <w:p w:rsidR="00071467" w:rsidRPr="00FB5135" w:rsidRDefault="00071467" w:rsidP="008833DF">
                  <w:pPr>
                    <w:rPr>
                      <w:rFonts w:ascii="Times New Roman" w:hAnsi="Times New Roman" w:cs="Times New Roman"/>
                      <w:sz w:val="16"/>
                      <w:szCs w:val="16"/>
                      <w:lang w:eastAsia="ar-SA"/>
                    </w:rPr>
                  </w:pPr>
                  <w:r w:rsidRPr="00FB5135">
                    <w:rPr>
                      <w:rFonts w:ascii="Times New Roman" w:hAnsi="Times New Roman" w:cs="Times New Roman"/>
                      <w:sz w:val="16"/>
                      <w:szCs w:val="16"/>
                      <w:lang w:eastAsia="ar-SA"/>
                    </w:rPr>
                    <w:t xml:space="preserve">Elaborado por: Sección de </w:t>
                  </w:r>
                  <w:proofErr w:type="spellStart"/>
                  <w:r w:rsidRPr="00FB5135">
                    <w:rPr>
                      <w:rFonts w:ascii="Times New Roman" w:hAnsi="Times New Roman" w:cs="Times New Roman"/>
                      <w:sz w:val="16"/>
                      <w:szCs w:val="16"/>
                      <w:lang w:eastAsia="ar-SA"/>
                    </w:rPr>
                    <w:t>Estadística</w:t>
                  </w:r>
                  <w:proofErr w:type="gramStart"/>
                  <w:r w:rsidRPr="00FB5135">
                    <w:rPr>
                      <w:rFonts w:ascii="Times New Roman" w:hAnsi="Times New Roman" w:cs="Times New Roman"/>
                      <w:sz w:val="16"/>
                      <w:szCs w:val="16"/>
                      <w:lang w:eastAsia="ar-SA"/>
                    </w:rPr>
                    <w:t>,Dirección</w:t>
                  </w:r>
                  <w:proofErr w:type="spellEnd"/>
                  <w:proofErr w:type="gramEnd"/>
                  <w:r w:rsidRPr="00FB5135">
                    <w:rPr>
                      <w:rFonts w:ascii="Times New Roman" w:hAnsi="Times New Roman" w:cs="Times New Roman"/>
                      <w:sz w:val="16"/>
                      <w:szCs w:val="16"/>
                      <w:lang w:eastAsia="ar-SA"/>
                    </w:rPr>
                    <w:t xml:space="preserve"> de Planificación.</w:t>
                  </w:r>
                </w:p>
              </w:txbxContent>
            </v:textbox>
          </v:shape>
        </w:pict>
      </w:r>
      <w:r w:rsidR="008833DF" w:rsidRPr="008833DF">
        <w:rPr>
          <w:rFonts w:ascii="Times New Roman" w:hAnsi="Times New Roman" w:cs="Times New Roman"/>
          <w:noProof/>
          <w:lang w:val="es-CR" w:eastAsia="es-CR"/>
        </w:rPr>
        <w:drawing>
          <wp:inline distT="0" distB="0" distL="0" distR="0">
            <wp:extent cx="4402455" cy="2856230"/>
            <wp:effectExtent l="0" t="0" r="36195" b="39370"/>
            <wp:docPr id="49" name="Objeto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7D737B" w:rsidRPr="00952927" w:rsidRDefault="007D737B" w:rsidP="007D737B">
      <w:pPr>
        <w:jc w:val="center"/>
        <w:rPr>
          <w:rFonts w:ascii="Times New Roman" w:hAnsi="Times New Roman" w:cs="Times New Roman"/>
        </w:rPr>
      </w:pPr>
    </w:p>
    <w:p w:rsidR="001F09BD" w:rsidRDefault="001F09BD" w:rsidP="001F09BD">
      <w:pPr>
        <w:spacing w:line="360" w:lineRule="auto"/>
        <w:jc w:val="both"/>
      </w:pPr>
    </w:p>
    <w:p w:rsidR="001F09BD" w:rsidRPr="00340D91" w:rsidRDefault="001F09BD" w:rsidP="001F09BD">
      <w:pPr>
        <w:pStyle w:val="Ttulo1"/>
        <w:shd w:val="clear" w:color="auto" w:fill="000000"/>
        <w:spacing w:line="480" w:lineRule="atLeast"/>
        <w:jc w:val="center"/>
        <w:rPr>
          <w:rFonts w:ascii="Times New Roman" w:hAnsi="Times New Roman" w:cs="Times New Roman"/>
          <w:i w:val="0"/>
          <w:color w:val="FFFFFF"/>
          <w:sz w:val="28"/>
          <w:szCs w:val="28"/>
        </w:rPr>
      </w:pPr>
      <w:r w:rsidRPr="00340D91">
        <w:rPr>
          <w:rFonts w:ascii="Times New Roman" w:hAnsi="Times New Roman" w:cs="Times New Roman"/>
          <w:i w:val="0"/>
          <w:color w:val="FFFFFF"/>
          <w:sz w:val="28"/>
          <w:szCs w:val="28"/>
        </w:rPr>
        <w:t>10.  PENAL JUVENIL</w:t>
      </w:r>
    </w:p>
    <w:p w:rsidR="001F09BD" w:rsidRPr="00FC2B2B" w:rsidRDefault="001F09BD" w:rsidP="001F09BD">
      <w:pPr>
        <w:pStyle w:val="Textoindependiente"/>
        <w:spacing w:line="360" w:lineRule="auto"/>
      </w:pPr>
    </w:p>
    <w:p w:rsidR="001F09BD" w:rsidRPr="00340D91" w:rsidRDefault="001F09BD" w:rsidP="001F09BD">
      <w:pPr>
        <w:pStyle w:val="Textoindependiente"/>
        <w:spacing w:line="360" w:lineRule="auto"/>
        <w:rPr>
          <w:rFonts w:ascii="Times New Roman" w:hAnsi="Times New Roman" w:cs="Times New Roman"/>
          <w:sz w:val="24"/>
          <w:szCs w:val="24"/>
        </w:rPr>
      </w:pPr>
      <w:r w:rsidRPr="00340D91">
        <w:rPr>
          <w:rFonts w:ascii="Times New Roman" w:hAnsi="Times New Roman" w:cs="Times New Roman"/>
          <w:sz w:val="24"/>
          <w:szCs w:val="24"/>
        </w:rPr>
        <w:t xml:space="preserve">En este apartado se particulariza acerca de la incursión de las personas menores infractores en la esfera judicial, lo cual sirve de parámetro para determinar no solo el grado de penetración dentro de la temática delictiva del país, sino de la respuesta que brinda la Institución en esta materia.  En este ámbito se han definido 16 indicadores </w:t>
      </w:r>
      <w:r w:rsidRPr="00340D91">
        <w:rPr>
          <w:rFonts w:ascii="Times New Roman" w:hAnsi="Times New Roman" w:cs="Times New Roman"/>
          <w:sz w:val="24"/>
          <w:szCs w:val="24"/>
          <w:lang w:eastAsia="ar-SA"/>
        </w:rPr>
        <w:t>para la población expuesta al riesgo</w:t>
      </w:r>
      <w:r w:rsidRPr="00340D91">
        <w:rPr>
          <w:rStyle w:val="Refdenotaalpie"/>
          <w:rFonts w:ascii="Times New Roman" w:hAnsi="Times New Roman"/>
          <w:sz w:val="24"/>
          <w:szCs w:val="24"/>
        </w:rPr>
        <w:footnoteReference w:id="13"/>
      </w:r>
      <w:r w:rsidRPr="00340D91">
        <w:rPr>
          <w:rFonts w:ascii="Times New Roman" w:hAnsi="Times New Roman" w:cs="Times New Roman"/>
          <w:sz w:val="24"/>
          <w:szCs w:val="24"/>
        </w:rPr>
        <w:t>.</w:t>
      </w:r>
    </w:p>
    <w:p w:rsidR="001F09BD" w:rsidRPr="00340D91" w:rsidRDefault="001F09BD" w:rsidP="001F09BD">
      <w:pPr>
        <w:pStyle w:val="Textoindependiente"/>
        <w:spacing w:line="360" w:lineRule="auto"/>
        <w:rPr>
          <w:rFonts w:ascii="Times New Roman" w:hAnsi="Times New Roman" w:cs="Times New Roman"/>
          <w:sz w:val="24"/>
          <w:szCs w:val="24"/>
        </w:rPr>
      </w:pPr>
    </w:p>
    <w:p w:rsidR="001F09BD" w:rsidRPr="00340D91" w:rsidRDefault="001F09BD" w:rsidP="001F09BD">
      <w:pPr>
        <w:pStyle w:val="Ttulo2"/>
        <w:rPr>
          <w:rFonts w:ascii="Times New Roman" w:hAnsi="Times New Roman" w:cs="Times New Roman"/>
          <w:i w:val="0"/>
          <w:sz w:val="24"/>
          <w:szCs w:val="24"/>
        </w:rPr>
      </w:pPr>
      <w:bookmarkStart w:id="1" w:name="_Toc125421151"/>
      <w:r w:rsidRPr="00340D91">
        <w:rPr>
          <w:rFonts w:ascii="Times New Roman" w:hAnsi="Times New Roman" w:cs="Times New Roman"/>
          <w:i w:val="0"/>
          <w:sz w:val="24"/>
          <w:szCs w:val="24"/>
        </w:rPr>
        <w:lastRenderedPageBreak/>
        <w:t>10.1</w:t>
      </w:r>
      <w:r w:rsidRPr="00340D91">
        <w:rPr>
          <w:rFonts w:ascii="Times New Roman" w:hAnsi="Times New Roman" w:cs="Times New Roman"/>
          <w:i w:val="0"/>
          <w:sz w:val="24"/>
          <w:szCs w:val="24"/>
        </w:rPr>
        <w:tab/>
        <w:t>Tasa de menores acusados de infringir a Ley Penal Juvenil</w:t>
      </w:r>
    </w:p>
    <w:p w:rsidR="001F09BD" w:rsidRPr="00340D91" w:rsidRDefault="001F09BD" w:rsidP="001F09BD">
      <w:pPr>
        <w:spacing w:line="360" w:lineRule="auto"/>
        <w:jc w:val="both"/>
        <w:rPr>
          <w:rFonts w:ascii="Times New Roman" w:hAnsi="Times New Roman" w:cs="Times New Roman"/>
          <w:lang w:eastAsia="ar-SA"/>
        </w:rPr>
      </w:pPr>
    </w:p>
    <w:p w:rsidR="001F09BD" w:rsidRDefault="001F09BD" w:rsidP="001F09BD">
      <w:pPr>
        <w:spacing w:line="360" w:lineRule="auto"/>
        <w:jc w:val="both"/>
        <w:rPr>
          <w:rFonts w:ascii="Times New Roman" w:hAnsi="Times New Roman" w:cs="Times New Roman"/>
          <w:lang w:eastAsia="ar-SA"/>
        </w:rPr>
      </w:pPr>
      <w:r w:rsidRPr="00276376">
        <w:rPr>
          <w:rFonts w:ascii="Times New Roman" w:hAnsi="Times New Roman" w:cs="Times New Roman"/>
          <w:lang w:eastAsia="ar-SA"/>
        </w:rPr>
        <w:t>En el 2015 este indicador se incrementa luego de haber tenido tres descensos consecutivos, según se puede observar en el siguiente gráfico. Este crecimiento es debido a una baja en la población ubicada entre los 12 y 17 años, así como un aumento en la cantidad de menores</w:t>
      </w:r>
      <w:r>
        <w:rPr>
          <w:rFonts w:ascii="Times New Roman" w:hAnsi="Times New Roman" w:cs="Times New Roman"/>
          <w:lang w:eastAsia="ar-SA"/>
        </w:rPr>
        <w:t xml:space="preserve"> acusados de infringir la Ley Penal Juvenil. El dato obtenido para este año es de 27,1, sea se acusaron aproximadamente 27 personas menores entre 12 y 17 años por cada mil en estas edades. </w:t>
      </w:r>
    </w:p>
    <w:p w:rsidR="001F09BD" w:rsidRPr="00340D91" w:rsidRDefault="001F09BD" w:rsidP="001F09BD">
      <w:pPr>
        <w:spacing w:line="360" w:lineRule="auto"/>
        <w:jc w:val="both"/>
        <w:rPr>
          <w:rFonts w:ascii="Times New Roman" w:hAnsi="Times New Roman" w:cs="Times New Roman"/>
          <w:lang w:eastAsia="ar-SA"/>
        </w:rPr>
      </w:pPr>
    </w:p>
    <w:p w:rsidR="001F09BD" w:rsidRPr="00340D91" w:rsidRDefault="001F09BD" w:rsidP="001F09BD">
      <w:pPr>
        <w:jc w:val="center"/>
        <w:rPr>
          <w:rFonts w:ascii="Times New Roman" w:hAnsi="Times New Roman" w:cs="Times New Roman"/>
        </w:rPr>
      </w:pPr>
      <w:r w:rsidRPr="00340D91">
        <w:rPr>
          <w:rFonts w:ascii="Times New Roman" w:hAnsi="Times New Roman" w:cs="Times New Roman"/>
          <w:noProof/>
          <w:lang w:val="es-CR" w:eastAsia="es-CR"/>
        </w:rPr>
        <w:drawing>
          <wp:inline distT="0" distB="0" distL="0" distR="0">
            <wp:extent cx="4831080" cy="3055620"/>
            <wp:effectExtent l="0" t="0" r="45720" b="30480"/>
            <wp:docPr id="51" name="Gráfico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1F09BD" w:rsidRDefault="001F09BD" w:rsidP="001F09BD">
      <w:pPr>
        <w:pStyle w:val="Ttulo2"/>
        <w:rPr>
          <w:rFonts w:ascii="Times New Roman" w:hAnsi="Times New Roman" w:cs="Times New Roman"/>
          <w:sz w:val="24"/>
          <w:szCs w:val="24"/>
        </w:rPr>
      </w:pPr>
    </w:p>
    <w:p w:rsidR="001F09BD" w:rsidRPr="00340D91" w:rsidRDefault="001F09BD" w:rsidP="001F09BD">
      <w:pPr>
        <w:pStyle w:val="Ttulo2"/>
        <w:rPr>
          <w:rFonts w:ascii="Times New Roman" w:hAnsi="Times New Roman" w:cs="Times New Roman"/>
          <w:i w:val="0"/>
          <w:sz w:val="24"/>
          <w:szCs w:val="24"/>
        </w:rPr>
      </w:pPr>
      <w:r w:rsidRPr="00340D91">
        <w:rPr>
          <w:rFonts w:ascii="Times New Roman" w:hAnsi="Times New Roman" w:cs="Times New Roman"/>
          <w:i w:val="0"/>
          <w:sz w:val="24"/>
          <w:szCs w:val="24"/>
        </w:rPr>
        <w:t>10.2</w:t>
      </w:r>
      <w:r w:rsidRPr="00340D91">
        <w:rPr>
          <w:rFonts w:ascii="Times New Roman" w:hAnsi="Times New Roman" w:cs="Times New Roman"/>
          <w:i w:val="0"/>
          <w:sz w:val="24"/>
          <w:szCs w:val="24"/>
        </w:rPr>
        <w:tab/>
      </w:r>
      <w:bookmarkEnd w:id="1"/>
      <w:r w:rsidRPr="00340D91">
        <w:rPr>
          <w:rFonts w:ascii="Times New Roman" w:hAnsi="Times New Roman" w:cs="Times New Roman"/>
          <w:i w:val="0"/>
          <w:sz w:val="24"/>
          <w:szCs w:val="24"/>
        </w:rPr>
        <w:t>Tasa de hombres menores acusados de infringir la Ley Penal Juvenil</w:t>
      </w:r>
    </w:p>
    <w:p w:rsidR="001F09BD" w:rsidRPr="00340D91" w:rsidRDefault="001F09BD" w:rsidP="001F09BD">
      <w:pPr>
        <w:pStyle w:val="Textoindependiente"/>
        <w:spacing w:line="360" w:lineRule="auto"/>
        <w:rPr>
          <w:rFonts w:ascii="Times New Roman" w:hAnsi="Times New Roman" w:cs="Times New Roman"/>
          <w:b/>
          <w:bCs/>
          <w:sz w:val="24"/>
          <w:szCs w:val="24"/>
        </w:rPr>
      </w:pPr>
    </w:p>
    <w:p w:rsidR="001F09BD" w:rsidRPr="00340D91" w:rsidRDefault="001F09BD" w:rsidP="001F09BD">
      <w:pPr>
        <w:pStyle w:val="Textoindependiente"/>
        <w:spacing w:line="360" w:lineRule="auto"/>
        <w:jc w:val="both"/>
        <w:rPr>
          <w:rFonts w:ascii="Times New Roman" w:hAnsi="Times New Roman" w:cs="Times New Roman"/>
          <w:sz w:val="24"/>
          <w:szCs w:val="24"/>
        </w:rPr>
      </w:pPr>
      <w:r w:rsidRPr="00340D91">
        <w:rPr>
          <w:rFonts w:ascii="Times New Roman" w:hAnsi="Times New Roman" w:cs="Times New Roman"/>
          <w:sz w:val="24"/>
          <w:szCs w:val="24"/>
        </w:rPr>
        <w:t>Este indicador se calcula al utilizar la cantidad de hombres menores acusados de infringir la Ley Penal Juvenil, dividido por el número de hombres de 12 a 17 años y expandido por mil menores.</w:t>
      </w:r>
    </w:p>
    <w:p w:rsidR="001F09BD" w:rsidRPr="00340D91" w:rsidRDefault="001F09BD" w:rsidP="001F09BD">
      <w:pPr>
        <w:pStyle w:val="Textoindependiente"/>
        <w:spacing w:line="360" w:lineRule="auto"/>
        <w:rPr>
          <w:rFonts w:ascii="Times New Roman" w:hAnsi="Times New Roman" w:cs="Times New Roman"/>
          <w:sz w:val="24"/>
          <w:szCs w:val="24"/>
        </w:rPr>
      </w:pPr>
    </w:p>
    <w:p w:rsidR="001F09BD" w:rsidRPr="00340D91" w:rsidRDefault="001F09BD" w:rsidP="001F09BD">
      <w:pPr>
        <w:pStyle w:val="Textoindependiente"/>
        <w:spacing w:line="360" w:lineRule="auto"/>
        <w:jc w:val="both"/>
        <w:rPr>
          <w:rFonts w:ascii="Times New Roman" w:hAnsi="Times New Roman" w:cs="Times New Roman"/>
          <w:sz w:val="24"/>
          <w:szCs w:val="24"/>
        </w:rPr>
      </w:pPr>
      <w:r w:rsidRPr="00E236CF">
        <w:rPr>
          <w:rFonts w:ascii="Times New Roman" w:hAnsi="Times New Roman" w:cs="Times New Roman"/>
          <w:sz w:val="24"/>
          <w:szCs w:val="24"/>
        </w:rPr>
        <w:t xml:space="preserve">El número de hombres menores acusados de infringir la Ley Penal Juvenil en el 2015 (9.622) crece en comparación con el año anterior (8.237) en un 16,8%, mientras que la población de </w:t>
      </w:r>
      <w:r w:rsidRPr="00E236CF">
        <w:rPr>
          <w:rFonts w:ascii="Times New Roman" w:hAnsi="Times New Roman" w:cs="Times New Roman"/>
          <w:sz w:val="24"/>
          <w:szCs w:val="24"/>
        </w:rPr>
        <w:lastRenderedPageBreak/>
        <w:t>hombres menores entre 12 y 17 años decae en un 1,8%, ello hace que el indicado se incremente hasta ubicarse en 39,8, lo cual indica que hay aproximadamente 40 ho</w:t>
      </w:r>
      <w:r>
        <w:rPr>
          <w:rFonts w:ascii="Times New Roman" w:hAnsi="Times New Roman" w:cs="Times New Roman"/>
          <w:sz w:val="24"/>
          <w:szCs w:val="24"/>
        </w:rPr>
        <w:t>m</w:t>
      </w:r>
      <w:r w:rsidRPr="00E236CF">
        <w:rPr>
          <w:rFonts w:ascii="Times New Roman" w:hAnsi="Times New Roman" w:cs="Times New Roman"/>
          <w:sz w:val="24"/>
          <w:szCs w:val="24"/>
        </w:rPr>
        <w:t>bres menores acusados de infringir esa Ley.</w:t>
      </w:r>
    </w:p>
    <w:p w:rsidR="001F09BD" w:rsidRPr="00340D91" w:rsidRDefault="001F09BD" w:rsidP="001F09BD">
      <w:pPr>
        <w:pStyle w:val="Textoindependiente"/>
        <w:spacing w:line="360" w:lineRule="auto"/>
        <w:rPr>
          <w:rFonts w:ascii="Times New Roman" w:hAnsi="Times New Roman" w:cs="Times New Roman"/>
          <w:sz w:val="24"/>
          <w:szCs w:val="24"/>
          <w:highlight w:val="green"/>
        </w:rPr>
      </w:pPr>
    </w:p>
    <w:p w:rsidR="001F09BD" w:rsidRPr="00340D91" w:rsidRDefault="001F09BD" w:rsidP="001F09BD">
      <w:pPr>
        <w:pStyle w:val="Ttulo2"/>
        <w:rPr>
          <w:rFonts w:ascii="Times New Roman" w:hAnsi="Times New Roman" w:cs="Times New Roman"/>
          <w:i w:val="0"/>
          <w:sz w:val="24"/>
          <w:szCs w:val="24"/>
        </w:rPr>
      </w:pPr>
      <w:bookmarkStart w:id="2" w:name="_Toc125421152"/>
      <w:r w:rsidRPr="00340D91">
        <w:rPr>
          <w:rFonts w:ascii="Times New Roman" w:hAnsi="Times New Roman" w:cs="Times New Roman"/>
          <w:i w:val="0"/>
          <w:sz w:val="24"/>
          <w:szCs w:val="24"/>
        </w:rPr>
        <w:t>10.3</w:t>
      </w:r>
      <w:r w:rsidRPr="00340D91">
        <w:rPr>
          <w:rFonts w:ascii="Times New Roman" w:hAnsi="Times New Roman" w:cs="Times New Roman"/>
          <w:i w:val="0"/>
          <w:sz w:val="24"/>
          <w:szCs w:val="24"/>
        </w:rPr>
        <w:tab/>
      </w:r>
      <w:bookmarkEnd w:id="2"/>
      <w:r w:rsidRPr="00340D91">
        <w:rPr>
          <w:rFonts w:ascii="Times New Roman" w:hAnsi="Times New Roman" w:cs="Times New Roman"/>
          <w:i w:val="0"/>
          <w:sz w:val="24"/>
          <w:szCs w:val="24"/>
        </w:rPr>
        <w:t>Tasa de mujeres menores acusadas de infringir a Ley Penal Juvenil</w:t>
      </w:r>
    </w:p>
    <w:p w:rsidR="001F09BD" w:rsidRPr="00340D91" w:rsidRDefault="001F09BD" w:rsidP="001F09BD">
      <w:pPr>
        <w:pStyle w:val="Textoindependiente"/>
        <w:spacing w:line="360" w:lineRule="auto"/>
        <w:rPr>
          <w:rFonts w:ascii="Times New Roman" w:hAnsi="Times New Roman" w:cs="Times New Roman"/>
          <w:b/>
          <w:bCs/>
          <w:sz w:val="24"/>
          <w:szCs w:val="24"/>
        </w:rPr>
      </w:pPr>
    </w:p>
    <w:p w:rsidR="001F09BD" w:rsidRPr="00340D91" w:rsidRDefault="001F09BD" w:rsidP="001F09BD">
      <w:pPr>
        <w:pStyle w:val="Textoindependiente"/>
        <w:spacing w:line="360" w:lineRule="auto"/>
        <w:jc w:val="both"/>
        <w:rPr>
          <w:rFonts w:ascii="Times New Roman" w:hAnsi="Times New Roman" w:cs="Times New Roman"/>
          <w:sz w:val="24"/>
          <w:szCs w:val="24"/>
        </w:rPr>
      </w:pPr>
      <w:r w:rsidRPr="00C9376C">
        <w:rPr>
          <w:rFonts w:ascii="Times New Roman" w:hAnsi="Times New Roman" w:cs="Times New Roman"/>
          <w:sz w:val="24"/>
          <w:szCs w:val="24"/>
        </w:rPr>
        <w:t>Tanto las mujeres acusadas de infringir la Ley Penal Juvenil, como la población disminuyen, siendo que las primeras lo hacen con un peso mayor, esto hace que el indicador disminuya, obteniendo un valor el 2015 de 11,1, ello se refiere a que hubo alrededor de 11 mujeres acusadas de infringir la Ley.</w:t>
      </w:r>
    </w:p>
    <w:p w:rsidR="001F09BD" w:rsidRPr="00340D91" w:rsidRDefault="001F09BD" w:rsidP="001F09BD">
      <w:pPr>
        <w:pStyle w:val="Textoindependiente"/>
        <w:spacing w:line="360" w:lineRule="auto"/>
        <w:rPr>
          <w:rFonts w:ascii="Times New Roman" w:hAnsi="Times New Roman" w:cs="Times New Roman"/>
          <w:sz w:val="24"/>
          <w:szCs w:val="24"/>
        </w:rPr>
      </w:pPr>
    </w:p>
    <w:p w:rsidR="001F09BD" w:rsidRPr="00340D91" w:rsidRDefault="001F09BD" w:rsidP="001F09BD">
      <w:pPr>
        <w:pStyle w:val="Textoindependiente"/>
        <w:spacing w:line="360" w:lineRule="auto"/>
        <w:jc w:val="center"/>
        <w:rPr>
          <w:rFonts w:ascii="Times New Roman" w:hAnsi="Times New Roman" w:cs="Times New Roman"/>
          <w:sz w:val="24"/>
          <w:szCs w:val="24"/>
        </w:rPr>
      </w:pPr>
      <w:r w:rsidRPr="00340D91">
        <w:rPr>
          <w:rFonts w:ascii="Times New Roman" w:hAnsi="Times New Roman" w:cs="Times New Roman"/>
          <w:noProof/>
          <w:sz w:val="24"/>
          <w:szCs w:val="24"/>
          <w:lang w:val="es-CR" w:eastAsia="es-CR"/>
        </w:rPr>
        <w:drawing>
          <wp:inline distT="0" distB="0" distL="0" distR="0">
            <wp:extent cx="4754880" cy="3208020"/>
            <wp:effectExtent l="0" t="0" r="45720" b="30480"/>
            <wp:docPr id="50" name="Gráfico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1F09BD" w:rsidRPr="00340D91" w:rsidRDefault="001F09BD" w:rsidP="001F09BD">
      <w:pPr>
        <w:pStyle w:val="Ttulo2"/>
        <w:jc w:val="both"/>
        <w:rPr>
          <w:rFonts w:ascii="Times New Roman" w:hAnsi="Times New Roman" w:cs="Times New Roman"/>
          <w:i w:val="0"/>
          <w:sz w:val="24"/>
          <w:szCs w:val="24"/>
        </w:rPr>
      </w:pPr>
      <w:bookmarkStart w:id="3" w:name="_Toc125421155"/>
      <w:r w:rsidRPr="00340D91">
        <w:rPr>
          <w:rFonts w:ascii="Times New Roman" w:hAnsi="Times New Roman" w:cs="Times New Roman"/>
          <w:i w:val="0"/>
          <w:sz w:val="24"/>
          <w:szCs w:val="24"/>
        </w:rPr>
        <w:t>10.4</w:t>
      </w:r>
      <w:r w:rsidRPr="00340D91">
        <w:rPr>
          <w:rFonts w:ascii="Times New Roman" w:hAnsi="Times New Roman" w:cs="Times New Roman"/>
          <w:i w:val="0"/>
          <w:sz w:val="24"/>
          <w:szCs w:val="24"/>
        </w:rPr>
        <w:tab/>
        <w:t>Tasa de menores sentenciados</w:t>
      </w:r>
      <w:bookmarkEnd w:id="3"/>
    </w:p>
    <w:p w:rsidR="001F09BD" w:rsidRPr="00340D91" w:rsidRDefault="001F09BD" w:rsidP="001F09BD">
      <w:pPr>
        <w:pStyle w:val="Textoindependiente"/>
        <w:tabs>
          <w:tab w:val="num" w:pos="2148"/>
        </w:tabs>
        <w:spacing w:line="360" w:lineRule="auto"/>
        <w:rPr>
          <w:rFonts w:ascii="Times New Roman" w:hAnsi="Times New Roman" w:cs="Times New Roman"/>
          <w:b/>
          <w:bCs/>
          <w:sz w:val="24"/>
          <w:szCs w:val="24"/>
        </w:rPr>
      </w:pPr>
    </w:p>
    <w:p w:rsidR="001F09BD" w:rsidRPr="00340D91" w:rsidRDefault="001F09BD" w:rsidP="001F09BD">
      <w:pPr>
        <w:pStyle w:val="Textoindependiente"/>
        <w:spacing w:line="360" w:lineRule="auto"/>
        <w:jc w:val="both"/>
        <w:rPr>
          <w:rFonts w:ascii="Times New Roman" w:hAnsi="Times New Roman" w:cs="Times New Roman"/>
          <w:sz w:val="24"/>
          <w:szCs w:val="24"/>
        </w:rPr>
      </w:pPr>
      <w:r w:rsidRPr="0071669E">
        <w:rPr>
          <w:rFonts w:ascii="Times New Roman" w:hAnsi="Times New Roman" w:cs="Times New Roman"/>
          <w:sz w:val="24"/>
          <w:szCs w:val="24"/>
        </w:rPr>
        <w:t xml:space="preserve">Luego de haber sido juzgadas por haber infringido la Ley Penal Juvenil, las personas menores con edades entres 12 y 17 años son sometidas a un proceso cuyo resultado final conlleva a que </w:t>
      </w:r>
      <w:proofErr w:type="spellStart"/>
      <w:r w:rsidRPr="0071669E">
        <w:rPr>
          <w:rFonts w:ascii="Times New Roman" w:hAnsi="Times New Roman" w:cs="Times New Roman"/>
          <w:sz w:val="24"/>
          <w:szCs w:val="24"/>
        </w:rPr>
        <w:lastRenderedPageBreak/>
        <w:t>se</w:t>
      </w:r>
      <w:r w:rsidRPr="00340D91">
        <w:rPr>
          <w:rFonts w:ascii="Times New Roman" w:hAnsi="Times New Roman" w:cs="Times New Roman"/>
          <w:sz w:val="24"/>
          <w:szCs w:val="24"/>
        </w:rPr>
        <w:t>adopten</w:t>
      </w:r>
      <w:proofErr w:type="spellEnd"/>
      <w:r w:rsidRPr="00340D91">
        <w:rPr>
          <w:rFonts w:ascii="Times New Roman" w:hAnsi="Times New Roman" w:cs="Times New Roman"/>
          <w:sz w:val="24"/>
          <w:szCs w:val="24"/>
        </w:rPr>
        <w:t xml:space="preserve"> diferentes tipos de resolución, entre ellos una sentencia.    </w:t>
      </w:r>
    </w:p>
    <w:p w:rsidR="001F09BD" w:rsidRPr="00340D91" w:rsidRDefault="001F09BD" w:rsidP="001F09BD">
      <w:pPr>
        <w:pStyle w:val="Textoindependiente"/>
        <w:spacing w:line="360" w:lineRule="auto"/>
        <w:rPr>
          <w:rFonts w:ascii="Times New Roman" w:hAnsi="Times New Roman" w:cs="Times New Roman"/>
          <w:sz w:val="24"/>
          <w:szCs w:val="24"/>
        </w:rPr>
      </w:pPr>
    </w:p>
    <w:p w:rsidR="001F09BD" w:rsidRPr="00340D91" w:rsidRDefault="001F09BD" w:rsidP="001F09BD">
      <w:pPr>
        <w:pStyle w:val="Textoindependiente"/>
        <w:spacing w:line="360" w:lineRule="auto"/>
        <w:jc w:val="both"/>
        <w:rPr>
          <w:rFonts w:ascii="Times New Roman" w:hAnsi="Times New Roman" w:cs="Times New Roman"/>
          <w:sz w:val="24"/>
          <w:szCs w:val="24"/>
        </w:rPr>
      </w:pPr>
      <w:r w:rsidRPr="00AC6F05">
        <w:rPr>
          <w:rFonts w:ascii="Times New Roman" w:hAnsi="Times New Roman" w:cs="Times New Roman"/>
          <w:sz w:val="24"/>
          <w:szCs w:val="24"/>
        </w:rPr>
        <w:t>En comparación con el 2014, la cantidad de personas menores sentenciadas disminuyen en 81, al quedar registrado en el 2015 un total de 881, donde el robo agravado sigue siendo el delito por el cual en mayor medida hay una sentencia, ya sea absolutoria o condenatoria.</w:t>
      </w:r>
    </w:p>
    <w:p w:rsidR="001F09BD" w:rsidRPr="00340D91" w:rsidRDefault="001F09BD" w:rsidP="001F09BD">
      <w:pPr>
        <w:pStyle w:val="Textoindependiente"/>
        <w:spacing w:line="360" w:lineRule="auto"/>
        <w:rPr>
          <w:rFonts w:ascii="Times New Roman" w:hAnsi="Times New Roman" w:cs="Times New Roman"/>
          <w:sz w:val="24"/>
          <w:szCs w:val="24"/>
        </w:rPr>
      </w:pPr>
    </w:p>
    <w:p w:rsidR="001F09BD" w:rsidRPr="00340D91" w:rsidRDefault="001F09BD" w:rsidP="001F09BD">
      <w:pPr>
        <w:pStyle w:val="Textoindependiente"/>
        <w:spacing w:line="360" w:lineRule="auto"/>
        <w:jc w:val="both"/>
        <w:rPr>
          <w:rFonts w:ascii="Times New Roman" w:hAnsi="Times New Roman" w:cs="Times New Roman"/>
          <w:sz w:val="24"/>
          <w:szCs w:val="24"/>
        </w:rPr>
      </w:pPr>
      <w:r>
        <w:rPr>
          <w:rFonts w:ascii="Times New Roman" w:hAnsi="Times New Roman" w:cs="Times New Roman"/>
          <w:sz w:val="24"/>
          <w:szCs w:val="24"/>
        </w:rPr>
        <w:t>El indicador calculado para el 2015, manifiesta una reducción al ubicarse en 1,9, mientras que en el año anterior era de 2. Ante ello, se determina que para este año se sentenciaron a  aproximadamente dos personas entre 12 y 17 años por cada mil de ellas</w:t>
      </w:r>
      <w:r w:rsidRPr="00340D91">
        <w:rPr>
          <w:rFonts w:ascii="Times New Roman" w:hAnsi="Times New Roman" w:cs="Times New Roman"/>
          <w:sz w:val="24"/>
          <w:szCs w:val="24"/>
        </w:rPr>
        <w:t xml:space="preserve">. </w:t>
      </w:r>
    </w:p>
    <w:p w:rsidR="001F09BD" w:rsidRPr="00340D91" w:rsidRDefault="001F09BD" w:rsidP="001F09BD">
      <w:pPr>
        <w:pStyle w:val="Textoindependiente"/>
        <w:spacing w:line="360" w:lineRule="auto"/>
        <w:rPr>
          <w:rFonts w:ascii="Times New Roman" w:hAnsi="Times New Roman" w:cs="Times New Roman"/>
          <w:sz w:val="24"/>
          <w:szCs w:val="24"/>
        </w:rPr>
      </w:pPr>
    </w:p>
    <w:p w:rsidR="001F09BD" w:rsidRPr="00340D91" w:rsidRDefault="001F09BD" w:rsidP="001F09BD">
      <w:pPr>
        <w:pStyle w:val="Textoindependiente"/>
        <w:tabs>
          <w:tab w:val="num" w:pos="2148"/>
        </w:tabs>
        <w:spacing w:line="360" w:lineRule="auto"/>
        <w:jc w:val="center"/>
        <w:rPr>
          <w:rFonts w:ascii="Times New Roman" w:hAnsi="Times New Roman" w:cs="Times New Roman"/>
          <w:sz w:val="24"/>
          <w:szCs w:val="24"/>
        </w:rPr>
      </w:pPr>
      <w:r w:rsidRPr="00340D91">
        <w:rPr>
          <w:rFonts w:ascii="Times New Roman" w:hAnsi="Times New Roman" w:cs="Times New Roman"/>
          <w:noProof/>
          <w:sz w:val="24"/>
          <w:szCs w:val="24"/>
          <w:lang w:val="es-CR" w:eastAsia="es-CR"/>
        </w:rPr>
        <w:drawing>
          <wp:inline distT="0" distB="0" distL="0" distR="0">
            <wp:extent cx="4648200" cy="3017520"/>
            <wp:effectExtent l="0" t="0" r="38100" b="30480"/>
            <wp:docPr id="47" name="Gráfico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1F09BD" w:rsidRPr="00340D91" w:rsidRDefault="001F09BD" w:rsidP="001F09BD">
      <w:pPr>
        <w:pStyle w:val="Ttulo2"/>
        <w:rPr>
          <w:rFonts w:ascii="Times New Roman" w:hAnsi="Times New Roman" w:cs="Times New Roman"/>
          <w:sz w:val="24"/>
          <w:szCs w:val="24"/>
        </w:rPr>
      </w:pPr>
      <w:bookmarkStart w:id="4" w:name="_Toc125421156"/>
    </w:p>
    <w:p w:rsidR="001F09BD" w:rsidRPr="00340D91" w:rsidRDefault="001F09BD" w:rsidP="001F09BD">
      <w:pPr>
        <w:pStyle w:val="Ttulo2"/>
        <w:ind w:left="720" w:hanging="720"/>
        <w:jc w:val="both"/>
        <w:rPr>
          <w:rFonts w:ascii="Times New Roman" w:hAnsi="Times New Roman" w:cs="Times New Roman"/>
          <w:i w:val="0"/>
          <w:sz w:val="24"/>
          <w:szCs w:val="24"/>
        </w:rPr>
      </w:pPr>
      <w:r w:rsidRPr="00340D91">
        <w:rPr>
          <w:rFonts w:ascii="Times New Roman" w:hAnsi="Times New Roman" w:cs="Times New Roman"/>
          <w:i w:val="0"/>
          <w:sz w:val="24"/>
          <w:szCs w:val="24"/>
        </w:rPr>
        <w:t>10.5</w:t>
      </w:r>
      <w:r w:rsidRPr="00340D91">
        <w:rPr>
          <w:rFonts w:ascii="Times New Roman" w:hAnsi="Times New Roman" w:cs="Times New Roman"/>
          <w:i w:val="0"/>
          <w:sz w:val="24"/>
          <w:szCs w:val="24"/>
        </w:rPr>
        <w:tab/>
        <w:t>Porcentaje de sentencias condenatorias y porcentaje de sentencias absolutorias en menores</w:t>
      </w:r>
      <w:bookmarkEnd w:id="4"/>
    </w:p>
    <w:p w:rsidR="001F09BD" w:rsidRPr="00340D91" w:rsidRDefault="001F09BD" w:rsidP="001F09BD">
      <w:pPr>
        <w:pStyle w:val="Textoindependiente"/>
        <w:tabs>
          <w:tab w:val="num" w:pos="2148"/>
        </w:tabs>
        <w:spacing w:line="360" w:lineRule="auto"/>
        <w:rPr>
          <w:rFonts w:ascii="Times New Roman" w:hAnsi="Times New Roman" w:cs="Times New Roman"/>
          <w:b/>
          <w:bCs/>
          <w:sz w:val="24"/>
          <w:szCs w:val="24"/>
        </w:rPr>
      </w:pPr>
    </w:p>
    <w:p w:rsidR="001F09BD" w:rsidRPr="00340D91" w:rsidRDefault="001F09BD" w:rsidP="001F09BD">
      <w:pPr>
        <w:pStyle w:val="Textoindependiente"/>
        <w:spacing w:line="360" w:lineRule="auto"/>
        <w:jc w:val="both"/>
        <w:rPr>
          <w:rFonts w:ascii="Times New Roman" w:hAnsi="Times New Roman" w:cs="Times New Roman"/>
          <w:sz w:val="24"/>
          <w:szCs w:val="24"/>
        </w:rPr>
      </w:pPr>
      <w:r w:rsidRPr="001E50AB">
        <w:rPr>
          <w:rFonts w:ascii="Times New Roman" w:hAnsi="Times New Roman" w:cs="Times New Roman"/>
          <w:sz w:val="24"/>
          <w:szCs w:val="24"/>
        </w:rPr>
        <w:t>El resultado de</w:t>
      </w:r>
      <w:r w:rsidRPr="00340D91">
        <w:rPr>
          <w:rFonts w:ascii="Times New Roman" w:hAnsi="Times New Roman" w:cs="Times New Roman"/>
          <w:sz w:val="24"/>
          <w:szCs w:val="24"/>
        </w:rPr>
        <w:t xml:space="preserve"> una sentencia por parte de los juzgados penales juveniles, puede ser una condenatoria o una absolutoria, de ahí el hecho de que estos indicadores se muestren de manera </w:t>
      </w:r>
      <w:r w:rsidRPr="00340D91">
        <w:rPr>
          <w:rFonts w:ascii="Times New Roman" w:hAnsi="Times New Roman" w:cs="Times New Roman"/>
          <w:sz w:val="24"/>
          <w:szCs w:val="24"/>
        </w:rPr>
        <w:lastRenderedPageBreak/>
        <w:t>conjunta, por cuanto la suma de ellos es de 100%, al ser uno complemento del otro.</w:t>
      </w:r>
    </w:p>
    <w:p w:rsidR="001F09BD" w:rsidRPr="00340D91" w:rsidRDefault="001F09BD" w:rsidP="001F09BD">
      <w:pPr>
        <w:pStyle w:val="Textoindependiente"/>
        <w:spacing w:line="360" w:lineRule="auto"/>
        <w:rPr>
          <w:rFonts w:ascii="Times New Roman" w:hAnsi="Times New Roman" w:cs="Times New Roman"/>
          <w:sz w:val="24"/>
          <w:szCs w:val="24"/>
        </w:rPr>
      </w:pPr>
    </w:p>
    <w:p w:rsidR="001F09BD" w:rsidRPr="00340D91" w:rsidRDefault="001F09BD" w:rsidP="001F09BD">
      <w:pPr>
        <w:pStyle w:val="Textoindependiente"/>
        <w:spacing w:line="360" w:lineRule="auto"/>
        <w:jc w:val="both"/>
        <w:rPr>
          <w:rFonts w:ascii="Times New Roman" w:hAnsi="Times New Roman" w:cs="Times New Roman"/>
          <w:sz w:val="24"/>
          <w:szCs w:val="24"/>
        </w:rPr>
      </w:pPr>
      <w:r w:rsidRPr="001E50AB">
        <w:rPr>
          <w:rFonts w:ascii="Times New Roman" w:hAnsi="Times New Roman" w:cs="Times New Roman"/>
          <w:sz w:val="24"/>
          <w:szCs w:val="24"/>
        </w:rPr>
        <w:t>Si bien, tanto las sentencias absolutorias como las condenatorias han registrado disminuciones, las primeras tienen un peso mayor que hacen que el indicador se mantenga con niveles similares a los del año anterior. Así, estas consignan un 54,9%, mientras que las condenatorias un 45,1%.</w:t>
      </w:r>
    </w:p>
    <w:p w:rsidR="001F09BD" w:rsidRPr="00340D91" w:rsidRDefault="001F09BD" w:rsidP="001F09BD">
      <w:pPr>
        <w:pStyle w:val="Textoindependiente"/>
        <w:spacing w:line="360" w:lineRule="auto"/>
        <w:rPr>
          <w:rFonts w:ascii="Times New Roman" w:hAnsi="Times New Roman" w:cs="Times New Roman"/>
          <w:sz w:val="24"/>
          <w:szCs w:val="24"/>
        </w:rPr>
      </w:pPr>
    </w:p>
    <w:p w:rsidR="001F09BD" w:rsidRPr="00340D91" w:rsidRDefault="001F09BD" w:rsidP="001F09BD">
      <w:pPr>
        <w:pStyle w:val="Textoindependiente"/>
        <w:spacing w:line="360" w:lineRule="auto"/>
        <w:jc w:val="center"/>
        <w:rPr>
          <w:rFonts w:ascii="Times New Roman" w:hAnsi="Times New Roman" w:cs="Times New Roman"/>
          <w:sz w:val="24"/>
          <w:szCs w:val="24"/>
        </w:rPr>
      </w:pPr>
      <w:r w:rsidRPr="00340D91">
        <w:rPr>
          <w:rFonts w:ascii="Times New Roman" w:hAnsi="Times New Roman" w:cs="Times New Roman"/>
          <w:noProof/>
          <w:sz w:val="24"/>
          <w:szCs w:val="24"/>
          <w:lang w:val="es-CR" w:eastAsia="es-CR"/>
        </w:rPr>
        <w:drawing>
          <wp:inline distT="0" distB="0" distL="0" distR="0">
            <wp:extent cx="4754880" cy="2971800"/>
            <wp:effectExtent l="0" t="0" r="45720" b="38100"/>
            <wp:docPr id="46" name="Gráfico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1F09BD" w:rsidRPr="00340D91" w:rsidRDefault="001F09BD" w:rsidP="001F09BD">
      <w:pPr>
        <w:pStyle w:val="Ttulo2"/>
        <w:rPr>
          <w:rFonts w:ascii="Times New Roman" w:hAnsi="Times New Roman" w:cs="Times New Roman"/>
          <w:b w:val="0"/>
          <w:sz w:val="24"/>
          <w:szCs w:val="24"/>
        </w:rPr>
      </w:pPr>
    </w:p>
    <w:p w:rsidR="001F09BD" w:rsidRPr="00514C25" w:rsidRDefault="001F09BD" w:rsidP="001F09BD">
      <w:pPr>
        <w:pStyle w:val="Ttulo2"/>
        <w:rPr>
          <w:rFonts w:ascii="Times New Roman" w:hAnsi="Times New Roman" w:cs="Times New Roman"/>
          <w:i w:val="0"/>
          <w:sz w:val="24"/>
          <w:szCs w:val="24"/>
        </w:rPr>
      </w:pPr>
      <w:r w:rsidRPr="00514C25">
        <w:rPr>
          <w:rFonts w:ascii="Times New Roman" w:hAnsi="Times New Roman" w:cs="Times New Roman"/>
          <w:i w:val="0"/>
          <w:sz w:val="24"/>
          <w:szCs w:val="24"/>
        </w:rPr>
        <w:t>10.6</w:t>
      </w:r>
      <w:r w:rsidRPr="00514C25">
        <w:rPr>
          <w:rFonts w:ascii="Times New Roman" w:hAnsi="Times New Roman" w:cs="Times New Roman"/>
          <w:i w:val="0"/>
          <w:sz w:val="24"/>
          <w:szCs w:val="24"/>
        </w:rPr>
        <w:tab/>
        <w:t>Porcentaje de sentencias condenatorias según sexo de</w:t>
      </w:r>
      <w:r>
        <w:rPr>
          <w:rFonts w:ascii="Times New Roman" w:hAnsi="Times New Roman" w:cs="Times New Roman"/>
          <w:i w:val="0"/>
          <w:sz w:val="24"/>
          <w:szCs w:val="24"/>
        </w:rPr>
        <w:t xml:space="preserve"> las personas</w:t>
      </w:r>
      <w:r w:rsidRPr="00514C25">
        <w:rPr>
          <w:rFonts w:ascii="Times New Roman" w:hAnsi="Times New Roman" w:cs="Times New Roman"/>
          <w:i w:val="0"/>
          <w:sz w:val="24"/>
          <w:szCs w:val="24"/>
        </w:rPr>
        <w:t xml:space="preserve"> menores </w:t>
      </w:r>
    </w:p>
    <w:p w:rsidR="001F09BD" w:rsidRPr="00340D91" w:rsidRDefault="001F09BD" w:rsidP="001F09BD">
      <w:pPr>
        <w:jc w:val="both"/>
        <w:rPr>
          <w:rFonts w:ascii="Times New Roman" w:hAnsi="Times New Roman" w:cs="Times New Roman"/>
          <w:lang w:eastAsia="ar-SA"/>
        </w:rPr>
      </w:pPr>
    </w:p>
    <w:p w:rsidR="001F09BD" w:rsidRPr="00340D91" w:rsidRDefault="001F09BD" w:rsidP="001F09BD">
      <w:pPr>
        <w:spacing w:line="360" w:lineRule="auto"/>
        <w:jc w:val="both"/>
        <w:rPr>
          <w:rFonts w:ascii="Times New Roman" w:hAnsi="Times New Roman" w:cs="Times New Roman"/>
          <w:lang w:eastAsia="ar-SA"/>
        </w:rPr>
      </w:pPr>
      <w:r w:rsidRPr="00410322">
        <w:rPr>
          <w:rFonts w:ascii="Times New Roman" w:hAnsi="Times New Roman" w:cs="Times New Roman"/>
          <w:lang w:eastAsia="ar-SA"/>
        </w:rPr>
        <w:t>Los valores calculados para estos indicadores en el 2015, muestran una variación en comparación con el año anterior, donde el 95,2% de las sentencias condenatorias corresponde a los hombres entre 12 y 17 años y el 4,8% restante a la mujeres, siendo estos valores el segundo más alto y su complemento el segundo más bajo del quinquenio bajo estudio.</w:t>
      </w:r>
    </w:p>
    <w:p w:rsidR="001F09BD" w:rsidRPr="00340D91" w:rsidRDefault="001F09BD" w:rsidP="001F09BD">
      <w:pPr>
        <w:spacing w:line="360" w:lineRule="auto"/>
        <w:jc w:val="center"/>
        <w:rPr>
          <w:rFonts w:ascii="Times New Roman" w:hAnsi="Times New Roman" w:cs="Times New Roman"/>
          <w:lang w:eastAsia="ar-SA"/>
        </w:rPr>
      </w:pPr>
      <w:r w:rsidRPr="00340D91">
        <w:rPr>
          <w:rFonts w:ascii="Times New Roman" w:hAnsi="Times New Roman" w:cs="Times New Roman"/>
          <w:noProof/>
          <w:lang w:val="es-CR" w:eastAsia="es-CR"/>
        </w:rPr>
        <w:lastRenderedPageBreak/>
        <w:drawing>
          <wp:inline distT="0" distB="0" distL="0" distR="0">
            <wp:extent cx="4655820" cy="3055620"/>
            <wp:effectExtent l="0" t="0" r="30480" b="30480"/>
            <wp:docPr id="45" name="Gráfico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1F09BD" w:rsidRPr="00340D91" w:rsidRDefault="001F09BD" w:rsidP="001F09BD">
      <w:pPr>
        <w:spacing w:line="360" w:lineRule="auto"/>
        <w:jc w:val="both"/>
        <w:rPr>
          <w:rFonts w:ascii="Times New Roman" w:hAnsi="Times New Roman" w:cs="Times New Roman"/>
          <w:b/>
          <w:bCs/>
          <w:lang w:eastAsia="ar-SA"/>
        </w:rPr>
      </w:pPr>
    </w:p>
    <w:p w:rsidR="001F09BD" w:rsidRPr="00340D91" w:rsidRDefault="001F09BD" w:rsidP="001F09BD">
      <w:pPr>
        <w:spacing w:line="360" w:lineRule="auto"/>
        <w:jc w:val="both"/>
        <w:rPr>
          <w:rFonts w:ascii="Times New Roman" w:hAnsi="Times New Roman" w:cs="Times New Roman"/>
          <w:b/>
          <w:bCs/>
          <w:lang w:eastAsia="ar-SA"/>
        </w:rPr>
      </w:pPr>
      <w:r w:rsidRPr="00340D91">
        <w:rPr>
          <w:rFonts w:ascii="Times New Roman" w:hAnsi="Times New Roman" w:cs="Times New Roman"/>
          <w:b/>
          <w:bCs/>
          <w:lang w:eastAsia="ar-SA"/>
        </w:rPr>
        <w:t>10.7</w:t>
      </w:r>
      <w:r w:rsidRPr="00340D91">
        <w:rPr>
          <w:rFonts w:ascii="Times New Roman" w:hAnsi="Times New Roman" w:cs="Times New Roman"/>
          <w:b/>
          <w:bCs/>
          <w:lang w:eastAsia="ar-SA"/>
        </w:rPr>
        <w:tab/>
        <w:t xml:space="preserve">Tasa </w:t>
      </w:r>
      <w:proofErr w:type="spellStart"/>
      <w:r w:rsidRPr="00340D91">
        <w:rPr>
          <w:rFonts w:ascii="Times New Roman" w:hAnsi="Times New Roman" w:cs="Times New Roman"/>
          <w:b/>
          <w:bCs/>
          <w:lang w:eastAsia="ar-SA"/>
        </w:rPr>
        <w:t>de</w:t>
      </w:r>
      <w:r w:rsidR="00F603D1">
        <w:rPr>
          <w:rFonts w:ascii="Times New Roman" w:hAnsi="Times New Roman" w:cs="Times New Roman"/>
          <w:b/>
          <w:bCs/>
          <w:lang w:eastAsia="ar-SA"/>
        </w:rPr>
        <w:t>personas</w:t>
      </w:r>
      <w:proofErr w:type="spellEnd"/>
      <w:r w:rsidR="00F603D1">
        <w:rPr>
          <w:rFonts w:ascii="Times New Roman" w:hAnsi="Times New Roman" w:cs="Times New Roman"/>
          <w:b/>
          <w:bCs/>
          <w:lang w:eastAsia="ar-SA"/>
        </w:rPr>
        <w:t xml:space="preserve"> </w:t>
      </w:r>
      <w:r w:rsidR="00F603D1" w:rsidRPr="00340D91">
        <w:rPr>
          <w:rFonts w:ascii="Times New Roman" w:hAnsi="Times New Roman" w:cs="Times New Roman"/>
          <w:b/>
          <w:bCs/>
          <w:lang w:eastAsia="ar-SA"/>
        </w:rPr>
        <w:t>menores</w:t>
      </w:r>
      <w:r w:rsidRPr="00340D91">
        <w:rPr>
          <w:rFonts w:ascii="Times New Roman" w:hAnsi="Times New Roman" w:cs="Times New Roman"/>
          <w:b/>
          <w:bCs/>
          <w:lang w:eastAsia="ar-SA"/>
        </w:rPr>
        <w:t xml:space="preserve"> condenad</w:t>
      </w:r>
      <w:r>
        <w:rPr>
          <w:rFonts w:ascii="Times New Roman" w:hAnsi="Times New Roman" w:cs="Times New Roman"/>
          <w:b/>
          <w:bCs/>
          <w:lang w:eastAsia="ar-SA"/>
        </w:rPr>
        <w:t>a</w:t>
      </w:r>
      <w:r w:rsidRPr="00340D91">
        <w:rPr>
          <w:rFonts w:ascii="Times New Roman" w:hAnsi="Times New Roman" w:cs="Times New Roman"/>
          <w:b/>
          <w:bCs/>
          <w:lang w:eastAsia="ar-SA"/>
        </w:rPr>
        <w:t>s</w:t>
      </w:r>
    </w:p>
    <w:p w:rsidR="001F09BD" w:rsidRPr="00340D91" w:rsidRDefault="001F09BD" w:rsidP="001F09BD">
      <w:pPr>
        <w:spacing w:line="360" w:lineRule="auto"/>
        <w:jc w:val="both"/>
        <w:rPr>
          <w:rFonts w:ascii="Times New Roman" w:hAnsi="Times New Roman" w:cs="Times New Roman"/>
          <w:lang w:eastAsia="ar-SA"/>
        </w:rPr>
      </w:pPr>
    </w:p>
    <w:p w:rsidR="001F09BD" w:rsidRPr="00340D91" w:rsidRDefault="001F09BD" w:rsidP="001F09BD">
      <w:pPr>
        <w:spacing w:line="360" w:lineRule="auto"/>
        <w:jc w:val="both"/>
        <w:rPr>
          <w:rFonts w:ascii="Times New Roman" w:hAnsi="Times New Roman" w:cs="Times New Roman"/>
          <w:lang w:eastAsia="ar-SA"/>
        </w:rPr>
      </w:pPr>
      <w:r w:rsidRPr="00337E5E">
        <w:rPr>
          <w:rFonts w:ascii="Times New Roman" w:hAnsi="Times New Roman" w:cs="Times New Roman"/>
          <w:lang w:eastAsia="ar-SA"/>
        </w:rPr>
        <w:t>La cuantificación relativa de las personas menores condenadas por infringir la Ley Penal Juvenil, es lo que pretende medir este indicador. Su fórmula de cálculo es: total de  personas menores condenadas sobre el total de personas menores acusadas de infringir la Ley Penal Juvenil,</w:t>
      </w:r>
      <w:r w:rsidRPr="00340D91">
        <w:rPr>
          <w:rFonts w:ascii="Times New Roman" w:hAnsi="Times New Roman" w:cs="Times New Roman"/>
          <w:lang w:eastAsia="ar-SA"/>
        </w:rPr>
        <w:t xml:space="preserve"> expandido por cada mil</w:t>
      </w:r>
      <w:r>
        <w:rPr>
          <w:rFonts w:ascii="Times New Roman" w:hAnsi="Times New Roman" w:cs="Times New Roman"/>
          <w:lang w:eastAsia="ar-SA"/>
        </w:rPr>
        <w:t xml:space="preserve"> personas</w:t>
      </w:r>
      <w:r w:rsidRPr="00340D91">
        <w:rPr>
          <w:rFonts w:ascii="Times New Roman" w:hAnsi="Times New Roman" w:cs="Times New Roman"/>
          <w:lang w:eastAsia="ar-SA"/>
        </w:rPr>
        <w:t xml:space="preserve"> menores.</w:t>
      </w:r>
    </w:p>
    <w:p w:rsidR="001F09BD" w:rsidRPr="00340D91" w:rsidRDefault="001F09BD" w:rsidP="001F09BD">
      <w:pPr>
        <w:spacing w:line="360" w:lineRule="auto"/>
        <w:jc w:val="both"/>
        <w:rPr>
          <w:rFonts w:ascii="Times New Roman" w:hAnsi="Times New Roman" w:cs="Times New Roman"/>
          <w:lang w:eastAsia="ar-SA"/>
        </w:rPr>
      </w:pPr>
    </w:p>
    <w:p w:rsidR="001F09BD" w:rsidRPr="00340D91" w:rsidRDefault="001F09BD" w:rsidP="001F09BD">
      <w:pPr>
        <w:spacing w:line="360" w:lineRule="auto"/>
        <w:jc w:val="center"/>
        <w:rPr>
          <w:rFonts w:ascii="Times New Roman" w:hAnsi="Times New Roman" w:cs="Times New Roman"/>
          <w:lang w:eastAsia="ar-SA"/>
        </w:rPr>
      </w:pPr>
      <w:r w:rsidRPr="00340D91">
        <w:rPr>
          <w:rFonts w:ascii="Times New Roman" w:hAnsi="Times New Roman" w:cs="Times New Roman"/>
          <w:noProof/>
          <w:lang w:val="es-CR" w:eastAsia="es-CR"/>
        </w:rPr>
        <w:lastRenderedPageBreak/>
        <w:drawing>
          <wp:inline distT="0" distB="0" distL="0" distR="0">
            <wp:extent cx="4754880" cy="2910840"/>
            <wp:effectExtent l="0" t="0" r="45720" b="41910"/>
            <wp:docPr id="44" name="Gráfico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1F09BD" w:rsidRDefault="001F09BD" w:rsidP="001F09BD">
      <w:pPr>
        <w:spacing w:line="360" w:lineRule="auto"/>
        <w:jc w:val="both"/>
        <w:rPr>
          <w:rFonts w:ascii="Times New Roman" w:hAnsi="Times New Roman" w:cs="Times New Roman"/>
          <w:lang w:eastAsia="ar-SA"/>
        </w:rPr>
      </w:pPr>
    </w:p>
    <w:p w:rsidR="001F09BD" w:rsidRPr="00340D91" w:rsidRDefault="001F09BD" w:rsidP="001F09BD">
      <w:pPr>
        <w:spacing w:line="360" w:lineRule="auto"/>
        <w:jc w:val="both"/>
        <w:rPr>
          <w:rFonts w:ascii="Times New Roman" w:hAnsi="Times New Roman" w:cs="Times New Roman"/>
          <w:lang w:eastAsia="ar-SA"/>
        </w:rPr>
      </w:pPr>
      <w:r w:rsidRPr="001D0E19">
        <w:rPr>
          <w:rFonts w:ascii="Times New Roman" w:hAnsi="Times New Roman" w:cs="Times New Roman"/>
          <w:lang w:eastAsia="ar-SA"/>
        </w:rPr>
        <w:t>La disminución del indicador en el 2015 es debido al decrecimiento de las personas condenadas y al incremento dado en la cantidad de personas acusadas de infringir la Ley Penal Juvenil, lo que al relacionar estas variables provocan su desaceleración, luego de acrecentarse por tres años consecutivos. Este indicador tiene por suposición que las personas condenadas, infringieron la Ley en ese mismo año. De esta forma, en el 2015 se tiene una condena de 31 personas por cada mil menores acusados de infringir la Ley Penal Juvenil.</w:t>
      </w:r>
    </w:p>
    <w:p w:rsidR="001F09BD" w:rsidRPr="00340D91" w:rsidRDefault="001F09BD" w:rsidP="001F09BD">
      <w:pPr>
        <w:spacing w:line="360" w:lineRule="auto"/>
        <w:jc w:val="both"/>
        <w:rPr>
          <w:rFonts w:ascii="Times New Roman" w:hAnsi="Times New Roman" w:cs="Times New Roman"/>
          <w:lang w:eastAsia="ar-SA"/>
        </w:rPr>
      </w:pPr>
    </w:p>
    <w:p w:rsidR="001F09BD" w:rsidRPr="00D1363A" w:rsidRDefault="001F09BD" w:rsidP="001F09BD">
      <w:pPr>
        <w:pStyle w:val="Ttulo2"/>
        <w:jc w:val="both"/>
        <w:rPr>
          <w:rFonts w:ascii="Times New Roman" w:hAnsi="Times New Roman" w:cs="Times New Roman"/>
          <w:i w:val="0"/>
          <w:sz w:val="24"/>
          <w:szCs w:val="24"/>
        </w:rPr>
      </w:pPr>
      <w:r w:rsidRPr="00D1363A">
        <w:rPr>
          <w:rFonts w:ascii="Times New Roman" w:hAnsi="Times New Roman" w:cs="Times New Roman"/>
          <w:i w:val="0"/>
          <w:sz w:val="24"/>
          <w:szCs w:val="24"/>
        </w:rPr>
        <w:t>10.8</w:t>
      </w:r>
      <w:r w:rsidRPr="00D1363A">
        <w:rPr>
          <w:rFonts w:ascii="Times New Roman" w:hAnsi="Times New Roman" w:cs="Times New Roman"/>
          <w:i w:val="0"/>
          <w:sz w:val="24"/>
          <w:szCs w:val="24"/>
        </w:rPr>
        <w:tab/>
        <w:t>Tasa de condena juvenil</w:t>
      </w:r>
    </w:p>
    <w:p w:rsidR="001F09BD" w:rsidRPr="00340D91" w:rsidRDefault="001F09BD" w:rsidP="001F09BD">
      <w:pPr>
        <w:spacing w:line="360" w:lineRule="auto"/>
        <w:jc w:val="both"/>
        <w:rPr>
          <w:rFonts w:ascii="Times New Roman" w:hAnsi="Times New Roman" w:cs="Times New Roman"/>
          <w:lang w:eastAsia="ar-SA"/>
        </w:rPr>
      </w:pPr>
    </w:p>
    <w:p w:rsidR="001F09BD" w:rsidRPr="00340D91" w:rsidRDefault="001F09BD" w:rsidP="001F09BD">
      <w:pPr>
        <w:spacing w:line="360" w:lineRule="auto"/>
        <w:jc w:val="both"/>
        <w:rPr>
          <w:rFonts w:ascii="Times New Roman" w:hAnsi="Times New Roman" w:cs="Times New Roman"/>
          <w:lang w:eastAsia="ar-SA"/>
        </w:rPr>
      </w:pPr>
      <w:r w:rsidRPr="001359CD">
        <w:rPr>
          <w:rFonts w:ascii="Times New Roman" w:hAnsi="Times New Roman" w:cs="Times New Roman"/>
          <w:lang w:eastAsia="ar-SA"/>
        </w:rPr>
        <w:t>Con este indicador se pretende establecer el peso relativo que alcanzan las personas menores</w:t>
      </w:r>
      <w:r w:rsidRPr="00340D91">
        <w:rPr>
          <w:rFonts w:ascii="Times New Roman" w:hAnsi="Times New Roman" w:cs="Times New Roman"/>
          <w:lang w:eastAsia="ar-SA"/>
        </w:rPr>
        <w:t xml:space="preserve"> condenadas por cada </w:t>
      </w:r>
      <w:r>
        <w:rPr>
          <w:rFonts w:ascii="Times New Roman" w:hAnsi="Times New Roman" w:cs="Times New Roman"/>
          <w:lang w:eastAsia="ar-SA"/>
        </w:rPr>
        <w:t xml:space="preserve">menor </w:t>
      </w:r>
      <w:r w:rsidRPr="00340D91">
        <w:rPr>
          <w:rFonts w:ascii="Times New Roman" w:hAnsi="Times New Roman" w:cs="Times New Roman"/>
          <w:lang w:eastAsia="ar-SA"/>
        </w:rPr>
        <w:t xml:space="preserve">con edad entre 12 y 17 años. </w:t>
      </w:r>
    </w:p>
    <w:p w:rsidR="001F09BD" w:rsidRPr="00340D91" w:rsidRDefault="001F09BD" w:rsidP="001F09BD">
      <w:pPr>
        <w:spacing w:line="360" w:lineRule="auto"/>
        <w:jc w:val="both"/>
        <w:rPr>
          <w:rFonts w:ascii="Times New Roman" w:hAnsi="Times New Roman" w:cs="Times New Roman"/>
          <w:lang w:eastAsia="ar-SA"/>
        </w:rPr>
      </w:pPr>
    </w:p>
    <w:p w:rsidR="001F09BD" w:rsidRPr="00340D91" w:rsidRDefault="001F09BD" w:rsidP="001F09BD">
      <w:pPr>
        <w:spacing w:line="360" w:lineRule="auto"/>
        <w:jc w:val="both"/>
        <w:rPr>
          <w:rFonts w:ascii="Times New Roman" w:hAnsi="Times New Roman" w:cs="Times New Roman"/>
          <w:lang w:eastAsia="ar-SA"/>
        </w:rPr>
      </w:pPr>
      <w:r>
        <w:rPr>
          <w:rFonts w:ascii="Times New Roman" w:hAnsi="Times New Roman" w:cs="Times New Roman"/>
          <w:lang w:eastAsia="ar-SA"/>
        </w:rPr>
        <w:t xml:space="preserve">Para el 2015, la cantidad de menores condenados disminuye, ello hace que el indicador decrezca; no obstante, la variación dada se manifiesta de manera leve. El valor calculado indica que aproximadamente </w:t>
      </w:r>
      <w:r w:rsidRPr="00340D91">
        <w:rPr>
          <w:rFonts w:ascii="Times New Roman" w:hAnsi="Times New Roman" w:cs="Times New Roman"/>
          <w:lang w:eastAsia="ar-SA"/>
        </w:rPr>
        <w:t xml:space="preserve">una persona es condenada por cada mil </w:t>
      </w:r>
      <w:r>
        <w:rPr>
          <w:rFonts w:ascii="Times New Roman" w:hAnsi="Times New Roman" w:cs="Times New Roman"/>
          <w:lang w:eastAsia="ar-SA"/>
        </w:rPr>
        <w:t xml:space="preserve">personas </w:t>
      </w:r>
      <w:r w:rsidRPr="00340D91">
        <w:rPr>
          <w:rFonts w:ascii="Times New Roman" w:hAnsi="Times New Roman" w:cs="Times New Roman"/>
          <w:lang w:eastAsia="ar-SA"/>
        </w:rPr>
        <w:t>menores entre los 12 y 17 años</w:t>
      </w:r>
      <w:r>
        <w:rPr>
          <w:rFonts w:ascii="Times New Roman" w:hAnsi="Times New Roman" w:cs="Times New Roman"/>
          <w:lang w:eastAsia="ar-SA"/>
        </w:rPr>
        <w:t>, situación que se ha mantenido en los últimos años</w:t>
      </w:r>
      <w:r w:rsidRPr="00340D91">
        <w:rPr>
          <w:rFonts w:ascii="Times New Roman" w:hAnsi="Times New Roman" w:cs="Times New Roman"/>
          <w:lang w:eastAsia="ar-SA"/>
        </w:rPr>
        <w:t xml:space="preserve">. </w:t>
      </w:r>
    </w:p>
    <w:p w:rsidR="001F09BD" w:rsidRPr="00340D91" w:rsidRDefault="001F09BD" w:rsidP="001F09BD">
      <w:pPr>
        <w:spacing w:line="360" w:lineRule="auto"/>
        <w:jc w:val="both"/>
        <w:rPr>
          <w:rFonts w:ascii="Times New Roman" w:hAnsi="Times New Roman" w:cs="Times New Roman"/>
          <w:lang w:eastAsia="ar-SA"/>
        </w:rPr>
      </w:pPr>
    </w:p>
    <w:p w:rsidR="001F09BD" w:rsidRPr="00340D91" w:rsidRDefault="001F09BD" w:rsidP="001F09BD">
      <w:pPr>
        <w:spacing w:line="360" w:lineRule="auto"/>
        <w:jc w:val="center"/>
        <w:rPr>
          <w:rFonts w:ascii="Times New Roman" w:hAnsi="Times New Roman" w:cs="Times New Roman"/>
          <w:lang w:eastAsia="ar-SA"/>
        </w:rPr>
      </w:pPr>
      <w:r w:rsidRPr="00340D91">
        <w:rPr>
          <w:rFonts w:ascii="Times New Roman" w:hAnsi="Times New Roman" w:cs="Times New Roman"/>
          <w:noProof/>
          <w:lang w:val="es-CR" w:eastAsia="es-CR"/>
        </w:rPr>
        <w:drawing>
          <wp:inline distT="0" distB="0" distL="0" distR="0">
            <wp:extent cx="4648200" cy="3147060"/>
            <wp:effectExtent l="0" t="0" r="38100" b="34290"/>
            <wp:docPr id="43" name="Gráfico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1F09BD" w:rsidRPr="00340D91" w:rsidRDefault="001F09BD" w:rsidP="001F09BD">
      <w:pPr>
        <w:spacing w:line="360" w:lineRule="auto"/>
        <w:jc w:val="both"/>
        <w:rPr>
          <w:rFonts w:ascii="Times New Roman" w:hAnsi="Times New Roman" w:cs="Times New Roman"/>
          <w:lang w:eastAsia="ar-SA"/>
        </w:rPr>
      </w:pPr>
    </w:p>
    <w:p w:rsidR="001F09BD" w:rsidRPr="00D1363A" w:rsidRDefault="001F09BD" w:rsidP="001F09BD">
      <w:pPr>
        <w:pStyle w:val="Ttulo2"/>
        <w:jc w:val="both"/>
        <w:rPr>
          <w:rFonts w:ascii="Times New Roman" w:hAnsi="Times New Roman" w:cs="Times New Roman"/>
          <w:i w:val="0"/>
          <w:sz w:val="24"/>
          <w:szCs w:val="24"/>
        </w:rPr>
      </w:pPr>
      <w:r w:rsidRPr="00D1363A">
        <w:rPr>
          <w:rFonts w:ascii="Times New Roman" w:hAnsi="Times New Roman" w:cs="Times New Roman"/>
          <w:i w:val="0"/>
          <w:sz w:val="24"/>
          <w:szCs w:val="24"/>
        </w:rPr>
        <w:t>10.9</w:t>
      </w:r>
      <w:r w:rsidRPr="00D1363A">
        <w:rPr>
          <w:rFonts w:ascii="Times New Roman" w:hAnsi="Times New Roman" w:cs="Times New Roman"/>
          <w:i w:val="0"/>
          <w:sz w:val="24"/>
          <w:szCs w:val="24"/>
        </w:rPr>
        <w:tab/>
        <w:t>Edad promedio de las personas menores condenadas</w:t>
      </w:r>
    </w:p>
    <w:p w:rsidR="001F09BD" w:rsidRPr="00340D91" w:rsidRDefault="001F09BD" w:rsidP="001F09BD">
      <w:pPr>
        <w:pStyle w:val="a0"/>
        <w:spacing w:line="360" w:lineRule="auto"/>
        <w:jc w:val="both"/>
        <w:rPr>
          <w:b w:val="0"/>
          <w:bCs w:val="0"/>
          <w:lang w:eastAsia="ar-SA"/>
        </w:rPr>
      </w:pPr>
    </w:p>
    <w:p w:rsidR="001F09BD" w:rsidRPr="00340D91" w:rsidRDefault="001F09BD" w:rsidP="001F09BD">
      <w:pPr>
        <w:pStyle w:val="a0"/>
        <w:spacing w:line="360" w:lineRule="auto"/>
        <w:jc w:val="both"/>
        <w:rPr>
          <w:b w:val="0"/>
          <w:bCs w:val="0"/>
          <w:lang w:eastAsia="ar-SA"/>
        </w:rPr>
      </w:pPr>
      <w:r>
        <w:rPr>
          <w:b w:val="0"/>
          <w:bCs w:val="0"/>
          <w:lang w:eastAsia="ar-SA"/>
        </w:rPr>
        <w:t>La edad promedio calculada de las personas menores de edad para el 2015 se ubica en 16,4; no obstante, es importante señalar que el 57,1% de estas personas tienen 17 años</w:t>
      </w:r>
      <w:r w:rsidRPr="00340D91">
        <w:rPr>
          <w:b w:val="0"/>
          <w:bCs w:val="0"/>
          <w:lang w:eastAsia="ar-SA"/>
        </w:rPr>
        <w:t>.</w:t>
      </w:r>
      <w:r>
        <w:rPr>
          <w:b w:val="0"/>
          <w:bCs w:val="0"/>
          <w:lang w:eastAsia="ar-SA"/>
        </w:rPr>
        <w:t xml:space="preserve"> En el siguiente gráfico se puede observar que la edad promedio se mantiene de manera similar a lo largo del quinquenio bajo estudio.</w:t>
      </w:r>
    </w:p>
    <w:p w:rsidR="001F09BD" w:rsidRPr="00340D91" w:rsidRDefault="001F09BD" w:rsidP="001F09BD">
      <w:pPr>
        <w:pStyle w:val="a0"/>
        <w:spacing w:line="360" w:lineRule="auto"/>
        <w:jc w:val="both"/>
        <w:rPr>
          <w:b w:val="0"/>
          <w:bCs w:val="0"/>
          <w:lang w:eastAsia="ar-SA"/>
        </w:rPr>
      </w:pPr>
    </w:p>
    <w:p w:rsidR="001F09BD" w:rsidRPr="00340D91" w:rsidRDefault="001F09BD" w:rsidP="001F09BD">
      <w:pPr>
        <w:pStyle w:val="a0"/>
        <w:spacing w:line="360" w:lineRule="auto"/>
        <w:rPr>
          <w:b w:val="0"/>
          <w:bCs w:val="0"/>
          <w:lang w:eastAsia="ar-SA"/>
        </w:rPr>
      </w:pPr>
      <w:r w:rsidRPr="00340D91">
        <w:rPr>
          <w:noProof/>
          <w:lang w:val="es-CR" w:eastAsia="es-CR"/>
        </w:rPr>
        <w:lastRenderedPageBreak/>
        <w:drawing>
          <wp:inline distT="0" distB="0" distL="0" distR="0">
            <wp:extent cx="4754880" cy="2910840"/>
            <wp:effectExtent l="0" t="0" r="45720" b="41910"/>
            <wp:docPr id="42" name="Gráfico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1F09BD" w:rsidRPr="00340D91" w:rsidRDefault="001F09BD" w:rsidP="001F09BD">
      <w:pPr>
        <w:jc w:val="both"/>
        <w:rPr>
          <w:rFonts w:ascii="Times New Roman" w:hAnsi="Times New Roman" w:cs="Times New Roman"/>
          <w:lang w:eastAsia="ar-SA"/>
        </w:rPr>
      </w:pPr>
    </w:p>
    <w:p w:rsidR="001F09BD" w:rsidRPr="00D1363A" w:rsidRDefault="001F09BD" w:rsidP="001F09BD">
      <w:pPr>
        <w:spacing w:line="360" w:lineRule="auto"/>
        <w:jc w:val="both"/>
        <w:rPr>
          <w:rFonts w:ascii="Times New Roman" w:hAnsi="Times New Roman" w:cs="Times New Roman"/>
          <w:lang w:eastAsia="ar-SA"/>
        </w:rPr>
      </w:pPr>
    </w:p>
    <w:p w:rsidR="001F09BD" w:rsidRPr="00D1363A" w:rsidRDefault="001F09BD" w:rsidP="001F09BD">
      <w:pPr>
        <w:pStyle w:val="Ttulo2"/>
        <w:jc w:val="both"/>
        <w:rPr>
          <w:rFonts w:ascii="Times New Roman" w:hAnsi="Times New Roman" w:cs="Times New Roman"/>
          <w:i w:val="0"/>
          <w:sz w:val="24"/>
          <w:szCs w:val="24"/>
        </w:rPr>
      </w:pPr>
      <w:r w:rsidRPr="00D1363A">
        <w:rPr>
          <w:rFonts w:ascii="Times New Roman" w:hAnsi="Times New Roman" w:cs="Times New Roman"/>
          <w:i w:val="0"/>
          <w:sz w:val="24"/>
          <w:szCs w:val="24"/>
        </w:rPr>
        <w:t>10.10</w:t>
      </w:r>
      <w:r w:rsidRPr="00D1363A">
        <w:rPr>
          <w:rFonts w:ascii="Times New Roman" w:hAnsi="Times New Roman" w:cs="Times New Roman"/>
          <w:i w:val="0"/>
          <w:sz w:val="24"/>
          <w:szCs w:val="24"/>
        </w:rPr>
        <w:tab/>
        <w:t xml:space="preserve">Tasa de </w:t>
      </w:r>
      <w:r>
        <w:rPr>
          <w:rFonts w:ascii="Times New Roman" w:hAnsi="Times New Roman" w:cs="Times New Roman"/>
          <w:i w:val="0"/>
          <w:sz w:val="24"/>
          <w:szCs w:val="24"/>
        </w:rPr>
        <w:t xml:space="preserve">personas </w:t>
      </w:r>
      <w:r w:rsidRPr="00D1363A">
        <w:rPr>
          <w:rFonts w:ascii="Times New Roman" w:hAnsi="Times New Roman" w:cs="Times New Roman"/>
          <w:i w:val="0"/>
          <w:sz w:val="24"/>
          <w:szCs w:val="24"/>
        </w:rPr>
        <w:t>menores condenad</w:t>
      </w:r>
      <w:r>
        <w:rPr>
          <w:rFonts w:ascii="Times New Roman" w:hAnsi="Times New Roman" w:cs="Times New Roman"/>
          <w:i w:val="0"/>
          <w:sz w:val="24"/>
          <w:szCs w:val="24"/>
        </w:rPr>
        <w:t>a</w:t>
      </w:r>
      <w:r w:rsidRPr="00D1363A">
        <w:rPr>
          <w:rFonts w:ascii="Times New Roman" w:hAnsi="Times New Roman" w:cs="Times New Roman"/>
          <w:i w:val="0"/>
          <w:sz w:val="24"/>
          <w:szCs w:val="24"/>
        </w:rPr>
        <w:t>s por homicidio</w:t>
      </w:r>
    </w:p>
    <w:p w:rsidR="001F09BD" w:rsidRPr="00340D91" w:rsidRDefault="001F09BD" w:rsidP="001F09BD">
      <w:pPr>
        <w:spacing w:line="360" w:lineRule="auto"/>
        <w:jc w:val="both"/>
        <w:rPr>
          <w:rFonts w:ascii="Times New Roman" w:hAnsi="Times New Roman" w:cs="Times New Roman"/>
          <w:lang w:eastAsia="ar-SA"/>
        </w:rPr>
      </w:pPr>
    </w:p>
    <w:p w:rsidR="001F09BD" w:rsidRPr="00340D91" w:rsidRDefault="001F09BD" w:rsidP="001F09BD">
      <w:pPr>
        <w:spacing w:line="360" w:lineRule="auto"/>
        <w:jc w:val="both"/>
        <w:rPr>
          <w:rFonts w:ascii="Times New Roman" w:hAnsi="Times New Roman" w:cs="Times New Roman"/>
          <w:lang w:eastAsia="ar-SA"/>
        </w:rPr>
      </w:pPr>
      <w:r w:rsidRPr="00340D91">
        <w:rPr>
          <w:rFonts w:ascii="Times New Roman" w:hAnsi="Times New Roman" w:cs="Times New Roman"/>
          <w:lang w:eastAsia="ar-SA"/>
        </w:rPr>
        <w:t>Para la construcción de este indicador se ha tomado dentro del concepto homicidio, aquellos delitos denominados como: homicidio calificado, homicidio simple y homicidio culposo.</w:t>
      </w:r>
    </w:p>
    <w:p w:rsidR="001F09BD" w:rsidRPr="00340D91" w:rsidRDefault="001F09BD" w:rsidP="001F09BD">
      <w:pPr>
        <w:spacing w:line="360" w:lineRule="auto"/>
        <w:jc w:val="both"/>
        <w:rPr>
          <w:rFonts w:ascii="Times New Roman" w:hAnsi="Times New Roman" w:cs="Times New Roman"/>
          <w:lang w:eastAsia="ar-SA"/>
        </w:rPr>
      </w:pPr>
    </w:p>
    <w:p w:rsidR="001F09BD" w:rsidRPr="00340D91" w:rsidRDefault="001F09BD" w:rsidP="001F09BD">
      <w:pPr>
        <w:spacing w:line="360" w:lineRule="auto"/>
        <w:jc w:val="both"/>
        <w:rPr>
          <w:rFonts w:ascii="Times New Roman" w:hAnsi="Times New Roman" w:cs="Times New Roman"/>
          <w:lang w:eastAsia="ar-SA"/>
        </w:rPr>
      </w:pPr>
      <w:r w:rsidRPr="00FB055E">
        <w:rPr>
          <w:rFonts w:ascii="Times New Roman" w:hAnsi="Times New Roman" w:cs="Times New Roman"/>
          <w:lang w:eastAsia="ar-SA"/>
        </w:rPr>
        <w:t>Este indicador</w:t>
      </w:r>
      <w:r w:rsidRPr="00340D91">
        <w:rPr>
          <w:rFonts w:ascii="Times New Roman" w:hAnsi="Times New Roman" w:cs="Times New Roman"/>
          <w:lang w:eastAsia="ar-SA"/>
        </w:rPr>
        <w:t xml:space="preserve"> determina el peso relativo de las personas menores de edad que son condenadas por homicidio en un año determinado, según la cantidad de menores acusados por infringir la Ley Penal Juvenil, bajo el entendido de que no todos los condenados en un año fueron acusados en ese mismo año.</w:t>
      </w:r>
    </w:p>
    <w:p w:rsidR="001F09BD" w:rsidRPr="00340D91" w:rsidRDefault="001F09BD" w:rsidP="001F09BD">
      <w:pPr>
        <w:spacing w:line="360" w:lineRule="auto"/>
        <w:jc w:val="both"/>
        <w:rPr>
          <w:rFonts w:ascii="Times New Roman" w:hAnsi="Times New Roman" w:cs="Times New Roman"/>
          <w:lang w:eastAsia="ar-SA"/>
        </w:rPr>
      </w:pPr>
    </w:p>
    <w:p w:rsidR="001F09BD" w:rsidRPr="00340D91" w:rsidRDefault="001F09BD" w:rsidP="001F09BD">
      <w:pPr>
        <w:spacing w:line="360" w:lineRule="auto"/>
        <w:jc w:val="both"/>
        <w:rPr>
          <w:rFonts w:ascii="Times New Roman" w:hAnsi="Times New Roman" w:cs="Times New Roman"/>
          <w:lang w:eastAsia="ar-SA"/>
        </w:rPr>
      </w:pPr>
      <w:r w:rsidRPr="00321148">
        <w:rPr>
          <w:rFonts w:ascii="Times New Roman" w:hAnsi="Times New Roman" w:cs="Times New Roman"/>
          <w:lang w:eastAsia="ar-SA"/>
        </w:rPr>
        <w:t>Luego de dos descensos consecutivos, este indicador revierte este comportamiento y se ubica en el 2015, como el segundo valor más alto del quinquenio al consignar un 2,6, dato que manifiesta un total de aproximadamente tres personas menores condenadas por homicidio por cada mil, acusados de infringir la Ley Penal Juvenil.</w:t>
      </w:r>
    </w:p>
    <w:p w:rsidR="001F09BD" w:rsidRPr="00340D91" w:rsidRDefault="001F09BD" w:rsidP="001F09BD">
      <w:pPr>
        <w:spacing w:line="360" w:lineRule="auto"/>
        <w:jc w:val="both"/>
        <w:rPr>
          <w:rFonts w:ascii="Times New Roman" w:hAnsi="Times New Roman" w:cs="Times New Roman"/>
          <w:lang w:eastAsia="ar-SA"/>
        </w:rPr>
      </w:pPr>
    </w:p>
    <w:p w:rsidR="001F09BD" w:rsidRPr="00340D91" w:rsidRDefault="001F09BD" w:rsidP="001F09BD">
      <w:pPr>
        <w:spacing w:line="360" w:lineRule="auto"/>
        <w:jc w:val="center"/>
        <w:rPr>
          <w:rFonts w:ascii="Times New Roman" w:hAnsi="Times New Roman" w:cs="Times New Roman"/>
          <w:lang w:eastAsia="ar-SA"/>
        </w:rPr>
      </w:pPr>
      <w:r w:rsidRPr="00340D91">
        <w:rPr>
          <w:rFonts w:ascii="Times New Roman" w:hAnsi="Times New Roman" w:cs="Times New Roman"/>
          <w:noProof/>
          <w:lang w:val="es-CR" w:eastAsia="es-CR"/>
        </w:rPr>
        <w:lastRenderedPageBreak/>
        <w:drawing>
          <wp:inline distT="0" distB="0" distL="0" distR="0">
            <wp:extent cx="4754880" cy="2910840"/>
            <wp:effectExtent l="0" t="0" r="45720" b="41910"/>
            <wp:docPr id="41" name="Gráfico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1F09BD" w:rsidRPr="00340D91" w:rsidRDefault="001F09BD" w:rsidP="001F09BD">
      <w:pPr>
        <w:spacing w:line="360" w:lineRule="auto"/>
        <w:jc w:val="both"/>
        <w:rPr>
          <w:rFonts w:ascii="Times New Roman" w:hAnsi="Times New Roman" w:cs="Times New Roman"/>
          <w:lang w:eastAsia="ar-SA"/>
        </w:rPr>
      </w:pPr>
    </w:p>
    <w:p w:rsidR="001F09BD" w:rsidRPr="00340D91" w:rsidRDefault="001F09BD" w:rsidP="001F09BD">
      <w:pPr>
        <w:spacing w:line="360" w:lineRule="auto"/>
        <w:jc w:val="both"/>
        <w:rPr>
          <w:rFonts w:ascii="Times New Roman" w:hAnsi="Times New Roman" w:cs="Times New Roman"/>
          <w:lang w:eastAsia="ar-SA"/>
        </w:rPr>
      </w:pPr>
      <w:r w:rsidRPr="006C1B44">
        <w:rPr>
          <w:rFonts w:ascii="Times New Roman" w:hAnsi="Times New Roman" w:cs="Times New Roman"/>
          <w:lang w:eastAsia="ar-SA"/>
        </w:rPr>
        <w:t>En el último quinquenio, la cantidad de menores condenados por homicidio ha mantenido un</w:t>
      </w:r>
      <w:r>
        <w:rPr>
          <w:rFonts w:ascii="Times New Roman" w:hAnsi="Times New Roman" w:cs="Times New Roman"/>
          <w:lang w:eastAsia="ar-SA"/>
        </w:rPr>
        <w:t xml:space="preserve"> proceder variable, en vista de que no existe una tendencia definida.</w:t>
      </w:r>
    </w:p>
    <w:p w:rsidR="001F09BD" w:rsidRPr="00340D91" w:rsidRDefault="001F09BD" w:rsidP="001F09BD">
      <w:pPr>
        <w:spacing w:line="360" w:lineRule="auto"/>
        <w:jc w:val="both"/>
        <w:rPr>
          <w:rFonts w:ascii="Times New Roman" w:hAnsi="Times New Roman" w:cs="Times New Roman"/>
          <w:lang w:eastAsia="ar-SA"/>
        </w:rPr>
      </w:pP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2880"/>
      </w:tblGrid>
      <w:tr w:rsidR="001F09BD" w:rsidRPr="00797613" w:rsidTr="00B14F0E">
        <w:tc>
          <w:tcPr>
            <w:tcW w:w="4860" w:type="dxa"/>
            <w:gridSpan w:val="2"/>
            <w:tcBorders>
              <w:top w:val="single" w:sz="4" w:space="0" w:color="auto"/>
              <w:left w:val="nil"/>
              <w:bottom w:val="single" w:sz="4" w:space="0" w:color="auto"/>
              <w:right w:val="nil"/>
            </w:tcBorders>
            <w:shd w:val="clear" w:color="auto" w:fill="auto"/>
          </w:tcPr>
          <w:p w:rsidR="001F09BD" w:rsidRPr="00797613" w:rsidRDefault="001F09BD" w:rsidP="00B14F0E">
            <w:pPr>
              <w:jc w:val="center"/>
              <w:rPr>
                <w:rFonts w:ascii="Times New Roman" w:hAnsi="Times New Roman" w:cs="Times New Roman"/>
                <w:b/>
                <w:bCs/>
                <w:lang w:eastAsia="ar-SA"/>
              </w:rPr>
            </w:pPr>
            <w:r w:rsidRPr="00797613">
              <w:rPr>
                <w:rFonts w:ascii="Times New Roman" w:hAnsi="Times New Roman" w:cs="Times New Roman"/>
                <w:b/>
                <w:bCs/>
                <w:lang w:eastAsia="ar-SA"/>
              </w:rPr>
              <w:t>TOTAL DE PERSONAS MENORES CONDENADAS POR HOMICIDIO</w:t>
            </w:r>
          </w:p>
        </w:tc>
      </w:tr>
      <w:tr w:rsidR="001F09BD" w:rsidRPr="00797613" w:rsidTr="00B14F0E">
        <w:tc>
          <w:tcPr>
            <w:tcW w:w="1980" w:type="dxa"/>
            <w:tcBorders>
              <w:top w:val="single" w:sz="4" w:space="0" w:color="auto"/>
              <w:left w:val="nil"/>
              <w:bottom w:val="single" w:sz="4" w:space="0" w:color="auto"/>
              <w:right w:val="single" w:sz="4" w:space="0" w:color="auto"/>
            </w:tcBorders>
            <w:shd w:val="clear" w:color="auto" w:fill="auto"/>
          </w:tcPr>
          <w:p w:rsidR="001F09BD" w:rsidRPr="00797613" w:rsidRDefault="001F09BD" w:rsidP="00B14F0E">
            <w:pPr>
              <w:jc w:val="center"/>
              <w:rPr>
                <w:rFonts w:ascii="Times New Roman" w:hAnsi="Times New Roman" w:cs="Times New Roman"/>
                <w:lang w:eastAsia="ar-SA"/>
              </w:rPr>
            </w:pPr>
            <w:r w:rsidRPr="00797613">
              <w:rPr>
                <w:rFonts w:ascii="Times New Roman" w:hAnsi="Times New Roman" w:cs="Times New Roman"/>
                <w:b/>
                <w:bCs/>
                <w:lang w:eastAsia="ar-SA"/>
              </w:rPr>
              <w:t>AÑO</w:t>
            </w:r>
          </w:p>
        </w:tc>
        <w:tc>
          <w:tcPr>
            <w:tcW w:w="2880" w:type="dxa"/>
            <w:tcBorders>
              <w:top w:val="single" w:sz="4" w:space="0" w:color="auto"/>
              <w:left w:val="single" w:sz="4" w:space="0" w:color="auto"/>
              <w:bottom w:val="single" w:sz="4" w:space="0" w:color="auto"/>
              <w:right w:val="nil"/>
            </w:tcBorders>
            <w:shd w:val="clear" w:color="auto" w:fill="auto"/>
          </w:tcPr>
          <w:p w:rsidR="001F09BD" w:rsidRPr="00797613" w:rsidRDefault="001F09BD" w:rsidP="00B14F0E">
            <w:pPr>
              <w:jc w:val="center"/>
              <w:rPr>
                <w:rFonts w:ascii="Times New Roman" w:hAnsi="Times New Roman" w:cs="Times New Roman"/>
                <w:b/>
                <w:bCs/>
                <w:lang w:eastAsia="ar-SA"/>
              </w:rPr>
            </w:pPr>
            <w:r w:rsidRPr="00797613">
              <w:rPr>
                <w:rFonts w:ascii="Times New Roman" w:hAnsi="Times New Roman" w:cs="Times New Roman"/>
                <w:b/>
                <w:bCs/>
                <w:lang w:eastAsia="ar-SA"/>
              </w:rPr>
              <w:t>CANTIDAD</w:t>
            </w:r>
          </w:p>
        </w:tc>
      </w:tr>
      <w:tr w:rsidR="001F09BD" w:rsidRPr="00797613" w:rsidTr="00B14F0E">
        <w:tc>
          <w:tcPr>
            <w:tcW w:w="1980" w:type="dxa"/>
            <w:tcBorders>
              <w:top w:val="single" w:sz="4" w:space="0" w:color="auto"/>
              <w:left w:val="nil"/>
              <w:bottom w:val="single" w:sz="4" w:space="0" w:color="auto"/>
              <w:right w:val="single" w:sz="4" w:space="0" w:color="auto"/>
            </w:tcBorders>
            <w:shd w:val="clear" w:color="auto" w:fill="auto"/>
          </w:tcPr>
          <w:p w:rsidR="001F09BD" w:rsidRPr="00797613" w:rsidRDefault="001F09BD" w:rsidP="00B14F0E">
            <w:pPr>
              <w:jc w:val="center"/>
              <w:rPr>
                <w:rFonts w:ascii="Times New Roman" w:hAnsi="Times New Roman" w:cs="Times New Roman"/>
                <w:lang w:eastAsia="ar-SA"/>
              </w:rPr>
            </w:pPr>
            <w:r w:rsidRPr="00797613">
              <w:rPr>
                <w:rFonts w:ascii="Times New Roman" w:hAnsi="Times New Roman" w:cs="Times New Roman"/>
                <w:lang w:eastAsia="ar-SA"/>
              </w:rPr>
              <w:t>2011</w:t>
            </w:r>
          </w:p>
        </w:tc>
        <w:tc>
          <w:tcPr>
            <w:tcW w:w="2880" w:type="dxa"/>
            <w:tcBorders>
              <w:top w:val="single" w:sz="4" w:space="0" w:color="auto"/>
              <w:left w:val="single" w:sz="4" w:space="0" w:color="auto"/>
              <w:bottom w:val="single" w:sz="4" w:space="0" w:color="auto"/>
              <w:right w:val="nil"/>
            </w:tcBorders>
            <w:shd w:val="clear" w:color="auto" w:fill="auto"/>
          </w:tcPr>
          <w:p w:rsidR="001F09BD" w:rsidRPr="00797613" w:rsidRDefault="001F09BD" w:rsidP="00B14F0E">
            <w:pPr>
              <w:jc w:val="center"/>
              <w:rPr>
                <w:rFonts w:ascii="Times New Roman" w:hAnsi="Times New Roman" w:cs="Times New Roman"/>
                <w:lang w:eastAsia="ar-SA"/>
              </w:rPr>
            </w:pPr>
            <w:r w:rsidRPr="00797613">
              <w:rPr>
                <w:rFonts w:ascii="Times New Roman" w:hAnsi="Times New Roman" w:cs="Times New Roman"/>
                <w:lang w:eastAsia="ar-SA"/>
              </w:rPr>
              <w:t>36</w:t>
            </w:r>
          </w:p>
        </w:tc>
      </w:tr>
      <w:tr w:rsidR="001F09BD" w:rsidRPr="00797613" w:rsidTr="00B14F0E">
        <w:tc>
          <w:tcPr>
            <w:tcW w:w="1980" w:type="dxa"/>
            <w:tcBorders>
              <w:top w:val="single" w:sz="4" w:space="0" w:color="auto"/>
              <w:left w:val="nil"/>
              <w:bottom w:val="single" w:sz="4" w:space="0" w:color="auto"/>
              <w:right w:val="single" w:sz="4" w:space="0" w:color="auto"/>
            </w:tcBorders>
            <w:shd w:val="clear" w:color="auto" w:fill="auto"/>
          </w:tcPr>
          <w:p w:rsidR="001F09BD" w:rsidRPr="00797613" w:rsidRDefault="001F09BD" w:rsidP="00B14F0E">
            <w:pPr>
              <w:jc w:val="center"/>
              <w:rPr>
                <w:rFonts w:ascii="Times New Roman" w:hAnsi="Times New Roman" w:cs="Times New Roman"/>
                <w:lang w:eastAsia="ar-SA"/>
              </w:rPr>
            </w:pPr>
            <w:r w:rsidRPr="00797613">
              <w:rPr>
                <w:rFonts w:ascii="Times New Roman" w:hAnsi="Times New Roman" w:cs="Times New Roman"/>
                <w:lang w:eastAsia="ar-SA"/>
              </w:rPr>
              <w:t>2012</w:t>
            </w:r>
          </w:p>
        </w:tc>
        <w:tc>
          <w:tcPr>
            <w:tcW w:w="2880" w:type="dxa"/>
            <w:tcBorders>
              <w:top w:val="single" w:sz="4" w:space="0" w:color="auto"/>
              <w:left w:val="single" w:sz="4" w:space="0" w:color="auto"/>
              <w:bottom w:val="single" w:sz="4" w:space="0" w:color="auto"/>
              <w:right w:val="nil"/>
            </w:tcBorders>
            <w:shd w:val="clear" w:color="auto" w:fill="auto"/>
          </w:tcPr>
          <w:p w:rsidR="001F09BD" w:rsidRPr="00797613" w:rsidRDefault="001F09BD" w:rsidP="00B14F0E">
            <w:pPr>
              <w:jc w:val="center"/>
              <w:rPr>
                <w:rFonts w:ascii="Times New Roman" w:hAnsi="Times New Roman" w:cs="Times New Roman"/>
                <w:lang w:eastAsia="ar-SA"/>
              </w:rPr>
            </w:pPr>
            <w:r w:rsidRPr="00797613">
              <w:rPr>
                <w:rFonts w:ascii="Times New Roman" w:hAnsi="Times New Roman" w:cs="Times New Roman"/>
                <w:lang w:eastAsia="ar-SA"/>
              </w:rPr>
              <w:t>38</w:t>
            </w:r>
          </w:p>
        </w:tc>
      </w:tr>
      <w:tr w:rsidR="001F09BD" w:rsidRPr="00797613" w:rsidTr="00B14F0E">
        <w:tc>
          <w:tcPr>
            <w:tcW w:w="1980" w:type="dxa"/>
            <w:tcBorders>
              <w:top w:val="single" w:sz="4" w:space="0" w:color="auto"/>
              <w:left w:val="nil"/>
              <w:bottom w:val="single" w:sz="4" w:space="0" w:color="auto"/>
              <w:right w:val="single" w:sz="4" w:space="0" w:color="auto"/>
            </w:tcBorders>
            <w:shd w:val="clear" w:color="auto" w:fill="auto"/>
          </w:tcPr>
          <w:p w:rsidR="001F09BD" w:rsidRPr="00797613" w:rsidRDefault="001F09BD" w:rsidP="00B14F0E">
            <w:pPr>
              <w:jc w:val="center"/>
              <w:rPr>
                <w:rFonts w:ascii="Times New Roman" w:hAnsi="Times New Roman" w:cs="Times New Roman"/>
                <w:lang w:eastAsia="ar-SA"/>
              </w:rPr>
            </w:pPr>
            <w:r w:rsidRPr="00797613">
              <w:rPr>
                <w:rFonts w:ascii="Times New Roman" w:hAnsi="Times New Roman" w:cs="Times New Roman"/>
                <w:lang w:eastAsia="ar-SA"/>
              </w:rPr>
              <w:t>2013</w:t>
            </w:r>
          </w:p>
        </w:tc>
        <w:tc>
          <w:tcPr>
            <w:tcW w:w="2880" w:type="dxa"/>
            <w:tcBorders>
              <w:top w:val="single" w:sz="4" w:space="0" w:color="auto"/>
              <w:left w:val="single" w:sz="4" w:space="0" w:color="auto"/>
              <w:bottom w:val="single" w:sz="4" w:space="0" w:color="auto"/>
              <w:right w:val="nil"/>
            </w:tcBorders>
            <w:shd w:val="clear" w:color="auto" w:fill="auto"/>
          </w:tcPr>
          <w:p w:rsidR="001F09BD" w:rsidRPr="00797613" w:rsidRDefault="001F09BD" w:rsidP="00B14F0E">
            <w:pPr>
              <w:jc w:val="center"/>
              <w:rPr>
                <w:rFonts w:ascii="Times New Roman" w:hAnsi="Times New Roman" w:cs="Times New Roman"/>
                <w:lang w:eastAsia="ar-SA"/>
              </w:rPr>
            </w:pPr>
            <w:r w:rsidRPr="00797613">
              <w:rPr>
                <w:rFonts w:ascii="Times New Roman" w:hAnsi="Times New Roman" w:cs="Times New Roman"/>
                <w:lang w:eastAsia="ar-SA"/>
              </w:rPr>
              <w:t>26</w:t>
            </w:r>
          </w:p>
        </w:tc>
      </w:tr>
      <w:tr w:rsidR="001F09BD" w:rsidRPr="00797613" w:rsidTr="00B14F0E">
        <w:tc>
          <w:tcPr>
            <w:tcW w:w="1980" w:type="dxa"/>
            <w:tcBorders>
              <w:top w:val="single" w:sz="4" w:space="0" w:color="auto"/>
              <w:left w:val="nil"/>
              <w:bottom w:val="single" w:sz="4" w:space="0" w:color="auto"/>
              <w:right w:val="single" w:sz="4" w:space="0" w:color="auto"/>
            </w:tcBorders>
            <w:shd w:val="clear" w:color="auto" w:fill="auto"/>
          </w:tcPr>
          <w:p w:rsidR="001F09BD" w:rsidRPr="00797613" w:rsidRDefault="001F09BD" w:rsidP="00B14F0E">
            <w:pPr>
              <w:jc w:val="center"/>
              <w:rPr>
                <w:rFonts w:ascii="Times New Roman" w:hAnsi="Times New Roman" w:cs="Times New Roman"/>
                <w:lang w:eastAsia="ar-SA"/>
              </w:rPr>
            </w:pPr>
            <w:r w:rsidRPr="00797613">
              <w:rPr>
                <w:rFonts w:ascii="Times New Roman" w:hAnsi="Times New Roman" w:cs="Times New Roman"/>
                <w:lang w:eastAsia="ar-SA"/>
              </w:rPr>
              <w:t>2014</w:t>
            </w:r>
          </w:p>
        </w:tc>
        <w:tc>
          <w:tcPr>
            <w:tcW w:w="2880" w:type="dxa"/>
            <w:tcBorders>
              <w:top w:val="single" w:sz="4" w:space="0" w:color="auto"/>
              <w:left w:val="single" w:sz="4" w:space="0" w:color="auto"/>
              <w:bottom w:val="single" w:sz="4" w:space="0" w:color="auto"/>
              <w:right w:val="nil"/>
            </w:tcBorders>
            <w:shd w:val="clear" w:color="auto" w:fill="auto"/>
          </w:tcPr>
          <w:p w:rsidR="001F09BD" w:rsidRPr="00797613" w:rsidRDefault="001F09BD" w:rsidP="00B14F0E">
            <w:pPr>
              <w:jc w:val="center"/>
              <w:rPr>
                <w:rFonts w:ascii="Times New Roman" w:hAnsi="Times New Roman" w:cs="Times New Roman"/>
                <w:lang w:eastAsia="ar-SA"/>
              </w:rPr>
            </w:pPr>
            <w:r w:rsidRPr="00797613">
              <w:rPr>
                <w:rFonts w:ascii="Times New Roman" w:hAnsi="Times New Roman" w:cs="Times New Roman"/>
                <w:lang w:eastAsia="ar-SA"/>
              </w:rPr>
              <w:t>22</w:t>
            </w:r>
          </w:p>
        </w:tc>
      </w:tr>
      <w:tr w:rsidR="001F09BD" w:rsidRPr="00797613" w:rsidTr="00B14F0E">
        <w:tc>
          <w:tcPr>
            <w:tcW w:w="1980" w:type="dxa"/>
            <w:tcBorders>
              <w:top w:val="single" w:sz="4" w:space="0" w:color="auto"/>
              <w:left w:val="nil"/>
              <w:bottom w:val="single" w:sz="4" w:space="0" w:color="auto"/>
              <w:right w:val="single" w:sz="4" w:space="0" w:color="auto"/>
            </w:tcBorders>
            <w:shd w:val="clear" w:color="auto" w:fill="auto"/>
          </w:tcPr>
          <w:p w:rsidR="001F09BD" w:rsidRPr="00797613" w:rsidRDefault="001F09BD" w:rsidP="00B14F0E">
            <w:pPr>
              <w:jc w:val="center"/>
              <w:rPr>
                <w:rFonts w:ascii="Times New Roman" w:hAnsi="Times New Roman" w:cs="Times New Roman"/>
                <w:lang w:eastAsia="ar-SA"/>
              </w:rPr>
            </w:pPr>
            <w:r>
              <w:rPr>
                <w:rFonts w:ascii="Times New Roman" w:hAnsi="Times New Roman" w:cs="Times New Roman"/>
                <w:lang w:eastAsia="ar-SA"/>
              </w:rPr>
              <w:t>2015</w:t>
            </w:r>
          </w:p>
        </w:tc>
        <w:tc>
          <w:tcPr>
            <w:tcW w:w="2880" w:type="dxa"/>
            <w:tcBorders>
              <w:top w:val="single" w:sz="4" w:space="0" w:color="auto"/>
              <w:left w:val="single" w:sz="4" w:space="0" w:color="auto"/>
              <w:bottom w:val="single" w:sz="4" w:space="0" w:color="auto"/>
              <w:right w:val="nil"/>
            </w:tcBorders>
            <w:shd w:val="clear" w:color="auto" w:fill="auto"/>
          </w:tcPr>
          <w:p w:rsidR="001F09BD" w:rsidRPr="00797613" w:rsidRDefault="001F09BD" w:rsidP="00B14F0E">
            <w:pPr>
              <w:jc w:val="center"/>
              <w:rPr>
                <w:rFonts w:ascii="Times New Roman" w:hAnsi="Times New Roman" w:cs="Times New Roman"/>
                <w:lang w:eastAsia="ar-SA"/>
              </w:rPr>
            </w:pPr>
            <w:r>
              <w:rPr>
                <w:rFonts w:ascii="Times New Roman" w:hAnsi="Times New Roman" w:cs="Times New Roman"/>
                <w:lang w:eastAsia="ar-SA"/>
              </w:rPr>
              <w:t>33</w:t>
            </w:r>
          </w:p>
        </w:tc>
      </w:tr>
    </w:tbl>
    <w:p w:rsidR="00983ECB" w:rsidRDefault="00983ECB" w:rsidP="001F09BD">
      <w:pPr>
        <w:jc w:val="both"/>
        <w:rPr>
          <w:rFonts w:ascii="Times New Roman" w:hAnsi="Times New Roman" w:cs="Times New Roman"/>
          <w:color w:val="000000"/>
          <w:lang w:eastAsia="ar-SA"/>
        </w:rPr>
      </w:pPr>
    </w:p>
    <w:p w:rsidR="00983ECB" w:rsidRPr="00340D91" w:rsidRDefault="00983ECB" w:rsidP="001F09BD">
      <w:pPr>
        <w:jc w:val="both"/>
        <w:rPr>
          <w:rFonts w:ascii="Times New Roman" w:hAnsi="Times New Roman" w:cs="Times New Roman"/>
          <w:color w:val="000000"/>
          <w:lang w:eastAsia="ar-SA"/>
        </w:rPr>
      </w:pPr>
    </w:p>
    <w:p w:rsidR="001F09BD" w:rsidRPr="00340D91" w:rsidRDefault="001F09BD" w:rsidP="001F09BD">
      <w:pPr>
        <w:jc w:val="both"/>
        <w:rPr>
          <w:rFonts w:ascii="Times New Roman" w:hAnsi="Times New Roman" w:cs="Times New Roman"/>
          <w:color w:val="000000"/>
          <w:lang w:eastAsia="ar-SA"/>
        </w:rPr>
      </w:pPr>
    </w:p>
    <w:p w:rsidR="001F09BD" w:rsidRPr="00340D91" w:rsidRDefault="001F09BD" w:rsidP="001F09BD">
      <w:pPr>
        <w:jc w:val="both"/>
        <w:rPr>
          <w:rFonts w:ascii="Times New Roman" w:hAnsi="Times New Roman" w:cs="Times New Roman"/>
          <w:b/>
          <w:color w:val="000000"/>
          <w:lang w:eastAsia="ar-SA"/>
        </w:rPr>
      </w:pPr>
      <w:r w:rsidRPr="00340D91">
        <w:rPr>
          <w:rFonts w:ascii="Times New Roman" w:hAnsi="Times New Roman" w:cs="Times New Roman"/>
          <w:b/>
        </w:rPr>
        <w:t>10.11</w:t>
      </w:r>
      <w:r w:rsidRPr="00340D91">
        <w:rPr>
          <w:rFonts w:ascii="Times New Roman" w:hAnsi="Times New Roman" w:cs="Times New Roman"/>
          <w:b/>
        </w:rPr>
        <w:tab/>
        <w:t>Tasa de menores condenados por robo</w:t>
      </w:r>
    </w:p>
    <w:p w:rsidR="001F09BD" w:rsidRPr="00340D91" w:rsidRDefault="001F09BD" w:rsidP="001F09BD">
      <w:pPr>
        <w:jc w:val="both"/>
        <w:rPr>
          <w:rFonts w:ascii="Times New Roman" w:hAnsi="Times New Roman" w:cs="Times New Roman"/>
          <w:color w:val="000000"/>
          <w:lang w:eastAsia="ar-SA"/>
        </w:rPr>
      </w:pPr>
    </w:p>
    <w:p w:rsidR="001F09BD" w:rsidRPr="00340D91" w:rsidRDefault="001F09BD" w:rsidP="001F09BD">
      <w:pPr>
        <w:jc w:val="both"/>
        <w:rPr>
          <w:rFonts w:ascii="Times New Roman" w:hAnsi="Times New Roman" w:cs="Times New Roman"/>
          <w:color w:val="000000"/>
          <w:lang w:eastAsia="ar-SA"/>
        </w:rPr>
      </w:pPr>
    </w:p>
    <w:p w:rsidR="001F09BD" w:rsidRPr="00340D91" w:rsidRDefault="001F09BD" w:rsidP="001F09BD">
      <w:pPr>
        <w:spacing w:line="360" w:lineRule="auto"/>
        <w:jc w:val="both"/>
        <w:rPr>
          <w:rFonts w:ascii="Times New Roman" w:hAnsi="Times New Roman" w:cs="Times New Roman"/>
          <w:color w:val="000000"/>
          <w:lang w:eastAsia="ar-SA"/>
        </w:rPr>
      </w:pPr>
      <w:r w:rsidRPr="008322B6">
        <w:rPr>
          <w:rFonts w:ascii="Times New Roman" w:hAnsi="Times New Roman" w:cs="Times New Roman"/>
          <w:color w:val="000000"/>
          <w:lang w:eastAsia="ar-SA"/>
        </w:rPr>
        <w:t xml:space="preserve">Este indicador se calcula mediante la fórmula: total de </w:t>
      </w:r>
      <w:r w:rsidRPr="008322B6">
        <w:rPr>
          <w:rFonts w:ascii="Times New Roman" w:hAnsi="Times New Roman" w:cs="Times New Roman"/>
          <w:lang w:eastAsia="ar-SA"/>
        </w:rPr>
        <w:t>personas menores de edad condenadas por robo en un año determinado, entre la cantidad de personas menores acusadas por infringir la Ley</w:t>
      </w:r>
      <w:r w:rsidRPr="00340D91">
        <w:rPr>
          <w:rFonts w:ascii="Times New Roman" w:hAnsi="Times New Roman" w:cs="Times New Roman"/>
          <w:lang w:eastAsia="ar-SA"/>
        </w:rPr>
        <w:t xml:space="preserve"> Penal Juvenil, bajo el entendido de que no </w:t>
      </w:r>
      <w:r w:rsidR="00983ECB" w:rsidRPr="00340D91">
        <w:rPr>
          <w:rFonts w:ascii="Times New Roman" w:hAnsi="Times New Roman" w:cs="Times New Roman"/>
          <w:lang w:eastAsia="ar-SA"/>
        </w:rPr>
        <w:t>todas las personas menores condenadas</w:t>
      </w:r>
      <w:r w:rsidRPr="00340D91">
        <w:rPr>
          <w:rFonts w:ascii="Times New Roman" w:hAnsi="Times New Roman" w:cs="Times New Roman"/>
          <w:lang w:eastAsia="ar-SA"/>
        </w:rPr>
        <w:t xml:space="preserve"> en un año fueron </w:t>
      </w:r>
      <w:r w:rsidR="00B32555" w:rsidRPr="00340D91">
        <w:rPr>
          <w:rFonts w:ascii="Times New Roman" w:hAnsi="Times New Roman" w:cs="Times New Roman"/>
          <w:lang w:eastAsia="ar-SA"/>
        </w:rPr>
        <w:t>acusadas</w:t>
      </w:r>
      <w:r w:rsidRPr="00340D91">
        <w:rPr>
          <w:rFonts w:ascii="Times New Roman" w:hAnsi="Times New Roman" w:cs="Times New Roman"/>
          <w:lang w:eastAsia="ar-SA"/>
        </w:rPr>
        <w:t xml:space="preserve"> en ese mismo año.</w:t>
      </w:r>
    </w:p>
    <w:p w:rsidR="001F09BD" w:rsidRPr="00340D91" w:rsidRDefault="001F09BD" w:rsidP="001F09BD">
      <w:pPr>
        <w:spacing w:line="360" w:lineRule="auto"/>
        <w:jc w:val="both"/>
        <w:rPr>
          <w:rFonts w:ascii="Times New Roman" w:hAnsi="Times New Roman" w:cs="Times New Roman"/>
          <w:color w:val="000000"/>
          <w:lang w:eastAsia="ar-SA"/>
        </w:rPr>
      </w:pPr>
    </w:p>
    <w:p w:rsidR="001F09BD" w:rsidRPr="00340D91" w:rsidRDefault="001F09BD" w:rsidP="001F09BD">
      <w:pPr>
        <w:spacing w:line="360" w:lineRule="auto"/>
        <w:jc w:val="both"/>
        <w:rPr>
          <w:rFonts w:ascii="Times New Roman" w:hAnsi="Times New Roman" w:cs="Times New Roman"/>
          <w:color w:val="000000"/>
          <w:lang w:eastAsia="ar-SA"/>
        </w:rPr>
      </w:pPr>
      <w:r w:rsidRPr="00340D91">
        <w:rPr>
          <w:rFonts w:ascii="Times New Roman" w:hAnsi="Times New Roman" w:cs="Times New Roman"/>
          <w:color w:val="000000"/>
          <w:lang w:eastAsia="ar-SA"/>
        </w:rPr>
        <w:t xml:space="preserve">Para determinar la cantidad de </w:t>
      </w:r>
      <w:r>
        <w:rPr>
          <w:rFonts w:ascii="Times New Roman" w:hAnsi="Times New Roman" w:cs="Times New Roman"/>
          <w:color w:val="000000"/>
          <w:lang w:eastAsia="ar-SA"/>
        </w:rPr>
        <w:t xml:space="preserve">personas </w:t>
      </w:r>
      <w:r w:rsidRPr="00340D91">
        <w:rPr>
          <w:rFonts w:ascii="Times New Roman" w:hAnsi="Times New Roman" w:cs="Times New Roman"/>
          <w:color w:val="000000"/>
          <w:lang w:eastAsia="ar-SA"/>
        </w:rPr>
        <w:t>menores condenad</w:t>
      </w:r>
      <w:r>
        <w:rPr>
          <w:rFonts w:ascii="Times New Roman" w:hAnsi="Times New Roman" w:cs="Times New Roman"/>
          <w:color w:val="000000"/>
          <w:lang w:eastAsia="ar-SA"/>
        </w:rPr>
        <w:t>a</w:t>
      </w:r>
      <w:r w:rsidRPr="00340D91">
        <w:rPr>
          <w:rFonts w:ascii="Times New Roman" w:hAnsi="Times New Roman" w:cs="Times New Roman"/>
          <w:color w:val="000000"/>
          <w:lang w:eastAsia="ar-SA"/>
        </w:rPr>
        <w:t xml:space="preserve">s por robo se consideran los delitos: robo agravado y robo simple. Su importancia radica en que es el delito de mayor frecuencia por el que son condenadas las personas menores.  </w:t>
      </w:r>
    </w:p>
    <w:p w:rsidR="001F09BD" w:rsidRPr="00340D91" w:rsidRDefault="001F09BD" w:rsidP="001F09BD">
      <w:pPr>
        <w:spacing w:line="360" w:lineRule="auto"/>
        <w:jc w:val="both"/>
        <w:rPr>
          <w:rFonts w:ascii="Times New Roman" w:hAnsi="Times New Roman" w:cs="Times New Roman"/>
          <w:color w:val="000000"/>
          <w:lang w:eastAsia="ar-SA"/>
        </w:rPr>
      </w:pPr>
    </w:p>
    <w:p w:rsidR="001F09BD" w:rsidRPr="00340D91" w:rsidRDefault="001F09BD" w:rsidP="001F09BD">
      <w:pPr>
        <w:spacing w:line="360" w:lineRule="auto"/>
        <w:jc w:val="both"/>
        <w:rPr>
          <w:rFonts w:ascii="Times New Roman" w:hAnsi="Times New Roman" w:cs="Times New Roman"/>
          <w:color w:val="000000"/>
          <w:lang w:eastAsia="ar-SA"/>
        </w:rPr>
      </w:pPr>
      <w:r w:rsidRPr="00E86175">
        <w:rPr>
          <w:rFonts w:ascii="Times New Roman" w:hAnsi="Times New Roman" w:cs="Times New Roman"/>
          <w:color w:val="000000"/>
          <w:lang w:eastAsia="ar-SA"/>
        </w:rPr>
        <w:t>Del quinquenio bajo estudio, el 2013 es cuando este indicador registra el dato más alto, siguiendo luego con dos descensos consecutivos hasta llegar en el 2015 a 12,7. Este descenso en el 2015 es debido principalmente a un incremento en el factor poblacional, lo cual hace que el valor calculado disminuya, tal y como se muestra en el siguiente gráfico.</w:t>
      </w:r>
    </w:p>
    <w:p w:rsidR="001F09BD" w:rsidRPr="00340D91" w:rsidRDefault="001F09BD" w:rsidP="001F09BD">
      <w:pPr>
        <w:spacing w:line="360" w:lineRule="auto"/>
        <w:jc w:val="both"/>
        <w:rPr>
          <w:rFonts w:ascii="Times New Roman" w:hAnsi="Times New Roman" w:cs="Times New Roman"/>
          <w:color w:val="000000"/>
          <w:lang w:eastAsia="ar-SA"/>
        </w:rPr>
      </w:pPr>
    </w:p>
    <w:p w:rsidR="001F09BD" w:rsidRPr="00340D91" w:rsidRDefault="001F09BD" w:rsidP="001F09BD">
      <w:pPr>
        <w:spacing w:line="360" w:lineRule="auto"/>
        <w:jc w:val="center"/>
        <w:rPr>
          <w:rFonts w:ascii="Times New Roman" w:hAnsi="Times New Roman" w:cs="Times New Roman"/>
          <w:color w:val="000000"/>
          <w:lang w:eastAsia="ar-SA"/>
        </w:rPr>
      </w:pPr>
      <w:r w:rsidRPr="00340D91">
        <w:rPr>
          <w:rFonts w:ascii="Times New Roman" w:hAnsi="Times New Roman" w:cs="Times New Roman"/>
          <w:noProof/>
          <w:lang w:val="es-CR" w:eastAsia="es-CR"/>
        </w:rPr>
        <w:drawing>
          <wp:inline distT="0" distB="0" distL="0" distR="0">
            <wp:extent cx="4754880" cy="2910840"/>
            <wp:effectExtent l="0" t="0" r="45720" b="41910"/>
            <wp:docPr id="40" name="Gráfico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1F09BD" w:rsidRDefault="001F09BD" w:rsidP="001F09BD">
      <w:pPr>
        <w:jc w:val="both"/>
        <w:rPr>
          <w:rFonts w:ascii="Times New Roman" w:hAnsi="Times New Roman" w:cs="Times New Roman"/>
          <w:color w:val="000000"/>
          <w:lang w:eastAsia="ar-SA"/>
        </w:rPr>
      </w:pPr>
    </w:p>
    <w:p w:rsidR="001F09BD" w:rsidRDefault="001F09BD" w:rsidP="001F09BD">
      <w:pPr>
        <w:jc w:val="both"/>
        <w:rPr>
          <w:rFonts w:ascii="Times New Roman" w:hAnsi="Times New Roman" w:cs="Times New Roman"/>
          <w:color w:val="000000"/>
          <w:lang w:eastAsia="ar-SA"/>
        </w:rPr>
      </w:pPr>
    </w:p>
    <w:p w:rsidR="001F09BD" w:rsidRPr="00340D91" w:rsidRDefault="001F09BD" w:rsidP="001F09BD">
      <w:pPr>
        <w:ind w:left="720" w:hanging="720"/>
        <w:jc w:val="both"/>
        <w:rPr>
          <w:rFonts w:ascii="Times New Roman" w:hAnsi="Times New Roman" w:cs="Times New Roman"/>
          <w:b/>
        </w:rPr>
      </w:pPr>
      <w:r w:rsidRPr="00340D91">
        <w:rPr>
          <w:rFonts w:ascii="Times New Roman" w:hAnsi="Times New Roman" w:cs="Times New Roman"/>
          <w:b/>
        </w:rPr>
        <w:t>10.1</w:t>
      </w:r>
      <w:r>
        <w:rPr>
          <w:rFonts w:ascii="Times New Roman" w:hAnsi="Times New Roman" w:cs="Times New Roman"/>
          <w:b/>
        </w:rPr>
        <w:t>2</w:t>
      </w:r>
      <w:r w:rsidRPr="00340D91">
        <w:rPr>
          <w:rFonts w:ascii="Times New Roman" w:hAnsi="Times New Roman" w:cs="Times New Roman"/>
          <w:b/>
        </w:rPr>
        <w:tab/>
        <w:t xml:space="preserve">Porcentaje de desestimaciones dictadas a </w:t>
      </w:r>
      <w:r>
        <w:rPr>
          <w:rFonts w:ascii="Times New Roman" w:hAnsi="Times New Roman" w:cs="Times New Roman"/>
          <w:b/>
        </w:rPr>
        <w:t xml:space="preserve">personas </w:t>
      </w:r>
      <w:r w:rsidRPr="00340D91">
        <w:rPr>
          <w:rFonts w:ascii="Times New Roman" w:hAnsi="Times New Roman" w:cs="Times New Roman"/>
          <w:b/>
        </w:rPr>
        <w:t>menores por los juzgados penales juveniles</w:t>
      </w:r>
    </w:p>
    <w:p w:rsidR="001F09BD" w:rsidRPr="00340D91" w:rsidRDefault="001F09BD" w:rsidP="001F09BD">
      <w:pPr>
        <w:spacing w:line="360" w:lineRule="auto"/>
        <w:jc w:val="both"/>
        <w:rPr>
          <w:rFonts w:ascii="Times New Roman" w:hAnsi="Times New Roman" w:cs="Times New Roman"/>
        </w:rPr>
      </w:pPr>
    </w:p>
    <w:p w:rsidR="001F09BD" w:rsidRPr="00340D91" w:rsidRDefault="001F09BD" w:rsidP="001F09BD">
      <w:pPr>
        <w:spacing w:line="360" w:lineRule="auto"/>
        <w:jc w:val="both"/>
        <w:rPr>
          <w:rFonts w:ascii="Times New Roman" w:hAnsi="Times New Roman" w:cs="Times New Roman"/>
        </w:rPr>
      </w:pPr>
      <w:r w:rsidRPr="0056626B">
        <w:rPr>
          <w:rFonts w:ascii="Times New Roman" w:hAnsi="Times New Roman" w:cs="Times New Roman"/>
        </w:rPr>
        <w:t>La fórmula utilizada para calcular este indicador es mediante la relación de las variables: de</w:t>
      </w:r>
      <w:r w:rsidRPr="00340D91">
        <w:rPr>
          <w:rFonts w:ascii="Times New Roman" w:hAnsi="Times New Roman" w:cs="Times New Roman"/>
        </w:rPr>
        <w:t>sestimaciones dadas a personas menores sobre el total de resoluciones dictadas a personas menores.</w:t>
      </w:r>
    </w:p>
    <w:p w:rsidR="001F09BD" w:rsidRPr="00340D91" w:rsidRDefault="001F09BD" w:rsidP="001F09BD">
      <w:pPr>
        <w:spacing w:line="360" w:lineRule="auto"/>
        <w:jc w:val="both"/>
        <w:rPr>
          <w:rFonts w:ascii="Times New Roman" w:hAnsi="Times New Roman" w:cs="Times New Roman"/>
        </w:rPr>
      </w:pPr>
    </w:p>
    <w:p w:rsidR="001F09BD" w:rsidRPr="00340D91" w:rsidRDefault="001F09BD" w:rsidP="001F09BD">
      <w:pPr>
        <w:spacing w:line="360" w:lineRule="auto"/>
        <w:jc w:val="both"/>
        <w:rPr>
          <w:rFonts w:ascii="Times New Roman" w:hAnsi="Times New Roman" w:cs="Times New Roman"/>
        </w:rPr>
      </w:pPr>
      <w:r w:rsidRPr="00340D91">
        <w:rPr>
          <w:rFonts w:ascii="Times New Roman" w:hAnsi="Times New Roman" w:cs="Times New Roman"/>
        </w:rPr>
        <w:t>De esta forma, se puede obtener un panorama acerca de aquellas resoluciones que finalizan denegando la demanda interpuesta (desestimación), en vista de que no se dispone de los elementos necesarios para ejercer la acción penal juvenil o se determina como atípico.</w:t>
      </w:r>
    </w:p>
    <w:p w:rsidR="001F09BD" w:rsidRPr="00340D91" w:rsidRDefault="001F09BD" w:rsidP="001F09BD">
      <w:pPr>
        <w:spacing w:line="360" w:lineRule="auto"/>
        <w:jc w:val="both"/>
        <w:rPr>
          <w:rFonts w:ascii="Times New Roman" w:hAnsi="Times New Roman" w:cs="Times New Roman"/>
        </w:rPr>
      </w:pPr>
    </w:p>
    <w:p w:rsidR="001F09BD" w:rsidRPr="00340D91" w:rsidRDefault="001F09BD" w:rsidP="001F09BD">
      <w:pPr>
        <w:spacing w:line="360" w:lineRule="auto"/>
        <w:jc w:val="both"/>
        <w:rPr>
          <w:rFonts w:ascii="Times New Roman" w:hAnsi="Times New Roman" w:cs="Times New Roman"/>
        </w:rPr>
      </w:pPr>
      <w:r w:rsidRPr="001622CF">
        <w:rPr>
          <w:rFonts w:ascii="Times New Roman" w:hAnsi="Times New Roman" w:cs="Times New Roman"/>
        </w:rPr>
        <w:t>Este indicador muestra una tendencia constante hacia la baja, lo cual es producto del decrecimiento de las desestimaciones y por un aumento en las resoluciones dictadas. El resultado obtenido para el 2015 es de 28,3%, mientras que un año antes fue de 33,9%.</w:t>
      </w:r>
    </w:p>
    <w:p w:rsidR="001F09BD" w:rsidRPr="00340D91" w:rsidRDefault="001F09BD" w:rsidP="001F09BD">
      <w:pPr>
        <w:spacing w:line="360" w:lineRule="auto"/>
        <w:jc w:val="both"/>
        <w:rPr>
          <w:rFonts w:ascii="Times New Roman" w:hAnsi="Times New Roman" w:cs="Times New Roman"/>
        </w:rPr>
      </w:pPr>
    </w:p>
    <w:p w:rsidR="001F09BD" w:rsidRPr="00340D91" w:rsidRDefault="001F09BD" w:rsidP="001F09BD">
      <w:pPr>
        <w:spacing w:line="360" w:lineRule="auto"/>
        <w:jc w:val="center"/>
        <w:rPr>
          <w:rFonts w:ascii="Times New Roman" w:hAnsi="Times New Roman" w:cs="Times New Roman"/>
        </w:rPr>
      </w:pPr>
      <w:r w:rsidRPr="00340D91">
        <w:rPr>
          <w:rFonts w:ascii="Times New Roman" w:hAnsi="Times New Roman" w:cs="Times New Roman"/>
          <w:noProof/>
          <w:lang w:val="es-CR" w:eastAsia="es-CR"/>
        </w:rPr>
        <w:drawing>
          <wp:inline distT="0" distB="0" distL="0" distR="0">
            <wp:extent cx="4648200" cy="3139440"/>
            <wp:effectExtent l="0" t="0" r="38100" b="41910"/>
            <wp:docPr id="39" name="Gráfico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1F09BD" w:rsidRPr="00340D91" w:rsidRDefault="001F09BD" w:rsidP="001F09BD">
      <w:pPr>
        <w:spacing w:line="360" w:lineRule="auto"/>
        <w:jc w:val="both"/>
        <w:rPr>
          <w:rFonts w:ascii="Times New Roman" w:hAnsi="Times New Roman" w:cs="Times New Roman"/>
        </w:rPr>
      </w:pPr>
    </w:p>
    <w:p w:rsidR="001F09BD" w:rsidRPr="00340D91" w:rsidRDefault="001F09BD" w:rsidP="001F09BD">
      <w:pPr>
        <w:spacing w:line="360" w:lineRule="auto"/>
        <w:jc w:val="both"/>
        <w:rPr>
          <w:rFonts w:ascii="Times New Roman" w:hAnsi="Times New Roman" w:cs="Times New Roman"/>
        </w:rPr>
      </w:pPr>
    </w:p>
    <w:p w:rsidR="001F09BD" w:rsidRPr="00340D91" w:rsidRDefault="001F09BD" w:rsidP="001F09BD">
      <w:pPr>
        <w:ind w:left="705" w:hanging="705"/>
        <w:jc w:val="both"/>
        <w:rPr>
          <w:rFonts w:ascii="Times New Roman" w:hAnsi="Times New Roman" w:cs="Times New Roman"/>
          <w:b/>
        </w:rPr>
      </w:pPr>
      <w:r w:rsidRPr="00340D91">
        <w:rPr>
          <w:rFonts w:ascii="Times New Roman" w:hAnsi="Times New Roman" w:cs="Times New Roman"/>
          <w:b/>
        </w:rPr>
        <w:t>10.1</w:t>
      </w:r>
      <w:r>
        <w:rPr>
          <w:rFonts w:ascii="Times New Roman" w:hAnsi="Times New Roman" w:cs="Times New Roman"/>
          <w:b/>
        </w:rPr>
        <w:t>3</w:t>
      </w:r>
      <w:r w:rsidRPr="00340D91">
        <w:rPr>
          <w:rFonts w:ascii="Times New Roman" w:hAnsi="Times New Roman" w:cs="Times New Roman"/>
          <w:b/>
        </w:rPr>
        <w:tab/>
        <w:t xml:space="preserve">Porcentaje de </w:t>
      </w:r>
      <w:r>
        <w:rPr>
          <w:rFonts w:ascii="Times New Roman" w:hAnsi="Times New Roman" w:cs="Times New Roman"/>
          <w:b/>
        </w:rPr>
        <w:t xml:space="preserve">personas </w:t>
      </w:r>
      <w:proofErr w:type="spellStart"/>
      <w:r w:rsidRPr="00340D91">
        <w:rPr>
          <w:rFonts w:ascii="Times New Roman" w:hAnsi="Times New Roman" w:cs="Times New Roman"/>
          <w:b/>
        </w:rPr>
        <w:t>menoressobreseídos</w:t>
      </w:r>
      <w:proofErr w:type="spellEnd"/>
      <w:r w:rsidRPr="00340D91">
        <w:rPr>
          <w:rFonts w:ascii="Times New Roman" w:hAnsi="Times New Roman" w:cs="Times New Roman"/>
          <w:b/>
        </w:rPr>
        <w:t xml:space="preserve"> por prescripción en los juzgados penales juveniles</w:t>
      </w:r>
    </w:p>
    <w:p w:rsidR="001F09BD" w:rsidRPr="00340D91" w:rsidRDefault="001F09BD" w:rsidP="001F09BD">
      <w:pPr>
        <w:spacing w:line="360" w:lineRule="auto"/>
        <w:jc w:val="both"/>
        <w:rPr>
          <w:rFonts w:ascii="Times New Roman" w:hAnsi="Times New Roman" w:cs="Times New Roman"/>
        </w:rPr>
      </w:pPr>
    </w:p>
    <w:p w:rsidR="001F09BD" w:rsidRPr="00340D91" w:rsidRDefault="001F09BD" w:rsidP="001F09BD">
      <w:pPr>
        <w:pStyle w:val="Textoindependiente"/>
        <w:spacing w:line="360" w:lineRule="auto"/>
        <w:jc w:val="both"/>
        <w:rPr>
          <w:rFonts w:ascii="Times New Roman" w:hAnsi="Times New Roman" w:cs="Times New Roman"/>
          <w:sz w:val="24"/>
          <w:szCs w:val="24"/>
        </w:rPr>
      </w:pPr>
      <w:r w:rsidRPr="00340D91">
        <w:rPr>
          <w:rFonts w:ascii="Times New Roman" w:hAnsi="Times New Roman" w:cs="Times New Roman"/>
          <w:sz w:val="24"/>
          <w:szCs w:val="24"/>
        </w:rPr>
        <w:t xml:space="preserve">Entre los tipos de resolución dictados a las personas menores </w:t>
      </w:r>
      <w:r>
        <w:rPr>
          <w:rFonts w:ascii="Times New Roman" w:hAnsi="Times New Roman" w:cs="Times New Roman"/>
          <w:sz w:val="24"/>
          <w:szCs w:val="24"/>
        </w:rPr>
        <w:t xml:space="preserve">imputadas </w:t>
      </w:r>
      <w:r w:rsidRPr="00340D91">
        <w:rPr>
          <w:rFonts w:ascii="Times New Roman" w:hAnsi="Times New Roman" w:cs="Times New Roman"/>
          <w:sz w:val="24"/>
          <w:szCs w:val="24"/>
        </w:rPr>
        <w:t xml:space="preserve">se encuentran los sobreseimientos definitivos por prescripción, lo cual sugiere que hay casos en los que se presenta alguna impunidad, por lo que es necesario procurar en la mayor medida que sean los menos </w:t>
      </w:r>
      <w:r w:rsidRPr="00340D91">
        <w:rPr>
          <w:rFonts w:ascii="Times New Roman" w:hAnsi="Times New Roman" w:cs="Times New Roman"/>
          <w:sz w:val="24"/>
          <w:szCs w:val="24"/>
        </w:rPr>
        <w:lastRenderedPageBreak/>
        <w:t xml:space="preserve">posibles. Su cálculo está dado por la relación entre las resoluciones dictadas por prescripción sobre el total de resoluciones dictadas durante el año. </w:t>
      </w:r>
    </w:p>
    <w:p w:rsidR="001F09BD" w:rsidRPr="00340D91" w:rsidRDefault="001F09BD" w:rsidP="001F09BD">
      <w:pPr>
        <w:spacing w:line="360" w:lineRule="auto"/>
        <w:jc w:val="both"/>
        <w:rPr>
          <w:rFonts w:ascii="Times New Roman" w:hAnsi="Times New Roman" w:cs="Times New Roman"/>
        </w:rPr>
      </w:pPr>
    </w:p>
    <w:p w:rsidR="001F09BD" w:rsidRPr="00340D91" w:rsidRDefault="001F09BD" w:rsidP="001F09BD">
      <w:pPr>
        <w:spacing w:line="360" w:lineRule="auto"/>
        <w:jc w:val="both"/>
        <w:rPr>
          <w:rFonts w:ascii="Times New Roman" w:hAnsi="Times New Roman" w:cs="Times New Roman"/>
        </w:rPr>
      </w:pPr>
      <w:r w:rsidRPr="00E72701">
        <w:rPr>
          <w:rFonts w:ascii="Times New Roman" w:hAnsi="Times New Roman" w:cs="Times New Roman"/>
        </w:rPr>
        <w:t xml:space="preserve">El incremento dado en el nivel resolutivo, dictado a personas menores y aunado a una baja en la cantidad de sobreseimientos por prescripción, hacen que el indicador disminuya, así como cualquier vestigio de impunidad que se pueda estar dando dentro del sistema judicial.  Para el 2015 se obtiene que el porcentaje de sobreseimiento definitivo por prescripción para personas menores entre 12 y 17 años </w:t>
      </w:r>
      <w:proofErr w:type="gramStart"/>
      <w:r w:rsidRPr="00E72701">
        <w:rPr>
          <w:rFonts w:ascii="Times New Roman" w:hAnsi="Times New Roman" w:cs="Times New Roman"/>
        </w:rPr>
        <w:t>es</w:t>
      </w:r>
      <w:proofErr w:type="gramEnd"/>
      <w:r w:rsidRPr="00E72701">
        <w:rPr>
          <w:rFonts w:ascii="Times New Roman" w:hAnsi="Times New Roman" w:cs="Times New Roman"/>
        </w:rPr>
        <w:t xml:space="preserve"> de 9,3%.</w:t>
      </w:r>
    </w:p>
    <w:p w:rsidR="001F09BD" w:rsidRPr="00340D91" w:rsidRDefault="001F09BD" w:rsidP="001F09BD">
      <w:pPr>
        <w:spacing w:line="360" w:lineRule="auto"/>
        <w:jc w:val="both"/>
        <w:rPr>
          <w:rFonts w:ascii="Times New Roman" w:hAnsi="Times New Roman" w:cs="Times New Roman"/>
        </w:rPr>
      </w:pPr>
    </w:p>
    <w:p w:rsidR="001F09BD" w:rsidRPr="00340D91" w:rsidRDefault="001F09BD" w:rsidP="001F09BD">
      <w:pPr>
        <w:spacing w:line="360" w:lineRule="auto"/>
        <w:jc w:val="center"/>
        <w:rPr>
          <w:rFonts w:ascii="Times New Roman" w:hAnsi="Times New Roman" w:cs="Times New Roman"/>
        </w:rPr>
      </w:pPr>
      <w:r w:rsidRPr="00340D91">
        <w:rPr>
          <w:rFonts w:ascii="Times New Roman" w:hAnsi="Times New Roman" w:cs="Times New Roman"/>
          <w:noProof/>
          <w:lang w:val="es-CR" w:eastAsia="es-CR"/>
        </w:rPr>
        <w:drawing>
          <wp:inline distT="0" distB="0" distL="0" distR="0">
            <wp:extent cx="4648200" cy="3147060"/>
            <wp:effectExtent l="0" t="0" r="38100" b="34290"/>
            <wp:docPr id="38" name="Gráfico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1F09BD" w:rsidRPr="00340D91" w:rsidRDefault="001F09BD" w:rsidP="001F09BD">
      <w:pPr>
        <w:spacing w:line="360" w:lineRule="auto"/>
        <w:jc w:val="center"/>
        <w:rPr>
          <w:rFonts w:ascii="Times New Roman" w:hAnsi="Times New Roman" w:cs="Times New Roman"/>
        </w:rPr>
      </w:pPr>
    </w:p>
    <w:p w:rsidR="001F09BD" w:rsidRPr="00340D91" w:rsidRDefault="001F09BD" w:rsidP="005334D8">
      <w:pPr>
        <w:jc w:val="both"/>
        <w:rPr>
          <w:rFonts w:ascii="Times New Roman" w:hAnsi="Times New Roman" w:cs="Times New Roman"/>
          <w:b/>
        </w:rPr>
      </w:pPr>
      <w:r w:rsidRPr="00340D91">
        <w:rPr>
          <w:rFonts w:ascii="Times New Roman" w:hAnsi="Times New Roman" w:cs="Times New Roman"/>
          <w:b/>
        </w:rPr>
        <w:t>10.1</w:t>
      </w:r>
      <w:r>
        <w:rPr>
          <w:rFonts w:ascii="Times New Roman" w:hAnsi="Times New Roman" w:cs="Times New Roman"/>
          <w:b/>
        </w:rPr>
        <w:t>4</w:t>
      </w:r>
      <w:r w:rsidRPr="00340D91">
        <w:rPr>
          <w:rFonts w:ascii="Times New Roman" w:hAnsi="Times New Roman" w:cs="Times New Roman"/>
          <w:b/>
        </w:rPr>
        <w:tab/>
        <w:t xml:space="preserve">Porcentaje de </w:t>
      </w:r>
      <w:r>
        <w:rPr>
          <w:rFonts w:ascii="Times New Roman" w:hAnsi="Times New Roman" w:cs="Times New Roman"/>
          <w:b/>
        </w:rPr>
        <w:t xml:space="preserve">personas </w:t>
      </w:r>
      <w:r w:rsidRPr="00340D91">
        <w:rPr>
          <w:rFonts w:ascii="Times New Roman" w:hAnsi="Times New Roman" w:cs="Times New Roman"/>
          <w:b/>
        </w:rPr>
        <w:t xml:space="preserve">menores </w:t>
      </w:r>
      <w:proofErr w:type="spellStart"/>
      <w:r w:rsidRPr="00340D91">
        <w:rPr>
          <w:rFonts w:ascii="Times New Roman" w:hAnsi="Times New Roman" w:cs="Times New Roman"/>
          <w:b/>
        </w:rPr>
        <w:t>sobreseíd</w:t>
      </w:r>
      <w:r>
        <w:rPr>
          <w:rFonts w:ascii="Times New Roman" w:hAnsi="Times New Roman" w:cs="Times New Roman"/>
          <w:b/>
        </w:rPr>
        <w:t>a</w:t>
      </w:r>
      <w:r w:rsidRPr="00340D91">
        <w:rPr>
          <w:rFonts w:ascii="Times New Roman" w:hAnsi="Times New Roman" w:cs="Times New Roman"/>
          <w:b/>
        </w:rPr>
        <w:t>s</w:t>
      </w:r>
      <w:proofErr w:type="spellEnd"/>
      <w:r w:rsidRPr="00340D91">
        <w:rPr>
          <w:rFonts w:ascii="Times New Roman" w:hAnsi="Times New Roman" w:cs="Times New Roman"/>
          <w:b/>
        </w:rPr>
        <w:t xml:space="preserve"> por cumplimiento de la conciliación como medida alterna en los juzgados penales juveniles</w:t>
      </w:r>
    </w:p>
    <w:p w:rsidR="001F09BD" w:rsidRPr="00340D91" w:rsidRDefault="001F09BD" w:rsidP="001F09BD">
      <w:pPr>
        <w:spacing w:line="360" w:lineRule="auto"/>
        <w:jc w:val="both"/>
        <w:rPr>
          <w:rFonts w:ascii="Times New Roman" w:hAnsi="Times New Roman" w:cs="Times New Roman"/>
        </w:rPr>
      </w:pPr>
    </w:p>
    <w:p w:rsidR="001F09BD" w:rsidRPr="00340D91" w:rsidRDefault="001F09BD" w:rsidP="001F09BD">
      <w:pPr>
        <w:pStyle w:val="Textoindependiente"/>
        <w:spacing w:line="360" w:lineRule="auto"/>
        <w:rPr>
          <w:rFonts w:ascii="Times New Roman" w:hAnsi="Times New Roman" w:cs="Times New Roman"/>
          <w:sz w:val="24"/>
          <w:szCs w:val="24"/>
        </w:rPr>
      </w:pPr>
      <w:r w:rsidRPr="00340D91">
        <w:rPr>
          <w:rFonts w:ascii="Times New Roman" w:hAnsi="Times New Roman" w:cs="Times New Roman"/>
          <w:sz w:val="24"/>
          <w:szCs w:val="24"/>
        </w:rPr>
        <w:t>La conciliación es una de las formas alternas para resolver un conflicto entre las partes; entre otros, debe ser homologada por la jueza o el juez. Para determinar el porcentaje de los asuntos resueltos mediante esta vía, se utiliza la fórmula: sobreseimientos definitivos por conciliación sobre el total de resoluciones dictadas.</w:t>
      </w:r>
    </w:p>
    <w:p w:rsidR="001F09BD" w:rsidRPr="00340D91" w:rsidRDefault="001F09BD" w:rsidP="001F09BD">
      <w:pPr>
        <w:pStyle w:val="Textoindependiente"/>
        <w:spacing w:line="360" w:lineRule="auto"/>
        <w:rPr>
          <w:rFonts w:ascii="Times New Roman" w:hAnsi="Times New Roman" w:cs="Times New Roman"/>
          <w:sz w:val="24"/>
          <w:szCs w:val="24"/>
        </w:rPr>
      </w:pPr>
    </w:p>
    <w:p w:rsidR="001F09BD" w:rsidRPr="00340D91" w:rsidRDefault="001F09BD" w:rsidP="001F09BD">
      <w:pPr>
        <w:spacing w:line="360" w:lineRule="auto"/>
        <w:jc w:val="both"/>
        <w:rPr>
          <w:rFonts w:ascii="Times New Roman" w:hAnsi="Times New Roman" w:cs="Times New Roman"/>
        </w:rPr>
      </w:pPr>
      <w:r w:rsidRPr="00C56037">
        <w:rPr>
          <w:rFonts w:ascii="Times New Roman" w:hAnsi="Times New Roman" w:cs="Times New Roman"/>
        </w:rPr>
        <w:t>En el 2015, este indicador crece por segundo año consecutivo, dando lugar a un aumento en la utilización de esta vía alterna. El valor obtenido es de 5,5%, siendo este el más alto del período bajo estudio y el más alto en términos absolutos que ha alcanzado la variable “cantidad de sobreseimiento definitivos por conciliación”.</w:t>
      </w:r>
    </w:p>
    <w:p w:rsidR="001F09BD" w:rsidRPr="00340D91" w:rsidRDefault="001F09BD" w:rsidP="001F09BD">
      <w:pPr>
        <w:spacing w:line="360" w:lineRule="auto"/>
        <w:jc w:val="both"/>
        <w:rPr>
          <w:rFonts w:ascii="Times New Roman" w:hAnsi="Times New Roman" w:cs="Times New Roman"/>
        </w:rPr>
      </w:pPr>
    </w:p>
    <w:p w:rsidR="001F09BD" w:rsidRPr="00340D91" w:rsidRDefault="001F09BD" w:rsidP="001F09BD">
      <w:pPr>
        <w:spacing w:line="360" w:lineRule="auto"/>
        <w:jc w:val="center"/>
        <w:rPr>
          <w:rFonts w:ascii="Times New Roman" w:hAnsi="Times New Roman" w:cs="Times New Roman"/>
        </w:rPr>
      </w:pPr>
      <w:r w:rsidRPr="00340D91">
        <w:rPr>
          <w:rFonts w:ascii="Times New Roman" w:hAnsi="Times New Roman" w:cs="Times New Roman"/>
          <w:noProof/>
          <w:lang w:val="es-CR" w:eastAsia="es-CR"/>
        </w:rPr>
        <w:drawing>
          <wp:inline distT="0" distB="0" distL="0" distR="0">
            <wp:extent cx="4648200" cy="3284220"/>
            <wp:effectExtent l="0" t="0" r="38100" b="30480"/>
            <wp:docPr id="37" name="Gráfico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1F09BD" w:rsidRDefault="001F09BD" w:rsidP="001F09BD">
      <w:pPr>
        <w:spacing w:line="360" w:lineRule="auto"/>
        <w:jc w:val="both"/>
        <w:rPr>
          <w:rFonts w:ascii="Times New Roman" w:hAnsi="Times New Roman" w:cs="Times New Roman"/>
        </w:rPr>
      </w:pPr>
    </w:p>
    <w:p w:rsidR="001F09BD" w:rsidRPr="00340D91" w:rsidRDefault="001F09BD" w:rsidP="005334D8">
      <w:pPr>
        <w:jc w:val="both"/>
        <w:rPr>
          <w:rFonts w:ascii="Times New Roman" w:hAnsi="Times New Roman" w:cs="Times New Roman"/>
          <w:b/>
        </w:rPr>
      </w:pPr>
      <w:r>
        <w:rPr>
          <w:rFonts w:ascii="Times New Roman" w:hAnsi="Times New Roman" w:cs="Times New Roman"/>
          <w:b/>
        </w:rPr>
        <w:t>10.15</w:t>
      </w:r>
      <w:r w:rsidRPr="00340D91">
        <w:rPr>
          <w:rFonts w:ascii="Times New Roman" w:hAnsi="Times New Roman" w:cs="Times New Roman"/>
          <w:b/>
        </w:rPr>
        <w:tab/>
        <w:t xml:space="preserve">Porcentaje </w:t>
      </w:r>
      <w:proofErr w:type="spellStart"/>
      <w:r w:rsidRPr="00340D91">
        <w:rPr>
          <w:rFonts w:ascii="Times New Roman" w:hAnsi="Times New Roman" w:cs="Times New Roman"/>
          <w:b/>
        </w:rPr>
        <w:t>de</w:t>
      </w:r>
      <w:r w:rsidR="00D83EDC">
        <w:rPr>
          <w:rFonts w:ascii="Times New Roman" w:hAnsi="Times New Roman" w:cs="Times New Roman"/>
          <w:b/>
        </w:rPr>
        <w:t>personas</w:t>
      </w:r>
      <w:proofErr w:type="spellEnd"/>
      <w:r w:rsidR="00D83EDC">
        <w:rPr>
          <w:rFonts w:ascii="Times New Roman" w:hAnsi="Times New Roman" w:cs="Times New Roman"/>
          <w:b/>
        </w:rPr>
        <w:t xml:space="preserve"> </w:t>
      </w:r>
      <w:r w:rsidR="00D83EDC" w:rsidRPr="00340D91">
        <w:rPr>
          <w:rFonts w:ascii="Times New Roman" w:hAnsi="Times New Roman" w:cs="Times New Roman"/>
          <w:b/>
        </w:rPr>
        <w:t>menores</w:t>
      </w:r>
      <w:r w:rsidRPr="00340D91">
        <w:rPr>
          <w:rFonts w:ascii="Times New Roman" w:hAnsi="Times New Roman" w:cs="Times New Roman"/>
          <w:b/>
        </w:rPr>
        <w:t xml:space="preserve"> </w:t>
      </w:r>
      <w:proofErr w:type="spellStart"/>
      <w:r w:rsidRPr="00340D91">
        <w:rPr>
          <w:rFonts w:ascii="Times New Roman" w:hAnsi="Times New Roman" w:cs="Times New Roman"/>
          <w:b/>
        </w:rPr>
        <w:t>sobreseíd</w:t>
      </w:r>
      <w:r>
        <w:rPr>
          <w:rFonts w:ascii="Times New Roman" w:hAnsi="Times New Roman" w:cs="Times New Roman"/>
          <w:b/>
        </w:rPr>
        <w:t>a</w:t>
      </w:r>
      <w:r w:rsidRPr="00340D91">
        <w:rPr>
          <w:rFonts w:ascii="Times New Roman" w:hAnsi="Times New Roman" w:cs="Times New Roman"/>
          <w:b/>
        </w:rPr>
        <w:t>s</w:t>
      </w:r>
      <w:proofErr w:type="spellEnd"/>
      <w:r w:rsidRPr="00340D91">
        <w:rPr>
          <w:rFonts w:ascii="Times New Roman" w:hAnsi="Times New Roman" w:cs="Times New Roman"/>
          <w:b/>
        </w:rPr>
        <w:t xml:space="preserve"> por cumplimiento de la suspensión del proceso a prueba, como medida alterna en los juzgados penales juveniles</w:t>
      </w:r>
    </w:p>
    <w:p w:rsidR="001F09BD" w:rsidRPr="00340D91" w:rsidRDefault="001F09BD" w:rsidP="001F09BD">
      <w:pPr>
        <w:spacing w:line="360" w:lineRule="auto"/>
        <w:jc w:val="both"/>
        <w:rPr>
          <w:rFonts w:ascii="Times New Roman" w:hAnsi="Times New Roman" w:cs="Times New Roman"/>
        </w:rPr>
      </w:pPr>
    </w:p>
    <w:p w:rsidR="001F09BD" w:rsidRPr="00340D91" w:rsidRDefault="001F09BD" w:rsidP="001F09BD">
      <w:pPr>
        <w:pStyle w:val="Textoindependiente"/>
        <w:spacing w:line="360" w:lineRule="auto"/>
        <w:jc w:val="both"/>
        <w:rPr>
          <w:rFonts w:ascii="Times New Roman" w:hAnsi="Times New Roman" w:cs="Times New Roman"/>
          <w:sz w:val="24"/>
          <w:szCs w:val="24"/>
        </w:rPr>
      </w:pPr>
      <w:r w:rsidRPr="00340D91">
        <w:rPr>
          <w:rFonts w:ascii="Times New Roman" w:hAnsi="Times New Roman" w:cs="Times New Roman"/>
          <w:sz w:val="24"/>
          <w:szCs w:val="24"/>
        </w:rPr>
        <w:t xml:space="preserve">Para el cálculo de este indicador se relacionan las variables: suspensión del proceso a prueba en los juzgados penales juveniles sobre el total de resoluciones dictadas.   </w:t>
      </w:r>
    </w:p>
    <w:p w:rsidR="001F09BD" w:rsidRPr="00340D91" w:rsidRDefault="001F09BD" w:rsidP="001F09BD">
      <w:pPr>
        <w:pStyle w:val="Textoindependiente"/>
        <w:spacing w:line="360" w:lineRule="auto"/>
        <w:rPr>
          <w:rFonts w:ascii="Times New Roman" w:hAnsi="Times New Roman" w:cs="Times New Roman"/>
          <w:sz w:val="24"/>
          <w:szCs w:val="24"/>
        </w:rPr>
      </w:pPr>
    </w:p>
    <w:p w:rsidR="001F09BD" w:rsidRPr="00340D91" w:rsidRDefault="001F09BD" w:rsidP="001F09BD">
      <w:pPr>
        <w:pStyle w:val="Textoindependiente"/>
        <w:spacing w:line="360" w:lineRule="auto"/>
        <w:jc w:val="both"/>
        <w:rPr>
          <w:rFonts w:ascii="Times New Roman" w:hAnsi="Times New Roman" w:cs="Times New Roman"/>
          <w:sz w:val="24"/>
          <w:szCs w:val="24"/>
        </w:rPr>
      </w:pPr>
      <w:r w:rsidRPr="004B464E">
        <w:rPr>
          <w:rFonts w:ascii="Times New Roman" w:hAnsi="Times New Roman" w:cs="Times New Roman"/>
          <w:sz w:val="24"/>
          <w:szCs w:val="24"/>
        </w:rPr>
        <w:t xml:space="preserve">La suspensión del proceso a prueba conlleva a que la persona menor imputada se </w:t>
      </w:r>
      <w:proofErr w:type="spellStart"/>
      <w:r w:rsidRPr="004B464E">
        <w:rPr>
          <w:rFonts w:ascii="Times New Roman" w:hAnsi="Times New Roman" w:cs="Times New Roman"/>
          <w:sz w:val="24"/>
          <w:szCs w:val="24"/>
        </w:rPr>
        <w:t>compromete</w:t>
      </w:r>
      <w:r w:rsidRPr="00340D91">
        <w:rPr>
          <w:rFonts w:ascii="Times New Roman" w:hAnsi="Times New Roman" w:cs="Times New Roman"/>
          <w:sz w:val="24"/>
          <w:szCs w:val="24"/>
        </w:rPr>
        <w:t>ante</w:t>
      </w:r>
      <w:proofErr w:type="spellEnd"/>
      <w:r w:rsidRPr="00340D91">
        <w:rPr>
          <w:rFonts w:ascii="Times New Roman" w:hAnsi="Times New Roman" w:cs="Times New Roman"/>
          <w:sz w:val="24"/>
          <w:szCs w:val="24"/>
        </w:rPr>
        <w:t xml:space="preserve"> las juezas o jueces a un plan de reparación del daño causado por el delito y con ello extinguir la acción penal con una sentencia de sobreseimiento definitivo.</w:t>
      </w:r>
    </w:p>
    <w:p w:rsidR="001F09BD" w:rsidRPr="00340D91" w:rsidRDefault="001F09BD" w:rsidP="001F09BD">
      <w:pPr>
        <w:spacing w:line="360" w:lineRule="auto"/>
        <w:jc w:val="both"/>
        <w:rPr>
          <w:rFonts w:ascii="Times New Roman" w:hAnsi="Times New Roman" w:cs="Times New Roman"/>
        </w:rPr>
      </w:pPr>
    </w:p>
    <w:p w:rsidR="001F09BD" w:rsidRPr="00340D91" w:rsidRDefault="001F09BD" w:rsidP="001F09BD">
      <w:pPr>
        <w:spacing w:line="360" w:lineRule="auto"/>
        <w:jc w:val="both"/>
        <w:rPr>
          <w:rFonts w:ascii="Times New Roman" w:hAnsi="Times New Roman" w:cs="Times New Roman"/>
        </w:rPr>
      </w:pPr>
      <w:r>
        <w:rPr>
          <w:rFonts w:ascii="Times New Roman" w:hAnsi="Times New Roman" w:cs="Times New Roman"/>
        </w:rPr>
        <w:t xml:space="preserve">Tal y como se aprecia en el siguiente gráfico, el comportamiento seguido por el indicador es el  crecimiento constante, lo que sugiere </w:t>
      </w:r>
      <w:r w:rsidRPr="00340D91">
        <w:rPr>
          <w:rFonts w:ascii="Times New Roman" w:hAnsi="Times New Roman" w:cs="Times New Roman"/>
        </w:rPr>
        <w:t xml:space="preserve">una mayor participación de personas menores en la reparación del daño por la </w:t>
      </w:r>
      <w:r>
        <w:rPr>
          <w:rFonts w:ascii="Times New Roman" w:hAnsi="Times New Roman" w:cs="Times New Roman"/>
        </w:rPr>
        <w:t>atribución</w:t>
      </w:r>
      <w:r w:rsidRPr="00340D91">
        <w:rPr>
          <w:rFonts w:ascii="Times New Roman" w:hAnsi="Times New Roman" w:cs="Times New Roman"/>
        </w:rPr>
        <w:t xml:space="preserve"> de algún delito</w:t>
      </w:r>
      <w:r>
        <w:rPr>
          <w:rFonts w:ascii="Times New Roman" w:hAnsi="Times New Roman" w:cs="Times New Roman"/>
        </w:rPr>
        <w:t xml:space="preserve"> y con lo cual se proponen</w:t>
      </w:r>
      <w:r w:rsidRPr="00340D91">
        <w:rPr>
          <w:rFonts w:ascii="Times New Roman" w:hAnsi="Times New Roman" w:cs="Times New Roman"/>
        </w:rPr>
        <w:t xml:space="preserve"> obtener un sobreseimiento por la demanda planteada en su contra.</w:t>
      </w:r>
      <w:r>
        <w:rPr>
          <w:rFonts w:ascii="Times New Roman" w:hAnsi="Times New Roman" w:cs="Times New Roman"/>
        </w:rPr>
        <w:t xml:space="preserve"> En el 2015, un 8,3% de las personas menores de edad (12-17 años) optaron por una suspensión del proceso a prueba. </w:t>
      </w:r>
    </w:p>
    <w:p w:rsidR="001F09BD" w:rsidRPr="00340D91" w:rsidRDefault="001F09BD" w:rsidP="001F09BD">
      <w:pPr>
        <w:spacing w:line="360" w:lineRule="auto"/>
        <w:jc w:val="both"/>
        <w:rPr>
          <w:rFonts w:ascii="Times New Roman" w:hAnsi="Times New Roman" w:cs="Times New Roman"/>
        </w:rPr>
      </w:pPr>
    </w:p>
    <w:p w:rsidR="001F09BD" w:rsidRPr="00340D91" w:rsidRDefault="001F09BD" w:rsidP="001F09BD">
      <w:pPr>
        <w:spacing w:line="360" w:lineRule="auto"/>
        <w:jc w:val="center"/>
        <w:rPr>
          <w:rFonts w:ascii="Times New Roman" w:hAnsi="Times New Roman" w:cs="Times New Roman"/>
        </w:rPr>
      </w:pPr>
      <w:r w:rsidRPr="00340D91">
        <w:rPr>
          <w:rFonts w:ascii="Times New Roman" w:hAnsi="Times New Roman" w:cs="Times New Roman"/>
          <w:noProof/>
          <w:lang w:val="es-CR" w:eastAsia="es-CR"/>
        </w:rPr>
        <w:drawing>
          <wp:inline distT="0" distB="0" distL="0" distR="0">
            <wp:extent cx="4648200" cy="3055620"/>
            <wp:effectExtent l="0" t="0" r="38100" b="30480"/>
            <wp:docPr id="36" name="Gráfico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1F09BD" w:rsidRPr="00340D91" w:rsidRDefault="001F09BD" w:rsidP="001F09BD">
      <w:pPr>
        <w:spacing w:line="360" w:lineRule="auto"/>
        <w:jc w:val="both"/>
        <w:rPr>
          <w:rFonts w:ascii="Times New Roman" w:hAnsi="Times New Roman" w:cs="Times New Roman"/>
        </w:rPr>
      </w:pPr>
    </w:p>
    <w:p w:rsidR="001F09BD" w:rsidRPr="00D1363A" w:rsidRDefault="001F09BD" w:rsidP="001F09BD">
      <w:pPr>
        <w:pStyle w:val="Ttulo2"/>
        <w:rPr>
          <w:rFonts w:ascii="Times New Roman" w:hAnsi="Times New Roman" w:cs="Times New Roman"/>
          <w:i w:val="0"/>
          <w:sz w:val="24"/>
          <w:szCs w:val="24"/>
        </w:rPr>
      </w:pPr>
      <w:r>
        <w:rPr>
          <w:rFonts w:ascii="Times New Roman" w:hAnsi="Times New Roman" w:cs="Times New Roman"/>
          <w:i w:val="0"/>
          <w:sz w:val="24"/>
          <w:szCs w:val="24"/>
        </w:rPr>
        <w:t>10.16</w:t>
      </w:r>
      <w:r w:rsidRPr="00D1363A">
        <w:rPr>
          <w:rFonts w:ascii="Times New Roman" w:hAnsi="Times New Roman" w:cs="Times New Roman"/>
          <w:i w:val="0"/>
          <w:sz w:val="24"/>
          <w:szCs w:val="24"/>
        </w:rPr>
        <w:tab/>
        <w:t xml:space="preserve">Duración promedio de casos fallados con sentencia </w:t>
      </w:r>
    </w:p>
    <w:p w:rsidR="001F09BD" w:rsidRPr="00D1363A" w:rsidRDefault="001F09BD" w:rsidP="001F09BD">
      <w:pPr>
        <w:spacing w:line="360" w:lineRule="auto"/>
        <w:jc w:val="both"/>
        <w:rPr>
          <w:rFonts w:ascii="Times New Roman" w:hAnsi="Times New Roman" w:cs="Times New Roman"/>
        </w:rPr>
      </w:pPr>
    </w:p>
    <w:p w:rsidR="001F09BD" w:rsidRDefault="001F09BD" w:rsidP="001F09BD">
      <w:pPr>
        <w:spacing w:line="360" w:lineRule="auto"/>
        <w:jc w:val="both"/>
        <w:rPr>
          <w:rFonts w:ascii="Times New Roman" w:hAnsi="Times New Roman" w:cs="Times New Roman"/>
        </w:rPr>
      </w:pPr>
      <w:r w:rsidRPr="00CF3320">
        <w:rPr>
          <w:rFonts w:ascii="Times New Roman" w:hAnsi="Times New Roman" w:cs="Times New Roman"/>
        </w:rPr>
        <w:t>De acuerdo con lo detallado en el siguiente recuadro, tanto en los juzgados penales juveniles como en la Sala Tercera (Sección Penal Juvenil), la duración promedio se incrementa, mientras que en el Tribunal de Apelación de Sentencia disminuye, esto en comparación con lo registrado en el 2014.</w:t>
      </w:r>
    </w:p>
    <w:p w:rsidR="005334D8" w:rsidRPr="00340D91" w:rsidRDefault="005334D8" w:rsidP="001F09BD">
      <w:pPr>
        <w:spacing w:line="360" w:lineRule="auto"/>
        <w:jc w:val="both"/>
        <w:rPr>
          <w:rFonts w:ascii="Times New Roman" w:hAnsi="Times New Roman" w:cs="Times New Roman"/>
        </w:rPr>
      </w:pPr>
    </w:p>
    <w:p w:rsidR="001F09BD" w:rsidRPr="00340D91" w:rsidRDefault="001F09BD" w:rsidP="001F09BD">
      <w:pPr>
        <w:spacing w:line="360" w:lineRule="auto"/>
        <w:jc w:val="both"/>
        <w:rPr>
          <w:rFonts w:ascii="Times New Roman" w:hAnsi="Times New Roman" w:cs="Times New Roman"/>
          <w:lang w:eastAsia="ar-SA"/>
        </w:rPr>
      </w:pP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7"/>
        <w:gridCol w:w="2268"/>
        <w:gridCol w:w="2268"/>
      </w:tblGrid>
      <w:tr w:rsidR="001F09BD" w:rsidRPr="00797613" w:rsidTr="00B14F0E">
        <w:trPr>
          <w:tblHeader/>
          <w:jc w:val="center"/>
        </w:trPr>
        <w:tc>
          <w:tcPr>
            <w:tcW w:w="5137" w:type="dxa"/>
            <w:shd w:val="clear" w:color="auto" w:fill="auto"/>
          </w:tcPr>
          <w:p w:rsidR="001F09BD" w:rsidRPr="00797613" w:rsidRDefault="001F09BD" w:rsidP="00B14F0E">
            <w:pPr>
              <w:jc w:val="center"/>
              <w:rPr>
                <w:rFonts w:ascii="Times New Roman" w:hAnsi="Times New Roman" w:cs="Times New Roman"/>
                <w:b/>
                <w:lang w:eastAsia="ar-SA"/>
              </w:rPr>
            </w:pPr>
            <w:r w:rsidRPr="00797613">
              <w:rPr>
                <w:rFonts w:ascii="Times New Roman" w:hAnsi="Times New Roman" w:cs="Times New Roman"/>
                <w:b/>
                <w:lang w:eastAsia="ar-SA"/>
              </w:rPr>
              <w:lastRenderedPageBreak/>
              <w:t>MATERIA</w:t>
            </w:r>
          </w:p>
        </w:tc>
        <w:tc>
          <w:tcPr>
            <w:tcW w:w="2268" w:type="dxa"/>
            <w:shd w:val="clear" w:color="auto" w:fill="auto"/>
          </w:tcPr>
          <w:p w:rsidR="001F09BD" w:rsidRPr="00797613" w:rsidRDefault="001F09BD" w:rsidP="00B14F0E">
            <w:pPr>
              <w:jc w:val="center"/>
              <w:rPr>
                <w:rFonts w:ascii="Times New Roman" w:hAnsi="Times New Roman" w:cs="Times New Roman"/>
                <w:b/>
                <w:lang w:eastAsia="ar-SA"/>
              </w:rPr>
            </w:pPr>
            <w:r w:rsidRPr="00797613">
              <w:rPr>
                <w:rFonts w:ascii="Times New Roman" w:hAnsi="Times New Roman" w:cs="Times New Roman"/>
                <w:b/>
                <w:lang w:eastAsia="ar-SA"/>
              </w:rPr>
              <w:t>201</w:t>
            </w:r>
            <w:r>
              <w:rPr>
                <w:rFonts w:ascii="Times New Roman" w:hAnsi="Times New Roman" w:cs="Times New Roman"/>
                <w:b/>
                <w:lang w:eastAsia="ar-SA"/>
              </w:rPr>
              <w:t>4</w:t>
            </w:r>
          </w:p>
        </w:tc>
        <w:tc>
          <w:tcPr>
            <w:tcW w:w="2268" w:type="dxa"/>
            <w:shd w:val="clear" w:color="auto" w:fill="auto"/>
          </w:tcPr>
          <w:p w:rsidR="001F09BD" w:rsidRPr="00797613" w:rsidRDefault="001F09BD" w:rsidP="00B14F0E">
            <w:pPr>
              <w:jc w:val="center"/>
              <w:rPr>
                <w:rFonts w:ascii="Times New Roman" w:hAnsi="Times New Roman" w:cs="Times New Roman"/>
                <w:b/>
                <w:lang w:eastAsia="ar-SA"/>
              </w:rPr>
            </w:pPr>
            <w:r w:rsidRPr="00797613">
              <w:rPr>
                <w:rFonts w:ascii="Times New Roman" w:hAnsi="Times New Roman" w:cs="Times New Roman"/>
                <w:b/>
                <w:lang w:eastAsia="ar-SA"/>
              </w:rPr>
              <w:t>201</w:t>
            </w:r>
            <w:r>
              <w:rPr>
                <w:rFonts w:ascii="Times New Roman" w:hAnsi="Times New Roman" w:cs="Times New Roman"/>
                <w:b/>
                <w:lang w:eastAsia="ar-SA"/>
              </w:rPr>
              <w:t>5</w:t>
            </w:r>
          </w:p>
        </w:tc>
      </w:tr>
      <w:tr w:rsidR="001F09BD" w:rsidRPr="00797613" w:rsidTr="00B14F0E">
        <w:trPr>
          <w:jc w:val="center"/>
        </w:trPr>
        <w:tc>
          <w:tcPr>
            <w:tcW w:w="5137" w:type="dxa"/>
            <w:shd w:val="clear" w:color="auto" w:fill="auto"/>
          </w:tcPr>
          <w:p w:rsidR="001F09BD" w:rsidRPr="00797613" w:rsidRDefault="001F09BD" w:rsidP="00B14F0E">
            <w:pPr>
              <w:jc w:val="both"/>
              <w:rPr>
                <w:rFonts w:ascii="Times New Roman" w:hAnsi="Times New Roman" w:cs="Times New Roman"/>
                <w:lang w:eastAsia="ar-SA"/>
              </w:rPr>
            </w:pPr>
            <w:r w:rsidRPr="00797613">
              <w:rPr>
                <w:rFonts w:ascii="Times New Roman" w:hAnsi="Times New Roman" w:cs="Times New Roman"/>
                <w:lang w:eastAsia="ar-SA"/>
              </w:rPr>
              <w:t>Fiscalías Penales Juveniles</w:t>
            </w:r>
          </w:p>
        </w:tc>
        <w:tc>
          <w:tcPr>
            <w:tcW w:w="2268" w:type="dxa"/>
            <w:shd w:val="clear" w:color="auto" w:fill="auto"/>
          </w:tcPr>
          <w:p w:rsidR="001F09BD" w:rsidRPr="00797613" w:rsidRDefault="001F09BD" w:rsidP="00B14F0E">
            <w:pPr>
              <w:jc w:val="right"/>
              <w:rPr>
                <w:rFonts w:ascii="Times New Roman" w:hAnsi="Times New Roman" w:cs="Times New Roman"/>
                <w:lang w:eastAsia="ar-SA"/>
              </w:rPr>
            </w:pPr>
            <w:r w:rsidRPr="00797613">
              <w:rPr>
                <w:rFonts w:ascii="Times New Roman" w:hAnsi="Times New Roman" w:cs="Times New Roman"/>
                <w:lang w:eastAsia="ar-SA"/>
              </w:rPr>
              <w:t>2 meses 0 semanas</w:t>
            </w:r>
          </w:p>
        </w:tc>
        <w:tc>
          <w:tcPr>
            <w:tcW w:w="2268" w:type="dxa"/>
            <w:shd w:val="clear" w:color="auto" w:fill="auto"/>
          </w:tcPr>
          <w:p w:rsidR="001F09BD" w:rsidRPr="00797613" w:rsidRDefault="001F09BD" w:rsidP="00B14F0E">
            <w:pPr>
              <w:jc w:val="right"/>
              <w:rPr>
                <w:rFonts w:ascii="Times New Roman" w:hAnsi="Times New Roman" w:cs="Times New Roman"/>
                <w:lang w:eastAsia="ar-SA"/>
              </w:rPr>
            </w:pPr>
            <w:r w:rsidRPr="005E117F">
              <w:rPr>
                <w:rFonts w:ascii="Times New Roman" w:hAnsi="Times New Roman" w:cs="Times New Roman"/>
                <w:lang w:eastAsia="ar-SA"/>
              </w:rPr>
              <w:t>2 meses 0 semanas</w:t>
            </w:r>
          </w:p>
        </w:tc>
      </w:tr>
      <w:tr w:rsidR="001F09BD" w:rsidRPr="00797613" w:rsidTr="00B14F0E">
        <w:trPr>
          <w:jc w:val="center"/>
        </w:trPr>
        <w:tc>
          <w:tcPr>
            <w:tcW w:w="5137" w:type="dxa"/>
            <w:shd w:val="clear" w:color="auto" w:fill="auto"/>
          </w:tcPr>
          <w:p w:rsidR="001F09BD" w:rsidRPr="00797613" w:rsidRDefault="001F09BD" w:rsidP="00B14F0E">
            <w:pPr>
              <w:jc w:val="both"/>
              <w:rPr>
                <w:rFonts w:ascii="Times New Roman" w:hAnsi="Times New Roman" w:cs="Times New Roman"/>
                <w:lang w:eastAsia="ar-SA"/>
              </w:rPr>
            </w:pPr>
            <w:r w:rsidRPr="00797613">
              <w:rPr>
                <w:rFonts w:ascii="Times New Roman" w:hAnsi="Times New Roman" w:cs="Times New Roman"/>
                <w:lang w:eastAsia="ar-SA"/>
              </w:rPr>
              <w:t>Juzgados Penales Juveniles</w:t>
            </w:r>
          </w:p>
        </w:tc>
        <w:tc>
          <w:tcPr>
            <w:tcW w:w="2268" w:type="dxa"/>
            <w:shd w:val="clear" w:color="auto" w:fill="auto"/>
          </w:tcPr>
          <w:p w:rsidR="001F09BD" w:rsidRPr="00797613" w:rsidRDefault="001F09BD" w:rsidP="00B14F0E">
            <w:pPr>
              <w:jc w:val="right"/>
              <w:rPr>
                <w:rFonts w:ascii="Times New Roman" w:hAnsi="Times New Roman" w:cs="Times New Roman"/>
                <w:lang w:eastAsia="ar-SA"/>
              </w:rPr>
            </w:pPr>
            <w:r w:rsidRPr="00797613">
              <w:rPr>
                <w:rFonts w:ascii="Times New Roman" w:hAnsi="Times New Roman" w:cs="Times New Roman"/>
                <w:lang w:eastAsia="ar-SA"/>
              </w:rPr>
              <w:t>22 meses 3 semanas</w:t>
            </w:r>
          </w:p>
        </w:tc>
        <w:tc>
          <w:tcPr>
            <w:tcW w:w="2268" w:type="dxa"/>
            <w:shd w:val="clear" w:color="auto" w:fill="auto"/>
          </w:tcPr>
          <w:p w:rsidR="001F09BD" w:rsidRPr="00797613" w:rsidRDefault="001F09BD" w:rsidP="00B14F0E">
            <w:pPr>
              <w:jc w:val="right"/>
              <w:rPr>
                <w:rFonts w:ascii="Times New Roman" w:hAnsi="Times New Roman" w:cs="Times New Roman"/>
                <w:lang w:eastAsia="ar-SA"/>
              </w:rPr>
            </w:pPr>
            <w:r w:rsidRPr="00797613">
              <w:rPr>
                <w:rFonts w:ascii="Times New Roman" w:hAnsi="Times New Roman" w:cs="Times New Roman"/>
                <w:lang w:eastAsia="ar-SA"/>
              </w:rPr>
              <w:t>2</w:t>
            </w:r>
            <w:r>
              <w:rPr>
                <w:rFonts w:ascii="Times New Roman" w:hAnsi="Times New Roman" w:cs="Times New Roman"/>
                <w:lang w:eastAsia="ar-SA"/>
              </w:rPr>
              <w:t>4</w:t>
            </w:r>
            <w:r w:rsidRPr="00797613">
              <w:rPr>
                <w:rFonts w:ascii="Times New Roman" w:hAnsi="Times New Roman" w:cs="Times New Roman"/>
                <w:lang w:eastAsia="ar-SA"/>
              </w:rPr>
              <w:t xml:space="preserve"> meses 3 semanas</w:t>
            </w:r>
          </w:p>
        </w:tc>
      </w:tr>
      <w:tr w:rsidR="001F09BD" w:rsidRPr="00797613" w:rsidTr="00B14F0E">
        <w:trPr>
          <w:jc w:val="center"/>
        </w:trPr>
        <w:tc>
          <w:tcPr>
            <w:tcW w:w="5137" w:type="dxa"/>
            <w:shd w:val="clear" w:color="auto" w:fill="auto"/>
          </w:tcPr>
          <w:p w:rsidR="001F09BD" w:rsidRPr="00797613" w:rsidRDefault="001F09BD" w:rsidP="00B14F0E">
            <w:pPr>
              <w:jc w:val="both"/>
              <w:rPr>
                <w:rFonts w:ascii="Times New Roman" w:hAnsi="Times New Roman" w:cs="Times New Roman"/>
                <w:lang w:eastAsia="ar-SA"/>
              </w:rPr>
            </w:pPr>
            <w:r w:rsidRPr="00797613">
              <w:rPr>
                <w:rFonts w:ascii="Times New Roman" w:hAnsi="Times New Roman" w:cs="Times New Roman"/>
                <w:lang w:eastAsia="ar-SA"/>
              </w:rPr>
              <w:t>Tribunal de Apelación de Sentencia Penal Juvenil</w:t>
            </w:r>
          </w:p>
        </w:tc>
        <w:tc>
          <w:tcPr>
            <w:tcW w:w="2268" w:type="dxa"/>
            <w:shd w:val="clear" w:color="auto" w:fill="auto"/>
          </w:tcPr>
          <w:p w:rsidR="001F09BD" w:rsidRPr="00797613" w:rsidRDefault="001F09BD" w:rsidP="00B14F0E">
            <w:pPr>
              <w:jc w:val="right"/>
              <w:rPr>
                <w:rFonts w:ascii="Times New Roman" w:hAnsi="Times New Roman" w:cs="Times New Roman"/>
                <w:lang w:eastAsia="ar-SA"/>
              </w:rPr>
            </w:pPr>
            <w:r w:rsidRPr="00797613">
              <w:rPr>
                <w:rFonts w:ascii="Times New Roman" w:hAnsi="Times New Roman" w:cs="Times New Roman"/>
                <w:lang w:eastAsia="ar-SA"/>
              </w:rPr>
              <w:t>3 meses 1 semana</w:t>
            </w:r>
          </w:p>
        </w:tc>
        <w:tc>
          <w:tcPr>
            <w:tcW w:w="2268" w:type="dxa"/>
            <w:shd w:val="clear" w:color="auto" w:fill="auto"/>
          </w:tcPr>
          <w:p w:rsidR="001F09BD" w:rsidRPr="00797613" w:rsidRDefault="001F09BD" w:rsidP="00B14F0E">
            <w:pPr>
              <w:jc w:val="right"/>
              <w:rPr>
                <w:rFonts w:ascii="Times New Roman" w:hAnsi="Times New Roman" w:cs="Times New Roman"/>
                <w:lang w:eastAsia="ar-SA"/>
              </w:rPr>
            </w:pPr>
            <w:r>
              <w:rPr>
                <w:rFonts w:ascii="Times New Roman" w:hAnsi="Times New Roman" w:cs="Times New Roman"/>
                <w:lang w:eastAsia="ar-SA"/>
              </w:rPr>
              <w:t>3</w:t>
            </w:r>
            <w:r w:rsidRPr="00797613">
              <w:rPr>
                <w:rFonts w:ascii="Times New Roman" w:hAnsi="Times New Roman" w:cs="Times New Roman"/>
                <w:lang w:eastAsia="ar-SA"/>
              </w:rPr>
              <w:t xml:space="preserve"> semana</w:t>
            </w:r>
            <w:r>
              <w:rPr>
                <w:rFonts w:ascii="Times New Roman" w:hAnsi="Times New Roman" w:cs="Times New Roman"/>
                <w:lang w:eastAsia="ar-SA"/>
              </w:rPr>
              <w:t>s</w:t>
            </w:r>
          </w:p>
        </w:tc>
      </w:tr>
      <w:tr w:rsidR="001F09BD" w:rsidRPr="0059004B" w:rsidTr="00B14F0E">
        <w:trPr>
          <w:jc w:val="center"/>
        </w:trPr>
        <w:tc>
          <w:tcPr>
            <w:tcW w:w="5137" w:type="dxa"/>
            <w:shd w:val="clear" w:color="auto" w:fill="auto"/>
          </w:tcPr>
          <w:p w:rsidR="001F09BD" w:rsidRPr="00797613" w:rsidRDefault="001F09BD" w:rsidP="00B14F0E">
            <w:pPr>
              <w:jc w:val="both"/>
              <w:rPr>
                <w:rFonts w:ascii="Times New Roman" w:hAnsi="Times New Roman" w:cs="Times New Roman"/>
                <w:lang w:eastAsia="ar-SA"/>
              </w:rPr>
            </w:pPr>
            <w:r w:rsidRPr="00797613">
              <w:rPr>
                <w:rFonts w:ascii="Times New Roman" w:hAnsi="Times New Roman" w:cs="Times New Roman"/>
                <w:lang w:eastAsia="ar-SA"/>
              </w:rPr>
              <w:t>Sala Tercera –Penal Juvenil–</w:t>
            </w:r>
          </w:p>
        </w:tc>
        <w:tc>
          <w:tcPr>
            <w:tcW w:w="2268" w:type="dxa"/>
            <w:shd w:val="clear" w:color="auto" w:fill="auto"/>
          </w:tcPr>
          <w:p w:rsidR="001F09BD" w:rsidRPr="00797613" w:rsidRDefault="001F09BD" w:rsidP="00B14F0E">
            <w:pPr>
              <w:jc w:val="right"/>
              <w:rPr>
                <w:rFonts w:ascii="Times New Roman" w:hAnsi="Times New Roman" w:cs="Times New Roman"/>
                <w:lang w:eastAsia="ar-SA"/>
              </w:rPr>
            </w:pPr>
            <w:r w:rsidRPr="00797613">
              <w:rPr>
                <w:rFonts w:ascii="Times New Roman" w:hAnsi="Times New Roman" w:cs="Times New Roman"/>
                <w:lang w:eastAsia="ar-SA"/>
              </w:rPr>
              <w:t>2 meses 1 semana</w:t>
            </w:r>
          </w:p>
        </w:tc>
        <w:tc>
          <w:tcPr>
            <w:tcW w:w="2268" w:type="dxa"/>
            <w:shd w:val="clear" w:color="auto" w:fill="auto"/>
          </w:tcPr>
          <w:p w:rsidR="001F09BD" w:rsidRPr="0059004B" w:rsidRDefault="001F09BD" w:rsidP="00B14F0E">
            <w:pPr>
              <w:jc w:val="right"/>
              <w:rPr>
                <w:rFonts w:ascii="Times New Roman" w:hAnsi="Times New Roman" w:cs="Times New Roman"/>
                <w:lang w:eastAsia="ar-SA"/>
              </w:rPr>
            </w:pPr>
            <w:r w:rsidRPr="0059004B">
              <w:rPr>
                <w:rFonts w:ascii="Times New Roman" w:hAnsi="Times New Roman" w:cs="Times New Roman"/>
                <w:lang w:eastAsia="ar-SA"/>
              </w:rPr>
              <w:t>4 meses 2 semana</w:t>
            </w:r>
          </w:p>
        </w:tc>
      </w:tr>
    </w:tbl>
    <w:p w:rsidR="001F09BD" w:rsidRPr="00340D91" w:rsidRDefault="001F09BD" w:rsidP="001F09BD">
      <w:pPr>
        <w:ind w:left="540" w:right="318" w:hanging="540"/>
        <w:jc w:val="both"/>
        <w:rPr>
          <w:rFonts w:ascii="Times New Roman" w:hAnsi="Times New Roman" w:cs="Times New Roman"/>
        </w:rPr>
      </w:pPr>
    </w:p>
    <w:p w:rsidR="001F09BD" w:rsidRPr="00340D91" w:rsidRDefault="001F09BD" w:rsidP="001F09BD">
      <w:pPr>
        <w:rPr>
          <w:rFonts w:ascii="Times New Roman" w:hAnsi="Times New Roman" w:cs="Times New Roman"/>
        </w:rPr>
      </w:pPr>
    </w:p>
    <w:p w:rsidR="00E0512C" w:rsidRPr="00E0512C" w:rsidRDefault="00E0512C" w:rsidP="00E0512C">
      <w:pPr>
        <w:spacing w:line="360" w:lineRule="auto"/>
        <w:jc w:val="both"/>
      </w:pPr>
    </w:p>
    <w:p w:rsidR="00E0512C" w:rsidRPr="00E0512C" w:rsidRDefault="00E0512C" w:rsidP="00E0512C">
      <w:pPr>
        <w:keepNext/>
        <w:shd w:val="clear" w:color="auto" w:fill="000000"/>
        <w:tabs>
          <w:tab w:val="center" w:pos="4680"/>
        </w:tabs>
        <w:spacing w:line="480" w:lineRule="atLeast"/>
        <w:jc w:val="center"/>
        <w:outlineLvl w:val="0"/>
        <w:rPr>
          <w:rFonts w:ascii="Times New Roman" w:hAnsi="Times New Roman" w:cs="Times New Roman"/>
          <w:b/>
          <w:bCs/>
          <w:iCs/>
          <w:color w:val="FFFFFF"/>
          <w:spacing w:val="-3"/>
          <w:sz w:val="28"/>
          <w:szCs w:val="28"/>
          <w:u w:color="000000"/>
        </w:rPr>
      </w:pPr>
      <w:r w:rsidRPr="00E0512C">
        <w:rPr>
          <w:rFonts w:ascii="Times New Roman" w:hAnsi="Times New Roman" w:cs="Times New Roman"/>
          <w:b/>
          <w:bCs/>
          <w:iCs/>
          <w:color w:val="FFFFFF"/>
          <w:spacing w:val="-3"/>
          <w:sz w:val="28"/>
          <w:szCs w:val="28"/>
          <w:u w:color="000000"/>
        </w:rPr>
        <w:t>INDICADORES</w:t>
      </w:r>
    </w:p>
    <w:p w:rsidR="00E0512C" w:rsidRPr="00E0512C" w:rsidRDefault="00E0512C" w:rsidP="00671DC6">
      <w:pPr>
        <w:spacing w:line="360" w:lineRule="auto"/>
        <w:rPr>
          <w:rFonts w:ascii="Book Antiqua" w:hAnsi="Book Antiqua" w:cs="Book Antiqua"/>
          <w:b/>
        </w:rPr>
      </w:pPr>
    </w:p>
    <w:tbl>
      <w:tblPr>
        <w:tblW w:w="0" w:type="auto"/>
        <w:tblLayout w:type="fixed"/>
        <w:tblCellMar>
          <w:left w:w="0" w:type="dxa"/>
          <w:right w:w="0" w:type="dxa"/>
        </w:tblCellMar>
        <w:tblLook w:val="0000"/>
      </w:tblPr>
      <w:tblGrid>
        <w:gridCol w:w="5265"/>
      </w:tblGrid>
      <w:tr w:rsidR="00E0512C" w:rsidRPr="00E0512C" w:rsidTr="00B14F0E">
        <w:trPr>
          <w:trHeight w:val="600"/>
        </w:trPr>
        <w:tc>
          <w:tcPr>
            <w:tcW w:w="5265" w:type="dxa"/>
            <w:tcBorders>
              <w:top w:val="nil"/>
              <w:left w:val="nil"/>
              <w:bottom w:val="nil"/>
              <w:right w:val="nil"/>
            </w:tcBorders>
            <w:shd w:val="clear" w:color="FFFFFF" w:fill="FFFFFF"/>
            <w:vAlign w:val="center"/>
          </w:tcPr>
          <w:p w:rsidR="00E0512C" w:rsidRPr="00E0512C" w:rsidRDefault="003A1B7B" w:rsidP="00E0512C">
            <w:pPr>
              <w:rPr>
                <w:rFonts w:ascii="Times New Roman" w:hAnsi="Times New Roman" w:cs="Times New Roman"/>
                <w:u w:val="single"/>
              </w:rPr>
            </w:pPr>
            <w:r w:rsidRPr="00E0512C">
              <w:rPr>
                <w:rFonts w:ascii="Times New Roman" w:hAnsi="Times New Roman" w:cs="Times New Roman"/>
                <w:u w:val="single"/>
              </w:rPr>
              <w:fldChar w:fldCharType="begin"/>
            </w:r>
            <w:r w:rsidR="00E0512C" w:rsidRPr="00E0512C">
              <w:rPr>
                <w:rFonts w:ascii="Times New Roman" w:hAnsi="Times New Roman" w:cs="Times New Roman"/>
                <w:u w:val="single"/>
              </w:rPr>
              <w:instrText>PRIVATE</w:instrText>
            </w:r>
            <w:r w:rsidRPr="00E0512C">
              <w:rPr>
                <w:rFonts w:ascii="Times New Roman" w:hAnsi="Times New Roman" w:cs="Times New Roman"/>
                <w:u w:val="single"/>
              </w:rPr>
              <w:fldChar w:fldCharType="end"/>
            </w:r>
            <w:r w:rsidR="00E0512C" w:rsidRPr="00E0512C">
              <w:rPr>
                <w:rFonts w:ascii="Times New Roman" w:hAnsi="Times New Roman" w:cs="Times New Roman"/>
                <w:b/>
                <w:bCs/>
                <w:i/>
                <w:iCs/>
                <w:u w:val="single"/>
              </w:rPr>
              <w:t>Insumos y Grado de Utilización</w:t>
            </w:r>
          </w:p>
        </w:tc>
      </w:tr>
    </w:tbl>
    <w:p w:rsidR="00E0512C" w:rsidRPr="00E0512C" w:rsidRDefault="00E0512C" w:rsidP="00E0512C">
      <w:pPr>
        <w:rPr>
          <w:rFonts w:ascii="Times New Roman" w:hAnsi="Times New Roman" w:cs="Times New Roman"/>
        </w:rPr>
      </w:pPr>
    </w:p>
    <w:tbl>
      <w:tblPr>
        <w:tblW w:w="8953" w:type="dxa"/>
        <w:jc w:val="center"/>
        <w:tblLayout w:type="fixed"/>
        <w:tblCellMar>
          <w:left w:w="0" w:type="dxa"/>
          <w:right w:w="0" w:type="dxa"/>
        </w:tblCellMar>
        <w:tblLook w:val="0000"/>
      </w:tblPr>
      <w:tblGrid>
        <w:gridCol w:w="3960"/>
        <w:gridCol w:w="1065"/>
        <w:gridCol w:w="960"/>
        <w:gridCol w:w="1080"/>
        <w:gridCol w:w="960"/>
        <w:gridCol w:w="928"/>
      </w:tblGrid>
      <w:tr w:rsidR="00E0512C" w:rsidRPr="00E0512C" w:rsidTr="00B14F0E">
        <w:trPr>
          <w:trHeight w:val="300"/>
          <w:jc w:val="center"/>
        </w:trPr>
        <w:tc>
          <w:tcPr>
            <w:tcW w:w="396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3A1B7B" w:rsidP="00E0512C">
            <w:pPr>
              <w:jc w:val="center"/>
              <w:rPr>
                <w:rFonts w:ascii="Times New Roman" w:hAnsi="Times New Roman" w:cs="Times New Roman"/>
                <w:sz w:val="22"/>
                <w:szCs w:val="22"/>
              </w:rPr>
            </w:pPr>
            <w:r w:rsidRPr="00E0512C">
              <w:rPr>
                <w:rFonts w:ascii="Times New Roman" w:hAnsi="Times New Roman" w:cs="Times New Roman"/>
                <w:sz w:val="22"/>
                <w:szCs w:val="22"/>
              </w:rPr>
              <w:fldChar w:fldCharType="begin"/>
            </w:r>
            <w:r w:rsidR="00E0512C" w:rsidRPr="00E0512C">
              <w:rPr>
                <w:rFonts w:ascii="Times New Roman" w:hAnsi="Times New Roman" w:cs="Times New Roman"/>
                <w:sz w:val="22"/>
                <w:szCs w:val="22"/>
              </w:rPr>
              <w:instrText>PRIVATE</w:instrText>
            </w:r>
            <w:r w:rsidRPr="00E0512C">
              <w:rPr>
                <w:rFonts w:ascii="Times New Roman" w:hAnsi="Times New Roman" w:cs="Times New Roman"/>
                <w:sz w:val="22"/>
                <w:szCs w:val="22"/>
              </w:rPr>
              <w:fldChar w:fldCharType="end"/>
            </w:r>
            <w:r w:rsidR="00E0512C" w:rsidRPr="00E0512C">
              <w:rPr>
                <w:rFonts w:ascii="Times New Roman" w:hAnsi="Times New Roman" w:cs="Times New Roman"/>
                <w:b/>
                <w:bCs/>
                <w:sz w:val="22"/>
                <w:szCs w:val="22"/>
              </w:rPr>
              <w:t>Año</w:t>
            </w:r>
          </w:p>
        </w:tc>
        <w:tc>
          <w:tcPr>
            <w:tcW w:w="1065"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b/>
                <w:bCs/>
                <w:sz w:val="22"/>
                <w:szCs w:val="22"/>
              </w:rPr>
              <w:t>2011</w:t>
            </w:r>
          </w:p>
        </w:tc>
        <w:tc>
          <w:tcPr>
            <w:tcW w:w="96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b/>
                <w:bCs/>
                <w:sz w:val="22"/>
                <w:szCs w:val="22"/>
              </w:rPr>
              <w:t>2012</w:t>
            </w:r>
          </w:p>
        </w:tc>
        <w:tc>
          <w:tcPr>
            <w:tcW w:w="108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b/>
                <w:bCs/>
                <w:sz w:val="22"/>
                <w:szCs w:val="22"/>
              </w:rPr>
              <w:t>2013</w:t>
            </w:r>
          </w:p>
        </w:tc>
        <w:tc>
          <w:tcPr>
            <w:tcW w:w="96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b/>
                <w:bCs/>
                <w:sz w:val="22"/>
                <w:szCs w:val="22"/>
              </w:rPr>
              <w:t>2014</w:t>
            </w:r>
          </w:p>
        </w:tc>
        <w:tc>
          <w:tcPr>
            <w:tcW w:w="928"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b/>
                <w:bCs/>
                <w:sz w:val="22"/>
                <w:szCs w:val="22"/>
              </w:rPr>
              <w:t>2015</w:t>
            </w:r>
          </w:p>
        </w:tc>
      </w:tr>
      <w:tr w:rsidR="00E0512C" w:rsidRPr="00E0512C" w:rsidTr="00B14F0E">
        <w:trPr>
          <w:trHeight w:val="300"/>
          <w:jc w:val="center"/>
        </w:trPr>
        <w:tc>
          <w:tcPr>
            <w:tcW w:w="396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sz w:val="22"/>
                <w:szCs w:val="22"/>
              </w:rPr>
            </w:pPr>
            <w:r w:rsidRPr="00E0512C">
              <w:rPr>
                <w:rFonts w:ascii="Times New Roman" w:hAnsi="Times New Roman" w:cs="Times New Roman"/>
                <w:b/>
                <w:bCs/>
                <w:sz w:val="22"/>
                <w:szCs w:val="22"/>
              </w:rPr>
              <w:t>% Gasto Justicia / Gasto Público</w:t>
            </w:r>
          </w:p>
        </w:tc>
        <w:tc>
          <w:tcPr>
            <w:tcW w:w="1065"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6,5</w:t>
            </w:r>
          </w:p>
        </w:tc>
        <w:tc>
          <w:tcPr>
            <w:tcW w:w="96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6,4</w:t>
            </w:r>
          </w:p>
        </w:tc>
        <w:tc>
          <w:tcPr>
            <w:tcW w:w="108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6,3</w:t>
            </w:r>
          </w:p>
        </w:tc>
        <w:tc>
          <w:tcPr>
            <w:tcW w:w="96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6,4</w:t>
            </w:r>
          </w:p>
        </w:tc>
        <w:tc>
          <w:tcPr>
            <w:tcW w:w="928"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6,3</w:t>
            </w:r>
          </w:p>
        </w:tc>
      </w:tr>
      <w:tr w:rsidR="00E0512C" w:rsidRPr="00E0512C" w:rsidTr="00B14F0E">
        <w:trPr>
          <w:trHeight w:val="300"/>
          <w:jc w:val="center"/>
        </w:trPr>
        <w:tc>
          <w:tcPr>
            <w:tcW w:w="396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sz w:val="22"/>
                <w:szCs w:val="22"/>
              </w:rPr>
            </w:pPr>
            <w:r w:rsidRPr="00E0512C">
              <w:rPr>
                <w:rFonts w:ascii="Times New Roman" w:hAnsi="Times New Roman" w:cs="Times New Roman"/>
                <w:b/>
                <w:bCs/>
                <w:sz w:val="22"/>
                <w:szCs w:val="22"/>
              </w:rPr>
              <w:t>% Gasto Justicia sobre PIB</w:t>
            </w:r>
          </w:p>
        </w:tc>
        <w:tc>
          <w:tcPr>
            <w:tcW w:w="1065"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1,21</w:t>
            </w:r>
          </w:p>
        </w:tc>
        <w:tc>
          <w:tcPr>
            <w:tcW w:w="96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1,20</w:t>
            </w:r>
          </w:p>
        </w:tc>
        <w:tc>
          <w:tcPr>
            <w:tcW w:w="108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1,26</w:t>
            </w:r>
          </w:p>
        </w:tc>
        <w:tc>
          <w:tcPr>
            <w:tcW w:w="96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1,27</w:t>
            </w:r>
          </w:p>
        </w:tc>
        <w:tc>
          <w:tcPr>
            <w:tcW w:w="928"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1,31</w:t>
            </w:r>
          </w:p>
        </w:tc>
      </w:tr>
      <w:tr w:rsidR="00E0512C" w:rsidRPr="00E0512C" w:rsidTr="00B14F0E">
        <w:trPr>
          <w:trHeight w:val="300"/>
          <w:jc w:val="center"/>
        </w:trPr>
        <w:tc>
          <w:tcPr>
            <w:tcW w:w="396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sz w:val="22"/>
                <w:szCs w:val="22"/>
              </w:rPr>
            </w:pPr>
            <w:r w:rsidRPr="00E0512C">
              <w:rPr>
                <w:rFonts w:ascii="Times New Roman" w:hAnsi="Times New Roman" w:cs="Times New Roman"/>
                <w:b/>
                <w:bCs/>
                <w:sz w:val="22"/>
                <w:szCs w:val="22"/>
              </w:rPr>
              <w:t>% presupuesto devengado respecto del presupuestado</w:t>
            </w:r>
          </w:p>
        </w:tc>
        <w:tc>
          <w:tcPr>
            <w:tcW w:w="1065"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94,4</w:t>
            </w:r>
          </w:p>
        </w:tc>
        <w:tc>
          <w:tcPr>
            <w:tcW w:w="96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94,0</w:t>
            </w:r>
          </w:p>
        </w:tc>
        <w:tc>
          <w:tcPr>
            <w:tcW w:w="108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96,9</w:t>
            </w:r>
          </w:p>
        </w:tc>
        <w:tc>
          <w:tcPr>
            <w:tcW w:w="96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95,8</w:t>
            </w:r>
          </w:p>
        </w:tc>
        <w:tc>
          <w:tcPr>
            <w:tcW w:w="928"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92,2</w:t>
            </w:r>
          </w:p>
        </w:tc>
      </w:tr>
      <w:tr w:rsidR="00E0512C" w:rsidRPr="00E0512C" w:rsidTr="00B14F0E">
        <w:trPr>
          <w:trHeight w:val="300"/>
          <w:jc w:val="center"/>
        </w:trPr>
        <w:tc>
          <w:tcPr>
            <w:tcW w:w="396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sz w:val="22"/>
                <w:szCs w:val="22"/>
              </w:rPr>
            </w:pPr>
            <w:r w:rsidRPr="00E0512C">
              <w:rPr>
                <w:rFonts w:ascii="Times New Roman" w:hAnsi="Times New Roman" w:cs="Times New Roman"/>
                <w:b/>
                <w:bCs/>
                <w:sz w:val="22"/>
                <w:szCs w:val="22"/>
              </w:rPr>
              <w:t>Costo medio casos terminados (¢)</w:t>
            </w:r>
          </w:p>
        </w:tc>
        <w:tc>
          <w:tcPr>
            <w:tcW w:w="1065"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387.354,9</w:t>
            </w:r>
          </w:p>
        </w:tc>
        <w:tc>
          <w:tcPr>
            <w:tcW w:w="96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507.466,2</w:t>
            </w:r>
          </w:p>
        </w:tc>
        <w:tc>
          <w:tcPr>
            <w:tcW w:w="108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552.026,7</w:t>
            </w:r>
          </w:p>
        </w:tc>
        <w:tc>
          <w:tcPr>
            <w:tcW w:w="96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558.858,5</w:t>
            </w:r>
          </w:p>
        </w:tc>
        <w:tc>
          <w:tcPr>
            <w:tcW w:w="928"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614.385,2</w:t>
            </w:r>
          </w:p>
        </w:tc>
      </w:tr>
      <w:tr w:rsidR="00E0512C" w:rsidRPr="00E0512C" w:rsidTr="00B14F0E">
        <w:trPr>
          <w:trHeight w:val="300"/>
          <w:jc w:val="center"/>
        </w:trPr>
        <w:tc>
          <w:tcPr>
            <w:tcW w:w="396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sz w:val="22"/>
                <w:szCs w:val="22"/>
              </w:rPr>
            </w:pPr>
            <w:r w:rsidRPr="00E0512C">
              <w:rPr>
                <w:rFonts w:ascii="Times New Roman" w:hAnsi="Times New Roman" w:cs="Times New Roman"/>
                <w:b/>
                <w:bCs/>
                <w:sz w:val="22"/>
                <w:szCs w:val="22"/>
              </w:rPr>
              <w:t>Costo medio casos terminados ($)</w:t>
            </w:r>
          </w:p>
        </w:tc>
        <w:tc>
          <w:tcPr>
            <w:tcW w:w="1065"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779,5</w:t>
            </w:r>
          </w:p>
        </w:tc>
        <w:tc>
          <w:tcPr>
            <w:tcW w:w="96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1.030,2</w:t>
            </w:r>
          </w:p>
        </w:tc>
        <w:tc>
          <w:tcPr>
            <w:tcW w:w="108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1.119,7</w:t>
            </w:r>
          </w:p>
        </w:tc>
        <w:tc>
          <w:tcPr>
            <w:tcW w:w="96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1.034,2</w:t>
            </w:r>
          </w:p>
        </w:tc>
        <w:tc>
          <w:tcPr>
            <w:tcW w:w="928"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1.162,6</w:t>
            </w:r>
          </w:p>
        </w:tc>
      </w:tr>
      <w:tr w:rsidR="00E0512C" w:rsidRPr="00E0512C" w:rsidTr="00B14F0E">
        <w:trPr>
          <w:trHeight w:val="300"/>
          <w:jc w:val="center"/>
        </w:trPr>
        <w:tc>
          <w:tcPr>
            <w:tcW w:w="396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sz w:val="22"/>
                <w:szCs w:val="22"/>
              </w:rPr>
            </w:pPr>
            <w:r w:rsidRPr="00E0512C">
              <w:rPr>
                <w:rFonts w:ascii="Times New Roman" w:hAnsi="Times New Roman" w:cs="Times New Roman"/>
                <w:b/>
                <w:bCs/>
                <w:sz w:val="22"/>
                <w:szCs w:val="22"/>
              </w:rPr>
              <w:t>% Costo Adm. respecto del costo de justicia</w:t>
            </w:r>
          </w:p>
        </w:tc>
        <w:tc>
          <w:tcPr>
            <w:tcW w:w="1065"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19,3</w:t>
            </w:r>
          </w:p>
        </w:tc>
        <w:tc>
          <w:tcPr>
            <w:tcW w:w="96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19,3</w:t>
            </w:r>
          </w:p>
        </w:tc>
        <w:tc>
          <w:tcPr>
            <w:tcW w:w="108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19,9</w:t>
            </w:r>
          </w:p>
        </w:tc>
        <w:tc>
          <w:tcPr>
            <w:tcW w:w="96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19,7</w:t>
            </w:r>
          </w:p>
        </w:tc>
        <w:tc>
          <w:tcPr>
            <w:tcW w:w="928"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19,9</w:t>
            </w:r>
          </w:p>
        </w:tc>
      </w:tr>
      <w:tr w:rsidR="00E0512C" w:rsidRPr="00E0512C" w:rsidTr="00B14F0E">
        <w:trPr>
          <w:trHeight w:val="300"/>
          <w:jc w:val="center"/>
        </w:trPr>
        <w:tc>
          <w:tcPr>
            <w:tcW w:w="396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sz w:val="22"/>
                <w:szCs w:val="22"/>
              </w:rPr>
            </w:pPr>
            <w:r w:rsidRPr="00E0512C">
              <w:rPr>
                <w:rFonts w:ascii="Times New Roman" w:hAnsi="Times New Roman" w:cs="Times New Roman"/>
                <w:b/>
                <w:bCs/>
                <w:sz w:val="22"/>
                <w:szCs w:val="22"/>
              </w:rPr>
              <w:t xml:space="preserve">% Costo </w:t>
            </w:r>
            <w:proofErr w:type="spellStart"/>
            <w:r w:rsidRPr="00E0512C">
              <w:rPr>
                <w:rFonts w:ascii="Times New Roman" w:hAnsi="Times New Roman" w:cs="Times New Roman"/>
                <w:b/>
                <w:bCs/>
                <w:sz w:val="22"/>
                <w:szCs w:val="22"/>
              </w:rPr>
              <w:t>Jurisd</w:t>
            </w:r>
            <w:proofErr w:type="spellEnd"/>
            <w:r w:rsidRPr="00E0512C">
              <w:rPr>
                <w:rFonts w:ascii="Times New Roman" w:hAnsi="Times New Roman" w:cs="Times New Roman"/>
                <w:b/>
                <w:bCs/>
                <w:sz w:val="22"/>
                <w:szCs w:val="22"/>
              </w:rPr>
              <w:t>. respecto del costo de justicia</w:t>
            </w:r>
          </w:p>
        </w:tc>
        <w:tc>
          <w:tcPr>
            <w:tcW w:w="1065"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35,9</w:t>
            </w:r>
          </w:p>
        </w:tc>
        <w:tc>
          <w:tcPr>
            <w:tcW w:w="96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35,6</w:t>
            </w:r>
          </w:p>
        </w:tc>
        <w:tc>
          <w:tcPr>
            <w:tcW w:w="108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34,9</w:t>
            </w:r>
          </w:p>
        </w:tc>
        <w:tc>
          <w:tcPr>
            <w:tcW w:w="96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35,5</w:t>
            </w:r>
          </w:p>
        </w:tc>
        <w:tc>
          <w:tcPr>
            <w:tcW w:w="928"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36,5</w:t>
            </w:r>
          </w:p>
        </w:tc>
      </w:tr>
      <w:tr w:rsidR="00E0512C" w:rsidRPr="00E0512C" w:rsidTr="00B14F0E">
        <w:trPr>
          <w:trHeight w:val="300"/>
          <w:jc w:val="center"/>
        </w:trPr>
        <w:tc>
          <w:tcPr>
            <w:tcW w:w="396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sz w:val="22"/>
                <w:szCs w:val="22"/>
              </w:rPr>
            </w:pPr>
            <w:r w:rsidRPr="00E0512C">
              <w:rPr>
                <w:rFonts w:ascii="Times New Roman" w:hAnsi="Times New Roman" w:cs="Times New Roman"/>
                <w:b/>
                <w:bCs/>
                <w:sz w:val="22"/>
                <w:szCs w:val="22"/>
              </w:rPr>
              <w:t>% Gasto por pago de Personal</w:t>
            </w:r>
          </w:p>
        </w:tc>
        <w:tc>
          <w:tcPr>
            <w:tcW w:w="1065"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88,3</w:t>
            </w:r>
          </w:p>
        </w:tc>
        <w:tc>
          <w:tcPr>
            <w:tcW w:w="96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89,3</w:t>
            </w:r>
          </w:p>
        </w:tc>
        <w:tc>
          <w:tcPr>
            <w:tcW w:w="108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88,9</w:t>
            </w:r>
          </w:p>
        </w:tc>
        <w:tc>
          <w:tcPr>
            <w:tcW w:w="96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88,8</w:t>
            </w:r>
          </w:p>
        </w:tc>
        <w:tc>
          <w:tcPr>
            <w:tcW w:w="928"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88,4</w:t>
            </w:r>
          </w:p>
        </w:tc>
      </w:tr>
      <w:tr w:rsidR="00E0512C" w:rsidRPr="00E0512C" w:rsidTr="00B14F0E">
        <w:trPr>
          <w:trHeight w:val="300"/>
          <w:jc w:val="center"/>
        </w:trPr>
        <w:tc>
          <w:tcPr>
            <w:tcW w:w="396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sz w:val="22"/>
                <w:szCs w:val="22"/>
              </w:rPr>
            </w:pPr>
            <w:r w:rsidRPr="00E0512C">
              <w:rPr>
                <w:rFonts w:ascii="Times New Roman" w:hAnsi="Times New Roman" w:cs="Times New Roman"/>
                <w:b/>
                <w:bCs/>
                <w:sz w:val="22"/>
                <w:szCs w:val="22"/>
              </w:rPr>
              <w:t>Gasto en Justicia por Habitante (¢)</w:t>
            </w:r>
          </w:p>
        </w:tc>
        <w:tc>
          <w:tcPr>
            <w:tcW w:w="1065"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54.734,9</w:t>
            </w:r>
          </w:p>
        </w:tc>
        <w:tc>
          <w:tcPr>
            <w:tcW w:w="96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58.591,6</w:t>
            </w:r>
          </w:p>
        </w:tc>
        <w:tc>
          <w:tcPr>
            <w:tcW w:w="108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65.554,5</w:t>
            </w:r>
          </w:p>
        </w:tc>
        <w:tc>
          <w:tcPr>
            <w:tcW w:w="96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70.883,8</w:t>
            </w:r>
          </w:p>
        </w:tc>
        <w:tc>
          <w:tcPr>
            <w:tcW w:w="928"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76.026,6</w:t>
            </w:r>
          </w:p>
        </w:tc>
      </w:tr>
      <w:tr w:rsidR="00E0512C" w:rsidRPr="00E0512C" w:rsidTr="00B14F0E">
        <w:trPr>
          <w:trHeight w:val="300"/>
          <w:jc w:val="center"/>
        </w:trPr>
        <w:tc>
          <w:tcPr>
            <w:tcW w:w="396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sz w:val="22"/>
                <w:szCs w:val="22"/>
              </w:rPr>
            </w:pPr>
            <w:r w:rsidRPr="00E0512C">
              <w:rPr>
                <w:rFonts w:ascii="Times New Roman" w:hAnsi="Times New Roman" w:cs="Times New Roman"/>
                <w:b/>
                <w:bCs/>
                <w:sz w:val="22"/>
                <w:szCs w:val="22"/>
              </w:rPr>
              <w:t>Gasto en Justicia por Habitante ($)</w:t>
            </w:r>
          </w:p>
        </w:tc>
        <w:tc>
          <w:tcPr>
            <w:tcW w:w="1065"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109,9</w:t>
            </w:r>
          </w:p>
        </w:tc>
        <w:tc>
          <w:tcPr>
            <w:tcW w:w="96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119,0</w:t>
            </w:r>
          </w:p>
        </w:tc>
        <w:tc>
          <w:tcPr>
            <w:tcW w:w="108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133,0</w:t>
            </w:r>
          </w:p>
        </w:tc>
        <w:tc>
          <w:tcPr>
            <w:tcW w:w="96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131,9</w:t>
            </w:r>
          </w:p>
        </w:tc>
        <w:tc>
          <w:tcPr>
            <w:tcW w:w="928"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143,9</w:t>
            </w:r>
          </w:p>
        </w:tc>
      </w:tr>
      <w:tr w:rsidR="00E0512C" w:rsidRPr="00E0512C" w:rsidTr="00B14F0E">
        <w:trPr>
          <w:trHeight w:val="300"/>
          <w:jc w:val="center"/>
        </w:trPr>
        <w:tc>
          <w:tcPr>
            <w:tcW w:w="396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sz w:val="22"/>
                <w:szCs w:val="22"/>
              </w:rPr>
            </w:pPr>
            <w:r w:rsidRPr="00E0512C">
              <w:rPr>
                <w:rFonts w:ascii="Times New Roman" w:hAnsi="Times New Roman" w:cs="Times New Roman"/>
                <w:b/>
                <w:bCs/>
                <w:sz w:val="22"/>
                <w:szCs w:val="22"/>
              </w:rPr>
              <w:t>Cobertura en km</w:t>
            </w:r>
            <w:r w:rsidRPr="00E0512C">
              <w:rPr>
                <w:rFonts w:ascii="Times New Roman" w:hAnsi="Times New Roman" w:cs="Times New Roman"/>
                <w:b/>
                <w:bCs/>
                <w:sz w:val="22"/>
                <w:szCs w:val="22"/>
                <w:vertAlign w:val="superscript"/>
              </w:rPr>
              <w:t>2</w:t>
            </w:r>
            <w:r w:rsidRPr="00E0512C">
              <w:rPr>
                <w:rFonts w:ascii="Times New Roman" w:hAnsi="Times New Roman" w:cs="Times New Roman"/>
                <w:b/>
                <w:bCs/>
                <w:sz w:val="22"/>
                <w:szCs w:val="22"/>
              </w:rPr>
              <w:t xml:space="preserve"> por Jueza y Juez</w:t>
            </w:r>
          </w:p>
        </w:tc>
        <w:tc>
          <w:tcPr>
            <w:tcW w:w="1065"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49,1</w:t>
            </w:r>
          </w:p>
        </w:tc>
        <w:tc>
          <w:tcPr>
            <w:tcW w:w="96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48,6</w:t>
            </w:r>
          </w:p>
        </w:tc>
        <w:tc>
          <w:tcPr>
            <w:tcW w:w="108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45,7</w:t>
            </w:r>
          </w:p>
        </w:tc>
        <w:tc>
          <w:tcPr>
            <w:tcW w:w="96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42,9</w:t>
            </w:r>
          </w:p>
        </w:tc>
        <w:tc>
          <w:tcPr>
            <w:tcW w:w="928"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41,3</w:t>
            </w:r>
          </w:p>
        </w:tc>
      </w:tr>
      <w:tr w:rsidR="00E0512C" w:rsidRPr="00E0512C" w:rsidTr="00B14F0E">
        <w:trPr>
          <w:trHeight w:val="300"/>
          <w:jc w:val="center"/>
        </w:trPr>
        <w:tc>
          <w:tcPr>
            <w:tcW w:w="396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sz w:val="22"/>
                <w:szCs w:val="22"/>
              </w:rPr>
            </w:pPr>
            <w:r w:rsidRPr="00E0512C">
              <w:rPr>
                <w:rFonts w:ascii="Times New Roman" w:hAnsi="Times New Roman" w:cs="Times New Roman"/>
                <w:b/>
                <w:bCs/>
                <w:sz w:val="22"/>
                <w:szCs w:val="22"/>
              </w:rPr>
              <w:t>Juezas y Jueces por 100 mil habitantes</w:t>
            </w:r>
          </w:p>
        </w:tc>
        <w:tc>
          <w:tcPr>
            <w:tcW w:w="1065"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22,7</w:t>
            </w:r>
          </w:p>
        </w:tc>
        <w:tc>
          <w:tcPr>
            <w:tcW w:w="96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22,6</w:t>
            </w:r>
          </w:p>
        </w:tc>
        <w:tc>
          <w:tcPr>
            <w:tcW w:w="108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23,7</w:t>
            </w:r>
          </w:p>
        </w:tc>
        <w:tc>
          <w:tcPr>
            <w:tcW w:w="96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25,0</w:t>
            </w:r>
          </w:p>
        </w:tc>
        <w:tc>
          <w:tcPr>
            <w:tcW w:w="928"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25,6</w:t>
            </w:r>
          </w:p>
        </w:tc>
      </w:tr>
      <w:tr w:rsidR="00E0512C" w:rsidRPr="00E0512C" w:rsidTr="00B14F0E">
        <w:trPr>
          <w:trHeight w:val="300"/>
          <w:jc w:val="center"/>
        </w:trPr>
        <w:tc>
          <w:tcPr>
            <w:tcW w:w="396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sz w:val="22"/>
                <w:szCs w:val="22"/>
              </w:rPr>
            </w:pPr>
            <w:r w:rsidRPr="00E0512C">
              <w:rPr>
                <w:rFonts w:ascii="Times New Roman" w:hAnsi="Times New Roman" w:cs="Times New Roman"/>
                <w:b/>
                <w:bCs/>
                <w:sz w:val="22"/>
                <w:szCs w:val="22"/>
              </w:rPr>
              <w:t>Personal Auxiliar por 100 mil habitantes</w:t>
            </w:r>
          </w:p>
        </w:tc>
        <w:tc>
          <w:tcPr>
            <w:tcW w:w="1065"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55,8</w:t>
            </w:r>
          </w:p>
        </w:tc>
        <w:tc>
          <w:tcPr>
            <w:tcW w:w="96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55,7</w:t>
            </w:r>
          </w:p>
        </w:tc>
        <w:tc>
          <w:tcPr>
            <w:tcW w:w="108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56,1</w:t>
            </w:r>
          </w:p>
        </w:tc>
        <w:tc>
          <w:tcPr>
            <w:tcW w:w="96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54,0</w:t>
            </w:r>
          </w:p>
        </w:tc>
        <w:tc>
          <w:tcPr>
            <w:tcW w:w="928"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55,1</w:t>
            </w:r>
          </w:p>
        </w:tc>
      </w:tr>
      <w:tr w:rsidR="00E0512C" w:rsidRPr="00E0512C" w:rsidTr="00B14F0E">
        <w:trPr>
          <w:trHeight w:val="300"/>
          <w:jc w:val="center"/>
        </w:trPr>
        <w:tc>
          <w:tcPr>
            <w:tcW w:w="396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sz w:val="22"/>
                <w:szCs w:val="22"/>
              </w:rPr>
            </w:pPr>
            <w:r w:rsidRPr="00E0512C">
              <w:rPr>
                <w:rFonts w:ascii="Times New Roman" w:hAnsi="Times New Roman" w:cs="Times New Roman"/>
                <w:b/>
                <w:bCs/>
                <w:sz w:val="22"/>
                <w:szCs w:val="22"/>
              </w:rPr>
              <w:t>Fiscalas y Fiscales por 100 mil Habitantes</w:t>
            </w:r>
          </w:p>
        </w:tc>
        <w:tc>
          <w:tcPr>
            <w:tcW w:w="1065"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10,1</w:t>
            </w:r>
          </w:p>
        </w:tc>
        <w:tc>
          <w:tcPr>
            <w:tcW w:w="96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10,7</w:t>
            </w:r>
          </w:p>
        </w:tc>
        <w:tc>
          <w:tcPr>
            <w:tcW w:w="108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11,0</w:t>
            </w:r>
          </w:p>
        </w:tc>
        <w:tc>
          <w:tcPr>
            <w:tcW w:w="96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11,1</w:t>
            </w:r>
          </w:p>
        </w:tc>
        <w:tc>
          <w:tcPr>
            <w:tcW w:w="928"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11,3</w:t>
            </w:r>
          </w:p>
        </w:tc>
      </w:tr>
      <w:tr w:rsidR="00E0512C" w:rsidRPr="00E0512C" w:rsidTr="00B14F0E">
        <w:trPr>
          <w:trHeight w:val="300"/>
          <w:jc w:val="center"/>
        </w:trPr>
        <w:tc>
          <w:tcPr>
            <w:tcW w:w="396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sz w:val="22"/>
                <w:szCs w:val="22"/>
              </w:rPr>
            </w:pPr>
            <w:r w:rsidRPr="00E0512C">
              <w:rPr>
                <w:rFonts w:ascii="Times New Roman" w:hAnsi="Times New Roman" w:cs="Times New Roman"/>
                <w:b/>
                <w:bCs/>
                <w:sz w:val="22"/>
                <w:szCs w:val="22"/>
              </w:rPr>
              <w:t>Defensoras y Defensores Públicos por 100 mil habitantes</w:t>
            </w:r>
          </w:p>
        </w:tc>
        <w:tc>
          <w:tcPr>
            <w:tcW w:w="1065"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7,8</w:t>
            </w:r>
          </w:p>
        </w:tc>
        <w:tc>
          <w:tcPr>
            <w:tcW w:w="96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8,4</w:t>
            </w:r>
          </w:p>
        </w:tc>
        <w:tc>
          <w:tcPr>
            <w:tcW w:w="108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8,8</w:t>
            </w:r>
          </w:p>
        </w:tc>
        <w:tc>
          <w:tcPr>
            <w:tcW w:w="96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9,0</w:t>
            </w:r>
          </w:p>
        </w:tc>
        <w:tc>
          <w:tcPr>
            <w:tcW w:w="928"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9,5</w:t>
            </w:r>
          </w:p>
        </w:tc>
      </w:tr>
    </w:tbl>
    <w:p w:rsidR="00E0512C" w:rsidRPr="00E0512C" w:rsidRDefault="00E0512C" w:rsidP="00E0512C">
      <w:pPr>
        <w:rPr>
          <w:rFonts w:ascii="Times New Roman" w:hAnsi="Times New Roman" w:cs="Times New Roman"/>
        </w:rPr>
      </w:pPr>
    </w:p>
    <w:p w:rsidR="00E0512C" w:rsidRPr="00E0512C" w:rsidRDefault="00E0512C" w:rsidP="00E0512C">
      <w:pPr>
        <w:rPr>
          <w:rFonts w:ascii="Times New Roman" w:hAnsi="Times New Roman" w:cs="Times New Roman"/>
        </w:rPr>
      </w:pPr>
    </w:p>
    <w:p w:rsidR="00E0512C" w:rsidRPr="00E0512C" w:rsidRDefault="00E0512C" w:rsidP="00E0512C">
      <w:pPr>
        <w:rPr>
          <w:rFonts w:ascii="Times New Roman" w:hAnsi="Times New Roman" w:cs="Times New Roman"/>
        </w:rPr>
      </w:pPr>
    </w:p>
    <w:tbl>
      <w:tblPr>
        <w:tblW w:w="0" w:type="auto"/>
        <w:tblLayout w:type="fixed"/>
        <w:tblCellMar>
          <w:left w:w="0" w:type="dxa"/>
          <w:right w:w="0" w:type="dxa"/>
        </w:tblCellMar>
        <w:tblLook w:val="0000"/>
      </w:tblPr>
      <w:tblGrid>
        <w:gridCol w:w="5985"/>
      </w:tblGrid>
      <w:tr w:rsidR="00E0512C" w:rsidRPr="00E0512C" w:rsidTr="00B14F0E">
        <w:trPr>
          <w:cantSplit/>
          <w:trHeight w:val="600"/>
        </w:trPr>
        <w:tc>
          <w:tcPr>
            <w:tcW w:w="5985" w:type="dxa"/>
            <w:tcBorders>
              <w:top w:val="nil"/>
              <w:left w:val="nil"/>
              <w:bottom w:val="nil"/>
              <w:right w:val="nil"/>
            </w:tcBorders>
            <w:shd w:val="clear" w:color="FFFFFF" w:fill="FFFFFF"/>
            <w:vAlign w:val="center"/>
          </w:tcPr>
          <w:p w:rsidR="00E0512C" w:rsidRPr="00E0512C" w:rsidRDefault="003A1B7B" w:rsidP="00E0512C">
            <w:pPr>
              <w:rPr>
                <w:rFonts w:ascii="Times New Roman" w:hAnsi="Times New Roman" w:cs="Times New Roman"/>
                <w:u w:val="single"/>
              </w:rPr>
            </w:pPr>
            <w:r w:rsidRPr="00E0512C">
              <w:rPr>
                <w:rFonts w:ascii="Times New Roman" w:hAnsi="Times New Roman" w:cs="Times New Roman"/>
                <w:u w:val="single"/>
              </w:rPr>
              <w:lastRenderedPageBreak/>
              <w:fldChar w:fldCharType="begin"/>
            </w:r>
            <w:r w:rsidR="00E0512C" w:rsidRPr="00E0512C">
              <w:rPr>
                <w:rFonts w:ascii="Times New Roman" w:hAnsi="Times New Roman" w:cs="Times New Roman"/>
                <w:u w:val="single"/>
              </w:rPr>
              <w:instrText>PRIVATE</w:instrText>
            </w:r>
            <w:r w:rsidRPr="00E0512C">
              <w:rPr>
                <w:rFonts w:ascii="Times New Roman" w:hAnsi="Times New Roman" w:cs="Times New Roman"/>
                <w:u w:val="single"/>
              </w:rPr>
              <w:fldChar w:fldCharType="end"/>
            </w:r>
            <w:proofErr w:type="spellStart"/>
            <w:r w:rsidR="00E0512C" w:rsidRPr="00E0512C">
              <w:rPr>
                <w:rFonts w:ascii="Times New Roman" w:hAnsi="Times New Roman" w:cs="Times New Roman"/>
                <w:b/>
                <w:bCs/>
                <w:i/>
                <w:iCs/>
                <w:u w:val="single"/>
              </w:rPr>
              <w:t>Litigiosidad</w:t>
            </w:r>
            <w:proofErr w:type="spellEnd"/>
            <w:r w:rsidR="00E0512C" w:rsidRPr="00E0512C">
              <w:rPr>
                <w:rFonts w:ascii="Times New Roman" w:hAnsi="Times New Roman" w:cs="Times New Roman"/>
                <w:b/>
                <w:bCs/>
                <w:i/>
                <w:iCs/>
                <w:u w:val="single"/>
              </w:rPr>
              <w:t xml:space="preserve"> y Carga de Trabajo</w:t>
            </w:r>
          </w:p>
        </w:tc>
      </w:tr>
    </w:tbl>
    <w:p w:rsidR="00E0512C" w:rsidRPr="00E0512C" w:rsidRDefault="00E0512C" w:rsidP="00E0512C">
      <w:pPr>
        <w:rPr>
          <w:rFonts w:ascii="Times New Roman" w:hAnsi="Times New Roman" w:cs="Times New Roman"/>
        </w:rPr>
      </w:pPr>
    </w:p>
    <w:tbl>
      <w:tblPr>
        <w:tblW w:w="8977" w:type="dxa"/>
        <w:jc w:val="center"/>
        <w:tblLayout w:type="fixed"/>
        <w:tblCellMar>
          <w:left w:w="0" w:type="dxa"/>
          <w:right w:w="0" w:type="dxa"/>
        </w:tblCellMar>
        <w:tblLook w:val="0000"/>
      </w:tblPr>
      <w:tblGrid>
        <w:gridCol w:w="4015"/>
        <w:gridCol w:w="993"/>
        <w:gridCol w:w="992"/>
        <w:gridCol w:w="992"/>
        <w:gridCol w:w="1038"/>
        <w:gridCol w:w="947"/>
      </w:tblGrid>
      <w:tr w:rsidR="00E0512C" w:rsidRPr="00E0512C" w:rsidTr="00B14F0E">
        <w:trPr>
          <w:trHeight w:val="300"/>
          <w:jc w:val="center"/>
        </w:trPr>
        <w:tc>
          <w:tcPr>
            <w:tcW w:w="4015"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3A1B7B" w:rsidP="00E0512C">
            <w:pPr>
              <w:jc w:val="center"/>
              <w:rPr>
                <w:rFonts w:ascii="Times New Roman" w:hAnsi="Times New Roman" w:cs="Times New Roman"/>
              </w:rPr>
            </w:pPr>
            <w:r w:rsidRPr="00E0512C">
              <w:rPr>
                <w:rFonts w:ascii="Times New Roman" w:hAnsi="Times New Roman" w:cs="Times New Roman"/>
              </w:rPr>
              <w:fldChar w:fldCharType="begin"/>
            </w:r>
            <w:r w:rsidR="00E0512C" w:rsidRPr="00E0512C">
              <w:rPr>
                <w:rFonts w:ascii="Times New Roman" w:hAnsi="Times New Roman" w:cs="Times New Roman"/>
              </w:rPr>
              <w:instrText>PRIVATE</w:instrText>
            </w:r>
            <w:r w:rsidRPr="00E0512C">
              <w:rPr>
                <w:rFonts w:ascii="Times New Roman" w:hAnsi="Times New Roman" w:cs="Times New Roman"/>
              </w:rPr>
              <w:fldChar w:fldCharType="end"/>
            </w:r>
            <w:r w:rsidR="00E0512C" w:rsidRPr="00E0512C">
              <w:rPr>
                <w:rFonts w:ascii="Times New Roman" w:hAnsi="Times New Roman" w:cs="Times New Roman"/>
                <w:b/>
                <w:bCs/>
              </w:rPr>
              <w:t>Año</w:t>
            </w:r>
          </w:p>
        </w:tc>
        <w:tc>
          <w:tcPr>
            <w:tcW w:w="993"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b/>
                <w:bCs/>
              </w:rPr>
              <w:t>2011</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b/>
                <w:bCs/>
              </w:rPr>
              <w:t>2012</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b/>
                <w:bCs/>
              </w:rPr>
              <w:t>2013</w:t>
            </w:r>
          </w:p>
        </w:tc>
        <w:tc>
          <w:tcPr>
            <w:tcW w:w="1038"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b/>
                <w:bCs/>
              </w:rPr>
              <w:t>2014</w:t>
            </w:r>
          </w:p>
        </w:tc>
        <w:tc>
          <w:tcPr>
            <w:tcW w:w="947"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b/>
                <w:bCs/>
              </w:rPr>
              <w:t>2015</w:t>
            </w:r>
          </w:p>
        </w:tc>
      </w:tr>
      <w:tr w:rsidR="00E0512C" w:rsidRPr="00E0512C" w:rsidTr="00B14F0E">
        <w:trPr>
          <w:trHeight w:val="300"/>
          <w:jc w:val="center"/>
        </w:trPr>
        <w:tc>
          <w:tcPr>
            <w:tcW w:w="4015"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rPr>
            </w:pPr>
            <w:r w:rsidRPr="00E0512C">
              <w:rPr>
                <w:rFonts w:ascii="Times New Roman" w:hAnsi="Times New Roman" w:cs="Times New Roman"/>
                <w:b/>
                <w:bCs/>
              </w:rPr>
              <w:t>Casos ingresados por 100 mil habitantes</w:t>
            </w:r>
          </w:p>
        </w:tc>
        <w:tc>
          <w:tcPr>
            <w:tcW w:w="993"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14.518</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12.905</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12.920</w:t>
            </w:r>
          </w:p>
        </w:tc>
        <w:tc>
          <w:tcPr>
            <w:tcW w:w="1038"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13.036</w:t>
            </w:r>
          </w:p>
        </w:tc>
        <w:tc>
          <w:tcPr>
            <w:tcW w:w="947"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12.631</w:t>
            </w:r>
          </w:p>
        </w:tc>
      </w:tr>
      <w:tr w:rsidR="00E0512C" w:rsidRPr="00E0512C" w:rsidTr="00B14F0E">
        <w:trPr>
          <w:trHeight w:val="300"/>
          <w:jc w:val="center"/>
        </w:trPr>
        <w:tc>
          <w:tcPr>
            <w:tcW w:w="4015"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rPr>
            </w:pPr>
            <w:r w:rsidRPr="00E0512C">
              <w:rPr>
                <w:rFonts w:ascii="Times New Roman" w:hAnsi="Times New Roman" w:cs="Times New Roman"/>
                <w:b/>
                <w:bCs/>
              </w:rPr>
              <w:t xml:space="preserve">Asuntos ingresados en I instancia por Jueza y Juez </w:t>
            </w:r>
          </w:p>
        </w:tc>
        <w:tc>
          <w:tcPr>
            <w:tcW w:w="993"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710</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640</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628</w:t>
            </w:r>
          </w:p>
        </w:tc>
        <w:tc>
          <w:tcPr>
            <w:tcW w:w="1038"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602</w:t>
            </w:r>
          </w:p>
        </w:tc>
        <w:tc>
          <w:tcPr>
            <w:tcW w:w="947"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571</w:t>
            </w:r>
          </w:p>
        </w:tc>
      </w:tr>
      <w:tr w:rsidR="00E0512C" w:rsidRPr="00E0512C" w:rsidTr="00B14F0E">
        <w:trPr>
          <w:trHeight w:val="300"/>
          <w:jc w:val="center"/>
        </w:trPr>
        <w:tc>
          <w:tcPr>
            <w:tcW w:w="4015"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rPr>
            </w:pPr>
            <w:r w:rsidRPr="00E0512C">
              <w:rPr>
                <w:rFonts w:ascii="Times New Roman" w:hAnsi="Times New Roman" w:cs="Times New Roman"/>
                <w:b/>
                <w:bCs/>
              </w:rPr>
              <w:t>Tasa crecimiento de casos registrados</w:t>
            </w:r>
          </w:p>
        </w:tc>
        <w:tc>
          <w:tcPr>
            <w:tcW w:w="993"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8,7</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-3,6</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6,4</w:t>
            </w:r>
          </w:p>
        </w:tc>
        <w:tc>
          <w:tcPr>
            <w:tcW w:w="1038"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6,6</w:t>
            </w:r>
          </w:p>
        </w:tc>
        <w:tc>
          <w:tcPr>
            <w:tcW w:w="947"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1,6</w:t>
            </w:r>
          </w:p>
        </w:tc>
      </w:tr>
      <w:tr w:rsidR="00E0512C" w:rsidRPr="00E0512C" w:rsidTr="00B14F0E">
        <w:trPr>
          <w:trHeight w:val="300"/>
          <w:jc w:val="center"/>
        </w:trPr>
        <w:tc>
          <w:tcPr>
            <w:tcW w:w="4015"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rPr>
            </w:pPr>
            <w:r w:rsidRPr="00E0512C">
              <w:rPr>
                <w:rFonts w:ascii="Times New Roman" w:hAnsi="Times New Roman" w:cs="Times New Roman"/>
                <w:b/>
                <w:bCs/>
              </w:rPr>
              <w:t>Carga Trabajo por Jueza y Juez de  I instancia</w:t>
            </w:r>
          </w:p>
        </w:tc>
        <w:tc>
          <w:tcPr>
            <w:tcW w:w="993"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1.646</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1.589</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1.634</w:t>
            </w:r>
          </w:p>
        </w:tc>
        <w:tc>
          <w:tcPr>
            <w:tcW w:w="1038"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1.635</w:t>
            </w:r>
          </w:p>
        </w:tc>
        <w:tc>
          <w:tcPr>
            <w:tcW w:w="947"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1.608</w:t>
            </w:r>
          </w:p>
        </w:tc>
      </w:tr>
      <w:tr w:rsidR="00E0512C" w:rsidRPr="00E0512C" w:rsidTr="00B14F0E">
        <w:trPr>
          <w:trHeight w:val="300"/>
          <w:jc w:val="center"/>
        </w:trPr>
        <w:tc>
          <w:tcPr>
            <w:tcW w:w="4015"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rPr>
            </w:pPr>
            <w:r w:rsidRPr="00E0512C">
              <w:rPr>
                <w:rFonts w:ascii="Times New Roman" w:hAnsi="Times New Roman" w:cs="Times New Roman"/>
                <w:b/>
                <w:bCs/>
              </w:rPr>
              <w:t>Carga Trabajo por Juez y Juez de II instancia</w:t>
            </w:r>
          </w:p>
        </w:tc>
        <w:tc>
          <w:tcPr>
            <w:tcW w:w="993"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247</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240</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192</w:t>
            </w:r>
          </w:p>
        </w:tc>
        <w:tc>
          <w:tcPr>
            <w:tcW w:w="1038"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190</w:t>
            </w:r>
          </w:p>
        </w:tc>
        <w:tc>
          <w:tcPr>
            <w:tcW w:w="947"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180</w:t>
            </w:r>
          </w:p>
        </w:tc>
      </w:tr>
      <w:tr w:rsidR="00E0512C" w:rsidRPr="00E0512C" w:rsidTr="00B14F0E">
        <w:trPr>
          <w:trHeight w:val="300"/>
          <w:jc w:val="center"/>
        </w:trPr>
        <w:tc>
          <w:tcPr>
            <w:tcW w:w="4015"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rPr>
            </w:pPr>
            <w:r w:rsidRPr="00E0512C">
              <w:rPr>
                <w:rFonts w:ascii="Times New Roman" w:hAnsi="Times New Roman" w:cs="Times New Roman"/>
                <w:b/>
                <w:bCs/>
              </w:rPr>
              <w:t>Tasa de Congestión</w:t>
            </w:r>
          </w:p>
        </w:tc>
        <w:tc>
          <w:tcPr>
            <w:tcW w:w="993"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2,46</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2,89</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2,94</w:t>
            </w:r>
          </w:p>
        </w:tc>
        <w:tc>
          <w:tcPr>
            <w:tcW w:w="1038"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2,88</w:t>
            </w:r>
          </w:p>
        </w:tc>
        <w:tc>
          <w:tcPr>
            <w:tcW w:w="947"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2,97</w:t>
            </w:r>
          </w:p>
        </w:tc>
      </w:tr>
      <w:tr w:rsidR="00E0512C" w:rsidRPr="00E0512C" w:rsidTr="00B14F0E">
        <w:trPr>
          <w:trHeight w:val="300"/>
          <w:jc w:val="center"/>
        </w:trPr>
        <w:tc>
          <w:tcPr>
            <w:tcW w:w="4015"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rPr>
            </w:pPr>
            <w:r w:rsidRPr="00E0512C">
              <w:rPr>
                <w:rFonts w:ascii="Times New Roman" w:hAnsi="Times New Roman" w:cs="Times New Roman"/>
                <w:b/>
                <w:bCs/>
              </w:rPr>
              <w:t xml:space="preserve">Tasa de Apelación (No Penal) </w:t>
            </w:r>
          </w:p>
        </w:tc>
        <w:tc>
          <w:tcPr>
            <w:tcW w:w="993"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9,5</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11,8</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10,4</w:t>
            </w:r>
          </w:p>
        </w:tc>
        <w:tc>
          <w:tcPr>
            <w:tcW w:w="1038"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13,5</w:t>
            </w:r>
          </w:p>
        </w:tc>
        <w:tc>
          <w:tcPr>
            <w:tcW w:w="947"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12,0</w:t>
            </w:r>
          </w:p>
        </w:tc>
      </w:tr>
      <w:tr w:rsidR="00E0512C" w:rsidRPr="00E0512C" w:rsidTr="00B14F0E">
        <w:trPr>
          <w:trHeight w:val="300"/>
          <w:jc w:val="center"/>
        </w:trPr>
        <w:tc>
          <w:tcPr>
            <w:tcW w:w="4015"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rPr>
            </w:pPr>
            <w:r w:rsidRPr="00E0512C">
              <w:rPr>
                <w:rFonts w:ascii="Times New Roman" w:hAnsi="Times New Roman" w:cs="Times New Roman"/>
                <w:b/>
                <w:bCs/>
              </w:rPr>
              <w:t>Tasa de apelación de sentencia</w:t>
            </w:r>
          </w:p>
        </w:tc>
        <w:tc>
          <w:tcPr>
            <w:tcW w:w="993"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27,9</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28,4</w:t>
            </w:r>
          </w:p>
        </w:tc>
        <w:tc>
          <w:tcPr>
            <w:tcW w:w="1038"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27,2</w:t>
            </w:r>
          </w:p>
        </w:tc>
        <w:tc>
          <w:tcPr>
            <w:tcW w:w="947"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25,6</w:t>
            </w:r>
          </w:p>
        </w:tc>
      </w:tr>
      <w:tr w:rsidR="00E0512C" w:rsidRPr="00E0512C" w:rsidTr="00B14F0E">
        <w:trPr>
          <w:trHeight w:val="300"/>
          <w:jc w:val="center"/>
        </w:trPr>
        <w:tc>
          <w:tcPr>
            <w:tcW w:w="4015"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rPr>
            </w:pPr>
            <w:r w:rsidRPr="00E0512C">
              <w:rPr>
                <w:rFonts w:ascii="Times New Roman" w:hAnsi="Times New Roman" w:cs="Times New Roman"/>
                <w:b/>
                <w:bCs/>
              </w:rPr>
              <w:t>% de casos entrados en Civil</w:t>
            </w:r>
          </w:p>
        </w:tc>
        <w:tc>
          <w:tcPr>
            <w:tcW w:w="993"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25,1</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28,7</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26,5</w:t>
            </w:r>
          </w:p>
        </w:tc>
        <w:tc>
          <w:tcPr>
            <w:tcW w:w="1038"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25,1</w:t>
            </w:r>
          </w:p>
        </w:tc>
        <w:tc>
          <w:tcPr>
            <w:tcW w:w="947"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23,9</w:t>
            </w:r>
          </w:p>
        </w:tc>
      </w:tr>
      <w:tr w:rsidR="00E0512C" w:rsidRPr="00E0512C" w:rsidTr="00B14F0E">
        <w:trPr>
          <w:trHeight w:val="300"/>
          <w:jc w:val="center"/>
        </w:trPr>
        <w:tc>
          <w:tcPr>
            <w:tcW w:w="4015"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rPr>
            </w:pPr>
            <w:r w:rsidRPr="00E0512C">
              <w:rPr>
                <w:rFonts w:ascii="Times New Roman" w:hAnsi="Times New Roman" w:cs="Times New Roman"/>
                <w:b/>
                <w:bCs/>
              </w:rPr>
              <w:t xml:space="preserve">       % de casos entrados en Civil</w:t>
            </w:r>
          </w:p>
        </w:tc>
        <w:tc>
          <w:tcPr>
            <w:tcW w:w="993"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2,3</w:t>
            </w:r>
          </w:p>
        </w:tc>
        <w:tc>
          <w:tcPr>
            <w:tcW w:w="1038"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2,2</w:t>
            </w:r>
          </w:p>
        </w:tc>
        <w:tc>
          <w:tcPr>
            <w:tcW w:w="947"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2,2</w:t>
            </w:r>
          </w:p>
        </w:tc>
      </w:tr>
      <w:tr w:rsidR="00E0512C" w:rsidRPr="00E0512C" w:rsidTr="00B14F0E">
        <w:trPr>
          <w:trHeight w:val="300"/>
          <w:jc w:val="center"/>
        </w:trPr>
        <w:tc>
          <w:tcPr>
            <w:tcW w:w="4015"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rPr>
            </w:pPr>
            <w:r w:rsidRPr="00E0512C">
              <w:rPr>
                <w:rFonts w:ascii="Times New Roman" w:hAnsi="Times New Roman" w:cs="Times New Roman"/>
                <w:b/>
                <w:bCs/>
              </w:rPr>
              <w:t xml:space="preserve">       % de casos entrados en Cobro</w:t>
            </w:r>
          </w:p>
        </w:tc>
        <w:tc>
          <w:tcPr>
            <w:tcW w:w="993"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24,2</w:t>
            </w:r>
          </w:p>
        </w:tc>
        <w:tc>
          <w:tcPr>
            <w:tcW w:w="1038"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22,9</w:t>
            </w:r>
          </w:p>
        </w:tc>
        <w:tc>
          <w:tcPr>
            <w:tcW w:w="947"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21,8</w:t>
            </w:r>
          </w:p>
        </w:tc>
      </w:tr>
      <w:tr w:rsidR="00E0512C" w:rsidRPr="00E0512C" w:rsidTr="00B14F0E">
        <w:trPr>
          <w:trHeight w:val="300"/>
          <w:jc w:val="center"/>
        </w:trPr>
        <w:tc>
          <w:tcPr>
            <w:tcW w:w="4015"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rPr>
            </w:pPr>
            <w:r w:rsidRPr="00E0512C">
              <w:rPr>
                <w:rFonts w:ascii="Times New Roman" w:hAnsi="Times New Roman" w:cs="Times New Roman"/>
                <w:b/>
                <w:bCs/>
              </w:rPr>
              <w:t>% de casos entrados en Agrario</w:t>
            </w:r>
          </w:p>
        </w:tc>
        <w:tc>
          <w:tcPr>
            <w:tcW w:w="993"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0,4</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0,4</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0,5</w:t>
            </w:r>
          </w:p>
        </w:tc>
        <w:tc>
          <w:tcPr>
            <w:tcW w:w="1038"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0,4</w:t>
            </w:r>
          </w:p>
        </w:tc>
        <w:tc>
          <w:tcPr>
            <w:tcW w:w="947"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0,5</w:t>
            </w:r>
          </w:p>
        </w:tc>
      </w:tr>
      <w:tr w:rsidR="00E0512C" w:rsidRPr="00E0512C" w:rsidTr="00B14F0E">
        <w:trPr>
          <w:trHeight w:val="300"/>
          <w:jc w:val="center"/>
        </w:trPr>
        <w:tc>
          <w:tcPr>
            <w:tcW w:w="4015"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rPr>
            </w:pPr>
            <w:r w:rsidRPr="00E0512C">
              <w:rPr>
                <w:rFonts w:ascii="Times New Roman" w:hAnsi="Times New Roman" w:cs="Times New Roman"/>
                <w:b/>
                <w:bCs/>
              </w:rPr>
              <w:t>% de casos entrados en Familia</w:t>
            </w:r>
          </w:p>
        </w:tc>
        <w:tc>
          <w:tcPr>
            <w:tcW w:w="993"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3,9</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4,4</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4,4</w:t>
            </w:r>
          </w:p>
        </w:tc>
        <w:tc>
          <w:tcPr>
            <w:tcW w:w="1038"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4,4</w:t>
            </w:r>
          </w:p>
        </w:tc>
        <w:tc>
          <w:tcPr>
            <w:tcW w:w="947"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4,7</w:t>
            </w:r>
          </w:p>
        </w:tc>
      </w:tr>
      <w:tr w:rsidR="00E0512C" w:rsidRPr="00E0512C" w:rsidTr="00B14F0E">
        <w:trPr>
          <w:trHeight w:val="300"/>
          <w:jc w:val="center"/>
        </w:trPr>
        <w:tc>
          <w:tcPr>
            <w:tcW w:w="4015"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rPr>
            </w:pPr>
            <w:r w:rsidRPr="00E0512C">
              <w:rPr>
                <w:rFonts w:ascii="Times New Roman" w:hAnsi="Times New Roman" w:cs="Times New Roman"/>
                <w:b/>
                <w:bCs/>
              </w:rPr>
              <w:t>% de casos entrados en Contenciosa</w:t>
            </w:r>
          </w:p>
        </w:tc>
        <w:tc>
          <w:tcPr>
            <w:tcW w:w="993"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1,3</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1,3</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1,6</w:t>
            </w:r>
          </w:p>
        </w:tc>
        <w:tc>
          <w:tcPr>
            <w:tcW w:w="1038"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2,2</w:t>
            </w:r>
          </w:p>
        </w:tc>
        <w:tc>
          <w:tcPr>
            <w:tcW w:w="947"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2,0</w:t>
            </w:r>
          </w:p>
        </w:tc>
      </w:tr>
      <w:tr w:rsidR="00E0512C" w:rsidRPr="00E0512C" w:rsidTr="00B14F0E">
        <w:trPr>
          <w:trHeight w:val="300"/>
          <w:jc w:val="center"/>
        </w:trPr>
        <w:tc>
          <w:tcPr>
            <w:tcW w:w="4015"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rPr>
            </w:pPr>
            <w:r w:rsidRPr="00E0512C">
              <w:rPr>
                <w:rFonts w:ascii="Times New Roman" w:hAnsi="Times New Roman" w:cs="Times New Roman"/>
                <w:b/>
                <w:bCs/>
              </w:rPr>
              <w:t>% de casos entrados en Penal</w:t>
            </w:r>
          </w:p>
        </w:tc>
        <w:tc>
          <w:tcPr>
            <w:tcW w:w="993"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35,1</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26,2</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28,4</w:t>
            </w:r>
          </w:p>
        </w:tc>
        <w:tc>
          <w:tcPr>
            <w:tcW w:w="1038"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29,3</w:t>
            </w:r>
          </w:p>
        </w:tc>
        <w:tc>
          <w:tcPr>
            <w:tcW w:w="947"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27,7</w:t>
            </w:r>
          </w:p>
        </w:tc>
      </w:tr>
      <w:tr w:rsidR="00E0512C" w:rsidRPr="00E0512C" w:rsidTr="00B14F0E">
        <w:trPr>
          <w:trHeight w:val="300"/>
          <w:jc w:val="center"/>
        </w:trPr>
        <w:tc>
          <w:tcPr>
            <w:tcW w:w="4015"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rPr>
            </w:pPr>
            <w:r w:rsidRPr="00E0512C">
              <w:rPr>
                <w:rFonts w:ascii="Times New Roman" w:hAnsi="Times New Roman" w:cs="Times New Roman"/>
                <w:b/>
                <w:bCs/>
              </w:rPr>
              <w:t>% de casos entrados en Trabajo</w:t>
            </w:r>
          </w:p>
        </w:tc>
        <w:tc>
          <w:tcPr>
            <w:tcW w:w="993"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4,3</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4,5</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4,7</w:t>
            </w:r>
          </w:p>
        </w:tc>
        <w:tc>
          <w:tcPr>
            <w:tcW w:w="1038"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4,7</w:t>
            </w:r>
          </w:p>
        </w:tc>
        <w:tc>
          <w:tcPr>
            <w:tcW w:w="947"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5,0</w:t>
            </w:r>
          </w:p>
        </w:tc>
      </w:tr>
      <w:tr w:rsidR="00E0512C" w:rsidRPr="00E0512C" w:rsidTr="00B14F0E">
        <w:trPr>
          <w:trHeight w:val="300"/>
          <w:jc w:val="center"/>
        </w:trPr>
        <w:tc>
          <w:tcPr>
            <w:tcW w:w="4015"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rPr>
            </w:pPr>
            <w:r w:rsidRPr="00E0512C">
              <w:rPr>
                <w:rFonts w:ascii="Times New Roman" w:hAnsi="Times New Roman" w:cs="Times New Roman"/>
                <w:b/>
                <w:bCs/>
              </w:rPr>
              <w:t>% de casos entrados en Contravenciones</w:t>
            </w:r>
          </w:p>
        </w:tc>
        <w:tc>
          <w:tcPr>
            <w:tcW w:w="993"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6,8</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7,7</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7,0</w:t>
            </w:r>
          </w:p>
        </w:tc>
        <w:tc>
          <w:tcPr>
            <w:tcW w:w="1038"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6,4</w:t>
            </w:r>
          </w:p>
        </w:tc>
        <w:tc>
          <w:tcPr>
            <w:tcW w:w="947"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6,4</w:t>
            </w:r>
          </w:p>
        </w:tc>
      </w:tr>
      <w:tr w:rsidR="00E0512C" w:rsidRPr="00E0512C" w:rsidTr="00B14F0E">
        <w:trPr>
          <w:trHeight w:val="300"/>
          <w:jc w:val="center"/>
        </w:trPr>
        <w:tc>
          <w:tcPr>
            <w:tcW w:w="4015"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rPr>
            </w:pPr>
            <w:r w:rsidRPr="00E0512C">
              <w:rPr>
                <w:rFonts w:ascii="Times New Roman" w:hAnsi="Times New Roman" w:cs="Times New Roman"/>
                <w:b/>
                <w:bCs/>
              </w:rPr>
              <w:t>% de casos entrados en Tránsito</w:t>
            </w:r>
          </w:p>
        </w:tc>
        <w:tc>
          <w:tcPr>
            <w:tcW w:w="993"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7,7</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9,3</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9,6</w:t>
            </w:r>
          </w:p>
        </w:tc>
        <w:tc>
          <w:tcPr>
            <w:tcW w:w="1038"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10,1</w:t>
            </w:r>
          </w:p>
        </w:tc>
        <w:tc>
          <w:tcPr>
            <w:tcW w:w="947"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11,9</w:t>
            </w:r>
          </w:p>
        </w:tc>
      </w:tr>
      <w:tr w:rsidR="00E0512C" w:rsidRPr="00E0512C" w:rsidTr="00B14F0E">
        <w:trPr>
          <w:trHeight w:val="300"/>
          <w:jc w:val="center"/>
        </w:trPr>
        <w:tc>
          <w:tcPr>
            <w:tcW w:w="4015"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rPr>
            </w:pPr>
            <w:r w:rsidRPr="00E0512C">
              <w:rPr>
                <w:rFonts w:ascii="Times New Roman" w:hAnsi="Times New Roman" w:cs="Times New Roman"/>
                <w:b/>
                <w:bCs/>
              </w:rPr>
              <w:t>% de casos entrados en Pensiones Alimentarias</w:t>
            </w:r>
          </w:p>
        </w:tc>
        <w:tc>
          <w:tcPr>
            <w:tcW w:w="993"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4,0</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5,1</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5,5</w:t>
            </w:r>
          </w:p>
        </w:tc>
        <w:tc>
          <w:tcPr>
            <w:tcW w:w="1038"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5,4</w:t>
            </w:r>
          </w:p>
        </w:tc>
        <w:tc>
          <w:tcPr>
            <w:tcW w:w="947"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5,8</w:t>
            </w:r>
          </w:p>
        </w:tc>
      </w:tr>
      <w:tr w:rsidR="00E0512C" w:rsidRPr="00E0512C" w:rsidTr="00B14F0E">
        <w:trPr>
          <w:trHeight w:val="300"/>
          <w:jc w:val="center"/>
        </w:trPr>
        <w:tc>
          <w:tcPr>
            <w:tcW w:w="4015"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rPr>
            </w:pPr>
            <w:r w:rsidRPr="00E0512C">
              <w:rPr>
                <w:rFonts w:ascii="Times New Roman" w:hAnsi="Times New Roman" w:cs="Times New Roman"/>
                <w:b/>
                <w:bCs/>
              </w:rPr>
              <w:t>% de casos entrados en Penal Juvenil</w:t>
            </w:r>
          </w:p>
        </w:tc>
        <w:tc>
          <w:tcPr>
            <w:tcW w:w="993"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2,5</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1,8</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1,7</w:t>
            </w:r>
          </w:p>
        </w:tc>
        <w:tc>
          <w:tcPr>
            <w:tcW w:w="1038"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1,5</w:t>
            </w:r>
          </w:p>
        </w:tc>
        <w:tc>
          <w:tcPr>
            <w:tcW w:w="947"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1,4</w:t>
            </w:r>
          </w:p>
        </w:tc>
      </w:tr>
      <w:tr w:rsidR="00E0512C" w:rsidRPr="00E0512C" w:rsidTr="00B14F0E">
        <w:trPr>
          <w:trHeight w:val="270"/>
          <w:jc w:val="center"/>
        </w:trPr>
        <w:tc>
          <w:tcPr>
            <w:tcW w:w="4015"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rPr>
            </w:pPr>
            <w:r w:rsidRPr="00E0512C">
              <w:rPr>
                <w:rFonts w:ascii="Times New Roman" w:hAnsi="Times New Roman" w:cs="Times New Roman"/>
                <w:b/>
                <w:bCs/>
              </w:rPr>
              <w:t>% de casos entrados en Violencia Doméstica</w:t>
            </w:r>
          </w:p>
        </w:tc>
        <w:tc>
          <w:tcPr>
            <w:tcW w:w="993"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6,2</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7,5</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7,4</w:t>
            </w:r>
          </w:p>
        </w:tc>
        <w:tc>
          <w:tcPr>
            <w:tcW w:w="1038"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7,2</w:t>
            </w:r>
          </w:p>
        </w:tc>
        <w:tc>
          <w:tcPr>
            <w:tcW w:w="947"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7,4</w:t>
            </w:r>
          </w:p>
        </w:tc>
      </w:tr>
      <w:tr w:rsidR="00E0512C" w:rsidRPr="00E0512C" w:rsidTr="00B14F0E">
        <w:trPr>
          <w:trHeight w:val="300"/>
          <w:jc w:val="center"/>
        </w:trPr>
        <w:tc>
          <w:tcPr>
            <w:tcW w:w="4015"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rPr>
            </w:pPr>
            <w:r w:rsidRPr="00E0512C">
              <w:rPr>
                <w:rFonts w:ascii="Times New Roman" w:hAnsi="Times New Roman" w:cs="Times New Roman"/>
                <w:b/>
                <w:bCs/>
              </w:rPr>
              <w:t>% de casos entrados en Notarial</w:t>
            </w:r>
          </w:p>
        </w:tc>
        <w:tc>
          <w:tcPr>
            <w:tcW w:w="993"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0,1</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0,2</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0,1</w:t>
            </w:r>
          </w:p>
        </w:tc>
        <w:tc>
          <w:tcPr>
            <w:tcW w:w="1038"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0,2</w:t>
            </w:r>
          </w:p>
        </w:tc>
        <w:tc>
          <w:tcPr>
            <w:tcW w:w="947"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0,1</w:t>
            </w:r>
          </w:p>
        </w:tc>
      </w:tr>
      <w:tr w:rsidR="00E0512C" w:rsidRPr="00E0512C" w:rsidTr="00B14F0E">
        <w:trPr>
          <w:trHeight w:val="300"/>
          <w:jc w:val="center"/>
        </w:trPr>
        <w:tc>
          <w:tcPr>
            <w:tcW w:w="4015"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rPr>
            </w:pPr>
            <w:r w:rsidRPr="00E0512C">
              <w:rPr>
                <w:rFonts w:ascii="Times New Roman" w:hAnsi="Times New Roman" w:cs="Times New Roman"/>
                <w:b/>
                <w:bCs/>
              </w:rPr>
              <w:t>% de casos entrados en Constitucional</w:t>
            </w:r>
          </w:p>
        </w:tc>
        <w:tc>
          <w:tcPr>
            <w:tcW w:w="993"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2,4</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2,8</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2,5</w:t>
            </w:r>
          </w:p>
        </w:tc>
        <w:tc>
          <w:tcPr>
            <w:tcW w:w="1038"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3,1</w:t>
            </w:r>
          </w:p>
        </w:tc>
        <w:tc>
          <w:tcPr>
            <w:tcW w:w="947"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3,0</w:t>
            </w:r>
          </w:p>
        </w:tc>
      </w:tr>
      <w:tr w:rsidR="00E0512C" w:rsidRPr="00E0512C" w:rsidTr="00B14F0E">
        <w:trPr>
          <w:trHeight w:val="300"/>
          <w:jc w:val="center"/>
        </w:trPr>
        <w:tc>
          <w:tcPr>
            <w:tcW w:w="4015"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rPr>
            </w:pPr>
            <w:r w:rsidRPr="00E0512C">
              <w:rPr>
                <w:rFonts w:ascii="Times New Roman" w:hAnsi="Times New Roman" w:cs="Times New Roman"/>
                <w:b/>
                <w:bCs/>
              </w:rPr>
              <w:t>Abogados por 100 mil habitantes</w:t>
            </w:r>
          </w:p>
        </w:tc>
        <w:tc>
          <w:tcPr>
            <w:tcW w:w="993"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436</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452</w:t>
            </w:r>
          </w:p>
        </w:tc>
        <w:tc>
          <w:tcPr>
            <w:tcW w:w="992"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469</w:t>
            </w:r>
          </w:p>
        </w:tc>
        <w:tc>
          <w:tcPr>
            <w:tcW w:w="1038"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491</w:t>
            </w:r>
          </w:p>
        </w:tc>
        <w:tc>
          <w:tcPr>
            <w:tcW w:w="947"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rPr>
            </w:pPr>
            <w:r w:rsidRPr="00E0512C">
              <w:rPr>
                <w:rFonts w:ascii="Times New Roman" w:hAnsi="Times New Roman" w:cs="Times New Roman"/>
              </w:rPr>
              <w:t>482</w:t>
            </w:r>
          </w:p>
        </w:tc>
      </w:tr>
    </w:tbl>
    <w:p w:rsidR="00E0512C" w:rsidRPr="00E0512C" w:rsidRDefault="00E0512C" w:rsidP="00E0512C">
      <w:r w:rsidRPr="00E0512C">
        <w:br w:type="page"/>
      </w:r>
    </w:p>
    <w:tbl>
      <w:tblPr>
        <w:tblW w:w="5985" w:type="dxa"/>
        <w:tblLayout w:type="fixed"/>
        <w:tblCellMar>
          <w:left w:w="0" w:type="dxa"/>
          <w:right w:w="0" w:type="dxa"/>
        </w:tblCellMar>
        <w:tblLook w:val="0000"/>
      </w:tblPr>
      <w:tblGrid>
        <w:gridCol w:w="5985"/>
      </w:tblGrid>
      <w:tr w:rsidR="00E0512C" w:rsidRPr="00E0512C" w:rsidTr="00B14F0E">
        <w:trPr>
          <w:cantSplit/>
          <w:trHeight w:val="600"/>
        </w:trPr>
        <w:tc>
          <w:tcPr>
            <w:tcW w:w="5985" w:type="dxa"/>
            <w:tcBorders>
              <w:top w:val="nil"/>
              <w:left w:val="nil"/>
              <w:bottom w:val="nil"/>
              <w:right w:val="nil"/>
            </w:tcBorders>
            <w:shd w:val="clear" w:color="FFFFFF" w:fill="FFFFFF"/>
            <w:vAlign w:val="center"/>
          </w:tcPr>
          <w:p w:rsidR="00E0512C" w:rsidRPr="00E0512C" w:rsidRDefault="003A1B7B" w:rsidP="00E0512C">
            <w:pPr>
              <w:rPr>
                <w:rFonts w:ascii="Times New Roman" w:hAnsi="Times New Roman" w:cs="Times New Roman"/>
                <w:u w:val="single"/>
              </w:rPr>
            </w:pPr>
            <w:r w:rsidRPr="00E0512C">
              <w:rPr>
                <w:rFonts w:ascii="Times New Roman" w:hAnsi="Times New Roman" w:cs="Times New Roman"/>
                <w:u w:val="single"/>
              </w:rPr>
              <w:lastRenderedPageBreak/>
              <w:fldChar w:fldCharType="begin"/>
            </w:r>
            <w:r w:rsidR="00E0512C" w:rsidRPr="00E0512C">
              <w:rPr>
                <w:rFonts w:ascii="Times New Roman" w:hAnsi="Times New Roman" w:cs="Times New Roman"/>
                <w:u w:val="single"/>
              </w:rPr>
              <w:instrText>PRIVATE</w:instrText>
            </w:r>
            <w:r w:rsidRPr="00E0512C">
              <w:rPr>
                <w:rFonts w:ascii="Times New Roman" w:hAnsi="Times New Roman" w:cs="Times New Roman"/>
                <w:u w:val="single"/>
              </w:rPr>
              <w:fldChar w:fldCharType="end"/>
            </w:r>
            <w:r w:rsidR="00E0512C" w:rsidRPr="00E0512C">
              <w:rPr>
                <w:rFonts w:ascii="Times New Roman" w:hAnsi="Times New Roman" w:cs="Times New Roman"/>
                <w:b/>
                <w:bCs/>
                <w:i/>
                <w:iCs/>
                <w:u w:val="single"/>
              </w:rPr>
              <w:t>Producción Productividad</w:t>
            </w:r>
          </w:p>
        </w:tc>
      </w:tr>
    </w:tbl>
    <w:p w:rsidR="00E0512C" w:rsidRPr="00E0512C" w:rsidRDefault="00E0512C" w:rsidP="00E0512C">
      <w:pPr>
        <w:rPr>
          <w:rFonts w:ascii="Times New Roman" w:hAnsi="Times New Roman" w:cs="Times New Roman"/>
        </w:rPr>
      </w:pPr>
    </w:p>
    <w:tbl>
      <w:tblPr>
        <w:tblW w:w="8580" w:type="dxa"/>
        <w:jc w:val="center"/>
        <w:tblLayout w:type="fixed"/>
        <w:tblCellMar>
          <w:left w:w="0" w:type="dxa"/>
          <w:right w:w="0" w:type="dxa"/>
        </w:tblCellMar>
        <w:tblLook w:val="0000"/>
      </w:tblPr>
      <w:tblGrid>
        <w:gridCol w:w="4080"/>
        <w:gridCol w:w="900"/>
        <w:gridCol w:w="900"/>
        <w:gridCol w:w="900"/>
        <w:gridCol w:w="900"/>
        <w:gridCol w:w="900"/>
      </w:tblGrid>
      <w:tr w:rsidR="00E0512C" w:rsidRPr="00E0512C" w:rsidTr="00B14F0E">
        <w:trPr>
          <w:trHeight w:val="300"/>
          <w:jc w:val="center"/>
        </w:trPr>
        <w:tc>
          <w:tcPr>
            <w:tcW w:w="408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3A1B7B" w:rsidP="00E0512C">
            <w:pPr>
              <w:jc w:val="center"/>
              <w:rPr>
                <w:rFonts w:ascii="Times New Roman" w:hAnsi="Times New Roman" w:cs="Times New Roman"/>
                <w:sz w:val="22"/>
                <w:szCs w:val="22"/>
              </w:rPr>
            </w:pPr>
            <w:r w:rsidRPr="00E0512C">
              <w:rPr>
                <w:rFonts w:ascii="Times New Roman" w:hAnsi="Times New Roman" w:cs="Times New Roman"/>
                <w:sz w:val="22"/>
                <w:szCs w:val="22"/>
              </w:rPr>
              <w:fldChar w:fldCharType="begin"/>
            </w:r>
            <w:r w:rsidR="00E0512C" w:rsidRPr="00E0512C">
              <w:rPr>
                <w:rFonts w:ascii="Times New Roman" w:hAnsi="Times New Roman" w:cs="Times New Roman"/>
                <w:sz w:val="22"/>
                <w:szCs w:val="22"/>
              </w:rPr>
              <w:instrText>PRIVATE</w:instrText>
            </w:r>
            <w:r w:rsidRPr="00E0512C">
              <w:rPr>
                <w:rFonts w:ascii="Times New Roman" w:hAnsi="Times New Roman" w:cs="Times New Roman"/>
                <w:sz w:val="22"/>
                <w:szCs w:val="22"/>
              </w:rPr>
              <w:fldChar w:fldCharType="end"/>
            </w:r>
            <w:r w:rsidR="00E0512C" w:rsidRPr="00E0512C">
              <w:rPr>
                <w:rFonts w:ascii="Times New Roman" w:hAnsi="Times New Roman" w:cs="Times New Roman"/>
                <w:b/>
                <w:bCs/>
                <w:sz w:val="22"/>
                <w:szCs w:val="22"/>
              </w:rPr>
              <w:t>Año</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b/>
                <w:bCs/>
                <w:sz w:val="22"/>
                <w:szCs w:val="22"/>
              </w:rPr>
              <w:t>2011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b/>
                <w:bCs/>
                <w:sz w:val="22"/>
                <w:szCs w:val="22"/>
              </w:rPr>
              <w:t>2012</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b/>
                <w:bCs/>
                <w:sz w:val="22"/>
                <w:szCs w:val="22"/>
              </w:rPr>
              <w:t>2013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b/>
                <w:bCs/>
                <w:sz w:val="22"/>
                <w:szCs w:val="22"/>
              </w:rPr>
              <w:t>2014</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b/>
                <w:bCs/>
                <w:sz w:val="22"/>
                <w:szCs w:val="22"/>
              </w:rPr>
              <w:t>2015</w:t>
            </w:r>
          </w:p>
        </w:tc>
      </w:tr>
      <w:tr w:rsidR="00E0512C" w:rsidRPr="00E0512C" w:rsidTr="00B14F0E">
        <w:trPr>
          <w:trHeight w:val="300"/>
          <w:jc w:val="center"/>
        </w:trPr>
        <w:tc>
          <w:tcPr>
            <w:tcW w:w="408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sz w:val="22"/>
                <w:szCs w:val="22"/>
              </w:rPr>
            </w:pPr>
            <w:r w:rsidRPr="00E0512C">
              <w:rPr>
                <w:rFonts w:ascii="Times New Roman" w:hAnsi="Times New Roman" w:cs="Times New Roman"/>
                <w:b/>
                <w:bCs/>
                <w:sz w:val="22"/>
                <w:szCs w:val="22"/>
              </w:rPr>
              <w:t xml:space="preserve">Asuntos resueltos por Jueza y Juez I instancia </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670</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550</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555</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568</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541</w:t>
            </w:r>
          </w:p>
        </w:tc>
      </w:tr>
      <w:tr w:rsidR="00E0512C" w:rsidRPr="00E0512C" w:rsidTr="00B14F0E">
        <w:trPr>
          <w:trHeight w:val="300"/>
          <w:jc w:val="center"/>
        </w:trPr>
        <w:tc>
          <w:tcPr>
            <w:tcW w:w="408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sz w:val="22"/>
                <w:szCs w:val="22"/>
              </w:rPr>
            </w:pPr>
            <w:r w:rsidRPr="00E0512C">
              <w:rPr>
                <w:rFonts w:ascii="Times New Roman" w:hAnsi="Times New Roman" w:cs="Times New Roman"/>
                <w:b/>
                <w:bCs/>
                <w:sz w:val="22"/>
                <w:szCs w:val="22"/>
              </w:rPr>
              <w:t>Asuntos resueltos por Jueza y Juez II instancia</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175</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186</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141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133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120</w:t>
            </w:r>
          </w:p>
        </w:tc>
      </w:tr>
      <w:tr w:rsidR="00E0512C" w:rsidRPr="00E0512C" w:rsidTr="00B14F0E">
        <w:trPr>
          <w:trHeight w:val="300"/>
          <w:jc w:val="center"/>
        </w:trPr>
        <w:tc>
          <w:tcPr>
            <w:tcW w:w="408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sz w:val="22"/>
                <w:szCs w:val="22"/>
              </w:rPr>
            </w:pPr>
            <w:r w:rsidRPr="00E0512C">
              <w:rPr>
                <w:rFonts w:ascii="Times New Roman" w:hAnsi="Times New Roman" w:cs="Times New Roman"/>
                <w:b/>
                <w:bCs/>
                <w:sz w:val="22"/>
                <w:szCs w:val="22"/>
              </w:rPr>
              <w:t>Sentencias por Jueza y Juez I instancia</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159</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143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168</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131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135</w:t>
            </w:r>
          </w:p>
        </w:tc>
      </w:tr>
      <w:tr w:rsidR="00E0512C" w:rsidRPr="00E0512C" w:rsidTr="00B14F0E">
        <w:trPr>
          <w:trHeight w:val="300"/>
          <w:jc w:val="center"/>
        </w:trPr>
        <w:tc>
          <w:tcPr>
            <w:tcW w:w="408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sz w:val="22"/>
                <w:szCs w:val="22"/>
              </w:rPr>
            </w:pPr>
            <w:r w:rsidRPr="00E0512C">
              <w:rPr>
                <w:rFonts w:ascii="Times New Roman" w:hAnsi="Times New Roman" w:cs="Times New Roman"/>
                <w:b/>
                <w:bCs/>
                <w:sz w:val="22"/>
                <w:szCs w:val="22"/>
              </w:rPr>
              <w:t xml:space="preserve">Tasa de Sentencia </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23,8</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26,0</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30,2</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23,0</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25,0</w:t>
            </w:r>
          </w:p>
        </w:tc>
      </w:tr>
      <w:tr w:rsidR="00E0512C" w:rsidRPr="00E0512C" w:rsidTr="00B14F0E">
        <w:trPr>
          <w:trHeight w:val="300"/>
          <w:jc w:val="center"/>
        </w:trPr>
        <w:tc>
          <w:tcPr>
            <w:tcW w:w="408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sz w:val="22"/>
                <w:szCs w:val="22"/>
              </w:rPr>
            </w:pPr>
            <w:r w:rsidRPr="00E0512C">
              <w:rPr>
                <w:rFonts w:ascii="Times New Roman" w:hAnsi="Times New Roman" w:cs="Times New Roman"/>
                <w:b/>
                <w:bCs/>
                <w:sz w:val="22"/>
                <w:szCs w:val="22"/>
              </w:rPr>
              <w:t>Tasa de Conciliación</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4,7</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7,1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8,4</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6,2</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5,9</w:t>
            </w:r>
          </w:p>
        </w:tc>
      </w:tr>
      <w:tr w:rsidR="00E0512C" w:rsidRPr="00E0512C" w:rsidTr="00B14F0E">
        <w:trPr>
          <w:trHeight w:val="300"/>
          <w:jc w:val="center"/>
        </w:trPr>
        <w:tc>
          <w:tcPr>
            <w:tcW w:w="408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sz w:val="22"/>
                <w:szCs w:val="22"/>
              </w:rPr>
            </w:pPr>
            <w:r w:rsidRPr="00E0512C">
              <w:rPr>
                <w:rFonts w:ascii="Times New Roman" w:hAnsi="Times New Roman" w:cs="Times New Roman"/>
                <w:b/>
                <w:bCs/>
                <w:sz w:val="22"/>
                <w:szCs w:val="22"/>
              </w:rPr>
              <w:t>% Resueltos por conciliación Penal</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1,4</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2,4</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2,7</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2,9</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3,1</w:t>
            </w:r>
          </w:p>
        </w:tc>
      </w:tr>
      <w:tr w:rsidR="00E0512C" w:rsidRPr="00E0512C" w:rsidTr="00B14F0E">
        <w:trPr>
          <w:trHeight w:val="300"/>
          <w:jc w:val="center"/>
        </w:trPr>
        <w:tc>
          <w:tcPr>
            <w:tcW w:w="408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sz w:val="22"/>
                <w:szCs w:val="22"/>
              </w:rPr>
            </w:pPr>
            <w:r w:rsidRPr="00E0512C">
              <w:rPr>
                <w:rFonts w:ascii="Times New Roman" w:hAnsi="Times New Roman" w:cs="Times New Roman"/>
                <w:b/>
                <w:bCs/>
                <w:sz w:val="22"/>
                <w:szCs w:val="22"/>
              </w:rPr>
              <w:t xml:space="preserve">% de asuntos </w:t>
            </w:r>
            <w:proofErr w:type="spellStart"/>
            <w:r w:rsidRPr="00E0512C">
              <w:rPr>
                <w:rFonts w:ascii="Times New Roman" w:hAnsi="Times New Roman" w:cs="Times New Roman"/>
                <w:b/>
                <w:bCs/>
                <w:sz w:val="22"/>
                <w:szCs w:val="22"/>
              </w:rPr>
              <w:t>sobreseídos</w:t>
            </w:r>
            <w:proofErr w:type="spellEnd"/>
            <w:r w:rsidRPr="00E0512C">
              <w:rPr>
                <w:rFonts w:ascii="Times New Roman" w:hAnsi="Times New Roman" w:cs="Times New Roman"/>
                <w:b/>
                <w:bCs/>
                <w:sz w:val="22"/>
                <w:szCs w:val="22"/>
              </w:rPr>
              <w:t xml:space="preserve"> por cumplimiento de la conciliación como medida alterna en los juzgados penales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10,5</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10,8</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12,4</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12,8</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14,1</w:t>
            </w:r>
          </w:p>
        </w:tc>
      </w:tr>
      <w:tr w:rsidR="00E0512C" w:rsidRPr="00E0512C" w:rsidTr="00B14F0E">
        <w:trPr>
          <w:trHeight w:val="300"/>
          <w:jc w:val="center"/>
        </w:trPr>
        <w:tc>
          <w:tcPr>
            <w:tcW w:w="408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sz w:val="22"/>
                <w:szCs w:val="22"/>
              </w:rPr>
            </w:pPr>
            <w:r w:rsidRPr="00E0512C">
              <w:rPr>
                <w:rFonts w:ascii="Times New Roman" w:hAnsi="Times New Roman" w:cs="Times New Roman"/>
                <w:b/>
                <w:bCs/>
                <w:sz w:val="22"/>
                <w:szCs w:val="22"/>
              </w:rPr>
              <w:t xml:space="preserve">% de asuntos </w:t>
            </w:r>
            <w:proofErr w:type="spellStart"/>
            <w:r w:rsidRPr="00E0512C">
              <w:rPr>
                <w:rFonts w:ascii="Times New Roman" w:hAnsi="Times New Roman" w:cs="Times New Roman"/>
                <w:b/>
                <w:bCs/>
                <w:sz w:val="22"/>
                <w:szCs w:val="22"/>
              </w:rPr>
              <w:t>sobreseídos</w:t>
            </w:r>
            <w:proofErr w:type="spellEnd"/>
            <w:r w:rsidRPr="00E0512C">
              <w:rPr>
                <w:rFonts w:ascii="Times New Roman" w:hAnsi="Times New Roman" w:cs="Times New Roman"/>
                <w:b/>
                <w:bCs/>
                <w:sz w:val="22"/>
                <w:szCs w:val="22"/>
              </w:rPr>
              <w:t xml:space="preserve"> por cumplimiento del plazo de suspensión del proceso a prueba como medida alterna en los juzgados penales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5,3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6,6</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8,1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8,9</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7,7</w:t>
            </w:r>
          </w:p>
        </w:tc>
      </w:tr>
      <w:tr w:rsidR="00E0512C" w:rsidRPr="00E0512C" w:rsidTr="00B14F0E">
        <w:trPr>
          <w:trHeight w:val="300"/>
          <w:jc w:val="center"/>
        </w:trPr>
        <w:tc>
          <w:tcPr>
            <w:tcW w:w="408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sz w:val="22"/>
                <w:szCs w:val="22"/>
              </w:rPr>
            </w:pPr>
            <w:r w:rsidRPr="00E0512C">
              <w:rPr>
                <w:rFonts w:ascii="Times New Roman" w:hAnsi="Times New Roman" w:cs="Times New Roman"/>
                <w:b/>
                <w:bCs/>
                <w:sz w:val="22"/>
                <w:szCs w:val="22"/>
              </w:rPr>
              <w:t xml:space="preserve">% de asuntos </w:t>
            </w:r>
            <w:proofErr w:type="spellStart"/>
            <w:r w:rsidRPr="00E0512C">
              <w:rPr>
                <w:rFonts w:ascii="Times New Roman" w:hAnsi="Times New Roman" w:cs="Times New Roman"/>
                <w:b/>
                <w:bCs/>
                <w:sz w:val="22"/>
                <w:szCs w:val="22"/>
              </w:rPr>
              <w:t>sobreseídos</w:t>
            </w:r>
            <w:proofErr w:type="spellEnd"/>
            <w:r w:rsidRPr="00E0512C">
              <w:rPr>
                <w:rFonts w:ascii="Times New Roman" w:hAnsi="Times New Roman" w:cs="Times New Roman"/>
                <w:b/>
                <w:bCs/>
                <w:sz w:val="22"/>
                <w:szCs w:val="22"/>
              </w:rPr>
              <w:t xml:space="preserve"> por prescripción en los juzgados penales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9,9</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14,9</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8,9</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7,5</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6,7</w:t>
            </w:r>
          </w:p>
        </w:tc>
      </w:tr>
    </w:tbl>
    <w:p w:rsidR="00E0512C" w:rsidRPr="00E0512C" w:rsidRDefault="00E0512C" w:rsidP="00E0512C">
      <w:pPr>
        <w:rPr>
          <w:rFonts w:ascii="Times New Roman" w:hAnsi="Times New Roman" w:cs="Times New Roman"/>
        </w:rPr>
      </w:pPr>
    </w:p>
    <w:p w:rsidR="00E0512C" w:rsidRPr="00E0512C" w:rsidRDefault="00E0512C" w:rsidP="00E0512C">
      <w:pPr>
        <w:rPr>
          <w:rFonts w:ascii="Times New Roman" w:hAnsi="Times New Roman" w:cs="Times New Roman"/>
        </w:rPr>
      </w:pPr>
    </w:p>
    <w:p w:rsidR="00E0512C" w:rsidRPr="00E0512C" w:rsidRDefault="00E0512C" w:rsidP="00E0512C">
      <w:pPr>
        <w:rPr>
          <w:rFonts w:ascii="Times New Roman" w:hAnsi="Times New Roman" w:cs="Times New Roman"/>
        </w:rPr>
      </w:pPr>
    </w:p>
    <w:tbl>
      <w:tblPr>
        <w:tblW w:w="0" w:type="auto"/>
        <w:tblLayout w:type="fixed"/>
        <w:tblCellMar>
          <w:left w:w="0" w:type="dxa"/>
          <w:right w:w="0" w:type="dxa"/>
        </w:tblCellMar>
        <w:tblLook w:val="0000"/>
      </w:tblPr>
      <w:tblGrid>
        <w:gridCol w:w="5985"/>
      </w:tblGrid>
      <w:tr w:rsidR="00E0512C" w:rsidRPr="00E0512C" w:rsidTr="00B14F0E">
        <w:trPr>
          <w:cantSplit/>
          <w:trHeight w:val="600"/>
        </w:trPr>
        <w:tc>
          <w:tcPr>
            <w:tcW w:w="5985" w:type="dxa"/>
            <w:tcBorders>
              <w:top w:val="nil"/>
              <w:left w:val="nil"/>
              <w:bottom w:val="nil"/>
              <w:right w:val="nil"/>
            </w:tcBorders>
            <w:shd w:val="clear" w:color="FFFFFF" w:fill="FFFFFF"/>
            <w:vAlign w:val="center"/>
          </w:tcPr>
          <w:p w:rsidR="00E0512C" w:rsidRPr="00E0512C" w:rsidRDefault="003A1B7B" w:rsidP="00E0512C">
            <w:pPr>
              <w:rPr>
                <w:rFonts w:ascii="Times New Roman" w:hAnsi="Times New Roman" w:cs="Times New Roman"/>
                <w:u w:val="single"/>
              </w:rPr>
            </w:pPr>
            <w:r w:rsidRPr="00E0512C">
              <w:rPr>
                <w:rFonts w:ascii="Times New Roman" w:hAnsi="Times New Roman" w:cs="Times New Roman"/>
                <w:u w:val="single"/>
              </w:rPr>
              <w:fldChar w:fldCharType="begin"/>
            </w:r>
            <w:r w:rsidR="00E0512C" w:rsidRPr="00E0512C">
              <w:rPr>
                <w:rFonts w:ascii="Times New Roman" w:hAnsi="Times New Roman" w:cs="Times New Roman"/>
                <w:u w:val="single"/>
              </w:rPr>
              <w:instrText>PRIVATE</w:instrText>
            </w:r>
            <w:r w:rsidRPr="00E0512C">
              <w:rPr>
                <w:rFonts w:ascii="Times New Roman" w:hAnsi="Times New Roman" w:cs="Times New Roman"/>
                <w:u w:val="single"/>
              </w:rPr>
              <w:fldChar w:fldCharType="end"/>
            </w:r>
            <w:r w:rsidR="00E0512C" w:rsidRPr="00E0512C">
              <w:rPr>
                <w:rFonts w:ascii="Times New Roman" w:hAnsi="Times New Roman" w:cs="Times New Roman"/>
                <w:b/>
                <w:bCs/>
                <w:i/>
                <w:iCs/>
                <w:u w:val="single"/>
              </w:rPr>
              <w:t>Duración y Dilación</w:t>
            </w:r>
          </w:p>
        </w:tc>
      </w:tr>
    </w:tbl>
    <w:p w:rsidR="00E0512C" w:rsidRPr="00E0512C" w:rsidRDefault="00E0512C" w:rsidP="00E0512C">
      <w:pPr>
        <w:rPr>
          <w:rFonts w:ascii="Times New Roman" w:hAnsi="Times New Roman" w:cs="Times New Roman"/>
        </w:rPr>
      </w:pPr>
    </w:p>
    <w:tbl>
      <w:tblPr>
        <w:tblW w:w="8640" w:type="dxa"/>
        <w:jc w:val="center"/>
        <w:tblLayout w:type="fixed"/>
        <w:tblCellMar>
          <w:left w:w="0" w:type="dxa"/>
          <w:right w:w="0" w:type="dxa"/>
        </w:tblCellMar>
        <w:tblLook w:val="0000"/>
      </w:tblPr>
      <w:tblGrid>
        <w:gridCol w:w="4140"/>
        <w:gridCol w:w="900"/>
        <w:gridCol w:w="900"/>
        <w:gridCol w:w="900"/>
        <w:gridCol w:w="900"/>
        <w:gridCol w:w="900"/>
      </w:tblGrid>
      <w:tr w:rsidR="00E0512C" w:rsidRPr="00E0512C" w:rsidTr="00B14F0E">
        <w:trPr>
          <w:trHeight w:val="300"/>
          <w:jc w:val="center"/>
        </w:trPr>
        <w:tc>
          <w:tcPr>
            <w:tcW w:w="414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3A1B7B" w:rsidP="00E0512C">
            <w:pPr>
              <w:jc w:val="center"/>
              <w:rPr>
                <w:rFonts w:ascii="Times New Roman" w:hAnsi="Times New Roman" w:cs="Times New Roman"/>
                <w:sz w:val="22"/>
                <w:szCs w:val="22"/>
              </w:rPr>
            </w:pPr>
            <w:r w:rsidRPr="00E0512C">
              <w:rPr>
                <w:rFonts w:ascii="Times New Roman" w:hAnsi="Times New Roman" w:cs="Times New Roman"/>
                <w:sz w:val="22"/>
                <w:szCs w:val="22"/>
              </w:rPr>
              <w:fldChar w:fldCharType="begin"/>
            </w:r>
            <w:r w:rsidR="00E0512C" w:rsidRPr="00E0512C">
              <w:rPr>
                <w:rFonts w:ascii="Times New Roman" w:hAnsi="Times New Roman" w:cs="Times New Roman"/>
                <w:sz w:val="22"/>
                <w:szCs w:val="22"/>
              </w:rPr>
              <w:instrText>PRIVATE</w:instrText>
            </w:r>
            <w:r w:rsidRPr="00E0512C">
              <w:rPr>
                <w:rFonts w:ascii="Times New Roman" w:hAnsi="Times New Roman" w:cs="Times New Roman"/>
                <w:sz w:val="22"/>
                <w:szCs w:val="22"/>
              </w:rPr>
              <w:fldChar w:fldCharType="end"/>
            </w:r>
            <w:r w:rsidR="00E0512C" w:rsidRPr="00E0512C">
              <w:rPr>
                <w:rFonts w:ascii="Times New Roman" w:hAnsi="Times New Roman" w:cs="Times New Roman"/>
                <w:b/>
                <w:bCs/>
                <w:sz w:val="22"/>
                <w:szCs w:val="22"/>
              </w:rPr>
              <w:t>Año</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b/>
                <w:bCs/>
                <w:sz w:val="22"/>
                <w:szCs w:val="22"/>
              </w:rPr>
              <w:t>2011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b/>
                <w:bCs/>
                <w:sz w:val="22"/>
                <w:szCs w:val="22"/>
              </w:rPr>
              <w:t>2012</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b/>
                <w:bCs/>
                <w:sz w:val="22"/>
                <w:szCs w:val="22"/>
              </w:rPr>
              <w:t>2013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b/>
                <w:bCs/>
                <w:sz w:val="22"/>
                <w:szCs w:val="22"/>
              </w:rPr>
              <w:t>2014</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b/>
                <w:bCs/>
                <w:sz w:val="22"/>
                <w:szCs w:val="22"/>
              </w:rPr>
              <w:t>2015</w:t>
            </w:r>
          </w:p>
        </w:tc>
      </w:tr>
      <w:tr w:rsidR="00E0512C" w:rsidRPr="00E0512C" w:rsidTr="00B14F0E">
        <w:trPr>
          <w:trHeight w:val="300"/>
          <w:jc w:val="center"/>
        </w:trPr>
        <w:tc>
          <w:tcPr>
            <w:tcW w:w="414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sz w:val="22"/>
                <w:szCs w:val="22"/>
              </w:rPr>
            </w:pPr>
            <w:r w:rsidRPr="00E0512C">
              <w:rPr>
                <w:rFonts w:ascii="Times New Roman" w:hAnsi="Times New Roman" w:cs="Times New Roman"/>
                <w:b/>
                <w:bCs/>
                <w:sz w:val="22"/>
                <w:szCs w:val="22"/>
              </w:rPr>
              <w:t>Tasa de Pendencia</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49,6</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56,1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57,1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55,1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57,2</w:t>
            </w:r>
          </w:p>
        </w:tc>
      </w:tr>
      <w:tr w:rsidR="00E0512C" w:rsidRPr="00E0512C" w:rsidTr="00B14F0E">
        <w:trPr>
          <w:trHeight w:val="300"/>
          <w:jc w:val="center"/>
        </w:trPr>
        <w:tc>
          <w:tcPr>
            <w:tcW w:w="414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sz w:val="22"/>
                <w:szCs w:val="22"/>
              </w:rPr>
            </w:pPr>
            <w:r w:rsidRPr="00E0512C">
              <w:rPr>
                <w:rFonts w:ascii="Times New Roman" w:hAnsi="Times New Roman" w:cs="Times New Roman"/>
                <w:b/>
                <w:bCs/>
                <w:sz w:val="22"/>
                <w:szCs w:val="22"/>
              </w:rPr>
              <w:t>Tasa de Resolución</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40,7</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34,6</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34,0</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34,8</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33,6</w:t>
            </w:r>
          </w:p>
        </w:tc>
      </w:tr>
      <w:tr w:rsidR="00E0512C" w:rsidRPr="00E0512C" w:rsidTr="00B14F0E">
        <w:trPr>
          <w:trHeight w:val="300"/>
          <w:jc w:val="center"/>
        </w:trPr>
        <w:tc>
          <w:tcPr>
            <w:tcW w:w="414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sz w:val="22"/>
                <w:szCs w:val="22"/>
              </w:rPr>
            </w:pPr>
            <w:r w:rsidRPr="00E0512C">
              <w:rPr>
                <w:rFonts w:ascii="Times New Roman" w:hAnsi="Times New Roman" w:cs="Times New Roman"/>
                <w:b/>
                <w:bCs/>
                <w:sz w:val="22"/>
                <w:szCs w:val="22"/>
              </w:rPr>
              <w:t>Tasa de abandonados o Inactivos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9,7</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9,3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9,0</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10,2</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9,1</w:t>
            </w:r>
          </w:p>
        </w:tc>
      </w:tr>
      <w:tr w:rsidR="00E0512C" w:rsidRPr="00E0512C" w:rsidTr="00B14F0E">
        <w:trPr>
          <w:trHeight w:val="300"/>
          <w:jc w:val="center"/>
        </w:trPr>
        <w:tc>
          <w:tcPr>
            <w:tcW w:w="414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sz w:val="22"/>
                <w:szCs w:val="22"/>
              </w:rPr>
            </w:pPr>
            <w:r w:rsidRPr="00E0512C">
              <w:rPr>
                <w:rFonts w:ascii="Times New Roman" w:hAnsi="Times New Roman" w:cs="Times New Roman"/>
                <w:b/>
                <w:bCs/>
                <w:sz w:val="22"/>
                <w:szCs w:val="22"/>
              </w:rPr>
              <w:t xml:space="preserve">Casos pendientes por Jueza y Juez I instancia </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816</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891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932</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900</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920</w:t>
            </w:r>
          </w:p>
        </w:tc>
      </w:tr>
      <w:tr w:rsidR="00E0512C" w:rsidRPr="00E0512C" w:rsidTr="00B14F0E">
        <w:trPr>
          <w:trHeight w:val="300"/>
          <w:jc w:val="center"/>
        </w:trPr>
        <w:tc>
          <w:tcPr>
            <w:tcW w:w="414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sz w:val="22"/>
                <w:szCs w:val="22"/>
              </w:rPr>
            </w:pPr>
            <w:r w:rsidRPr="00E0512C">
              <w:rPr>
                <w:rFonts w:ascii="Times New Roman" w:hAnsi="Times New Roman" w:cs="Times New Roman"/>
                <w:b/>
                <w:bCs/>
                <w:sz w:val="22"/>
                <w:szCs w:val="22"/>
              </w:rPr>
              <w:t>Casos pendientes por Jueza y Juez II instancia</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72</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59</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51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57</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60</w:t>
            </w:r>
          </w:p>
        </w:tc>
      </w:tr>
      <w:tr w:rsidR="00E0512C" w:rsidRPr="00E0512C" w:rsidTr="00B14F0E">
        <w:trPr>
          <w:trHeight w:val="300"/>
          <w:jc w:val="center"/>
        </w:trPr>
        <w:tc>
          <w:tcPr>
            <w:tcW w:w="414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sz w:val="22"/>
                <w:szCs w:val="22"/>
              </w:rPr>
            </w:pPr>
            <w:r w:rsidRPr="00E0512C">
              <w:rPr>
                <w:rFonts w:ascii="Times New Roman" w:hAnsi="Times New Roman" w:cs="Times New Roman"/>
                <w:b/>
                <w:bCs/>
                <w:sz w:val="22"/>
                <w:szCs w:val="22"/>
              </w:rPr>
              <w:t xml:space="preserve">Duración promedio en </w:t>
            </w:r>
            <w:proofErr w:type="spellStart"/>
            <w:r w:rsidRPr="00E0512C">
              <w:rPr>
                <w:rFonts w:ascii="Times New Roman" w:hAnsi="Times New Roman" w:cs="Times New Roman"/>
                <w:b/>
                <w:bCs/>
                <w:sz w:val="22"/>
                <w:szCs w:val="22"/>
              </w:rPr>
              <w:t>Juzg</w:t>
            </w:r>
            <w:proofErr w:type="spellEnd"/>
            <w:r w:rsidRPr="00E0512C">
              <w:rPr>
                <w:rFonts w:ascii="Times New Roman" w:hAnsi="Times New Roman" w:cs="Times New Roman"/>
                <w:b/>
                <w:bCs/>
                <w:sz w:val="22"/>
                <w:szCs w:val="22"/>
              </w:rPr>
              <w:t>. Trabajo Mayor Cuantía (en meses)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21,0</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21,0</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24,2</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23,2</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22,2</w:t>
            </w:r>
          </w:p>
        </w:tc>
      </w:tr>
      <w:tr w:rsidR="00E0512C" w:rsidRPr="00E0512C" w:rsidTr="00B14F0E">
        <w:trPr>
          <w:trHeight w:val="300"/>
          <w:jc w:val="center"/>
        </w:trPr>
        <w:tc>
          <w:tcPr>
            <w:tcW w:w="414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sz w:val="22"/>
                <w:szCs w:val="22"/>
              </w:rPr>
            </w:pPr>
            <w:r w:rsidRPr="00E0512C">
              <w:rPr>
                <w:rFonts w:ascii="Times New Roman" w:hAnsi="Times New Roman" w:cs="Times New Roman"/>
                <w:b/>
                <w:bCs/>
                <w:sz w:val="22"/>
                <w:szCs w:val="22"/>
              </w:rPr>
              <w:t xml:space="preserve">Duración promedio en </w:t>
            </w:r>
            <w:proofErr w:type="spellStart"/>
            <w:r w:rsidRPr="00E0512C">
              <w:rPr>
                <w:rFonts w:ascii="Times New Roman" w:hAnsi="Times New Roman" w:cs="Times New Roman"/>
                <w:b/>
                <w:bCs/>
                <w:sz w:val="22"/>
                <w:szCs w:val="22"/>
              </w:rPr>
              <w:t>Juzg</w:t>
            </w:r>
            <w:proofErr w:type="spellEnd"/>
            <w:r w:rsidRPr="00E0512C">
              <w:rPr>
                <w:rFonts w:ascii="Times New Roman" w:hAnsi="Times New Roman" w:cs="Times New Roman"/>
                <w:b/>
                <w:bCs/>
                <w:sz w:val="22"/>
                <w:szCs w:val="22"/>
              </w:rPr>
              <w:t>. Trabajo Menor Cuantía (en meses)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9,3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9,3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9,3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8,2</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8,2</w:t>
            </w:r>
          </w:p>
        </w:tc>
      </w:tr>
      <w:tr w:rsidR="00E0512C" w:rsidRPr="00E0512C" w:rsidTr="00B14F0E">
        <w:trPr>
          <w:trHeight w:val="300"/>
          <w:jc w:val="center"/>
        </w:trPr>
        <w:tc>
          <w:tcPr>
            <w:tcW w:w="414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sz w:val="22"/>
                <w:szCs w:val="22"/>
              </w:rPr>
            </w:pPr>
            <w:r w:rsidRPr="00E0512C">
              <w:rPr>
                <w:rFonts w:ascii="Times New Roman" w:hAnsi="Times New Roman" w:cs="Times New Roman"/>
                <w:b/>
                <w:bCs/>
                <w:sz w:val="22"/>
                <w:szCs w:val="22"/>
              </w:rPr>
              <w:t xml:space="preserve">Duración promedio Tribunal Penal (en </w:t>
            </w:r>
            <w:r w:rsidRPr="00E0512C">
              <w:rPr>
                <w:rFonts w:ascii="Times New Roman" w:hAnsi="Times New Roman" w:cs="Times New Roman"/>
                <w:b/>
                <w:bCs/>
                <w:sz w:val="22"/>
                <w:szCs w:val="22"/>
              </w:rPr>
              <w:lastRenderedPageBreak/>
              <w:t>meses)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lastRenderedPageBreak/>
              <w:t>21,1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20,1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21,0</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22,0</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21,0</w:t>
            </w:r>
          </w:p>
        </w:tc>
      </w:tr>
      <w:tr w:rsidR="00E0512C" w:rsidRPr="00E0512C" w:rsidTr="00B14F0E">
        <w:trPr>
          <w:trHeight w:val="300"/>
          <w:jc w:val="center"/>
        </w:trPr>
        <w:tc>
          <w:tcPr>
            <w:tcW w:w="414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sz w:val="22"/>
                <w:szCs w:val="22"/>
              </w:rPr>
            </w:pPr>
            <w:r w:rsidRPr="00E0512C">
              <w:rPr>
                <w:rFonts w:ascii="Times New Roman" w:hAnsi="Times New Roman" w:cs="Times New Roman"/>
                <w:b/>
                <w:bCs/>
                <w:sz w:val="22"/>
                <w:szCs w:val="22"/>
              </w:rPr>
              <w:lastRenderedPageBreak/>
              <w:t>Duración promedio materia Agraria ( en meses)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30</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31,1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25,0</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25,2</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34,3</w:t>
            </w:r>
          </w:p>
        </w:tc>
      </w:tr>
      <w:tr w:rsidR="00E0512C" w:rsidRPr="00E0512C" w:rsidTr="00B14F0E">
        <w:trPr>
          <w:trHeight w:val="300"/>
          <w:jc w:val="center"/>
        </w:trPr>
        <w:tc>
          <w:tcPr>
            <w:tcW w:w="414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sz w:val="22"/>
                <w:szCs w:val="22"/>
              </w:rPr>
            </w:pPr>
            <w:r w:rsidRPr="00E0512C">
              <w:rPr>
                <w:rFonts w:ascii="Times New Roman" w:hAnsi="Times New Roman" w:cs="Times New Roman"/>
                <w:b/>
                <w:bCs/>
                <w:sz w:val="22"/>
                <w:szCs w:val="22"/>
              </w:rPr>
              <w:t>Duración promedio materia Familia ( en meses)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10,1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10,3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8,3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9,0</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8,3</w:t>
            </w:r>
          </w:p>
        </w:tc>
      </w:tr>
      <w:tr w:rsidR="00E0512C" w:rsidRPr="00E0512C" w:rsidTr="00B14F0E">
        <w:trPr>
          <w:trHeight w:val="300"/>
          <w:jc w:val="center"/>
        </w:trPr>
        <w:tc>
          <w:tcPr>
            <w:tcW w:w="414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jc w:val="both"/>
              <w:rPr>
                <w:rFonts w:ascii="Times New Roman" w:hAnsi="Times New Roman" w:cs="Times New Roman"/>
                <w:b/>
                <w:bCs/>
                <w:sz w:val="22"/>
                <w:szCs w:val="22"/>
              </w:rPr>
            </w:pPr>
            <w:r w:rsidRPr="00E0512C">
              <w:rPr>
                <w:rFonts w:ascii="Times New Roman" w:hAnsi="Times New Roman" w:cs="Times New Roman"/>
                <w:b/>
                <w:bCs/>
                <w:sz w:val="22"/>
                <w:szCs w:val="22"/>
              </w:rPr>
              <w:t>Duración promedio materia Contenciosa Administrativa (</w:t>
            </w:r>
            <w:proofErr w:type="spellStart"/>
            <w:r w:rsidRPr="00E0512C">
              <w:rPr>
                <w:rFonts w:ascii="Times New Roman" w:hAnsi="Times New Roman" w:cs="Times New Roman"/>
                <w:b/>
                <w:bCs/>
                <w:sz w:val="22"/>
                <w:szCs w:val="22"/>
              </w:rPr>
              <w:t>Trib</w:t>
            </w:r>
            <w:proofErr w:type="spellEnd"/>
            <w:r w:rsidRPr="00E0512C">
              <w:rPr>
                <w:rFonts w:ascii="Times New Roman" w:hAnsi="Times New Roman" w:cs="Times New Roman"/>
                <w:b/>
                <w:bCs/>
                <w:sz w:val="22"/>
                <w:szCs w:val="22"/>
              </w:rPr>
              <w:t>. Procesal)  (en meses)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9,2</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7,3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9,3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9,3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12,2</w:t>
            </w:r>
          </w:p>
        </w:tc>
      </w:tr>
      <w:tr w:rsidR="00E0512C" w:rsidRPr="00E0512C" w:rsidTr="00B14F0E">
        <w:trPr>
          <w:trHeight w:val="300"/>
          <w:jc w:val="center"/>
        </w:trPr>
        <w:tc>
          <w:tcPr>
            <w:tcW w:w="4140" w:type="dxa"/>
            <w:tcBorders>
              <w:top w:val="threeDEmboss" w:sz="6" w:space="0" w:color="auto"/>
              <w:left w:val="threeDEmboss" w:sz="6" w:space="0" w:color="auto"/>
              <w:bottom w:val="threeDEmboss" w:sz="6" w:space="0" w:color="auto"/>
              <w:right w:val="threeDEmboss" w:sz="6" w:space="0" w:color="auto"/>
            </w:tcBorders>
            <w:shd w:val="clear" w:color="FFFFFF" w:fill="FFFFFF"/>
          </w:tcPr>
          <w:p w:rsidR="00E0512C" w:rsidRPr="00E0512C" w:rsidRDefault="00E0512C" w:rsidP="00E0512C">
            <w:pPr>
              <w:jc w:val="both"/>
              <w:rPr>
                <w:rFonts w:ascii="Times New Roman" w:hAnsi="Times New Roman" w:cs="Times New Roman"/>
                <w:b/>
                <w:sz w:val="22"/>
                <w:szCs w:val="22"/>
                <w:lang w:eastAsia="ar-SA"/>
              </w:rPr>
            </w:pPr>
            <w:r w:rsidRPr="00E0512C">
              <w:rPr>
                <w:rFonts w:ascii="Times New Roman" w:hAnsi="Times New Roman" w:cs="Times New Roman"/>
                <w:b/>
                <w:sz w:val="22"/>
                <w:szCs w:val="22"/>
                <w:lang w:eastAsia="ar-SA"/>
              </w:rPr>
              <w:t>Duración promedio de las sentencias dictadas en materia Contenciosa Administrativa (Juzgado. Contencioso, nueva legislación) (meses)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11,2</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12,3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15,3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15,3</w:t>
            </w:r>
          </w:p>
        </w:tc>
      </w:tr>
      <w:tr w:rsidR="00E0512C" w:rsidRPr="00E0512C" w:rsidTr="00B14F0E">
        <w:trPr>
          <w:trHeight w:val="300"/>
          <w:jc w:val="center"/>
        </w:trPr>
        <w:tc>
          <w:tcPr>
            <w:tcW w:w="4140" w:type="dxa"/>
            <w:tcBorders>
              <w:top w:val="threeDEmboss" w:sz="6" w:space="0" w:color="auto"/>
              <w:left w:val="threeDEmboss" w:sz="6" w:space="0" w:color="auto"/>
              <w:bottom w:val="threeDEmboss" w:sz="6" w:space="0" w:color="auto"/>
              <w:right w:val="threeDEmboss" w:sz="6" w:space="0" w:color="auto"/>
            </w:tcBorders>
            <w:shd w:val="clear" w:color="FFFFFF" w:fill="FFFFFF"/>
          </w:tcPr>
          <w:p w:rsidR="00E0512C" w:rsidRPr="00E0512C" w:rsidRDefault="00E0512C" w:rsidP="00E0512C">
            <w:pPr>
              <w:jc w:val="both"/>
              <w:rPr>
                <w:rFonts w:ascii="Times New Roman" w:hAnsi="Times New Roman" w:cs="Times New Roman"/>
                <w:b/>
                <w:sz w:val="22"/>
                <w:szCs w:val="22"/>
                <w:lang w:eastAsia="ar-SA"/>
              </w:rPr>
            </w:pPr>
            <w:r w:rsidRPr="00E0512C">
              <w:rPr>
                <w:rFonts w:ascii="Times New Roman" w:hAnsi="Times New Roman" w:cs="Times New Roman"/>
                <w:b/>
                <w:bCs/>
                <w:sz w:val="22"/>
                <w:szCs w:val="22"/>
              </w:rPr>
              <w:t>Duración promedio de las sentencias dictadas en materia</w:t>
            </w:r>
            <w:r w:rsidRPr="00E0512C">
              <w:rPr>
                <w:rFonts w:ascii="Times New Roman" w:hAnsi="Times New Roman" w:cs="Times New Roman"/>
                <w:b/>
                <w:sz w:val="22"/>
                <w:szCs w:val="22"/>
                <w:lang w:eastAsia="ar-SA"/>
              </w:rPr>
              <w:t xml:space="preserve"> Contravencional (meses)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5,1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6,3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5,1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5,3</w:t>
            </w:r>
          </w:p>
        </w:tc>
      </w:tr>
      <w:tr w:rsidR="00E0512C" w:rsidRPr="00E0512C" w:rsidTr="00B14F0E">
        <w:trPr>
          <w:trHeight w:val="300"/>
          <w:jc w:val="center"/>
        </w:trPr>
        <w:tc>
          <w:tcPr>
            <w:tcW w:w="4140" w:type="dxa"/>
            <w:tcBorders>
              <w:top w:val="threeDEmboss" w:sz="6" w:space="0" w:color="auto"/>
              <w:left w:val="threeDEmboss" w:sz="6" w:space="0" w:color="auto"/>
              <w:bottom w:val="threeDEmboss" w:sz="6" w:space="0" w:color="auto"/>
              <w:right w:val="threeDEmboss" w:sz="6" w:space="0" w:color="auto"/>
            </w:tcBorders>
            <w:shd w:val="clear" w:color="FFFFFF" w:fill="FFFFFF"/>
          </w:tcPr>
          <w:p w:rsidR="00E0512C" w:rsidRPr="00E0512C" w:rsidRDefault="00E0512C" w:rsidP="00E0512C">
            <w:pPr>
              <w:jc w:val="both"/>
              <w:rPr>
                <w:rFonts w:ascii="Times New Roman" w:hAnsi="Times New Roman" w:cs="Times New Roman"/>
                <w:b/>
                <w:sz w:val="22"/>
                <w:szCs w:val="22"/>
                <w:lang w:eastAsia="ar-SA"/>
              </w:rPr>
            </w:pPr>
            <w:r w:rsidRPr="00E0512C">
              <w:rPr>
                <w:rFonts w:ascii="Times New Roman" w:hAnsi="Times New Roman" w:cs="Times New Roman"/>
                <w:b/>
                <w:bCs/>
                <w:sz w:val="22"/>
                <w:szCs w:val="22"/>
              </w:rPr>
              <w:t>Duración promedio de las sentencias dictadas en materia</w:t>
            </w:r>
            <w:r w:rsidRPr="00E0512C">
              <w:rPr>
                <w:rFonts w:ascii="Times New Roman" w:hAnsi="Times New Roman" w:cs="Times New Roman"/>
                <w:b/>
                <w:sz w:val="22"/>
                <w:szCs w:val="22"/>
                <w:lang w:eastAsia="ar-SA"/>
              </w:rPr>
              <w:t xml:space="preserve"> Tránsito (meses)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4,3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4,3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5,1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5,0</w:t>
            </w:r>
          </w:p>
        </w:tc>
      </w:tr>
      <w:tr w:rsidR="00E0512C" w:rsidRPr="00E0512C" w:rsidTr="00B14F0E">
        <w:trPr>
          <w:trHeight w:val="300"/>
          <w:jc w:val="center"/>
        </w:trPr>
        <w:tc>
          <w:tcPr>
            <w:tcW w:w="4140" w:type="dxa"/>
            <w:tcBorders>
              <w:top w:val="threeDEmboss" w:sz="6" w:space="0" w:color="auto"/>
              <w:left w:val="threeDEmboss" w:sz="6" w:space="0" w:color="auto"/>
              <w:bottom w:val="threeDEmboss" w:sz="6" w:space="0" w:color="auto"/>
              <w:right w:val="threeDEmboss" w:sz="6" w:space="0" w:color="auto"/>
            </w:tcBorders>
            <w:shd w:val="clear" w:color="FFFFFF" w:fill="FFFFFF"/>
          </w:tcPr>
          <w:p w:rsidR="00E0512C" w:rsidRPr="00E0512C" w:rsidRDefault="00E0512C" w:rsidP="00E0512C">
            <w:pPr>
              <w:jc w:val="both"/>
              <w:rPr>
                <w:rFonts w:ascii="Times New Roman" w:hAnsi="Times New Roman" w:cs="Times New Roman"/>
                <w:b/>
                <w:sz w:val="22"/>
                <w:szCs w:val="22"/>
                <w:lang w:eastAsia="ar-SA"/>
              </w:rPr>
            </w:pPr>
            <w:r w:rsidRPr="00E0512C">
              <w:rPr>
                <w:rFonts w:ascii="Times New Roman" w:hAnsi="Times New Roman" w:cs="Times New Roman"/>
                <w:b/>
                <w:bCs/>
                <w:sz w:val="22"/>
                <w:szCs w:val="22"/>
              </w:rPr>
              <w:t xml:space="preserve">Duración promedio de los casos terminados en los </w:t>
            </w:r>
            <w:r w:rsidRPr="00E0512C">
              <w:rPr>
                <w:rFonts w:ascii="Times New Roman" w:hAnsi="Times New Roman" w:cs="Times New Roman"/>
                <w:b/>
                <w:sz w:val="22"/>
                <w:szCs w:val="22"/>
                <w:lang w:eastAsia="ar-SA"/>
              </w:rPr>
              <w:t>Juzgados Penales (meses)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4,0</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4,3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5,0</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4,0</w:t>
            </w:r>
          </w:p>
        </w:tc>
      </w:tr>
      <w:tr w:rsidR="00E0512C" w:rsidRPr="00E0512C" w:rsidTr="00B14F0E">
        <w:trPr>
          <w:trHeight w:val="300"/>
          <w:jc w:val="center"/>
        </w:trPr>
        <w:tc>
          <w:tcPr>
            <w:tcW w:w="4140" w:type="dxa"/>
            <w:tcBorders>
              <w:top w:val="threeDEmboss" w:sz="6" w:space="0" w:color="auto"/>
              <w:left w:val="threeDEmboss" w:sz="6" w:space="0" w:color="auto"/>
              <w:bottom w:val="threeDEmboss" w:sz="6" w:space="0" w:color="auto"/>
              <w:right w:val="threeDEmboss" w:sz="6" w:space="0" w:color="auto"/>
            </w:tcBorders>
            <w:shd w:val="clear" w:color="FFFFFF" w:fill="FFFFFF"/>
          </w:tcPr>
          <w:p w:rsidR="00E0512C" w:rsidRPr="00E0512C" w:rsidRDefault="00E0512C" w:rsidP="00E0512C">
            <w:pPr>
              <w:jc w:val="both"/>
              <w:rPr>
                <w:rFonts w:ascii="Times New Roman" w:hAnsi="Times New Roman" w:cs="Times New Roman"/>
                <w:b/>
                <w:sz w:val="22"/>
                <w:szCs w:val="22"/>
                <w:lang w:eastAsia="ar-SA"/>
              </w:rPr>
            </w:pPr>
            <w:r w:rsidRPr="00E0512C">
              <w:rPr>
                <w:rFonts w:ascii="Times New Roman" w:hAnsi="Times New Roman" w:cs="Times New Roman"/>
                <w:b/>
                <w:bCs/>
                <w:sz w:val="22"/>
                <w:szCs w:val="22"/>
              </w:rPr>
              <w:t xml:space="preserve">Duración promedio de casos en las </w:t>
            </w:r>
            <w:r w:rsidRPr="00E0512C">
              <w:rPr>
                <w:rFonts w:ascii="Times New Roman" w:hAnsi="Times New Roman" w:cs="Times New Roman"/>
                <w:b/>
                <w:sz w:val="22"/>
                <w:szCs w:val="22"/>
                <w:lang w:eastAsia="ar-SA"/>
              </w:rPr>
              <w:t>Fiscalías Penales Juveniles (meses)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3,0</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3,0</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2,0</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2,0</w:t>
            </w:r>
          </w:p>
        </w:tc>
      </w:tr>
      <w:tr w:rsidR="00E0512C" w:rsidRPr="00E0512C" w:rsidTr="00B14F0E">
        <w:trPr>
          <w:trHeight w:val="300"/>
          <w:jc w:val="center"/>
        </w:trPr>
        <w:tc>
          <w:tcPr>
            <w:tcW w:w="4140" w:type="dxa"/>
            <w:tcBorders>
              <w:top w:val="threeDEmboss" w:sz="6" w:space="0" w:color="auto"/>
              <w:left w:val="threeDEmboss" w:sz="6" w:space="0" w:color="auto"/>
              <w:bottom w:val="threeDEmboss" w:sz="6" w:space="0" w:color="auto"/>
              <w:right w:val="threeDEmboss" w:sz="6" w:space="0" w:color="auto"/>
            </w:tcBorders>
            <w:shd w:val="clear" w:color="FFFFFF" w:fill="FFFFFF"/>
          </w:tcPr>
          <w:p w:rsidR="00E0512C" w:rsidRPr="00E0512C" w:rsidRDefault="00E0512C" w:rsidP="00E0512C">
            <w:pPr>
              <w:jc w:val="both"/>
              <w:rPr>
                <w:rFonts w:ascii="Times New Roman" w:hAnsi="Times New Roman" w:cs="Times New Roman"/>
                <w:b/>
                <w:sz w:val="22"/>
                <w:szCs w:val="22"/>
                <w:lang w:eastAsia="ar-SA"/>
              </w:rPr>
            </w:pPr>
            <w:r w:rsidRPr="00E0512C">
              <w:rPr>
                <w:rFonts w:ascii="Times New Roman" w:hAnsi="Times New Roman" w:cs="Times New Roman"/>
                <w:b/>
                <w:bCs/>
                <w:sz w:val="22"/>
                <w:szCs w:val="22"/>
              </w:rPr>
              <w:t xml:space="preserve">Duración promedio de las sentencias dictadas a los menores en los </w:t>
            </w:r>
            <w:r w:rsidRPr="00E0512C">
              <w:rPr>
                <w:rFonts w:ascii="Times New Roman" w:hAnsi="Times New Roman" w:cs="Times New Roman"/>
                <w:b/>
                <w:sz w:val="22"/>
                <w:szCs w:val="22"/>
                <w:lang w:eastAsia="ar-SA"/>
              </w:rPr>
              <w:t>Juzgados Penales Juveniles (meses)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20,1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20,1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22,3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24,3</w:t>
            </w:r>
          </w:p>
        </w:tc>
      </w:tr>
      <w:tr w:rsidR="00E0512C" w:rsidRPr="00E0512C" w:rsidTr="00B14F0E">
        <w:trPr>
          <w:trHeight w:val="300"/>
          <w:jc w:val="center"/>
        </w:trPr>
        <w:tc>
          <w:tcPr>
            <w:tcW w:w="414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sz w:val="22"/>
                <w:szCs w:val="22"/>
              </w:rPr>
            </w:pPr>
            <w:r w:rsidRPr="00E0512C">
              <w:rPr>
                <w:rFonts w:ascii="Times New Roman" w:hAnsi="Times New Roman" w:cs="Times New Roman"/>
                <w:b/>
                <w:bCs/>
                <w:sz w:val="22"/>
                <w:szCs w:val="22"/>
              </w:rPr>
              <w:t>Duración promedio de las resoluciones dictadas sobre el fondo en la Sala Primera (en meses)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14,0</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16,0</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18,2</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22,0</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23,2</w:t>
            </w:r>
          </w:p>
        </w:tc>
      </w:tr>
      <w:tr w:rsidR="00E0512C" w:rsidRPr="00E0512C" w:rsidTr="00B14F0E">
        <w:trPr>
          <w:trHeight w:val="300"/>
          <w:jc w:val="center"/>
        </w:trPr>
        <w:tc>
          <w:tcPr>
            <w:tcW w:w="414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sz w:val="22"/>
                <w:szCs w:val="22"/>
              </w:rPr>
            </w:pPr>
            <w:r w:rsidRPr="00E0512C">
              <w:rPr>
                <w:rFonts w:ascii="Times New Roman" w:hAnsi="Times New Roman" w:cs="Times New Roman"/>
                <w:b/>
                <w:bCs/>
                <w:sz w:val="22"/>
                <w:szCs w:val="22"/>
              </w:rPr>
              <w:t>Duración promedio Sala Primera (Casación Contencioso Administrativa) (en meses)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4,3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10,2</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10,1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12,1</w:t>
            </w:r>
          </w:p>
        </w:tc>
      </w:tr>
      <w:tr w:rsidR="00E0512C" w:rsidRPr="00E0512C" w:rsidTr="00B14F0E">
        <w:trPr>
          <w:trHeight w:val="300"/>
          <w:jc w:val="center"/>
        </w:trPr>
        <w:tc>
          <w:tcPr>
            <w:tcW w:w="414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sz w:val="22"/>
                <w:szCs w:val="22"/>
              </w:rPr>
            </w:pPr>
            <w:r w:rsidRPr="00E0512C">
              <w:rPr>
                <w:rFonts w:ascii="Times New Roman" w:hAnsi="Times New Roman" w:cs="Times New Roman"/>
                <w:b/>
                <w:bCs/>
                <w:sz w:val="22"/>
                <w:szCs w:val="22"/>
              </w:rPr>
              <w:t>Duración promedio de las resoluciones dictadas sobre el fondo en la Sala Segunda (en meses)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3,0</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3,2</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4,1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4,1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3,2</w:t>
            </w:r>
          </w:p>
        </w:tc>
      </w:tr>
      <w:tr w:rsidR="00E0512C" w:rsidRPr="00E0512C" w:rsidTr="00B14F0E">
        <w:trPr>
          <w:trHeight w:val="300"/>
          <w:jc w:val="center"/>
        </w:trPr>
        <w:tc>
          <w:tcPr>
            <w:tcW w:w="414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sz w:val="22"/>
                <w:szCs w:val="22"/>
              </w:rPr>
            </w:pPr>
            <w:r w:rsidRPr="00E0512C">
              <w:rPr>
                <w:rFonts w:ascii="Times New Roman" w:hAnsi="Times New Roman" w:cs="Times New Roman"/>
                <w:b/>
                <w:bCs/>
                <w:sz w:val="22"/>
                <w:szCs w:val="22"/>
              </w:rPr>
              <w:t>Duración promedio Sala Tercera (recursos de casación) (en meses)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11,0</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15,2</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18,0</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10,1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6,0</w:t>
            </w:r>
          </w:p>
        </w:tc>
      </w:tr>
      <w:tr w:rsidR="00E0512C" w:rsidRPr="00E0512C" w:rsidTr="00B14F0E">
        <w:trPr>
          <w:trHeight w:val="300"/>
          <w:jc w:val="center"/>
        </w:trPr>
        <w:tc>
          <w:tcPr>
            <w:tcW w:w="414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sz w:val="22"/>
                <w:szCs w:val="22"/>
              </w:rPr>
            </w:pPr>
            <w:r w:rsidRPr="00E0512C">
              <w:rPr>
                <w:rFonts w:ascii="Times New Roman" w:hAnsi="Times New Roman" w:cs="Times New Roman"/>
                <w:b/>
                <w:bCs/>
                <w:sz w:val="22"/>
                <w:szCs w:val="22"/>
              </w:rPr>
              <w:t>Duración promedio Sala Tercera (recursos de revisión) (en meses)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20,3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24,0</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24,3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12,0</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8,2</w:t>
            </w:r>
          </w:p>
        </w:tc>
      </w:tr>
      <w:tr w:rsidR="00E0512C" w:rsidRPr="00E0512C" w:rsidTr="00B14F0E">
        <w:trPr>
          <w:trHeight w:val="300"/>
          <w:jc w:val="center"/>
        </w:trPr>
        <w:tc>
          <w:tcPr>
            <w:tcW w:w="414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sz w:val="22"/>
                <w:szCs w:val="22"/>
              </w:rPr>
            </w:pPr>
            <w:r w:rsidRPr="00E0512C">
              <w:rPr>
                <w:rFonts w:ascii="Times New Roman" w:hAnsi="Times New Roman" w:cs="Times New Roman"/>
                <w:b/>
                <w:bCs/>
                <w:sz w:val="22"/>
                <w:szCs w:val="22"/>
              </w:rPr>
              <w:t xml:space="preserve">Duración promedio de las resoluciones emitidas en </w:t>
            </w:r>
            <w:proofErr w:type="spellStart"/>
            <w:r w:rsidRPr="00E0512C">
              <w:rPr>
                <w:rFonts w:ascii="Times New Roman" w:hAnsi="Times New Roman" w:cs="Times New Roman"/>
                <w:b/>
                <w:bCs/>
                <w:sz w:val="22"/>
                <w:szCs w:val="22"/>
              </w:rPr>
              <w:t>laSala</w:t>
            </w:r>
            <w:proofErr w:type="spellEnd"/>
            <w:r w:rsidRPr="00E0512C">
              <w:rPr>
                <w:rFonts w:ascii="Times New Roman" w:hAnsi="Times New Roman" w:cs="Times New Roman"/>
                <w:b/>
                <w:bCs/>
                <w:sz w:val="22"/>
                <w:szCs w:val="22"/>
              </w:rPr>
              <w:t xml:space="preserve"> Tercera --Penal Juvenil-- (en meses)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3,0</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4,2</w:t>
            </w:r>
          </w:p>
        </w:tc>
      </w:tr>
      <w:tr w:rsidR="00E0512C" w:rsidRPr="00E0512C" w:rsidTr="00B14F0E">
        <w:trPr>
          <w:trHeight w:val="300"/>
          <w:jc w:val="center"/>
        </w:trPr>
        <w:tc>
          <w:tcPr>
            <w:tcW w:w="414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sz w:val="22"/>
                <w:szCs w:val="22"/>
              </w:rPr>
            </w:pPr>
            <w:r w:rsidRPr="00E0512C">
              <w:rPr>
                <w:rFonts w:ascii="Times New Roman" w:hAnsi="Times New Roman" w:cs="Times New Roman"/>
                <w:b/>
                <w:bCs/>
                <w:sz w:val="22"/>
                <w:szCs w:val="22"/>
              </w:rPr>
              <w:t xml:space="preserve">Duración promedio Sala Constitucional (Habeas Corpus) (días) </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17</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16</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15</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15</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13</w:t>
            </w:r>
          </w:p>
        </w:tc>
      </w:tr>
      <w:tr w:rsidR="00E0512C" w:rsidRPr="00E0512C" w:rsidTr="00B14F0E">
        <w:trPr>
          <w:trHeight w:val="300"/>
          <w:jc w:val="center"/>
        </w:trPr>
        <w:tc>
          <w:tcPr>
            <w:tcW w:w="414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sz w:val="22"/>
                <w:szCs w:val="22"/>
              </w:rPr>
            </w:pPr>
            <w:r w:rsidRPr="00E0512C">
              <w:rPr>
                <w:rFonts w:ascii="Times New Roman" w:hAnsi="Times New Roman" w:cs="Times New Roman"/>
                <w:b/>
                <w:bCs/>
                <w:sz w:val="22"/>
                <w:szCs w:val="22"/>
              </w:rPr>
              <w:t>Duración promedio Sala Constitucional (</w:t>
            </w:r>
            <w:proofErr w:type="spellStart"/>
            <w:r w:rsidRPr="00E0512C">
              <w:rPr>
                <w:rFonts w:ascii="Times New Roman" w:hAnsi="Times New Roman" w:cs="Times New Roman"/>
                <w:b/>
                <w:bCs/>
                <w:sz w:val="22"/>
                <w:szCs w:val="22"/>
              </w:rPr>
              <w:t>Rec</w:t>
            </w:r>
            <w:proofErr w:type="spellEnd"/>
            <w:r w:rsidRPr="00E0512C">
              <w:rPr>
                <w:rFonts w:ascii="Times New Roman" w:hAnsi="Times New Roman" w:cs="Times New Roman"/>
                <w:b/>
                <w:bCs/>
                <w:sz w:val="22"/>
                <w:szCs w:val="22"/>
              </w:rPr>
              <w:t>. Amparo) (meses)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2,0</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1,0</w:t>
            </w:r>
          </w:p>
        </w:tc>
      </w:tr>
      <w:tr w:rsidR="00E0512C" w:rsidRPr="00E0512C" w:rsidTr="00B14F0E">
        <w:trPr>
          <w:trHeight w:val="300"/>
          <w:jc w:val="center"/>
        </w:trPr>
        <w:tc>
          <w:tcPr>
            <w:tcW w:w="414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sz w:val="22"/>
                <w:szCs w:val="22"/>
              </w:rPr>
            </w:pPr>
            <w:r w:rsidRPr="00E0512C">
              <w:rPr>
                <w:rFonts w:ascii="Times New Roman" w:hAnsi="Times New Roman" w:cs="Times New Roman"/>
                <w:b/>
                <w:bCs/>
                <w:sz w:val="22"/>
                <w:szCs w:val="22"/>
              </w:rPr>
              <w:lastRenderedPageBreak/>
              <w:t>Duración promedio Sala Constitucional (Acción Inconstitucionalidad) (meses)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20,2</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16,3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16,3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18,0</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15,2</w:t>
            </w:r>
          </w:p>
        </w:tc>
      </w:tr>
      <w:tr w:rsidR="00E0512C" w:rsidRPr="00E0512C" w:rsidTr="00B14F0E">
        <w:trPr>
          <w:trHeight w:val="300"/>
          <w:jc w:val="center"/>
        </w:trPr>
        <w:tc>
          <w:tcPr>
            <w:tcW w:w="414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sz w:val="22"/>
                <w:szCs w:val="22"/>
              </w:rPr>
            </w:pPr>
            <w:r w:rsidRPr="00E0512C">
              <w:rPr>
                <w:rFonts w:ascii="Times New Roman" w:hAnsi="Times New Roman" w:cs="Times New Roman"/>
                <w:b/>
                <w:bCs/>
                <w:sz w:val="22"/>
                <w:szCs w:val="22"/>
              </w:rPr>
              <w:t>Duración promedio de los recursos de apelación votados por el fondo en los Tribunales de Apelación de Sentencia Penal (meses)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2,0</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4,0</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4,1</w:t>
            </w:r>
          </w:p>
        </w:tc>
      </w:tr>
      <w:tr w:rsidR="00E0512C" w:rsidRPr="00E0512C" w:rsidTr="00B14F0E">
        <w:trPr>
          <w:trHeight w:val="300"/>
          <w:jc w:val="center"/>
        </w:trPr>
        <w:tc>
          <w:tcPr>
            <w:tcW w:w="414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sz w:val="22"/>
                <w:szCs w:val="22"/>
              </w:rPr>
            </w:pPr>
            <w:r w:rsidRPr="00E0512C">
              <w:rPr>
                <w:rFonts w:ascii="Times New Roman" w:hAnsi="Times New Roman" w:cs="Times New Roman"/>
                <w:b/>
                <w:bCs/>
                <w:sz w:val="22"/>
                <w:szCs w:val="22"/>
              </w:rPr>
              <w:t>Duración promedio de los recursos de apelación votados por el fondo en los Tribunales de Apelación de Sentencia Penal Juvenil (meses)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0,3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0,3</w:t>
            </w:r>
          </w:p>
        </w:tc>
      </w:tr>
      <w:tr w:rsidR="00E0512C" w:rsidRPr="00E0512C" w:rsidTr="00B14F0E">
        <w:trPr>
          <w:trHeight w:val="300"/>
          <w:jc w:val="center"/>
        </w:trPr>
        <w:tc>
          <w:tcPr>
            <w:tcW w:w="414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sz w:val="22"/>
                <w:szCs w:val="22"/>
              </w:rPr>
            </w:pPr>
            <w:r w:rsidRPr="00E0512C">
              <w:rPr>
                <w:rFonts w:ascii="Times New Roman" w:hAnsi="Times New Roman" w:cs="Times New Roman"/>
                <w:b/>
                <w:bCs/>
                <w:sz w:val="22"/>
                <w:szCs w:val="22"/>
              </w:rPr>
              <w:t>Duración promedio Tribunales laborales (meses)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6,3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7,2</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5,2</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5,3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7,1</w:t>
            </w:r>
          </w:p>
        </w:tc>
      </w:tr>
      <w:tr w:rsidR="00E0512C" w:rsidRPr="00E0512C" w:rsidTr="00B14F0E">
        <w:trPr>
          <w:trHeight w:val="300"/>
          <w:jc w:val="center"/>
        </w:trPr>
        <w:tc>
          <w:tcPr>
            <w:tcW w:w="414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sz w:val="22"/>
                <w:szCs w:val="22"/>
              </w:rPr>
            </w:pPr>
            <w:r w:rsidRPr="00E0512C">
              <w:rPr>
                <w:rFonts w:ascii="Times New Roman" w:hAnsi="Times New Roman" w:cs="Times New Roman"/>
                <w:b/>
                <w:bCs/>
                <w:sz w:val="22"/>
                <w:szCs w:val="22"/>
              </w:rPr>
              <w:t>Duración promedio Tribunal Contencioso Administrativo (meses)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6,1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4,1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5,2</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3,2</w:t>
            </w:r>
          </w:p>
        </w:tc>
      </w:tr>
      <w:tr w:rsidR="00E0512C" w:rsidRPr="00E0512C" w:rsidTr="00B14F0E">
        <w:trPr>
          <w:trHeight w:val="300"/>
          <w:jc w:val="center"/>
        </w:trPr>
        <w:tc>
          <w:tcPr>
            <w:tcW w:w="414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sz w:val="22"/>
                <w:szCs w:val="22"/>
              </w:rPr>
            </w:pPr>
            <w:r w:rsidRPr="00E0512C">
              <w:rPr>
                <w:rFonts w:ascii="Times New Roman" w:hAnsi="Times New Roman" w:cs="Times New Roman"/>
                <w:b/>
                <w:bCs/>
                <w:sz w:val="22"/>
                <w:szCs w:val="22"/>
              </w:rPr>
              <w:t>Duración promedio Tribunal de Apelación de lo Contencioso Administrativo (meses)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3,0</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2,0</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2,0</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1,2</w:t>
            </w:r>
          </w:p>
        </w:tc>
      </w:tr>
      <w:tr w:rsidR="00E0512C" w:rsidRPr="00E0512C" w:rsidTr="00B14F0E">
        <w:trPr>
          <w:trHeight w:val="300"/>
          <w:jc w:val="center"/>
        </w:trPr>
        <w:tc>
          <w:tcPr>
            <w:tcW w:w="414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sz w:val="22"/>
                <w:szCs w:val="22"/>
              </w:rPr>
            </w:pPr>
            <w:r w:rsidRPr="00E0512C">
              <w:rPr>
                <w:rFonts w:ascii="Times New Roman" w:hAnsi="Times New Roman" w:cs="Times New Roman"/>
                <w:b/>
                <w:bCs/>
                <w:sz w:val="22"/>
                <w:szCs w:val="22"/>
              </w:rPr>
              <w:t>Duración promedio Tribunal Agrario (meses)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8,2</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5,1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2,2</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3,2</w:t>
            </w:r>
          </w:p>
        </w:tc>
      </w:tr>
      <w:tr w:rsidR="00E0512C" w:rsidRPr="00E0512C" w:rsidTr="00B14F0E">
        <w:trPr>
          <w:trHeight w:val="300"/>
          <w:jc w:val="center"/>
        </w:trPr>
        <w:tc>
          <w:tcPr>
            <w:tcW w:w="414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sz w:val="22"/>
                <w:szCs w:val="22"/>
              </w:rPr>
            </w:pPr>
            <w:r w:rsidRPr="00E0512C">
              <w:rPr>
                <w:rFonts w:ascii="Times New Roman" w:hAnsi="Times New Roman" w:cs="Times New Roman"/>
                <w:b/>
                <w:bCs/>
                <w:sz w:val="22"/>
                <w:szCs w:val="22"/>
              </w:rPr>
              <w:t>Duración promedio Tribunal Familia (meses)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1,2</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1,1</w:t>
            </w:r>
          </w:p>
        </w:tc>
      </w:tr>
    </w:tbl>
    <w:p w:rsidR="00E0512C" w:rsidRPr="00E0512C" w:rsidRDefault="00E0512C" w:rsidP="00E0512C">
      <w:pPr>
        <w:rPr>
          <w:rFonts w:ascii="Times New Roman" w:hAnsi="Times New Roman" w:cs="Times New Roman"/>
        </w:rPr>
      </w:pPr>
    </w:p>
    <w:p w:rsidR="00E0512C" w:rsidRPr="00E0512C" w:rsidRDefault="00E0512C" w:rsidP="00E0512C">
      <w:pPr>
        <w:rPr>
          <w:rFonts w:ascii="Times New Roman" w:hAnsi="Times New Roman" w:cs="Times New Roman"/>
        </w:rPr>
      </w:pPr>
    </w:p>
    <w:p w:rsidR="00E0512C" w:rsidRPr="00E0512C" w:rsidRDefault="00E0512C" w:rsidP="00E0512C">
      <w:pPr>
        <w:rPr>
          <w:rFonts w:ascii="Times New Roman" w:hAnsi="Times New Roman" w:cs="Times New Roman"/>
        </w:rPr>
      </w:pPr>
    </w:p>
    <w:tbl>
      <w:tblPr>
        <w:tblW w:w="0" w:type="auto"/>
        <w:tblLayout w:type="fixed"/>
        <w:tblCellMar>
          <w:left w:w="0" w:type="dxa"/>
          <w:right w:w="0" w:type="dxa"/>
        </w:tblCellMar>
        <w:tblLook w:val="0000"/>
      </w:tblPr>
      <w:tblGrid>
        <w:gridCol w:w="5985"/>
      </w:tblGrid>
      <w:tr w:rsidR="00E0512C" w:rsidRPr="00E0512C" w:rsidTr="00B14F0E">
        <w:trPr>
          <w:cantSplit/>
          <w:trHeight w:val="600"/>
        </w:trPr>
        <w:tc>
          <w:tcPr>
            <w:tcW w:w="5985" w:type="dxa"/>
            <w:vMerge w:val="restart"/>
            <w:tcBorders>
              <w:top w:val="nil"/>
              <w:left w:val="nil"/>
              <w:bottom w:val="nil"/>
              <w:right w:val="nil"/>
            </w:tcBorders>
            <w:shd w:val="clear" w:color="FFFFFF" w:fill="FFFFFF"/>
            <w:vAlign w:val="center"/>
          </w:tcPr>
          <w:p w:rsidR="00E0512C" w:rsidRPr="00E0512C" w:rsidRDefault="003A1B7B" w:rsidP="00E0512C">
            <w:pPr>
              <w:rPr>
                <w:rFonts w:ascii="Times New Roman" w:hAnsi="Times New Roman" w:cs="Times New Roman"/>
                <w:u w:val="single"/>
              </w:rPr>
            </w:pPr>
            <w:r w:rsidRPr="00E0512C">
              <w:rPr>
                <w:rFonts w:ascii="Times New Roman" w:hAnsi="Times New Roman" w:cs="Times New Roman"/>
                <w:u w:val="single"/>
              </w:rPr>
              <w:fldChar w:fldCharType="begin"/>
            </w:r>
            <w:r w:rsidR="00E0512C" w:rsidRPr="00E0512C">
              <w:rPr>
                <w:rFonts w:ascii="Times New Roman" w:hAnsi="Times New Roman" w:cs="Times New Roman"/>
                <w:u w:val="single"/>
              </w:rPr>
              <w:instrText>PRIVATE</w:instrText>
            </w:r>
            <w:r w:rsidRPr="00E0512C">
              <w:rPr>
                <w:rFonts w:ascii="Times New Roman" w:hAnsi="Times New Roman" w:cs="Times New Roman"/>
                <w:u w:val="single"/>
              </w:rPr>
              <w:fldChar w:fldCharType="end"/>
            </w:r>
            <w:r w:rsidR="00E0512C" w:rsidRPr="00E0512C">
              <w:rPr>
                <w:rFonts w:ascii="Times New Roman" w:hAnsi="Times New Roman" w:cs="Times New Roman"/>
                <w:b/>
                <w:bCs/>
                <w:i/>
                <w:iCs/>
                <w:u w:val="single"/>
              </w:rPr>
              <w:t>Calidad del Servicio</w:t>
            </w:r>
          </w:p>
        </w:tc>
      </w:tr>
      <w:tr w:rsidR="00E0512C" w:rsidRPr="00E0512C" w:rsidTr="00B14F0E">
        <w:tc>
          <w:tcPr>
            <w:tcW w:w="5985" w:type="dxa"/>
            <w:tcBorders>
              <w:top w:val="nil"/>
              <w:left w:val="nil"/>
              <w:bottom w:val="nil"/>
              <w:right w:val="nil"/>
            </w:tcBorders>
            <w:vAlign w:val="center"/>
          </w:tcPr>
          <w:p w:rsidR="00E0512C" w:rsidRPr="00E0512C" w:rsidRDefault="00E0512C" w:rsidP="00E0512C">
            <w:pPr>
              <w:rPr>
                <w:rFonts w:ascii="Times New Roman" w:hAnsi="Times New Roman" w:cs="Times New Roman"/>
              </w:rPr>
            </w:pPr>
          </w:p>
        </w:tc>
      </w:tr>
    </w:tbl>
    <w:p w:rsidR="00E0512C" w:rsidRPr="00E0512C" w:rsidRDefault="00E0512C" w:rsidP="00E0512C">
      <w:pPr>
        <w:rPr>
          <w:rFonts w:ascii="Times New Roman" w:hAnsi="Times New Roman" w:cs="Times New Roman"/>
        </w:rPr>
      </w:pPr>
    </w:p>
    <w:tbl>
      <w:tblPr>
        <w:tblW w:w="8570" w:type="dxa"/>
        <w:jc w:val="center"/>
        <w:tblLayout w:type="fixed"/>
        <w:tblCellMar>
          <w:left w:w="0" w:type="dxa"/>
          <w:right w:w="0" w:type="dxa"/>
        </w:tblCellMar>
        <w:tblLook w:val="0000"/>
      </w:tblPr>
      <w:tblGrid>
        <w:gridCol w:w="4200"/>
        <w:gridCol w:w="900"/>
        <w:gridCol w:w="900"/>
        <w:gridCol w:w="900"/>
        <w:gridCol w:w="900"/>
        <w:gridCol w:w="770"/>
      </w:tblGrid>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3A1B7B" w:rsidP="00E0512C">
            <w:pPr>
              <w:jc w:val="center"/>
              <w:rPr>
                <w:rFonts w:ascii="Times New Roman" w:hAnsi="Times New Roman" w:cs="Times New Roman"/>
                <w:sz w:val="22"/>
                <w:szCs w:val="22"/>
              </w:rPr>
            </w:pPr>
            <w:r w:rsidRPr="00E0512C">
              <w:rPr>
                <w:rFonts w:ascii="Times New Roman" w:hAnsi="Times New Roman" w:cs="Times New Roman"/>
                <w:sz w:val="22"/>
                <w:szCs w:val="22"/>
              </w:rPr>
              <w:fldChar w:fldCharType="begin"/>
            </w:r>
            <w:r w:rsidR="00E0512C" w:rsidRPr="00E0512C">
              <w:rPr>
                <w:rFonts w:ascii="Times New Roman" w:hAnsi="Times New Roman" w:cs="Times New Roman"/>
                <w:sz w:val="22"/>
                <w:szCs w:val="22"/>
              </w:rPr>
              <w:instrText>PRIVATE</w:instrText>
            </w:r>
            <w:r w:rsidRPr="00E0512C">
              <w:rPr>
                <w:rFonts w:ascii="Times New Roman" w:hAnsi="Times New Roman" w:cs="Times New Roman"/>
                <w:sz w:val="22"/>
                <w:szCs w:val="22"/>
              </w:rPr>
              <w:fldChar w:fldCharType="end"/>
            </w:r>
            <w:r w:rsidR="00E0512C" w:rsidRPr="00E0512C">
              <w:rPr>
                <w:rFonts w:ascii="Times New Roman" w:hAnsi="Times New Roman" w:cs="Times New Roman"/>
                <w:b/>
                <w:bCs/>
                <w:sz w:val="22"/>
                <w:szCs w:val="22"/>
              </w:rPr>
              <w:t>Año</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b/>
                <w:bCs/>
                <w:sz w:val="22"/>
                <w:szCs w:val="22"/>
              </w:rPr>
              <w:t>2011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b/>
                <w:bCs/>
                <w:sz w:val="22"/>
                <w:szCs w:val="22"/>
              </w:rPr>
              <w:t>2012</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b/>
                <w:bCs/>
                <w:sz w:val="22"/>
                <w:szCs w:val="22"/>
              </w:rPr>
              <w:t>2013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b/>
                <w:bCs/>
                <w:sz w:val="22"/>
                <w:szCs w:val="22"/>
              </w:rPr>
              <w:t>2014</w:t>
            </w:r>
          </w:p>
        </w:tc>
        <w:tc>
          <w:tcPr>
            <w:tcW w:w="77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b/>
                <w:bCs/>
                <w:sz w:val="22"/>
                <w:szCs w:val="22"/>
              </w:rPr>
              <w:t>2015</w:t>
            </w:r>
          </w:p>
        </w:tc>
      </w:tr>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sz w:val="22"/>
                <w:szCs w:val="22"/>
              </w:rPr>
            </w:pPr>
            <w:r w:rsidRPr="00E0512C">
              <w:rPr>
                <w:rFonts w:ascii="Times New Roman" w:hAnsi="Times New Roman" w:cs="Times New Roman"/>
                <w:b/>
                <w:bCs/>
                <w:sz w:val="22"/>
                <w:szCs w:val="22"/>
              </w:rPr>
              <w:t>Tasa de Revocación en apelación</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8,1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8,1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8,2</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7,6</w:t>
            </w:r>
          </w:p>
        </w:tc>
        <w:tc>
          <w:tcPr>
            <w:tcW w:w="77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8,1</w:t>
            </w:r>
          </w:p>
        </w:tc>
      </w:tr>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sz w:val="22"/>
                <w:szCs w:val="22"/>
              </w:rPr>
            </w:pPr>
            <w:r w:rsidRPr="00E0512C">
              <w:rPr>
                <w:rFonts w:ascii="Times New Roman" w:hAnsi="Times New Roman" w:cs="Times New Roman"/>
                <w:b/>
                <w:bCs/>
                <w:sz w:val="22"/>
                <w:szCs w:val="22"/>
              </w:rPr>
              <w:t>Porcentaje de casos anulados en apelación</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9,3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8,2</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7,7</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8,1</w:t>
            </w:r>
          </w:p>
        </w:tc>
        <w:tc>
          <w:tcPr>
            <w:tcW w:w="77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8,1</w:t>
            </w:r>
          </w:p>
        </w:tc>
      </w:tr>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sz w:val="22"/>
                <w:szCs w:val="22"/>
              </w:rPr>
            </w:pPr>
            <w:r w:rsidRPr="00E0512C">
              <w:rPr>
                <w:rFonts w:ascii="Times New Roman" w:hAnsi="Times New Roman" w:cs="Times New Roman"/>
                <w:b/>
                <w:bCs/>
                <w:sz w:val="22"/>
                <w:szCs w:val="22"/>
              </w:rPr>
              <w:t>Porcentaje de asuntos declarados con lugar en apelación en los tribunales de apelación penal</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22,5</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29,3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30,5</w:t>
            </w:r>
          </w:p>
        </w:tc>
        <w:tc>
          <w:tcPr>
            <w:tcW w:w="77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34,4</w:t>
            </w:r>
          </w:p>
        </w:tc>
      </w:tr>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sz w:val="22"/>
                <w:szCs w:val="22"/>
              </w:rPr>
            </w:pPr>
            <w:r w:rsidRPr="00E0512C">
              <w:rPr>
                <w:rFonts w:ascii="Times New Roman" w:hAnsi="Times New Roman" w:cs="Times New Roman"/>
                <w:b/>
                <w:bCs/>
                <w:sz w:val="22"/>
                <w:szCs w:val="22"/>
              </w:rPr>
              <w:t>Número de Gestiones Usuarios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6.369</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6.122</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6.808</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7.488</w:t>
            </w:r>
          </w:p>
        </w:tc>
        <w:tc>
          <w:tcPr>
            <w:tcW w:w="77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8.456</w:t>
            </w:r>
          </w:p>
        </w:tc>
      </w:tr>
    </w:tbl>
    <w:p w:rsidR="00E0512C" w:rsidRPr="00E0512C" w:rsidRDefault="00E0512C" w:rsidP="00E0512C">
      <w:pPr>
        <w:rPr>
          <w:rFonts w:ascii="Times New Roman" w:hAnsi="Times New Roman" w:cs="Times New Roman"/>
        </w:rPr>
      </w:pPr>
    </w:p>
    <w:tbl>
      <w:tblPr>
        <w:tblW w:w="0" w:type="auto"/>
        <w:tblLayout w:type="fixed"/>
        <w:tblCellMar>
          <w:left w:w="0" w:type="dxa"/>
          <w:right w:w="0" w:type="dxa"/>
        </w:tblCellMar>
        <w:tblLook w:val="0000"/>
      </w:tblPr>
      <w:tblGrid>
        <w:gridCol w:w="5985"/>
      </w:tblGrid>
      <w:tr w:rsidR="00E0512C" w:rsidRPr="00E0512C" w:rsidTr="00B14F0E">
        <w:trPr>
          <w:cantSplit/>
          <w:trHeight w:val="600"/>
        </w:trPr>
        <w:tc>
          <w:tcPr>
            <w:tcW w:w="5985" w:type="dxa"/>
            <w:vMerge w:val="restart"/>
            <w:tcBorders>
              <w:top w:val="nil"/>
              <w:left w:val="nil"/>
              <w:bottom w:val="nil"/>
              <w:right w:val="nil"/>
            </w:tcBorders>
            <w:shd w:val="clear" w:color="FFFFFF" w:fill="FFFFFF"/>
            <w:vAlign w:val="center"/>
          </w:tcPr>
          <w:p w:rsidR="00E0512C" w:rsidRPr="00E0512C" w:rsidRDefault="00E0512C" w:rsidP="00E0512C">
            <w:pPr>
              <w:rPr>
                <w:rFonts w:ascii="Times New Roman" w:hAnsi="Times New Roman" w:cs="Times New Roman"/>
              </w:rPr>
            </w:pPr>
            <w:r w:rsidRPr="00E0512C">
              <w:rPr>
                <w:rFonts w:ascii="Times New Roman" w:hAnsi="Times New Roman" w:cs="Times New Roman"/>
              </w:rPr>
              <w:lastRenderedPageBreak/>
              <w:br w:type="page"/>
            </w:r>
          </w:p>
          <w:p w:rsidR="00671DC6" w:rsidRDefault="00671DC6" w:rsidP="00E0512C">
            <w:pPr>
              <w:rPr>
                <w:rFonts w:ascii="Times New Roman" w:hAnsi="Times New Roman" w:cs="Times New Roman"/>
                <w:b/>
                <w:bCs/>
                <w:i/>
                <w:iCs/>
                <w:u w:val="single"/>
              </w:rPr>
            </w:pPr>
          </w:p>
          <w:p w:rsidR="00671DC6" w:rsidRDefault="00671DC6" w:rsidP="00E0512C">
            <w:pPr>
              <w:rPr>
                <w:rFonts w:ascii="Times New Roman" w:hAnsi="Times New Roman" w:cs="Times New Roman"/>
                <w:b/>
                <w:bCs/>
                <w:i/>
                <w:iCs/>
                <w:u w:val="single"/>
              </w:rPr>
            </w:pPr>
          </w:p>
          <w:p w:rsidR="00671DC6" w:rsidRDefault="00671DC6" w:rsidP="00E0512C">
            <w:pPr>
              <w:rPr>
                <w:rFonts w:ascii="Times New Roman" w:hAnsi="Times New Roman" w:cs="Times New Roman"/>
                <w:b/>
                <w:bCs/>
                <w:i/>
                <w:iCs/>
                <w:u w:val="single"/>
              </w:rPr>
            </w:pPr>
          </w:p>
          <w:p w:rsidR="00671DC6" w:rsidRDefault="00671DC6" w:rsidP="00E0512C">
            <w:pPr>
              <w:rPr>
                <w:rFonts w:ascii="Times New Roman" w:hAnsi="Times New Roman" w:cs="Times New Roman"/>
                <w:b/>
                <w:bCs/>
                <w:i/>
                <w:iCs/>
                <w:u w:val="single"/>
              </w:rPr>
            </w:pPr>
          </w:p>
          <w:p w:rsidR="00671DC6" w:rsidRDefault="00671DC6" w:rsidP="00E0512C">
            <w:pPr>
              <w:rPr>
                <w:rFonts w:ascii="Times New Roman" w:hAnsi="Times New Roman" w:cs="Times New Roman"/>
                <w:b/>
                <w:bCs/>
                <w:i/>
                <w:iCs/>
                <w:u w:val="single"/>
              </w:rPr>
            </w:pPr>
          </w:p>
          <w:p w:rsidR="00671DC6" w:rsidRDefault="00671DC6" w:rsidP="00E0512C">
            <w:pPr>
              <w:rPr>
                <w:rFonts w:ascii="Times New Roman" w:hAnsi="Times New Roman" w:cs="Times New Roman"/>
                <w:b/>
                <w:bCs/>
                <w:i/>
                <w:iCs/>
                <w:u w:val="single"/>
              </w:rPr>
            </w:pPr>
          </w:p>
          <w:p w:rsidR="00E0512C" w:rsidRPr="00E0512C" w:rsidRDefault="00E0512C" w:rsidP="00E0512C">
            <w:pPr>
              <w:rPr>
                <w:rFonts w:ascii="Times New Roman" w:hAnsi="Times New Roman" w:cs="Times New Roman"/>
                <w:u w:val="single"/>
              </w:rPr>
            </w:pPr>
            <w:r w:rsidRPr="00E0512C">
              <w:rPr>
                <w:rFonts w:ascii="Times New Roman" w:hAnsi="Times New Roman" w:cs="Times New Roman"/>
                <w:b/>
                <w:bCs/>
                <w:i/>
                <w:iCs/>
                <w:u w:val="single"/>
              </w:rPr>
              <w:t>Fiscalía</w:t>
            </w:r>
          </w:p>
        </w:tc>
      </w:tr>
      <w:tr w:rsidR="00E0512C" w:rsidRPr="00E0512C" w:rsidTr="00B14F0E">
        <w:tc>
          <w:tcPr>
            <w:tcW w:w="5985" w:type="dxa"/>
            <w:tcBorders>
              <w:top w:val="nil"/>
              <w:left w:val="nil"/>
              <w:bottom w:val="nil"/>
              <w:right w:val="nil"/>
            </w:tcBorders>
            <w:vAlign w:val="center"/>
          </w:tcPr>
          <w:p w:rsidR="00E0512C" w:rsidRPr="00E0512C" w:rsidRDefault="00E0512C" w:rsidP="00E0512C">
            <w:pPr>
              <w:rPr>
                <w:rFonts w:ascii="Times New Roman" w:hAnsi="Times New Roman" w:cs="Times New Roman"/>
              </w:rPr>
            </w:pPr>
          </w:p>
        </w:tc>
      </w:tr>
    </w:tbl>
    <w:p w:rsidR="00E0512C" w:rsidRPr="00E0512C" w:rsidRDefault="00E0512C" w:rsidP="00E0512C">
      <w:pPr>
        <w:rPr>
          <w:rFonts w:ascii="Times New Roman" w:hAnsi="Times New Roman" w:cs="Times New Roman"/>
        </w:rPr>
      </w:pPr>
    </w:p>
    <w:tbl>
      <w:tblPr>
        <w:tblW w:w="8520" w:type="dxa"/>
        <w:jc w:val="center"/>
        <w:tblLayout w:type="fixed"/>
        <w:tblCellMar>
          <w:left w:w="0" w:type="dxa"/>
          <w:right w:w="0" w:type="dxa"/>
        </w:tblCellMar>
        <w:tblLook w:val="0000"/>
      </w:tblPr>
      <w:tblGrid>
        <w:gridCol w:w="4200"/>
        <w:gridCol w:w="900"/>
        <w:gridCol w:w="900"/>
        <w:gridCol w:w="900"/>
        <w:gridCol w:w="900"/>
        <w:gridCol w:w="720"/>
      </w:tblGrid>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3A1B7B" w:rsidP="00E0512C">
            <w:pPr>
              <w:jc w:val="center"/>
              <w:rPr>
                <w:rFonts w:ascii="Times New Roman" w:hAnsi="Times New Roman" w:cs="Times New Roman"/>
                <w:sz w:val="22"/>
                <w:szCs w:val="22"/>
              </w:rPr>
            </w:pPr>
            <w:r w:rsidRPr="00E0512C">
              <w:rPr>
                <w:rFonts w:ascii="Times New Roman" w:hAnsi="Times New Roman" w:cs="Times New Roman"/>
                <w:sz w:val="22"/>
                <w:szCs w:val="22"/>
              </w:rPr>
              <w:fldChar w:fldCharType="begin"/>
            </w:r>
            <w:r w:rsidR="00E0512C" w:rsidRPr="00E0512C">
              <w:rPr>
                <w:rFonts w:ascii="Times New Roman" w:hAnsi="Times New Roman" w:cs="Times New Roman"/>
                <w:sz w:val="22"/>
                <w:szCs w:val="22"/>
              </w:rPr>
              <w:instrText>PRIVATE</w:instrText>
            </w:r>
            <w:r w:rsidRPr="00E0512C">
              <w:rPr>
                <w:rFonts w:ascii="Times New Roman" w:hAnsi="Times New Roman" w:cs="Times New Roman"/>
                <w:sz w:val="22"/>
                <w:szCs w:val="22"/>
              </w:rPr>
              <w:fldChar w:fldCharType="end"/>
            </w:r>
            <w:r w:rsidR="00E0512C" w:rsidRPr="00E0512C">
              <w:rPr>
                <w:rFonts w:ascii="Times New Roman" w:hAnsi="Times New Roman" w:cs="Times New Roman"/>
                <w:b/>
                <w:bCs/>
                <w:sz w:val="22"/>
                <w:szCs w:val="22"/>
              </w:rPr>
              <w:t>Año</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b/>
                <w:bCs/>
                <w:sz w:val="22"/>
                <w:szCs w:val="22"/>
              </w:rPr>
              <w:t>2011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b/>
                <w:bCs/>
                <w:sz w:val="22"/>
                <w:szCs w:val="22"/>
              </w:rPr>
              <w:t>2012</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b/>
                <w:bCs/>
                <w:sz w:val="22"/>
                <w:szCs w:val="22"/>
              </w:rPr>
              <w:t>2013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b/>
                <w:bCs/>
                <w:sz w:val="22"/>
                <w:szCs w:val="22"/>
              </w:rPr>
              <w:t>2014</w:t>
            </w:r>
          </w:p>
        </w:tc>
        <w:tc>
          <w:tcPr>
            <w:tcW w:w="72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b/>
                <w:bCs/>
                <w:sz w:val="22"/>
                <w:szCs w:val="22"/>
              </w:rPr>
              <w:t>2015</w:t>
            </w:r>
          </w:p>
        </w:tc>
      </w:tr>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sz w:val="22"/>
                <w:szCs w:val="22"/>
              </w:rPr>
            </w:pPr>
            <w:r w:rsidRPr="00E0512C">
              <w:rPr>
                <w:rFonts w:ascii="Times New Roman" w:hAnsi="Times New Roman" w:cs="Times New Roman"/>
                <w:b/>
                <w:bCs/>
                <w:sz w:val="22"/>
                <w:szCs w:val="22"/>
              </w:rPr>
              <w:t xml:space="preserve">Tasa de denuncia por delito ingresada al Ministerio Público </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4.640</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3.051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3.330</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3.466</w:t>
            </w:r>
          </w:p>
        </w:tc>
        <w:tc>
          <w:tcPr>
            <w:tcW w:w="72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3.194</w:t>
            </w:r>
          </w:p>
        </w:tc>
      </w:tr>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sz w:val="22"/>
                <w:szCs w:val="22"/>
              </w:rPr>
            </w:pPr>
            <w:r w:rsidRPr="00E0512C">
              <w:rPr>
                <w:rFonts w:ascii="Times New Roman" w:hAnsi="Times New Roman" w:cs="Times New Roman"/>
                <w:b/>
                <w:bCs/>
                <w:sz w:val="22"/>
                <w:szCs w:val="22"/>
              </w:rPr>
              <w:t>% Delitos trasladados al Juzgado Penal</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10,8</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16,7</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15,4</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15,0</w:t>
            </w:r>
          </w:p>
        </w:tc>
        <w:tc>
          <w:tcPr>
            <w:tcW w:w="72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16,3</w:t>
            </w:r>
          </w:p>
        </w:tc>
      </w:tr>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sz w:val="22"/>
                <w:szCs w:val="22"/>
              </w:rPr>
            </w:pPr>
            <w:r w:rsidRPr="00E0512C">
              <w:rPr>
                <w:rFonts w:ascii="Times New Roman" w:hAnsi="Times New Roman" w:cs="Times New Roman"/>
                <w:b/>
                <w:bCs/>
                <w:sz w:val="22"/>
                <w:szCs w:val="22"/>
              </w:rPr>
              <w:t>Expedientes de menores de 18 años por cada mil menores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12,3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7,9</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7,9</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7,2</w:t>
            </w:r>
          </w:p>
        </w:tc>
        <w:tc>
          <w:tcPr>
            <w:tcW w:w="72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6,7</w:t>
            </w:r>
          </w:p>
        </w:tc>
      </w:tr>
    </w:tbl>
    <w:p w:rsidR="00E0512C" w:rsidRPr="00E0512C" w:rsidRDefault="00E0512C" w:rsidP="00E0512C">
      <w:pPr>
        <w:rPr>
          <w:rFonts w:ascii="Times New Roman" w:hAnsi="Times New Roman" w:cs="Times New Roman"/>
        </w:rPr>
      </w:pPr>
    </w:p>
    <w:p w:rsidR="00E0512C" w:rsidRPr="00E0512C" w:rsidRDefault="00E0512C" w:rsidP="00E0512C">
      <w:pPr>
        <w:rPr>
          <w:rFonts w:ascii="Times New Roman" w:hAnsi="Times New Roman" w:cs="Times New Roman"/>
        </w:rPr>
      </w:pPr>
    </w:p>
    <w:p w:rsidR="00E0512C" w:rsidRPr="00E0512C" w:rsidRDefault="00E0512C" w:rsidP="00E0512C">
      <w:pPr>
        <w:rPr>
          <w:rFonts w:ascii="Times New Roman" w:hAnsi="Times New Roman" w:cs="Times New Roman"/>
        </w:rPr>
      </w:pPr>
    </w:p>
    <w:p w:rsidR="00E0512C" w:rsidRPr="00E0512C" w:rsidRDefault="00E0512C" w:rsidP="00E0512C">
      <w:pPr>
        <w:rPr>
          <w:rFonts w:ascii="Times New Roman" w:hAnsi="Times New Roman" w:cs="Times New Roman"/>
        </w:rPr>
      </w:pPr>
    </w:p>
    <w:tbl>
      <w:tblPr>
        <w:tblW w:w="0" w:type="auto"/>
        <w:tblLayout w:type="fixed"/>
        <w:tblCellMar>
          <w:left w:w="0" w:type="dxa"/>
          <w:right w:w="0" w:type="dxa"/>
        </w:tblCellMar>
        <w:tblLook w:val="0000"/>
      </w:tblPr>
      <w:tblGrid>
        <w:gridCol w:w="5985"/>
      </w:tblGrid>
      <w:tr w:rsidR="00E0512C" w:rsidRPr="00E0512C" w:rsidTr="00B14F0E">
        <w:trPr>
          <w:cantSplit/>
          <w:trHeight w:val="600"/>
        </w:trPr>
        <w:tc>
          <w:tcPr>
            <w:tcW w:w="5985" w:type="dxa"/>
            <w:tcBorders>
              <w:top w:val="nil"/>
              <w:left w:val="nil"/>
              <w:bottom w:val="nil"/>
              <w:right w:val="nil"/>
            </w:tcBorders>
            <w:shd w:val="clear" w:color="FFFFFF" w:fill="FFFFFF"/>
            <w:vAlign w:val="center"/>
          </w:tcPr>
          <w:p w:rsidR="00E0512C" w:rsidRPr="00E0512C" w:rsidRDefault="00E0512C" w:rsidP="00E0512C">
            <w:pPr>
              <w:rPr>
                <w:rFonts w:ascii="Times New Roman" w:hAnsi="Times New Roman" w:cs="Times New Roman"/>
                <w:b/>
                <w:bCs/>
                <w:i/>
                <w:iCs/>
                <w:u w:val="single"/>
              </w:rPr>
            </w:pPr>
            <w:r w:rsidRPr="00E0512C">
              <w:rPr>
                <w:rFonts w:ascii="Times New Roman" w:hAnsi="Times New Roman" w:cs="Times New Roman"/>
                <w:b/>
                <w:bCs/>
                <w:i/>
                <w:iCs/>
                <w:u w:val="single"/>
              </w:rPr>
              <w:t>Sistema Penitenciario</w:t>
            </w:r>
            <w:r w:rsidR="003A1B7B" w:rsidRPr="00E0512C">
              <w:rPr>
                <w:rFonts w:ascii="Times New Roman" w:hAnsi="Times New Roman" w:cs="Times New Roman"/>
                <w:b/>
                <w:bCs/>
                <w:i/>
                <w:iCs/>
                <w:u w:val="single"/>
              </w:rPr>
              <w:fldChar w:fldCharType="begin"/>
            </w:r>
            <w:r w:rsidRPr="00E0512C">
              <w:rPr>
                <w:rFonts w:ascii="Times New Roman" w:hAnsi="Times New Roman" w:cs="Times New Roman"/>
                <w:b/>
                <w:bCs/>
                <w:i/>
                <w:iCs/>
                <w:u w:val="single"/>
              </w:rPr>
              <w:instrText>PRIVATE</w:instrText>
            </w:r>
            <w:r w:rsidR="003A1B7B" w:rsidRPr="00E0512C">
              <w:rPr>
                <w:rFonts w:ascii="Times New Roman" w:hAnsi="Times New Roman" w:cs="Times New Roman"/>
                <w:b/>
                <w:bCs/>
                <w:i/>
                <w:iCs/>
                <w:u w:val="single"/>
              </w:rPr>
              <w:fldChar w:fldCharType="end"/>
            </w:r>
          </w:p>
        </w:tc>
      </w:tr>
    </w:tbl>
    <w:p w:rsidR="00E0512C" w:rsidRPr="00E0512C" w:rsidRDefault="00E0512C" w:rsidP="00E0512C">
      <w:pPr>
        <w:rPr>
          <w:rFonts w:ascii="Times New Roman" w:hAnsi="Times New Roman" w:cs="Times New Roman"/>
        </w:rPr>
      </w:pPr>
    </w:p>
    <w:tbl>
      <w:tblPr>
        <w:tblW w:w="8520" w:type="dxa"/>
        <w:jc w:val="center"/>
        <w:tblLayout w:type="fixed"/>
        <w:tblCellMar>
          <w:left w:w="0" w:type="dxa"/>
          <w:right w:w="0" w:type="dxa"/>
        </w:tblCellMar>
        <w:tblLook w:val="0000"/>
      </w:tblPr>
      <w:tblGrid>
        <w:gridCol w:w="4200"/>
        <w:gridCol w:w="900"/>
        <w:gridCol w:w="900"/>
        <w:gridCol w:w="900"/>
        <w:gridCol w:w="900"/>
        <w:gridCol w:w="720"/>
      </w:tblGrid>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3A1B7B" w:rsidP="00E0512C">
            <w:pPr>
              <w:jc w:val="center"/>
              <w:rPr>
                <w:rFonts w:ascii="Times New Roman" w:hAnsi="Times New Roman" w:cs="Times New Roman"/>
                <w:sz w:val="22"/>
                <w:szCs w:val="22"/>
              </w:rPr>
            </w:pPr>
            <w:r w:rsidRPr="00E0512C">
              <w:rPr>
                <w:rFonts w:ascii="Times New Roman" w:hAnsi="Times New Roman" w:cs="Times New Roman"/>
                <w:sz w:val="22"/>
                <w:szCs w:val="22"/>
              </w:rPr>
              <w:fldChar w:fldCharType="begin"/>
            </w:r>
            <w:r w:rsidR="00E0512C" w:rsidRPr="00E0512C">
              <w:rPr>
                <w:rFonts w:ascii="Times New Roman" w:hAnsi="Times New Roman" w:cs="Times New Roman"/>
                <w:sz w:val="22"/>
                <w:szCs w:val="22"/>
              </w:rPr>
              <w:instrText>PRIVATE</w:instrText>
            </w:r>
            <w:r w:rsidRPr="00E0512C">
              <w:rPr>
                <w:rFonts w:ascii="Times New Roman" w:hAnsi="Times New Roman" w:cs="Times New Roman"/>
                <w:sz w:val="22"/>
                <w:szCs w:val="22"/>
              </w:rPr>
              <w:fldChar w:fldCharType="end"/>
            </w:r>
            <w:r w:rsidR="00E0512C" w:rsidRPr="00E0512C">
              <w:rPr>
                <w:rFonts w:ascii="Times New Roman" w:hAnsi="Times New Roman" w:cs="Times New Roman"/>
                <w:b/>
                <w:bCs/>
                <w:sz w:val="22"/>
                <w:szCs w:val="22"/>
              </w:rPr>
              <w:t>Año</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b/>
                <w:bCs/>
                <w:sz w:val="22"/>
                <w:szCs w:val="22"/>
              </w:rPr>
              <w:t>2011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b/>
                <w:bCs/>
                <w:sz w:val="22"/>
                <w:szCs w:val="22"/>
              </w:rPr>
              <w:t>2012</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b/>
                <w:bCs/>
                <w:sz w:val="22"/>
                <w:szCs w:val="22"/>
              </w:rPr>
              <w:t>2013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b/>
                <w:bCs/>
                <w:sz w:val="22"/>
                <w:szCs w:val="22"/>
              </w:rPr>
              <w:t>2014</w:t>
            </w:r>
          </w:p>
        </w:tc>
        <w:tc>
          <w:tcPr>
            <w:tcW w:w="72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b/>
                <w:bCs/>
                <w:sz w:val="22"/>
                <w:szCs w:val="22"/>
              </w:rPr>
              <w:t>2015</w:t>
            </w:r>
          </w:p>
        </w:tc>
      </w:tr>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sz w:val="22"/>
                <w:szCs w:val="22"/>
              </w:rPr>
            </w:pPr>
            <w:r w:rsidRPr="00E0512C">
              <w:rPr>
                <w:rFonts w:ascii="Times New Roman" w:hAnsi="Times New Roman" w:cs="Times New Roman"/>
                <w:b/>
                <w:bCs/>
                <w:sz w:val="22"/>
                <w:szCs w:val="22"/>
              </w:rPr>
              <w:t>Penados por 100 mil habitantes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154</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174</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186</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185</w:t>
            </w:r>
          </w:p>
        </w:tc>
        <w:tc>
          <w:tcPr>
            <w:tcW w:w="72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184</w:t>
            </w:r>
          </w:p>
        </w:tc>
      </w:tr>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sz w:val="22"/>
                <w:szCs w:val="22"/>
              </w:rPr>
            </w:pPr>
            <w:r w:rsidRPr="00E0512C">
              <w:rPr>
                <w:rFonts w:ascii="Times New Roman" w:hAnsi="Times New Roman" w:cs="Times New Roman"/>
                <w:b/>
                <w:bCs/>
                <w:sz w:val="22"/>
                <w:szCs w:val="22"/>
              </w:rPr>
              <w:t>Absueltos por 100 mil habitantes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85</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91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95</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95</w:t>
            </w:r>
          </w:p>
        </w:tc>
        <w:tc>
          <w:tcPr>
            <w:tcW w:w="72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85</w:t>
            </w:r>
          </w:p>
        </w:tc>
      </w:tr>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sz w:val="22"/>
                <w:szCs w:val="22"/>
              </w:rPr>
            </w:pPr>
            <w:r w:rsidRPr="00E0512C">
              <w:rPr>
                <w:rFonts w:ascii="Times New Roman" w:hAnsi="Times New Roman" w:cs="Times New Roman"/>
                <w:b/>
                <w:bCs/>
                <w:sz w:val="22"/>
                <w:szCs w:val="22"/>
              </w:rPr>
              <w:t>Edad promedio de las personas condenadas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33,5</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34,7</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33,7</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34,2</w:t>
            </w:r>
          </w:p>
        </w:tc>
        <w:tc>
          <w:tcPr>
            <w:tcW w:w="72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34,4</w:t>
            </w:r>
          </w:p>
        </w:tc>
      </w:tr>
    </w:tbl>
    <w:p w:rsidR="00E0512C" w:rsidRPr="00E0512C" w:rsidRDefault="00E0512C" w:rsidP="00E0512C">
      <w:pPr>
        <w:rPr>
          <w:rFonts w:ascii="Times New Roman" w:hAnsi="Times New Roman" w:cs="Times New Roman"/>
        </w:rPr>
      </w:pPr>
    </w:p>
    <w:p w:rsidR="00E0512C" w:rsidRPr="00E0512C" w:rsidRDefault="00E0512C" w:rsidP="00E0512C">
      <w:pPr>
        <w:rPr>
          <w:rFonts w:ascii="Times New Roman" w:hAnsi="Times New Roman" w:cs="Times New Roman"/>
        </w:rPr>
      </w:pPr>
    </w:p>
    <w:p w:rsidR="00E0512C" w:rsidRPr="00E0512C" w:rsidRDefault="00E0512C" w:rsidP="00E0512C">
      <w:pPr>
        <w:rPr>
          <w:rFonts w:ascii="Times New Roman" w:hAnsi="Times New Roman" w:cs="Times New Roman"/>
        </w:rPr>
      </w:pPr>
    </w:p>
    <w:tbl>
      <w:tblPr>
        <w:tblW w:w="0" w:type="auto"/>
        <w:tblLayout w:type="fixed"/>
        <w:tblCellMar>
          <w:left w:w="0" w:type="dxa"/>
          <w:right w:w="0" w:type="dxa"/>
        </w:tblCellMar>
        <w:tblLook w:val="0000"/>
      </w:tblPr>
      <w:tblGrid>
        <w:gridCol w:w="5985"/>
      </w:tblGrid>
      <w:tr w:rsidR="00E0512C" w:rsidRPr="00E0512C" w:rsidTr="00B14F0E">
        <w:trPr>
          <w:cantSplit/>
          <w:trHeight w:val="600"/>
        </w:trPr>
        <w:tc>
          <w:tcPr>
            <w:tcW w:w="5985" w:type="dxa"/>
            <w:vMerge w:val="restart"/>
            <w:tcBorders>
              <w:top w:val="nil"/>
              <w:left w:val="nil"/>
              <w:bottom w:val="nil"/>
              <w:right w:val="nil"/>
            </w:tcBorders>
            <w:shd w:val="clear" w:color="FFFFFF" w:fill="FFFFFF"/>
            <w:vAlign w:val="center"/>
          </w:tcPr>
          <w:p w:rsidR="00E0512C" w:rsidRPr="00E0512C" w:rsidRDefault="003A1B7B" w:rsidP="00E0512C">
            <w:pPr>
              <w:rPr>
                <w:rFonts w:ascii="Times New Roman" w:hAnsi="Times New Roman" w:cs="Times New Roman"/>
                <w:u w:val="single"/>
              </w:rPr>
            </w:pPr>
            <w:r w:rsidRPr="00E0512C">
              <w:rPr>
                <w:rFonts w:ascii="Times New Roman" w:hAnsi="Times New Roman" w:cs="Times New Roman"/>
                <w:u w:val="single"/>
              </w:rPr>
              <w:fldChar w:fldCharType="begin"/>
            </w:r>
            <w:r w:rsidR="00E0512C" w:rsidRPr="00E0512C">
              <w:rPr>
                <w:rFonts w:ascii="Times New Roman" w:hAnsi="Times New Roman" w:cs="Times New Roman"/>
                <w:u w:val="single"/>
              </w:rPr>
              <w:instrText>PRIVATE</w:instrText>
            </w:r>
            <w:r w:rsidRPr="00E0512C">
              <w:rPr>
                <w:rFonts w:ascii="Times New Roman" w:hAnsi="Times New Roman" w:cs="Times New Roman"/>
                <w:u w:val="single"/>
              </w:rPr>
              <w:fldChar w:fldCharType="end"/>
            </w:r>
            <w:r w:rsidR="00E0512C" w:rsidRPr="00E0512C">
              <w:rPr>
                <w:rFonts w:ascii="Times New Roman" w:hAnsi="Times New Roman" w:cs="Times New Roman"/>
                <w:b/>
                <w:bCs/>
                <w:i/>
                <w:iCs/>
                <w:u w:val="single"/>
              </w:rPr>
              <w:t>Seguridad Ciudadana</w:t>
            </w:r>
          </w:p>
        </w:tc>
      </w:tr>
      <w:tr w:rsidR="00E0512C" w:rsidRPr="00E0512C" w:rsidTr="00B14F0E">
        <w:tc>
          <w:tcPr>
            <w:tcW w:w="5985" w:type="dxa"/>
            <w:tcBorders>
              <w:top w:val="nil"/>
              <w:left w:val="nil"/>
              <w:bottom w:val="nil"/>
              <w:right w:val="nil"/>
            </w:tcBorders>
            <w:vAlign w:val="center"/>
          </w:tcPr>
          <w:p w:rsidR="00E0512C" w:rsidRPr="00E0512C" w:rsidRDefault="00E0512C" w:rsidP="00E0512C">
            <w:pPr>
              <w:rPr>
                <w:rFonts w:ascii="Times New Roman" w:hAnsi="Times New Roman" w:cs="Times New Roman"/>
              </w:rPr>
            </w:pPr>
          </w:p>
        </w:tc>
      </w:tr>
    </w:tbl>
    <w:p w:rsidR="00E0512C" w:rsidRPr="00E0512C" w:rsidRDefault="00E0512C" w:rsidP="00E0512C">
      <w:pPr>
        <w:rPr>
          <w:rFonts w:ascii="Times New Roman" w:hAnsi="Times New Roman" w:cs="Times New Roman"/>
        </w:rPr>
      </w:pPr>
    </w:p>
    <w:tbl>
      <w:tblPr>
        <w:tblW w:w="8520" w:type="dxa"/>
        <w:jc w:val="center"/>
        <w:tblLayout w:type="fixed"/>
        <w:tblCellMar>
          <w:left w:w="0" w:type="dxa"/>
          <w:right w:w="0" w:type="dxa"/>
        </w:tblCellMar>
        <w:tblLook w:val="0000"/>
      </w:tblPr>
      <w:tblGrid>
        <w:gridCol w:w="4200"/>
        <w:gridCol w:w="900"/>
        <w:gridCol w:w="900"/>
        <w:gridCol w:w="900"/>
        <w:gridCol w:w="900"/>
        <w:gridCol w:w="720"/>
      </w:tblGrid>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3A1B7B" w:rsidP="00E0512C">
            <w:pPr>
              <w:jc w:val="center"/>
              <w:rPr>
                <w:rFonts w:ascii="Times New Roman" w:hAnsi="Times New Roman" w:cs="Times New Roman"/>
                <w:sz w:val="22"/>
                <w:szCs w:val="22"/>
              </w:rPr>
            </w:pPr>
            <w:r w:rsidRPr="00E0512C">
              <w:rPr>
                <w:rFonts w:ascii="Times New Roman" w:hAnsi="Times New Roman" w:cs="Times New Roman"/>
                <w:sz w:val="22"/>
                <w:szCs w:val="22"/>
              </w:rPr>
              <w:fldChar w:fldCharType="begin"/>
            </w:r>
            <w:r w:rsidR="00E0512C" w:rsidRPr="00E0512C">
              <w:rPr>
                <w:rFonts w:ascii="Times New Roman" w:hAnsi="Times New Roman" w:cs="Times New Roman"/>
                <w:sz w:val="22"/>
                <w:szCs w:val="22"/>
              </w:rPr>
              <w:instrText>PRIVATE</w:instrText>
            </w:r>
            <w:r w:rsidRPr="00E0512C">
              <w:rPr>
                <w:rFonts w:ascii="Times New Roman" w:hAnsi="Times New Roman" w:cs="Times New Roman"/>
                <w:sz w:val="22"/>
                <w:szCs w:val="22"/>
              </w:rPr>
              <w:fldChar w:fldCharType="end"/>
            </w:r>
            <w:r w:rsidR="00E0512C" w:rsidRPr="00E0512C">
              <w:rPr>
                <w:rFonts w:ascii="Times New Roman" w:hAnsi="Times New Roman" w:cs="Times New Roman"/>
                <w:b/>
                <w:bCs/>
                <w:sz w:val="22"/>
                <w:szCs w:val="22"/>
              </w:rPr>
              <w:t>Año</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b/>
                <w:bCs/>
                <w:sz w:val="22"/>
                <w:szCs w:val="22"/>
              </w:rPr>
              <w:t>2011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b/>
                <w:bCs/>
                <w:sz w:val="22"/>
                <w:szCs w:val="22"/>
              </w:rPr>
              <w:t>2012</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b/>
                <w:bCs/>
                <w:sz w:val="22"/>
                <w:szCs w:val="22"/>
              </w:rPr>
              <w:t>2013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b/>
                <w:bCs/>
                <w:sz w:val="22"/>
                <w:szCs w:val="22"/>
              </w:rPr>
              <w:t>2014</w:t>
            </w:r>
          </w:p>
        </w:tc>
        <w:tc>
          <w:tcPr>
            <w:tcW w:w="72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b/>
                <w:bCs/>
                <w:sz w:val="22"/>
                <w:szCs w:val="22"/>
              </w:rPr>
              <w:t>2015</w:t>
            </w:r>
          </w:p>
        </w:tc>
      </w:tr>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sz w:val="22"/>
                <w:szCs w:val="22"/>
              </w:rPr>
            </w:pPr>
            <w:r w:rsidRPr="00E0512C">
              <w:rPr>
                <w:rFonts w:ascii="Times New Roman" w:hAnsi="Times New Roman" w:cs="Times New Roman"/>
                <w:b/>
                <w:bCs/>
                <w:sz w:val="22"/>
                <w:szCs w:val="22"/>
              </w:rPr>
              <w:t>Tasa de criminalidad</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145,8</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173,6</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155,4</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148,8</w:t>
            </w:r>
          </w:p>
        </w:tc>
        <w:tc>
          <w:tcPr>
            <w:tcW w:w="72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147,7</w:t>
            </w:r>
          </w:p>
        </w:tc>
      </w:tr>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sz w:val="22"/>
                <w:szCs w:val="22"/>
              </w:rPr>
            </w:pPr>
            <w:r w:rsidRPr="00E0512C">
              <w:rPr>
                <w:rFonts w:ascii="Times New Roman" w:hAnsi="Times New Roman" w:cs="Times New Roman"/>
                <w:b/>
                <w:bCs/>
                <w:sz w:val="22"/>
                <w:szCs w:val="22"/>
              </w:rPr>
              <w:t>Tasa de víctimas por homicidio doloso</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10,3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8,7</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8,7</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10,0</w:t>
            </w:r>
          </w:p>
        </w:tc>
        <w:tc>
          <w:tcPr>
            <w:tcW w:w="72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highlight w:val="yellow"/>
              </w:rPr>
            </w:pPr>
            <w:r w:rsidRPr="00E0512C">
              <w:rPr>
                <w:rFonts w:ascii="Times New Roman" w:hAnsi="Times New Roman" w:cs="Times New Roman"/>
                <w:sz w:val="22"/>
                <w:szCs w:val="22"/>
              </w:rPr>
              <w:t>11,5</w:t>
            </w:r>
          </w:p>
        </w:tc>
      </w:tr>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rPr>
                <w:rFonts w:ascii="Times New Roman" w:hAnsi="Times New Roman" w:cs="Times New Roman"/>
                <w:b/>
                <w:bCs/>
                <w:sz w:val="22"/>
                <w:szCs w:val="22"/>
              </w:rPr>
            </w:pPr>
            <w:r w:rsidRPr="00E0512C">
              <w:rPr>
                <w:rFonts w:ascii="Times New Roman" w:hAnsi="Times New Roman" w:cs="Times New Roman"/>
                <w:b/>
                <w:bCs/>
                <w:sz w:val="22"/>
                <w:szCs w:val="22"/>
              </w:rPr>
              <w:t>Tasa de víctimas por secuestro extorsivo</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0,26</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0,11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0,13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0,08</w:t>
            </w:r>
          </w:p>
        </w:tc>
        <w:tc>
          <w:tcPr>
            <w:tcW w:w="72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0,23</w:t>
            </w:r>
          </w:p>
        </w:tc>
      </w:tr>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widowControl/>
              <w:autoSpaceDE/>
              <w:autoSpaceDN/>
              <w:adjustRightInd/>
              <w:rPr>
                <w:rFonts w:ascii="Times New Roman" w:hAnsi="Times New Roman" w:cs="Times New Roman"/>
                <w:b/>
                <w:bCs/>
                <w:sz w:val="22"/>
                <w:szCs w:val="22"/>
                <w:lang w:val="es-CR"/>
              </w:rPr>
            </w:pPr>
            <w:r w:rsidRPr="00E0512C">
              <w:rPr>
                <w:rFonts w:ascii="Times New Roman" w:hAnsi="Times New Roman" w:cs="Times New Roman"/>
                <w:b/>
                <w:bCs/>
                <w:sz w:val="22"/>
                <w:szCs w:val="22"/>
                <w:lang w:val="es-CR"/>
              </w:rPr>
              <w:t>Tasa de delincuencia</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1.510,7</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1.768,0</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1.879,3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2.026,4</w:t>
            </w:r>
          </w:p>
        </w:tc>
        <w:tc>
          <w:tcPr>
            <w:tcW w:w="72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highlight w:val="yellow"/>
              </w:rPr>
            </w:pPr>
            <w:r w:rsidRPr="00E0512C">
              <w:rPr>
                <w:rFonts w:ascii="Times New Roman" w:hAnsi="Times New Roman" w:cs="Times New Roman"/>
                <w:sz w:val="22"/>
                <w:szCs w:val="22"/>
              </w:rPr>
              <w:t>1.900,9</w:t>
            </w:r>
          </w:p>
        </w:tc>
      </w:tr>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widowControl/>
              <w:autoSpaceDE/>
              <w:autoSpaceDN/>
              <w:adjustRightInd/>
              <w:rPr>
                <w:rFonts w:ascii="Times New Roman" w:hAnsi="Times New Roman" w:cs="Times New Roman"/>
                <w:b/>
                <w:bCs/>
                <w:sz w:val="22"/>
                <w:szCs w:val="22"/>
                <w:lang w:val="es-CR"/>
              </w:rPr>
            </w:pPr>
            <w:r w:rsidRPr="00E0512C">
              <w:rPr>
                <w:rFonts w:ascii="Times New Roman" w:hAnsi="Times New Roman" w:cs="Times New Roman"/>
                <w:b/>
                <w:bCs/>
                <w:sz w:val="22"/>
                <w:szCs w:val="22"/>
                <w:lang w:val="es-CR"/>
              </w:rPr>
              <w:lastRenderedPageBreak/>
              <w:t>Tasa de denuncia por hurto</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467,5</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589,6</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641,8</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752,2</w:t>
            </w:r>
          </w:p>
        </w:tc>
        <w:tc>
          <w:tcPr>
            <w:tcW w:w="72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highlight w:val="yellow"/>
              </w:rPr>
            </w:pPr>
            <w:r w:rsidRPr="00E0512C">
              <w:rPr>
                <w:rFonts w:ascii="Times New Roman" w:hAnsi="Times New Roman" w:cs="Times New Roman"/>
                <w:sz w:val="22"/>
                <w:szCs w:val="22"/>
              </w:rPr>
              <w:t>697,7</w:t>
            </w:r>
          </w:p>
        </w:tc>
      </w:tr>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widowControl/>
              <w:autoSpaceDE/>
              <w:autoSpaceDN/>
              <w:adjustRightInd/>
              <w:rPr>
                <w:rFonts w:ascii="Times New Roman" w:hAnsi="Times New Roman" w:cs="Times New Roman"/>
                <w:b/>
                <w:bCs/>
                <w:sz w:val="22"/>
                <w:szCs w:val="22"/>
                <w:lang w:val="es-CR"/>
              </w:rPr>
            </w:pPr>
            <w:r w:rsidRPr="00E0512C">
              <w:rPr>
                <w:rFonts w:ascii="Times New Roman" w:hAnsi="Times New Roman" w:cs="Times New Roman"/>
                <w:b/>
                <w:bCs/>
                <w:sz w:val="22"/>
                <w:szCs w:val="22"/>
                <w:lang w:val="es-CR"/>
              </w:rPr>
              <w:t>Tasa de denuncia por robo</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918,8</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1.033,7</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1.017,4</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1.090,7</w:t>
            </w:r>
          </w:p>
        </w:tc>
        <w:tc>
          <w:tcPr>
            <w:tcW w:w="72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highlight w:val="yellow"/>
              </w:rPr>
            </w:pPr>
            <w:r w:rsidRPr="00E0512C">
              <w:rPr>
                <w:rFonts w:ascii="Times New Roman" w:hAnsi="Times New Roman" w:cs="Times New Roman"/>
                <w:sz w:val="22"/>
                <w:szCs w:val="22"/>
              </w:rPr>
              <w:t>998,3</w:t>
            </w:r>
          </w:p>
        </w:tc>
      </w:tr>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widowControl/>
              <w:autoSpaceDE/>
              <w:autoSpaceDN/>
              <w:adjustRightInd/>
              <w:rPr>
                <w:rFonts w:ascii="Times New Roman" w:hAnsi="Times New Roman" w:cs="Times New Roman"/>
                <w:b/>
                <w:bCs/>
                <w:sz w:val="22"/>
                <w:szCs w:val="22"/>
                <w:lang w:val="es-CR"/>
              </w:rPr>
            </w:pPr>
            <w:r w:rsidRPr="00E0512C">
              <w:rPr>
                <w:rFonts w:ascii="Times New Roman" w:hAnsi="Times New Roman" w:cs="Times New Roman"/>
                <w:b/>
                <w:bCs/>
                <w:sz w:val="22"/>
                <w:szCs w:val="22"/>
                <w:lang w:val="es-CR"/>
              </w:rPr>
              <w:t>Tasa de muerte por arma de fuego</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6,5</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6,8</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7,1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8,1</w:t>
            </w:r>
          </w:p>
        </w:tc>
        <w:tc>
          <w:tcPr>
            <w:tcW w:w="72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highlight w:val="yellow"/>
              </w:rPr>
            </w:pPr>
            <w:r w:rsidRPr="00E0512C">
              <w:rPr>
                <w:rFonts w:ascii="Times New Roman" w:hAnsi="Times New Roman" w:cs="Times New Roman"/>
                <w:sz w:val="22"/>
                <w:szCs w:val="22"/>
              </w:rPr>
              <w:t>8,0</w:t>
            </w:r>
          </w:p>
        </w:tc>
      </w:tr>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widowControl/>
              <w:autoSpaceDE/>
              <w:autoSpaceDN/>
              <w:adjustRightInd/>
              <w:rPr>
                <w:rFonts w:ascii="Times New Roman" w:hAnsi="Times New Roman" w:cs="Times New Roman"/>
                <w:b/>
                <w:bCs/>
                <w:sz w:val="22"/>
                <w:szCs w:val="22"/>
                <w:lang w:val="es-CR"/>
              </w:rPr>
            </w:pPr>
            <w:r w:rsidRPr="00E0512C">
              <w:rPr>
                <w:rFonts w:ascii="Times New Roman" w:hAnsi="Times New Roman" w:cs="Times New Roman"/>
                <w:b/>
                <w:bCs/>
                <w:sz w:val="22"/>
                <w:szCs w:val="22"/>
                <w:lang w:val="es-CR"/>
              </w:rPr>
              <w:t xml:space="preserve">Tasa de víctimas por accidentes de tránsito </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12,9</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14,5</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13,7</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14,3</w:t>
            </w:r>
          </w:p>
        </w:tc>
        <w:tc>
          <w:tcPr>
            <w:tcW w:w="72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highlight w:val="yellow"/>
              </w:rPr>
            </w:pPr>
            <w:r w:rsidRPr="00E0512C">
              <w:rPr>
                <w:rFonts w:ascii="Times New Roman" w:hAnsi="Times New Roman" w:cs="Times New Roman"/>
                <w:sz w:val="22"/>
                <w:szCs w:val="22"/>
              </w:rPr>
              <w:t>12,6</w:t>
            </w:r>
          </w:p>
        </w:tc>
      </w:tr>
    </w:tbl>
    <w:p w:rsidR="00E0512C" w:rsidRPr="00E0512C" w:rsidRDefault="00E0512C" w:rsidP="00E0512C">
      <w:pPr>
        <w:rPr>
          <w:rFonts w:ascii="Times New Roman" w:hAnsi="Times New Roman" w:cs="Times New Roman"/>
        </w:rPr>
      </w:pPr>
    </w:p>
    <w:p w:rsidR="00E0512C" w:rsidRPr="00E0512C" w:rsidRDefault="00E0512C" w:rsidP="00E0512C">
      <w:pPr>
        <w:rPr>
          <w:rFonts w:ascii="Times New Roman" w:hAnsi="Times New Roman" w:cs="Times New Roman"/>
        </w:rPr>
      </w:pPr>
    </w:p>
    <w:p w:rsidR="00E0512C" w:rsidRPr="00E0512C" w:rsidRDefault="00E0512C" w:rsidP="00E0512C">
      <w:pPr>
        <w:rPr>
          <w:rFonts w:ascii="Times New Roman" w:hAnsi="Times New Roman" w:cs="Times New Roman"/>
        </w:rPr>
      </w:pPr>
    </w:p>
    <w:tbl>
      <w:tblPr>
        <w:tblW w:w="0" w:type="auto"/>
        <w:tblLayout w:type="fixed"/>
        <w:tblCellMar>
          <w:left w:w="0" w:type="dxa"/>
          <w:right w:w="0" w:type="dxa"/>
        </w:tblCellMar>
        <w:tblLook w:val="0000"/>
      </w:tblPr>
      <w:tblGrid>
        <w:gridCol w:w="5985"/>
      </w:tblGrid>
      <w:tr w:rsidR="00E0512C" w:rsidRPr="00E0512C" w:rsidTr="00B14F0E">
        <w:trPr>
          <w:cantSplit/>
          <w:trHeight w:val="600"/>
        </w:trPr>
        <w:tc>
          <w:tcPr>
            <w:tcW w:w="5985" w:type="dxa"/>
            <w:vMerge w:val="restart"/>
            <w:tcBorders>
              <w:top w:val="nil"/>
              <w:left w:val="nil"/>
              <w:bottom w:val="nil"/>
              <w:right w:val="nil"/>
            </w:tcBorders>
            <w:shd w:val="clear" w:color="FFFFFF" w:fill="FFFFFF"/>
            <w:vAlign w:val="center"/>
          </w:tcPr>
          <w:p w:rsidR="00E0512C" w:rsidRPr="00E0512C" w:rsidRDefault="00E0512C" w:rsidP="00E0512C">
            <w:pPr>
              <w:rPr>
                <w:rFonts w:ascii="Times New Roman" w:hAnsi="Times New Roman" w:cs="Times New Roman"/>
                <w:u w:val="single"/>
              </w:rPr>
            </w:pPr>
            <w:r w:rsidRPr="00E0512C">
              <w:rPr>
                <w:rFonts w:ascii="Times New Roman" w:hAnsi="Times New Roman" w:cs="Times New Roman"/>
                <w:u w:val="single"/>
              </w:rPr>
              <w:t>V</w:t>
            </w:r>
            <w:r w:rsidR="003A1B7B" w:rsidRPr="00E0512C">
              <w:rPr>
                <w:rFonts w:ascii="Times New Roman" w:hAnsi="Times New Roman" w:cs="Times New Roman"/>
                <w:u w:val="single"/>
              </w:rPr>
              <w:fldChar w:fldCharType="begin"/>
            </w:r>
            <w:r w:rsidRPr="00E0512C">
              <w:rPr>
                <w:rFonts w:ascii="Times New Roman" w:hAnsi="Times New Roman" w:cs="Times New Roman"/>
                <w:u w:val="single"/>
              </w:rPr>
              <w:instrText>PRIVATE</w:instrText>
            </w:r>
            <w:r w:rsidR="003A1B7B" w:rsidRPr="00E0512C">
              <w:rPr>
                <w:rFonts w:ascii="Times New Roman" w:hAnsi="Times New Roman" w:cs="Times New Roman"/>
                <w:u w:val="single"/>
              </w:rPr>
              <w:fldChar w:fldCharType="end"/>
            </w:r>
            <w:proofErr w:type="spellStart"/>
            <w:r w:rsidRPr="00E0512C">
              <w:rPr>
                <w:rFonts w:ascii="Times New Roman" w:hAnsi="Times New Roman" w:cs="Times New Roman"/>
                <w:b/>
                <w:bCs/>
                <w:i/>
                <w:iCs/>
                <w:u w:val="single"/>
              </w:rPr>
              <w:t>iolencia</w:t>
            </w:r>
            <w:proofErr w:type="spellEnd"/>
            <w:r w:rsidRPr="00E0512C">
              <w:rPr>
                <w:rFonts w:ascii="Times New Roman" w:hAnsi="Times New Roman" w:cs="Times New Roman"/>
                <w:b/>
                <w:bCs/>
                <w:i/>
                <w:iCs/>
                <w:u w:val="single"/>
              </w:rPr>
              <w:t xml:space="preserve"> Doméstica y Género </w:t>
            </w:r>
          </w:p>
        </w:tc>
      </w:tr>
      <w:tr w:rsidR="00E0512C" w:rsidRPr="00E0512C" w:rsidTr="00B14F0E">
        <w:tc>
          <w:tcPr>
            <w:tcW w:w="5985" w:type="dxa"/>
            <w:tcBorders>
              <w:top w:val="nil"/>
              <w:left w:val="nil"/>
              <w:bottom w:val="nil"/>
              <w:right w:val="nil"/>
            </w:tcBorders>
            <w:vAlign w:val="center"/>
          </w:tcPr>
          <w:p w:rsidR="00E0512C" w:rsidRPr="00E0512C" w:rsidRDefault="00E0512C" w:rsidP="00E0512C">
            <w:pPr>
              <w:rPr>
                <w:rFonts w:ascii="Times New Roman" w:hAnsi="Times New Roman" w:cs="Times New Roman"/>
              </w:rPr>
            </w:pPr>
          </w:p>
        </w:tc>
      </w:tr>
    </w:tbl>
    <w:p w:rsidR="00E0512C" w:rsidRPr="00E0512C" w:rsidRDefault="00E0512C" w:rsidP="00E0512C">
      <w:pPr>
        <w:rPr>
          <w:rFonts w:ascii="Times New Roman" w:hAnsi="Times New Roman" w:cs="Times New Roman"/>
        </w:rPr>
      </w:pPr>
    </w:p>
    <w:tbl>
      <w:tblPr>
        <w:tblW w:w="8520" w:type="dxa"/>
        <w:jc w:val="center"/>
        <w:tblLayout w:type="fixed"/>
        <w:tblCellMar>
          <w:left w:w="0" w:type="dxa"/>
          <w:right w:w="0" w:type="dxa"/>
        </w:tblCellMar>
        <w:tblLook w:val="0000"/>
      </w:tblPr>
      <w:tblGrid>
        <w:gridCol w:w="4200"/>
        <w:gridCol w:w="900"/>
        <w:gridCol w:w="900"/>
        <w:gridCol w:w="900"/>
        <w:gridCol w:w="900"/>
        <w:gridCol w:w="720"/>
      </w:tblGrid>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3A1B7B" w:rsidP="00E0512C">
            <w:pPr>
              <w:jc w:val="center"/>
              <w:rPr>
                <w:rFonts w:ascii="Times New Roman" w:hAnsi="Times New Roman" w:cs="Times New Roman"/>
                <w:sz w:val="22"/>
                <w:szCs w:val="22"/>
              </w:rPr>
            </w:pPr>
            <w:r w:rsidRPr="00E0512C">
              <w:rPr>
                <w:rFonts w:ascii="Times New Roman" w:hAnsi="Times New Roman" w:cs="Times New Roman"/>
                <w:sz w:val="22"/>
                <w:szCs w:val="22"/>
              </w:rPr>
              <w:fldChar w:fldCharType="begin"/>
            </w:r>
            <w:r w:rsidR="00E0512C" w:rsidRPr="00E0512C">
              <w:rPr>
                <w:rFonts w:ascii="Times New Roman" w:hAnsi="Times New Roman" w:cs="Times New Roman"/>
                <w:sz w:val="22"/>
                <w:szCs w:val="22"/>
              </w:rPr>
              <w:instrText>PRIVATE</w:instrText>
            </w:r>
            <w:r w:rsidRPr="00E0512C">
              <w:rPr>
                <w:rFonts w:ascii="Times New Roman" w:hAnsi="Times New Roman" w:cs="Times New Roman"/>
                <w:sz w:val="22"/>
                <w:szCs w:val="22"/>
              </w:rPr>
              <w:fldChar w:fldCharType="end"/>
            </w:r>
            <w:r w:rsidR="00E0512C" w:rsidRPr="00E0512C">
              <w:rPr>
                <w:rFonts w:ascii="Times New Roman" w:hAnsi="Times New Roman" w:cs="Times New Roman"/>
                <w:b/>
                <w:bCs/>
                <w:sz w:val="22"/>
                <w:szCs w:val="22"/>
              </w:rPr>
              <w:t>Año</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b/>
                <w:bCs/>
                <w:sz w:val="22"/>
                <w:szCs w:val="22"/>
              </w:rPr>
              <w:t>2011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b/>
                <w:bCs/>
                <w:sz w:val="22"/>
                <w:szCs w:val="22"/>
              </w:rPr>
              <w:t>2012</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b/>
                <w:bCs/>
                <w:sz w:val="22"/>
                <w:szCs w:val="22"/>
              </w:rPr>
              <w:t>2013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b/>
                <w:bCs/>
                <w:sz w:val="22"/>
                <w:szCs w:val="22"/>
              </w:rPr>
              <w:t>2014</w:t>
            </w:r>
          </w:p>
        </w:tc>
        <w:tc>
          <w:tcPr>
            <w:tcW w:w="72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b/>
                <w:bCs/>
                <w:sz w:val="22"/>
                <w:szCs w:val="22"/>
              </w:rPr>
              <w:t>2015</w:t>
            </w:r>
          </w:p>
        </w:tc>
      </w:tr>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jc w:val="both"/>
              <w:rPr>
                <w:rFonts w:ascii="Times New Roman" w:hAnsi="Times New Roman" w:cs="Times New Roman"/>
                <w:b/>
                <w:bCs/>
                <w:color w:val="000000"/>
                <w:sz w:val="22"/>
                <w:szCs w:val="22"/>
              </w:rPr>
            </w:pPr>
            <w:r w:rsidRPr="00E0512C">
              <w:rPr>
                <w:rFonts w:ascii="Times New Roman" w:hAnsi="Times New Roman" w:cs="Times New Roman"/>
                <w:b/>
                <w:bCs/>
                <w:color w:val="000000"/>
                <w:sz w:val="22"/>
                <w:szCs w:val="22"/>
              </w:rPr>
              <w:t>Tasa de  denuncia por delitos sexuales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141,6</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134,3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146,9</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143,7</w:t>
            </w:r>
          </w:p>
        </w:tc>
        <w:tc>
          <w:tcPr>
            <w:tcW w:w="72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140,9</w:t>
            </w:r>
          </w:p>
        </w:tc>
      </w:tr>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widowControl/>
              <w:autoSpaceDE/>
              <w:autoSpaceDN/>
              <w:adjustRightInd/>
              <w:jc w:val="both"/>
              <w:rPr>
                <w:rFonts w:ascii="Times New Roman" w:hAnsi="Times New Roman" w:cs="Times New Roman"/>
                <w:color w:val="000000"/>
                <w:sz w:val="22"/>
                <w:szCs w:val="22"/>
              </w:rPr>
            </w:pPr>
            <w:r w:rsidRPr="00E0512C">
              <w:rPr>
                <w:rFonts w:ascii="Times New Roman" w:hAnsi="Times New Roman" w:cs="Times New Roman"/>
                <w:b/>
                <w:bCs/>
                <w:sz w:val="22"/>
                <w:szCs w:val="22"/>
                <w:lang w:val="es-CR"/>
              </w:rPr>
              <w:t>Porcentaje de denuncias relacionadas con la Ley de Penalización de la Violencia Contra las Mujeres (LPVCM)</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7,9</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14,3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12,6</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11,3</w:t>
            </w:r>
          </w:p>
        </w:tc>
        <w:tc>
          <w:tcPr>
            <w:tcW w:w="72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highlight w:val="yellow"/>
              </w:rPr>
            </w:pPr>
            <w:r w:rsidRPr="00E0512C">
              <w:rPr>
                <w:rFonts w:ascii="Times New Roman" w:hAnsi="Times New Roman" w:cs="Times New Roman"/>
                <w:sz w:val="22"/>
                <w:szCs w:val="22"/>
              </w:rPr>
              <w:t>11,7</w:t>
            </w:r>
          </w:p>
        </w:tc>
      </w:tr>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widowControl/>
              <w:autoSpaceDE/>
              <w:autoSpaceDN/>
              <w:adjustRightInd/>
              <w:jc w:val="both"/>
              <w:rPr>
                <w:rFonts w:ascii="Times New Roman" w:hAnsi="Times New Roman" w:cs="Times New Roman"/>
                <w:b/>
                <w:bCs/>
                <w:sz w:val="22"/>
                <w:szCs w:val="22"/>
                <w:lang w:val="es-CR"/>
              </w:rPr>
            </w:pPr>
            <w:r w:rsidRPr="00E0512C">
              <w:rPr>
                <w:rFonts w:ascii="Times New Roman" w:hAnsi="Times New Roman" w:cs="Times New Roman"/>
                <w:b/>
                <w:bCs/>
                <w:sz w:val="22"/>
                <w:szCs w:val="22"/>
                <w:lang w:val="es-CR"/>
              </w:rPr>
              <w:t>Porcentaje de casos terminados en los juzgados penales por la Ley de Penalización de la Violencia Contra las Mujeres (LPVCM)</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13,2</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11,4</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14,9</w:t>
            </w:r>
          </w:p>
        </w:tc>
        <w:tc>
          <w:tcPr>
            <w:tcW w:w="720" w:type="dxa"/>
            <w:tcBorders>
              <w:top w:val="threeDEmboss" w:sz="6" w:space="0" w:color="auto"/>
              <w:left w:val="threeDEmboss" w:sz="6" w:space="0" w:color="auto"/>
              <w:bottom w:val="threeDEmboss" w:sz="6" w:space="0" w:color="auto"/>
              <w:right w:val="threeDEmboss" w:sz="6" w:space="0" w:color="auto"/>
            </w:tcBorders>
            <w:shd w:val="clear" w:color="auto" w:fill="auto"/>
            <w:vAlign w:val="center"/>
          </w:tcPr>
          <w:p w:rsidR="00E0512C" w:rsidRPr="00E0512C" w:rsidRDefault="00E0512C" w:rsidP="00E0512C">
            <w:pPr>
              <w:jc w:val="center"/>
              <w:rPr>
                <w:rFonts w:ascii="Times New Roman" w:hAnsi="Times New Roman" w:cs="Times New Roman"/>
                <w:sz w:val="22"/>
                <w:szCs w:val="22"/>
                <w:highlight w:val="yellow"/>
              </w:rPr>
            </w:pPr>
            <w:r w:rsidRPr="00E0512C">
              <w:rPr>
                <w:rFonts w:ascii="Times New Roman" w:hAnsi="Times New Roman" w:cs="Times New Roman"/>
                <w:sz w:val="22"/>
                <w:szCs w:val="22"/>
              </w:rPr>
              <w:t>14,5</w:t>
            </w:r>
          </w:p>
        </w:tc>
      </w:tr>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widowControl/>
              <w:autoSpaceDE/>
              <w:autoSpaceDN/>
              <w:adjustRightInd/>
              <w:jc w:val="both"/>
              <w:rPr>
                <w:rFonts w:ascii="Times New Roman" w:hAnsi="Times New Roman" w:cs="Times New Roman"/>
                <w:b/>
                <w:bCs/>
                <w:sz w:val="22"/>
                <w:szCs w:val="22"/>
                <w:lang w:val="es-CR"/>
              </w:rPr>
            </w:pPr>
            <w:r w:rsidRPr="00E0512C">
              <w:rPr>
                <w:rFonts w:ascii="Times New Roman" w:hAnsi="Times New Roman" w:cs="Times New Roman"/>
                <w:b/>
                <w:bCs/>
                <w:sz w:val="22"/>
                <w:szCs w:val="22"/>
                <w:lang w:val="es-CR"/>
              </w:rPr>
              <w:t>Porcentaje de casos terminados en los tribunales penales por la Ley de Penalización de la Violencia Contra las Mujeres (LPVCM)</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6,7</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7,5</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7,9</w:t>
            </w:r>
          </w:p>
        </w:tc>
        <w:tc>
          <w:tcPr>
            <w:tcW w:w="72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highlight w:val="yellow"/>
              </w:rPr>
            </w:pPr>
            <w:r w:rsidRPr="00E0512C">
              <w:rPr>
                <w:rFonts w:ascii="Times New Roman" w:hAnsi="Times New Roman" w:cs="Times New Roman"/>
                <w:sz w:val="22"/>
                <w:szCs w:val="22"/>
              </w:rPr>
              <w:t>8,7</w:t>
            </w:r>
          </w:p>
        </w:tc>
      </w:tr>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widowControl/>
              <w:autoSpaceDE/>
              <w:autoSpaceDN/>
              <w:adjustRightInd/>
              <w:jc w:val="both"/>
              <w:rPr>
                <w:rFonts w:ascii="Times New Roman" w:hAnsi="Times New Roman" w:cs="Times New Roman"/>
                <w:color w:val="000000"/>
                <w:sz w:val="22"/>
                <w:szCs w:val="22"/>
              </w:rPr>
            </w:pPr>
            <w:r w:rsidRPr="00E0512C">
              <w:rPr>
                <w:rFonts w:ascii="Times New Roman" w:hAnsi="Times New Roman" w:cs="Times New Roman"/>
                <w:b/>
                <w:bCs/>
                <w:sz w:val="22"/>
                <w:szCs w:val="22"/>
                <w:lang w:val="es-CR"/>
              </w:rPr>
              <w:t xml:space="preserve">Tasa de denuncia por violencia intrafamiliar/familiar </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hAnsi="Times New Roman" w:cs="Times New Roman"/>
                <w:sz w:val="22"/>
                <w:szCs w:val="22"/>
              </w:rPr>
              <w:t>1.040,6</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hAnsi="Times New Roman" w:cs="Times New Roman"/>
                <w:sz w:val="22"/>
                <w:szCs w:val="22"/>
              </w:rPr>
              <w:t>1.035,0</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hAnsi="Times New Roman" w:cs="Times New Roman"/>
                <w:sz w:val="22"/>
                <w:szCs w:val="22"/>
              </w:rPr>
              <w:t>996,3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hAnsi="Times New Roman" w:cs="Times New Roman"/>
                <w:sz w:val="22"/>
                <w:szCs w:val="22"/>
              </w:rPr>
              <w:t>1.004,7</w:t>
            </w:r>
          </w:p>
        </w:tc>
        <w:tc>
          <w:tcPr>
            <w:tcW w:w="72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highlight w:val="yellow"/>
              </w:rPr>
            </w:pPr>
            <w:r w:rsidRPr="00E0512C">
              <w:rPr>
                <w:rFonts w:ascii="Times New Roman" w:hAnsi="Times New Roman" w:cs="Times New Roman"/>
                <w:sz w:val="22"/>
                <w:szCs w:val="22"/>
              </w:rPr>
              <w:t>1.003,4</w:t>
            </w:r>
          </w:p>
        </w:tc>
      </w:tr>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widowControl/>
              <w:autoSpaceDE/>
              <w:autoSpaceDN/>
              <w:adjustRightInd/>
              <w:jc w:val="both"/>
              <w:rPr>
                <w:rFonts w:ascii="Times New Roman" w:hAnsi="Times New Roman" w:cs="Times New Roman"/>
                <w:color w:val="000000"/>
                <w:sz w:val="22"/>
                <w:szCs w:val="22"/>
              </w:rPr>
            </w:pPr>
            <w:r w:rsidRPr="00E0512C">
              <w:rPr>
                <w:rFonts w:ascii="Times New Roman" w:hAnsi="Times New Roman" w:cs="Times New Roman"/>
                <w:b/>
                <w:bCs/>
                <w:sz w:val="22"/>
                <w:szCs w:val="22"/>
                <w:lang w:val="es-CR"/>
              </w:rPr>
              <w:t>Total de casos terminados en los juzgados competentes en materia de Violencia Doméstica</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hAnsi="Times New Roman" w:cs="Times New Roman"/>
                <w:sz w:val="22"/>
                <w:szCs w:val="22"/>
              </w:rPr>
              <w:t>54.951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hAnsi="Times New Roman" w:cs="Times New Roman"/>
                <w:sz w:val="22"/>
                <w:szCs w:val="22"/>
              </w:rPr>
              <w:t>41.182</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hAnsi="Times New Roman" w:cs="Times New Roman"/>
                <w:sz w:val="22"/>
                <w:szCs w:val="22"/>
              </w:rPr>
              <w:t>59.452</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hAnsi="Times New Roman" w:cs="Times New Roman"/>
                <w:sz w:val="22"/>
                <w:szCs w:val="22"/>
              </w:rPr>
              <w:t>57.291</w:t>
            </w:r>
          </w:p>
        </w:tc>
        <w:tc>
          <w:tcPr>
            <w:tcW w:w="72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highlight w:val="yellow"/>
              </w:rPr>
            </w:pPr>
            <w:r w:rsidRPr="00E0512C">
              <w:rPr>
                <w:rFonts w:ascii="Times New Roman" w:hAnsi="Times New Roman" w:cs="Times New Roman"/>
                <w:sz w:val="22"/>
                <w:szCs w:val="22"/>
              </w:rPr>
              <w:t>62.125</w:t>
            </w:r>
          </w:p>
        </w:tc>
      </w:tr>
    </w:tbl>
    <w:p w:rsidR="00E0512C" w:rsidRPr="00E0512C" w:rsidRDefault="00E0512C" w:rsidP="00E0512C">
      <w:pPr>
        <w:rPr>
          <w:rFonts w:ascii="Times New Roman" w:hAnsi="Times New Roman" w:cs="Times New Roman"/>
        </w:rPr>
      </w:pPr>
    </w:p>
    <w:p w:rsidR="00E0512C" w:rsidRPr="00E0512C" w:rsidRDefault="00E0512C" w:rsidP="00E0512C">
      <w:pPr>
        <w:rPr>
          <w:rFonts w:ascii="Times New Roman" w:hAnsi="Times New Roman" w:cs="Times New Roman"/>
        </w:rPr>
      </w:pPr>
    </w:p>
    <w:tbl>
      <w:tblPr>
        <w:tblW w:w="0" w:type="auto"/>
        <w:tblLayout w:type="fixed"/>
        <w:tblCellMar>
          <w:left w:w="0" w:type="dxa"/>
          <w:right w:w="0" w:type="dxa"/>
        </w:tblCellMar>
        <w:tblLook w:val="0000"/>
      </w:tblPr>
      <w:tblGrid>
        <w:gridCol w:w="5985"/>
      </w:tblGrid>
      <w:tr w:rsidR="00E0512C" w:rsidRPr="00E0512C" w:rsidTr="00B14F0E">
        <w:trPr>
          <w:cantSplit/>
          <w:trHeight w:val="600"/>
        </w:trPr>
        <w:tc>
          <w:tcPr>
            <w:tcW w:w="5985" w:type="dxa"/>
            <w:vMerge w:val="restart"/>
            <w:tcBorders>
              <w:top w:val="nil"/>
              <w:left w:val="nil"/>
              <w:bottom w:val="nil"/>
              <w:right w:val="nil"/>
            </w:tcBorders>
            <w:shd w:val="clear" w:color="FFFFFF" w:fill="FFFFFF"/>
            <w:vAlign w:val="center"/>
          </w:tcPr>
          <w:p w:rsidR="00E0512C" w:rsidRPr="00E0512C" w:rsidRDefault="00E0512C" w:rsidP="00E0512C">
            <w:pPr>
              <w:rPr>
                <w:rFonts w:ascii="Times New Roman" w:hAnsi="Times New Roman" w:cs="Times New Roman"/>
                <w:b/>
                <w:i/>
                <w:u w:val="single"/>
              </w:rPr>
            </w:pPr>
            <w:r w:rsidRPr="00E0512C">
              <w:rPr>
                <w:rFonts w:ascii="Times New Roman" w:hAnsi="Times New Roman" w:cs="Times New Roman"/>
                <w:b/>
                <w:i/>
                <w:u w:val="single"/>
              </w:rPr>
              <w:t>Penal Juvenil</w:t>
            </w:r>
          </w:p>
        </w:tc>
      </w:tr>
      <w:tr w:rsidR="00E0512C" w:rsidRPr="00E0512C" w:rsidTr="00B14F0E">
        <w:tc>
          <w:tcPr>
            <w:tcW w:w="5985" w:type="dxa"/>
            <w:tcBorders>
              <w:top w:val="nil"/>
              <w:left w:val="nil"/>
              <w:bottom w:val="nil"/>
              <w:right w:val="nil"/>
            </w:tcBorders>
            <w:vAlign w:val="center"/>
          </w:tcPr>
          <w:p w:rsidR="00E0512C" w:rsidRPr="00E0512C" w:rsidRDefault="00E0512C" w:rsidP="00E0512C">
            <w:pPr>
              <w:rPr>
                <w:rFonts w:ascii="Times New Roman" w:hAnsi="Times New Roman" w:cs="Times New Roman"/>
              </w:rPr>
            </w:pPr>
          </w:p>
        </w:tc>
      </w:tr>
    </w:tbl>
    <w:p w:rsidR="00E0512C" w:rsidRPr="00E0512C" w:rsidRDefault="00E0512C" w:rsidP="00E0512C">
      <w:pPr>
        <w:rPr>
          <w:rFonts w:ascii="Times New Roman" w:hAnsi="Times New Roman" w:cs="Times New Roman"/>
        </w:rPr>
      </w:pPr>
    </w:p>
    <w:tbl>
      <w:tblPr>
        <w:tblW w:w="8520" w:type="dxa"/>
        <w:jc w:val="center"/>
        <w:tblLayout w:type="fixed"/>
        <w:tblCellMar>
          <w:left w:w="0" w:type="dxa"/>
          <w:right w:w="0" w:type="dxa"/>
        </w:tblCellMar>
        <w:tblLook w:val="0000"/>
      </w:tblPr>
      <w:tblGrid>
        <w:gridCol w:w="4200"/>
        <w:gridCol w:w="900"/>
        <w:gridCol w:w="900"/>
        <w:gridCol w:w="900"/>
        <w:gridCol w:w="900"/>
        <w:gridCol w:w="720"/>
      </w:tblGrid>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3A1B7B" w:rsidP="00E0512C">
            <w:pPr>
              <w:jc w:val="center"/>
              <w:rPr>
                <w:rFonts w:ascii="Times New Roman" w:hAnsi="Times New Roman" w:cs="Times New Roman"/>
                <w:sz w:val="22"/>
                <w:szCs w:val="22"/>
              </w:rPr>
            </w:pPr>
            <w:r w:rsidRPr="00E0512C">
              <w:rPr>
                <w:rFonts w:ascii="Times New Roman" w:hAnsi="Times New Roman" w:cs="Times New Roman"/>
                <w:sz w:val="22"/>
                <w:szCs w:val="22"/>
              </w:rPr>
              <w:fldChar w:fldCharType="begin"/>
            </w:r>
            <w:r w:rsidR="00E0512C" w:rsidRPr="00E0512C">
              <w:rPr>
                <w:rFonts w:ascii="Times New Roman" w:hAnsi="Times New Roman" w:cs="Times New Roman"/>
                <w:sz w:val="22"/>
                <w:szCs w:val="22"/>
              </w:rPr>
              <w:instrText>PRIVATE</w:instrText>
            </w:r>
            <w:r w:rsidRPr="00E0512C">
              <w:rPr>
                <w:rFonts w:ascii="Times New Roman" w:hAnsi="Times New Roman" w:cs="Times New Roman"/>
                <w:sz w:val="22"/>
                <w:szCs w:val="22"/>
              </w:rPr>
              <w:fldChar w:fldCharType="end"/>
            </w:r>
            <w:r w:rsidR="00E0512C" w:rsidRPr="00E0512C">
              <w:rPr>
                <w:rFonts w:ascii="Times New Roman" w:hAnsi="Times New Roman" w:cs="Times New Roman"/>
                <w:b/>
                <w:bCs/>
                <w:sz w:val="22"/>
                <w:szCs w:val="22"/>
              </w:rPr>
              <w:t>Año</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b/>
                <w:bCs/>
                <w:sz w:val="22"/>
                <w:szCs w:val="22"/>
              </w:rPr>
              <w:t>2011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b/>
                <w:bCs/>
                <w:sz w:val="22"/>
                <w:szCs w:val="22"/>
              </w:rPr>
              <w:t>2012</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b/>
                <w:bCs/>
                <w:sz w:val="22"/>
                <w:szCs w:val="22"/>
              </w:rPr>
              <w:t>2013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b/>
                <w:bCs/>
                <w:sz w:val="22"/>
                <w:szCs w:val="22"/>
              </w:rPr>
              <w:t>2014</w:t>
            </w:r>
          </w:p>
        </w:tc>
        <w:tc>
          <w:tcPr>
            <w:tcW w:w="72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b/>
                <w:bCs/>
                <w:sz w:val="22"/>
                <w:szCs w:val="22"/>
              </w:rPr>
              <w:t>2015</w:t>
            </w:r>
          </w:p>
        </w:tc>
      </w:tr>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widowControl/>
              <w:autoSpaceDE/>
              <w:autoSpaceDN/>
              <w:adjustRightInd/>
              <w:rPr>
                <w:rFonts w:ascii="Times New Roman" w:hAnsi="Times New Roman" w:cs="Times New Roman"/>
                <w:b/>
                <w:bCs/>
                <w:sz w:val="22"/>
                <w:szCs w:val="22"/>
                <w:lang w:val="es-CR"/>
              </w:rPr>
            </w:pPr>
            <w:r w:rsidRPr="00E0512C">
              <w:rPr>
                <w:rFonts w:ascii="Times New Roman" w:hAnsi="Times New Roman" w:cs="Times New Roman"/>
                <w:b/>
                <w:bCs/>
                <w:sz w:val="22"/>
                <w:szCs w:val="22"/>
              </w:rPr>
              <w:t>Tasa de menores acusados de infringir a Ley Penal Juvenil</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38,5</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26,5</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24,8</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24,1</w:t>
            </w:r>
          </w:p>
        </w:tc>
        <w:tc>
          <w:tcPr>
            <w:tcW w:w="72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27,1</w:t>
            </w:r>
          </w:p>
        </w:tc>
      </w:tr>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jc w:val="both"/>
              <w:rPr>
                <w:rFonts w:ascii="Times New Roman" w:hAnsi="Times New Roman" w:cs="Times New Roman"/>
                <w:b/>
                <w:bCs/>
                <w:sz w:val="22"/>
                <w:szCs w:val="22"/>
              </w:rPr>
            </w:pPr>
            <w:r w:rsidRPr="00E0512C">
              <w:rPr>
                <w:rFonts w:ascii="Times New Roman" w:hAnsi="Times New Roman" w:cs="Times New Roman"/>
                <w:b/>
                <w:sz w:val="22"/>
                <w:szCs w:val="22"/>
              </w:rPr>
              <w:t>Tasa de hombres menores acusados de infringir a Ley Penal Juvenil</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61,4</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36,8</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35,6</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33,4</w:t>
            </w:r>
          </w:p>
        </w:tc>
        <w:tc>
          <w:tcPr>
            <w:tcW w:w="72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39,8</w:t>
            </w:r>
          </w:p>
        </w:tc>
      </w:tr>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ind w:right="60"/>
              <w:jc w:val="both"/>
              <w:rPr>
                <w:rFonts w:ascii="Times New Roman" w:hAnsi="Times New Roman" w:cs="Times New Roman"/>
                <w:b/>
                <w:bCs/>
                <w:sz w:val="22"/>
                <w:szCs w:val="22"/>
              </w:rPr>
            </w:pPr>
            <w:r w:rsidRPr="00E0512C">
              <w:rPr>
                <w:rFonts w:ascii="Times New Roman" w:hAnsi="Times New Roman" w:cs="Times New Roman"/>
                <w:b/>
                <w:sz w:val="22"/>
                <w:szCs w:val="22"/>
              </w:rPr>
              <w:lastRenderedPageBreak/>
              <w:t>Tasa de mujeres menores acusadas de infringir a Ley Penal Juvenil</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11,8</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12,9</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11,0</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11,7</w:t>
            </w:r>
          </w:p>
        </w:tc>
        <w:tc>
          <w:tcPr>
            <w:tcW w:w="72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11,1</w:t>
            </w:r>
          </w:p>
        </w:tc>
      </w:tr>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jc w:val="both"/>
              <w:rPr>
                <w:rFonts w:ascii="Times New Roman" w:hAnsi="Times New Roman" w:cs="Times New Roman"/>
                <w:b/>
                <w:bCs/>
                <w:sz w:val="22"/>
                <w:szCs w:val="22"/>
              </w:rPr>
            </w:pPr>
            <w:r w:rsidRPr="00E0512C">
              <w:rPr>
                <w:rFonts w:ascii="Times New Roman" w:hAnsi="Times New Roman" w:cs="Times New Roman"/>
                <w:b/>
                <w:sz w:val="22"/>
                <w:szCs w:val="22"/>
              </w:rPr>
              <w:t>Tasa de menores sentenciados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1,4</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1,2</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1,5</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2,0</w:t>
            </w:r>
          </w:p>
        </w:tc>
        <w:tc>
          <w:tcPr>
            <w:tcW w:w="72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1,9</w:t>
            </w:r>
          </w:p>
        </w:tc>
      </w:tr>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widowControl/>
              <w:autoSpaceDE/>
              <w:autoSpaceDN/>
              <w:adjustRightInd/>
              <w:jc w:val="both"/>
              <w:rPr>
                <w:rFonts w:ascii="Times New Roman" w:hAnsi="Times New Roman" w:cs="Times New Roman"/>
                <w:color w:val="000000"/>
                <w:sz w:val="22"/>
                <w:szCs w:val="22"/>
              </w:rPr>
            </w:pPr>
            <w:r w:rsidRPr="00E0512C">
              <w:rPr>
                <w:rFonts w:ascii="Times New Roman" w:hAnsi="Times New Roman" w:cs="Times New Roman"/>
                <w:b/>
                <w:bCs/>
                <w:sz w:val="22"/>
                <w:szCs w:val="22"/>
              </w:rPr>
              <w:t>Porcentaje de sentencias condenatorias en menores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50,3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51,0</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51,7</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45,2</w:t>
            </w:r>
          </w:p>
        </w:tc>
        <w:tc>
          <w:tcPr>
            <w:tcW w:w="72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45,1</w:t>
            </w:r>
          </w:p>
        </w:tc>
      </w:tr>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widowControl/>
              <w:autoSpaceDE/>
              <w:autoSpaceDN/>
              <w:adjustRightInd/>
              <w:jc w:val="both"/>
              <w:rPr>
                <w:rFonts w:ascii="Times New Roman" w:hAnsi="Times New Roman" w:cs="Times New Roman"/>
                <w:b/>
                <w:bCs/>
                <w:sz w:val="22"/>
                <w:szCs w:val="22"/>
                <w:lang w:val="es-CR"/>
              </w:rPr>
            </w:pPr>
            <w:r w:rsidRPr="00E0512C">
              <w:rPr>
                <w:rFonts w:ascii="Times New Roman" w:hAnsi="Times New Roman" w:cs="Times New Roman"/>
                <w:b/>
                <w:bCs/>
                <w:sz w:val="22"/>
                <w:szCs w:val="22"/>
              </w:rPr>
              <w:t>Porcentaje de sentencias absolutorias en menores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49,7</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49,0</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48,3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54,8</w:t>
            </w:r>
          </w:p>
        </w:tc>
        <w:tc>
          <w:tcPr>
            <w:tcW w:w="72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54,9</w:t>
            </w:r>
          </w:p>
        </w:tc>
      </w:tr>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widowControl/>
              <w:autoSpaceDE/>
              <w:autoSpaceDN/>
              <w:adjustRightInd/>
              <w:jc w:val="both"/>
              <w:rPr>
                <w:rFonts w:ascii="Times New Roman" w:hAnsi="Times New Roman" w:cs="Times New Roman"/>
                <w:color w:val="000000"/>
                <w:sz w:val="22"/>
                <w:szCs w:val="22"/>
              </w:rPr>
            </w:pPr>
            <w:r w:rsidRPr="00E0512C">
              <w:rPr>
                <w:rFonts w:ascii="Times New Roman" w:hAnsi="Times New Roman" w:cs="Times New Roman"/>
                <w:b/>
                <w:bCs/>
                <w:sz w:val="22"/>
                <w:szCs w:val="22"/>
              </w:rPr>
              <w:t>Porcentaje de sentencias condenatorias en hombres menores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eastAsia="Arial Unicode MS" w:hAnsi="Times New Roman" w:cs="Times New Roman"/>
                <w:sz w:val="22"/>
                <w:szCs w:val="22"/>
              </w:rPr>
              <w:t>92,3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eastAsia="Arial Unicode MS" w:hAnsi="Times New Roman" w:cs="Times New Roman"/>
                <w:sz w:val="22"/>
                <w:szCs w:val="22"/>
              </w:rPr>
              <w:t>96,4</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eastAsia="Arial Unicode MS" w:hAnsi="Times New Roman" w:cs="Times New Roman"/>
                <w:sz w:val="22"/>
                <w:szCs w:val="22"/>
              </w:rPr>
              <w:t>93,2</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eastAsia="Arial Unicode MS" w:hAnsi="Times New Roman" w:cs="Times New Roman"/>
                <w:sz w:val="22"/>
                <w:szCs w:val="22"/>
              </w:rPr>
              <w:t>93,3</w:t>
            </w:r>
          </w:p>
        </w:tc>
        <w:tc>
          <w:tcPr>
            <w:tcW w:w="72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eastAsia="Arial Unicode MS" w:hAnsi="Times New Roman" w:cs="Times New Roman"/>
                <w:sz w:val="22"/>
                <w:szCs w:val="22"/>
              </w:rPr>
              <w:t>95,2</w:t>
            </w:r>
          </w:p>
        </w:tc>
      </w:tr>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widowControl/>
              <w:autoSpaceDE/>
              <w:autoSpaceDN/>
              <w:adjustRightInd/>
              <w:jc w:val="both"/>
              <w:rPr>
                <w:rFonts w:ascii="Times New Roman" w:hAnsi="Times New Roman" w:cs="Times New Roman"/>
                <w:b/>
                <w:bCs/>
                <w:sz w:val="22"/>
                <w:szCs w:val="22"/>
              </w:rPr>
            </w:pPr>
            <w:r w:rsidRPr="00E0512C">
              <w:rPr>
                <w:rFonts w:ascii="Times New Roman" w:hAnsi="Times New Roman" w:cs="Times New Roman"/>
                <w:b/>
                <w:bCs/>
                <w:sz w:val="22"/>
                <w:szCs w:val="22"/>
              </w:rPr>
              <w:t>Porcentaje de sentencias condenatorias en mujeres menores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7,7</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3,6</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6,8</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6,7</w:t>
            </w:r>
          </w:p>
        </w:tc>
        <w:tc>
          <w:tcPr>
            <w:tcW w:w="72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4,8</w:t>
            </w:r>
          </w:p>
        </w:tc>
      </w:tr>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widowControl/>
              <w:autoSpaceDE/>
              <w:autoSpaceDN/>
              <w:adjustRightInd/>
              <w:jc w:val="both"/>
              <w:rPr>
                <w:rFonts w:ascii="Times New Roman" w:hAnsi="Times New Roman" w:cs="Times New Roman"/>
                <w:b/>
                <w:bCs/>
                <w:sz w:val="22"/>
                <w:szCs w:val="22"/>
              </w:rPr>
            </w:pPr>
            <w:r w:rsidRPr="00E0512C">
              <w:rPr>
                <w:rFonts w:ascii="Times New Roman" w:hAnsi="Times New Roman" w:cs="Times New Roman"/>
                <w:b/>
                <w:sz w:val="22"/>
                <w:szCs w:val="22"/>
                <w:lang w:eastAsia="ar-SA"/>
              </w:rPr>
              <w:t>Tasa de menores condenados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17,7</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23,2</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31,9</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37,6</w:t>
            </w:r>
          </w:p>
        </w:tc>
        <w:tc>
          <w:tcPr>
            <w:tcW w:w="72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31,1</w:t>
            </w:r>
          </w:p>
        </w:tc>
      </w:tr>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widowControl/>
              <w:autoSpaceDE/>
              <w:autoSpaceDN/>
              <w:adjustRightInd/>
              <w:jc w:val="both"/>
              <w:rPr>
                <w:rFonts w:ascii="Times New Roman" w:hAnsi="Times New Roman" w:cs="Times New Roman"/>
                <w:b/>
                <w:bCs/>
                <w:sz w:val="22"/>
                <w:szCs w:val="22"/>
              </w:rPr>
            </w:pPr>
            <w:r w:rsidRPr="00E0512C">
              <w:rPr>
                <w:rFonts w:ascii="Times New Roman" w:hAnsi="Times New Roman" w:cs="Times New Roman"/>
                <w:b/>
                <w:sz w:val="22"/>
                <w:szCs w:val="22"/>
                <w:lang w:eastAsia="ar-SA"/>
              </w:rPr>
              <w:t>Tasa de condena juvenil</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0,7</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0,6</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0,8</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0,9</w:t>
            </w:r>
          </w:p>
        </w:tc>
        <w:tc>
          <w:tcPr>
            <w:tcW w:w="72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0,8</w:t>
            </w:r>
          </w:p>
        </w:tc>
      </w:tr>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widowControl/>
              <w:autoSpaceDE/>
              <w:autoSpaceDN/>
              <w:adjustRightInd/>
              <w:jc w:val="both"/>
              <w:rPr>
                <w:rFonts w:ascii="Times New Roman" w:hAnsi="Times New Roman" w:cs="Times New Roman"/>
                <w:b/>
                <w:sz w:val="22"/>
                <w:szCs w:val="22"/>
                <w:lang w:eastAsia="ar-SA"/>
              </w:rPr>
            </w:pPr>
            <w:r w:rsidRPr="00E0512C">
              <w:rPr>
                <w:rFonts w:ascii="Times New Roman" w:hAnsi="Times New Roman" w:cs="Times New Roman"/>
                <w:b/>
                <w:bCs/>
                <w:sz w:val="22"/>
                <w:szCs w:val="22"/>
              </w:rPr>
              <w:t>Edad promedio de los menores condenados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16,3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16,3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16,3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16,1</w:t>
            </w:r>
          </w:p>
        </w:tc>
        <w:tc>
          <w:tcPr>
            <w:tcW w:w="72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hAnsi="Times New Roman" w:cs="Times New Roman"/>
                <w:sz w:val="22"/>
                <w:szCs w:val="22"/>
              </w:rPr>
            </w:pPr>
            <w:r w:rsidRPr="00E0512C">
              <w:rPr>
                <w:rFonts w:ascii="Times New Roman" w:hAnsi="Times New Roman" w:cs="Times New Roman"/>
                <w:sz w:val="22"/>
                <w:szCs w:val="22"/>
              </w:rPr>
              <w:t>16,4</w:t>
            </w:r>
          </w:p>
        </w:tc>
      </w:tr>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widowControl/>
              <w:autoSpaceDE/>
              <w:autoSpaceDN/>
              <w:adjustRightInd/>
              <w:jc w:val="both"/>
              <w:rPr>
                <w:rFonts w:ascii="Times New Roman" w:hAnsi="Times New Roman" w:cs="Times New Roman"/>
                <w:color w:val="000000"/>
                <w:sz w:val="22"/>
                <w:szCs w:val="22"/>
              </w:rPr>
            </w:pPr>
            <w:r w:rsidRPr="00E0512C">
              <w:rPr>
                <w:rFonts w:ascii="Times New Roman" w:hAnsi="Times New Roman" w:cs="Times New Roman"/>
                <w:b/>
                <w:bCs/>
                <w:sz w:val="22"/>
                <w:szCs w:val="22"/>
              </w:rPr>
              <w:t>Tasa de menores condenados por homicidio</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eastAsia="Arial Unicode MS" w:hAnsi="Times New Roman" w:cs="Times New Roman"/>
                <w:sz w:val="22"/>
                <w:szCs w:val="22"/>
              </w:rPr>
              <w:t>1,9</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eastAsia="Arial Unicode MS" w:hAnsi="Times New Roman" w:cs="Times New Roman"/>
                <w:sz w:val="22"/>
                <w:szCs w:val="22"/>
              </w:rPr>
              <w:t>2,9</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eastAsia="Arial Unicode MS" w:hAnsi="Times New Roman" w:cs="Times New Roman"/>
                <w:sz w:val="22"/>
                <w:szCs w:val="22"/>
              </w:rPr>
              <w:t>2,2</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eastAsia="Arial Unicode MS" w:hAnsi="Times New Roman" w:cs="Times New Roman"/>
                <w:sz w:val="22"/>
                <w:szCs w:val="22"/>
              </w:rPr>
              <w:t>1,9</w:t>
            </w:r>
          </w:p>
        </w:tc>
        <w:tc>
          <w:tcPr>
            <w:tcW w:w="72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eastAsia="Arial Unicode MS" w:hAnsi="Times New Roman" w:cs="Times New Roman"/>
                <w:sz w:val="22"/>
                <w:szCs w:val="22"/>
              </w:rPr>
              <w:t>2,6</w:t>
            </w:r>
          </w:p>
        </w:tc>
      </w:tr>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widowControl/>
              <w:autoSpaceDE/>
              <w:autoSpaceDN/>
              <w:adjustRightInd/>
              <w:jc w:val="both"/>
              <w:rPr>
                <w:rFonts w:ascii="Times New Roman" w:hAnsi="Times New Roman" w:cs="Times New Roman"/>
                <w:b/>
                <w:bCs/>
                <w:sz w:val="22"/>
                <w:szCs w:val="22"/>
              </w:rPr>
            </w:pPr>
            <w:r w:rsidRPr="00E0512C">
              <w:rPr>
                <w:rFonts w:ascii="Times New Roman" w:hAnsi="Times New Roman" w:cs="Times New Roman"/>
                <w:b/>
                <w:bCs/>
                <w:sz w:val="22"/>
                <w:szCs w:val="22"/>
              </w:rPr>
              <w:t>Tasa de menores condenados por robo</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eastAsia="Arial Unicode MS" w:hAnsi="Times New Roman" w:cs="Times New Roman"/>
                <w:sz w:val="22"/>
                <w:szCs w:val="22"/>
              </w:rPr>
              <w:t>6,9</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eastAsia="Arial Unicode MS" w:hAnsi="Times New Roman" w:cs="Times New Roman"/>
                <w:sz w:val="22"/>
                <w:szCs w:val="22"/>
              </w:rPr>
              <w:t>9,0</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eastAsia="Arial Unicode MS" w:hAnsi="Times New Roman" w:cs="Times New Roman"/>
                <w:sz w:val="22"/>
                <w:szCs w:val="22"/>
              </w:rPr>
              <w:t>16,3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eastAsia="Arial Unicode MS" w:hAnsi="Times New Roman" w:cs="Times New Roman"/>
                <w:sz w:val="22"/>
                <w:szCs w:val="22"/>
              </w:rPr>
              <w:t>14,5</w:t>
            </w:r>
          </w:p>
        </w:tc>
        <w:tc>
          <w:tcPr>
            <w:tcW w:w="72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eastAsia="Arial Unicode MS" w:hAnsi="Times New Roman" w:cs="Times New Roman"/>
                <w:sz w:val="22"/>
                <w:szCs w:val="22"/>
              </w:rPr>
              <w:t>12,7</w:t>
            </w:r>
          </w:p>
        </w:tc>
      </w:tr>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widowControl/>
              <w:autoSpaceDE/>
              <w:autoSpaceDN/>
              <w:adjustRightInd/>
              <w:jc w:val="both"/>
              <w:rPr>
                <w:rFonts w:ascii="Times New Roman" w:hAnsi="Times New Roman" w:cs="Times New Roman"/>
                <w:b/>
                <w:bCs/>
                <w:sz w:val="22"/>
                <w:szCs w:val="22"/>
              </w:rPr>
            </w:pPr>
            <w:r w:rsidRPr="00E0512C">
              <w:rPr>
                <w:rFonts w:ascii="Times New Roman" w:hAnsi="Times New Roman" w:cs="Times New Roman"/>
                <w:b/>
                <w:bCs/>
                <w:sz w:val="22"/>
                <w:szCs w:val="22"/>
              </w:rPr>
              <w:t>Porcentaje de desestimaciones dictadas a menores por los juzgados penales juveniles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eastAsia="Arial Unicode MS" w:hAnsi="Times New Roman" w:cs="Times New Roman"/>
                <w:sz w:val="22"/>
                <w:szCs w:val="22"/>
              </w:rPr>
              <w:t>62,5</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eastAsia="Arial Unicode MS" w:hAnsi="Times New Roman" w:cs="Times New Roman"/>
                <w:sz w:val="22"/>
                <w:szCs w:val="22"/>
              </w:rPr>
              <w:t>47,5</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eastAsia="Arial Unicode MS" w:hAnsi="Times New Roman" w:cs="Times New Roman"/>
                <w:sz w:val="22"/>
                <w:szCs w:val="22"/>
              </w:rPr>
              <w:t>41,6</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eastAsia="Arial Unicode MS" w:hAnsi="Times New Roman" w:cs="Times New Roman"/>
                <w:sz w:val="22"/>
                <w:szCs w:val="22"/>
              </w:rPr>
              <w:t>33,9</w:t>
            </w:r>
          </w:p>
        </w:tc>
        <w:tc>
          <w:tcPr>
            <w:tcW w:w="72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eastAsia="Arial Unicode MS" w:hAnsi="Times New Roman" w:cs="Times New Roman"/>
                <w:sz w:val="22"/>
                <w:szCs w:val="22"/>
              </w:rPr>
              <w:t>28,3</w:t>
            </w:r>
          </w:p>
        </w:tc>
      </w:tr>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widowControl/>
              <w:autoSpaceDE/>
              <w:autoSpaceDN/>
              <w:adjustRightInd/>
              <w:jc w:val="both"/>
              <w:rPr>
                <w:rFonts w:ascii="Times New Roman" w:hAnsi="Times New Roman" w:cs="Times New Roman"/>
                <w:b/>
                <w:bCs/>
                <w:sz w:val="22"/>
                <w:szCs w:val="22"/>
              </w:rPr>
            </w:pPr>
            <w:r w:rsidRPr="00E0512C">
              <w:rPr>
                <w:rFonts w:ascii="Times New Roman" w:hAnsi="Times New Roman" w:cs="Times New Roman"/>
                <w:b/>
                <w:bCs/>
                <w:sz w:val="22"/>
                <w:szCs w:val="22"/>
              </w:rPr>
              <w:t xml:space="preserve">Porcentaje de menores </w:t>
            </w:r>
            <w:proofErr w:type="spellStart"/>
            <w:r w:rsidRPr="00E0512C">
              <w:rPr>
                <w:rFonts w:ascii="Times New Roman" w:hAnsi="Times New Roman" w:cs="Times New Roman"/>
                <w:b/>
                <w:bCs/>
                <w:sz w:val="22"/>
                <w:szCs w:val="22"/>
              </w:rPr>
              <w:t>sobreseídos</w:t>
            </w:r>
            <w:proofErr w:type="spellEnd"/>
            <w:r w:rsidRPr="00E0512C">
              <w:rPr>
                <w:rFonts w:ascii="Times New Roman" w:hAnsi="Times New Roman" w:cs="Times New Roman"/>
                <w:b/>
                <w:bCs/>
                <w:sz w:val="22"/>
                <w:szCs w:val="22"/>
              </w:rPr>
              <w:t xml:space="preserve"> por prescripción en los juzgados penales juveniles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eastAsia="Arial Unicode MS" w:hAnsi="Times New Roman" w:cs="Times New Roman"/>
                <w:sz w:val="22"/>
                <w:szCs w:val="22"/>
              </w:rPr>
              <w:t>5,2</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eastAsia="Arial Unicode MS" w:hAnsi="Times New Roman" w:cs="Times New Roman"/>
                <w:sz w:val="22"/>
                <w:szCs w:val="22"/>
              </w:rPr>
              <w:t>9,8</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eastAsia="Arial Unicode MS" w:hAnsi="Times New Roman" w:cs="Times New Roman"/>
                <w:sz w:val="22"/>
                <w:szCs w:val="22"/>
              </w:rPr>
              <w:t>11,3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eastAsia="Arial Unicode MS" w:hAnsi="Times New Roman" w:cs="Times New Roman"/>
                <w:sz w:val="22"/>
                <w:szCs w:val="22"/>
              </w:rPr>
              <w:t>9,8</w:t>
            </w:r>
          </w:p>
        </w:tc>
        <w:tc>
          <w:tcPr>
            <w:tcW w:w="72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eastAsia="Arial Unicode MS" w:hAnsi="Times New Roman" w:cs="Times New Roman"/>
                <w:sz w:val="22"/>
                <w:szCs w:val="22"/>
              </w:rPr>
              <w:t>9,3</w:t>
            </w:r>
          </w:p>
        </w:tc>
      </w:tr>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widowControl/>
              <w:autoSpaceDE/>
              <w:autoSpaceDN/>
              <w:adjustRightInd/>
              <w:jc w:val="both"/>
              <w:rPr>
                <w:rFonts w:ascii="Times New Roman" w:hAnsi="Times New Roman" w:cs="Times New Roman"/>
                <w:b/>
                <w:bCs/>
                <w:sz w:val="22"/>
                <w:szCs w:val="22"/>
              </w:rPr>
            </w:pPr>
            <w:r w:rsidRPr="00E0512C">
              <w:rPr>
                <w:rFonts w:ascii="Times New Roman" w:hAnsi="Times New Roman" w:cs="Times New Roman"/>
                <w:b/>
                <w:bCs/>
                <w:sz w:val="22"/>
                <w:szCs w:val="22"/>
              </w:rPr>
              <w:t xml:space="preserve">Porcentaje de menores </w:t>
            </w:r>
            <w:proofErr w:type="spellStart"/>
            <w:r w:rsidRPr="00E0512C">
              <w:rPr>
                <w:rFonts w:ascii="Times New Roman" w:hAnsi="Times New Roman" w:cs="Times New Roman"/>
                <w:b/>
                <w:bCs/>
                <w:sz w:val="22"/>
                <w:szCs w:val="22"/>
              </w:rPr>
              <w:t>sobreseídos</w:t>
            </w:r>
            <w:proofErr w:type="spellEnd"/>
            <w:r w:rsidRPr="00E0512C">
              <w:rPr>
                <w:rFonts w:ascii="Times New Roman" w:hAnsi="Times New Roman" w:cs="Times New Roman"/>
                <w:b/>
                <w:bCs/>
                <w:sz w:val="22"/>
                <w:szCs w:val="22"/>
              </w:rPr>
              <w:t xml:space="preserve"> por cumplimiento de la conciliación como medida alterna en los juzgados penales juveniles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eastAsia="Arial Unicode MS" w:hAnsi="Times New Roman" w:cs="Times New Roman"/>
                <w:sz w:val="22"/>
                <w:szCs w:val="22"/>
              </w:rPr>
              <w:t>2,6</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eastAsia="Arial Unicode MS" w:hAnsi="Times New Roman" w:cs="Times New Roman"/>
                <w:sz w:val="22"/>
                <w:szCs w:val="22"/>
              </w:rPr>
              <w:t>5,4</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eastAsia="Arial Unicode MS" w:hAnsi="Times New Roman" w:cs="Times New Roman"/>
                <w:sz w:val="22"/>
                <w:szCs w:val="22"/>
              </w:rPr>
              <w:t>4,3</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eastAsia="Arial Unicode MS" w:hAnsi="Times New Roman" w:cs="Times New Roman"/>
                <w:sz w:val="22"/>
                <w:szCs w:val="22"/>
              </w:rPr>
              <w:t>5,0</w:t>
            </w:r>
          </w:p>
        </w:tc>
        <w:tc>
          <w:tcPr>
            <w:tcW w:w="72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eastAsia="Arial Unicode MS" w:hAnsi="Times New Roman" w:cs="Times New Roman"/>
                <w:sz w:val="22"/>
                <w:szCs w:val="22"/>
              </w:rPr>
              <w:t>5,5</w:t>
            </w:r>
          </w:p>
        </w:tc>
      </w:tr>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widowControl/>
              <w:autoSpaceDE/>
              <w:autoSpaceDN/>
              <w:adjustRightInd/>
              <w:jc w:val="both"/>
              <w:rPr>
                <w:rFonts w:ascii="Times New Roman" w:hAnsi="Times New Roman" w:cs="Times New Roman"/>
                <w:b/>
                <w:bCs/>
                <w:sz w:val="22"/>
                <w:szCs w:val="22"/>
              </w:rPr>
            </w:pPr>
            <w:r w:rsidRPr="00E0512C">
              <w:rPr>
                <w:rFonts w:ascii="Times New Roman" w:hAnsi="Times New Roman" w:cs="Times New Roman"/>
                <w:b/>
                <w:bCs/>
                <w:sz w:val="22"/>
                <w:szCs w:val="22"/>
              </w:rPr>
              <w:t xml:space="preserve">Porcentaje de menores </w:t>
            </w:r>
            <w:proofErr w:type="spellStart"/>
            <w:r w:rsidRPr="00E0512C">
              <w:rPr>
                <w:rFonts w:ascii="Times New Roman" w:hAnsi="Times New Roman" w:cs="Times New Roman"/>
                <w:b/>
                <w:bCs/>
                <w:sz w:val="22"/>
                <w:szCs w:val="22"/>
              </w:rPr>
              <w:t>sobreseídos</w:t>
            </w:r>
            <w:proofErr w:type="spellEnd"/>
            <w:r w:rsidRPr="00E0512C">
              <w:rPr>
                <w:rFonts w:ascii="Times New Roman" w:hAnsi="Times New Roman" w:cs="Times New Roman"/>
                <w:b/>
                <w:bCs/>
                <w:sz w:val="22"/>
                <w:szCs w:val="22"/>
              </w:rPr>
              <w:t xml:space="preserve"> por cumplimiento de la suspensión del proceso a prueba, como medida alterna en los juzgados penales juveniles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eastAsia="Arial Unicode MS" w:hAnsi="Times New Roman" w:cs="Times New Roman"/>
                <w:sz w:val="22"/>
                <w:szCs w:val="22"/>
              </w:rPr>
              <w:t>4,1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eastAsia="Arial Unicode MS" w:hAnsi="Times New Roman" w:cs="Times New Roman"/>
                <w:sz w:val="22"/>
                <w:szCs w:val="22"/>
              </w:rPr>
              <w:t>3,9</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eastAsia="Arial Unicode MS" w:hAnsi="Times New Roman" w:cs="Times New Roman"/>
                <w:sz w:val="22"/>
                <w:szCs w:val="22"/>
              </w:rPr>
              <w:t>4,8</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eastAsia="Arial Unicode MS" w:hAnsi="Times New Roman" w:cs="Times New Roman"/>
                <w:sz w:val="22"/>
                <w:szCs w:val="22"/>
              </w:rPr>
              <w:t>6,3</w:t>
            </w:r>
          </w:p>
        </w:tc>
        <w:tc>
          <w:tcPr>
            <w:tcW w:w="72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eastAsia="Arial Unicode MS" w:hAnsi="Times New Roman" w:cs="Times New Roman"/>
                <w:sz w:val="22"/>
                <w:szCs w:val="22"/>
              </w:rPr>
              <w:t>8,3</w:t>
            </w:r>
          </w:p>
        </w:tc>
      </w:tr>
      <w:tr w:rsidR="00E0512C" w:rsidRPr="00E0512C" w:rsidTr="00B14F0E">
        <w:trPr>
          <w:trHeight w:val="300"/>
          <w:jc w:val="center"/>
        </w:trPr>
        <w:tc>
          <w:tcPr>
            <w:tcW w:w="4200" w:type="dxa"/>
            <w:tcBorders>
              <w:top w:val="threeDEmboss" w:sz="6" w:space="0" w:color="auto"/>
              <w:left w:val="threeDEmboss" w:sz="6" w:space="0" w:color="auto"/>
              <w:bottom w:val="threeDEmboss" w:sz="6" w:space="0" w:color="auto"/>
              <w:right w:val="threeDEmboss" w:sz="6" w:space="0" w:color="auto"/>
            </w:tcBorders>
            <w:shd w:val="clear" w:color="FFFFFF" w:fill="FFFFFF"/>
            <w:vAlign w:val="center"/>
          </w:tcPr>
          <w:p w:rsidR="00E0512C" w:rsidRPr="00E0512C" w:rsidRDefault="00E0512C" w:rsidP="00E0512C">
            <w:pPr>
              <w:widowControl/>
              <w:autoSpaceDE/>
              <w:autoSpaceDN/>
              <w:adjustRightInd/>
              <w:jc w:val="both"/>
              <w:rPr>
                <w:rFonts w:ascii="Times New Roman" w:hAnsi="Times New Roman" w:cs="Times New Roman"/>
                <w:b/>
                <w:bCs/>
                <w:sz w:val="22"/>
                <w:szCs w:val="22"/>
              </w:rPr>
            </w:pPr>
            <w:r w:rsidRPr="00E0512C">
              <w:rPr>
                <w:rFonts w:ascii="Times New Roman" w:hAnsi="Times New Roman" w:cs="Times New Roman"/>
                <w:b/>
                <w:bCs/>
                <w:sz w:val="22"/>
                <w:szCs w:val="22"/>
              </w:rPr>
              <w:t>Duración promedio de casos fallados con sentencia (Juzgados Penales en meses)</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eastAsia="Arial Unicode MS" w:hAnsi="Times New Roman" w:cs="Times New Roman"/>
                <w:sz w:val="22"/>
                <w:szCs w:val="22"/>
              </w:rPr>
              <w:t>--</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eastAsia="Arial Unicode MS" w:hAnsi="Times New Roman" w:cs="Times New Roman"/>
                <w:sz w:val="22"/>
                <w:szCs w:val="22"/>
              </w:rPr>
              <w:t>20,1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eastAsia="Arial Unicode MS" w:hAnsi="Times New Roman" w:cs="Times New Roman"/>
                <w:sz w:val="22"/>
                <w:szCs w:val="22"/>
              </w:rPr>
              <w:t>20,1</w:t>
            </w:r>
          </w:p>
        </w:tc>
        <w:tc>
          <w:tcPr>
            <w:tcW w:w="90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eastAsia="Arial Unicode MS" w:hAnsi="Times New Roman" w:cs="Times New Roman"/>
                <w:sz w:val="22"/>
                <w:szCs w:val="22"/>
              </w:rPr>
              <w:t>22,3</w:t>
            </w:r>
          </w:p>
        </w:tc>
        <w:tc>
          <w:tcPr>
            <w:tcW w:w="720" w:type="dxa"/>
            <w:tcBorders>
              <w:top w:val="threeDEmboss" w:sz="6" w:space="0" w:color="auto"/>
              <w:left w:val="threeDEmboss" w:sz="6" w:space="0" w:color="auto"/>
              <w:bottom w:val="threeDEmboss" w:sz="6" w:space="0" w:color="auto"/>
              <w:right w:val="threeDEmboss" w:sz="6" w:space="0" w:color="auto"/>
            </w:tcBorders>
            <w:shd w:val="clear" w:color="FFFFFF" w:fill="auto"/>
            <w:vAlign w:val="center"/>
          </w:tcPr>
          <w:p w:rsidR="00E0512C" w:rsidRPr="00E0512C" w:rsidRDefault="00E0512C" w:rsidP="00E0512C">
            <w:pPr>
              <w:jc w:val="center"/>
              <w:rPr>
                <w:rFonts w:ascii="Times New Roman" w:eastAsia="Arial Unicode MS" w:hAnsi="Times New Roman" w:cs="Times New Roman"/>
                <w:sz w:val="22"/>
                <w:szCs w:val="22"/>
              </w:rPr>
            </w:pPr>
            <w:r w:rsidRPr="00E0512C">
              <w:rPr>
                <w:rFonts w:ascii="Times New Roman" w:eastAsia="Arial Unicode MS" w:hAnsi="Times New Roman" w:cs="Times New Roman"/>
                <w:sz w:val="22"/>
                <w:szCs w:val="22"/>
              </w:rPr>
              <w:t>24,3</w:t>
            </w:r>
          </w:p>
        </w:tc>
      </w:tr>
    </w:tbl>
    <w:p w:rsidR="003A2E7F" w:rsidRDefault="003A2E7F" w:rsidP="003A2E7F">
      <w:pPr>
        <w:spacing w:line="360" w:lineRule="auto"/>
        <w:jc w:val="both"/>
        <w:rPr>
          <w:rFonts w:ascii="Times New Roman" w:hAnsi="Times New Roman" w:cs="Times New Roman"/>
          <w:b/>
        </w:rPr>
      </w:pPr>
    </w:p>
    <w:p w:rsidR="00E0512C" w:rsidRDefault="00E0512C" w:rsidP="003A2E7F">
      <w:pPr>
        <w:spacing w:line="360" w:lineRule="auto"/>
        <w:jc w:val="both"/>
        <w:rPr>
          <w:rFonts w:ascii="Times New Roman" w:hAnsi="Times New Roman" w:cs="Times New Roman"/>
          <w:b/>
        </w:rPr>
      </w:pPr>
    </w:p>
    <w:p w:rsidR="00E0512C" w:rsidRDefault="00E0512C" w:rsidP="003A2E7F">
      <w:pPr>
        <w:spacing w:line="360" w:lineRule="auto"/>
        <w:jc w:val="both"/>
        <w:rPr>
          <w:rFonts w:ascii="Times New Roman" w:hAnsi="Times New Roman" w:cs="Times New Roman"/>
          <w:b/>
        </w:rPr>
      </w:pPr>
    </w:p>
    <w:p w:rsidR="00E0512C" w:rsidRDefault="00E0512C" w:rsidP="003A2E7F">
      <w:pPr>
        <w:spacing w:line="360" w:lineRule="auto"/>
        <w:jc w:val="both"/>
        <w:rPr>
          <w:rFonts w:ascii="Times New Roman" w:hAnsi="Times New Roman" w:cs="Times New Roman"/>
          <w:b/>
        </w:rPr>
      </w:pPr>
    </w:p>
    <w:p w:rsidR="003A2E7F" w:rsidRPr="003A2E7F" w:rsidRDefault="003A2E7F" w:rsidP="003A2E7F">
      <w:pPr>
        <w:spacing w:line="360" w:lineRule="auto"/>
        <w:jc w:val="both"/>
        <w:rPr>
          <w:rFonts w:ascii="Times New Roman" w:hAnsi="Times New Roman" w:cs="Times New Roman"/>
        </w:rPr>
        <w:sectPr w:rsidR="003A2E7F" w:rsidRPr="003A2E7F" w:rsidSect="00C90951">
          <w:headerReference w:type="default" r:id="rId89"/>
          <w:footerReference w:type="default" r:id="rId90"/>
          <w:pgSz w:w="12242" w:h="15842" w:code="1"/>
          <w:pgMar w:top="1418" w:right="1418" w:bottom="1259" w:left="1418" w:header="709" w:footer="709" w:gutter="0"/>
          <w:pgNumType w:start="1"/>
          <w:cols w:space="708"/>
          <w:docGrid w:linePitch="360"/>
        </w:sectPr>
      </w:pPr>
    </w:p>
    <w:p w:rsidR="003A2E7F" w:rsidRPr="003A2E7F" w:rsidRDefault="003A2E7F" w:rsidP="003A2E7F">
      <w:pPr>
        <w:spacing w:line="360" w:lineRule="auto"/>
        <w:jc w:val="both"/>
        <w:rPr>
          <w:rFonts w:ascii="Times New Roman" w:hAnsi="Times New Roman" w:cs="Times New Roman"/>
        </w:rPr>
      </w:pPr>
    </w:p>
    <w:p w:rsidR="003A2E7F" w:rsidRPr="003A2E7F" w:rsidRDefault="003A2E7F" w:rsidP="003A2E7F">
      <w:pPr>
        <w:spacing w:line="360" w:lineRule="auto"/>
        <w:jc w:val="both"/>
        <w:rPr>
          <w:rFonts w:ascii="Times New Roman" w:hAnsi="Times New Roman" w:cs="Times New Roman"/>
          <w:b/>
          <w:bCs/>
          <w:iCs/>
        </w:rPr>
      </w:pPr>
      <w:r w:rsidRPr="003A2E7F">
        <w:rPr>
          <w:rFonts w:ascii="Times New Roman" w:hAnsi="Times New Roman" w:cs="Times New Roman"/>
          <w:b/>
          <w:bCs/>
          <w:iCs/>
        </w:rPr>
        <w:t>DIMENSIÓN DE LOS INDICADORES</w:t>
      </w:r>
    </w:p>
    <w:p w:rsidR="003A2E7F" w:rsidRPr="003A2E7F" w:rsidRDefault="003A2E7F" w:rsidP="003A2E7F">
      <w:pPr>
        <w:spacing w:line="360" w:lineRule="auto"/>
        <w:jc w:val="both"/>
        <w:rPr>
          <w:rFonts w:ascii="Times New Roman" w:hAnsi="Times New Roman" w:cs="Times New Roman"/>
        </w:rPr>
      </w:pPr>
    </w:p>
    <w:p w:rsidR="003A2E7F" w:rsidRPr="003A2E7F" w:rsidRDefault="003A2E7F" w:rsidP="003A2E7F">
      <w:pPr>
        <w:spacing w:line="360" w:lineRule="auto"/>
        <w:jc w:val="both"/>
        <w:rPr>
          <w:rFonts w:ascii="Times New Roman" w:hAnsi="Times New Roman" w:cs="Times New Roman"/>
        </w:rPr>
      </w:pPr>
    </w:p>
    <w:tbl>
      <w:tblPr>
        <w:tblW w:w="13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4"/>
        <w:gridCol w:w="2704"/>
        <w:gridCol w:w="2825"/>
        <w:gridCol w:w="2551"/>
        <w:gridCol w:w="3146"/>
      </w:tblGrid>
      <w:tr w:rsidR="003A2E7F" w:rsidRPr="003A2E7F" w:rsidTr="00B14F0E">
        <w:tc>
          <w:tcPr>
            <w:tcW w:w="1984"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CAMPO TEMÁTICO</w:t>
            </w:r>
          </w:p>
        </w:tc>
        <w:tc>
          <w:tcPr>
            <w:tcW w:w="2704"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INDICADOR</w:t>
            </w:r>
          </w:p>
        </w:tc>
        <w:tc>
          <w:tcPr>
            <w:tcW w:w="2825"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FORMULA DE CÁLCULO</w:t>
            </w:r>
          </w:p>
        </w:tc>
        <w:tc>
          <w:tcPr>
            <w:tcW w:w="2551"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FUENTE DE DATOS</w:t>
            </w:r>
          </w:p>
        </w:tc>
        <w:tc>
          <w:tcPr>
            <w:tcW w:w="3146"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COMENTARIO</w:t>
            </w:r>
          </w:p>
        </w:tc>
      </w:tr>
      <w:tr w:rsidR="003A2E7F" w:rsidRPr="003A2E7F" w:rsidTr="00B14F0E">
        <w:trPr>
          <w:cantSplit/>
        </w:trPr>
        <w:tc>
          <w:tcPr>
            <w:tcW w:w="1984" w:type="dxa"/>
            <w:vMerge w:val="restart"/>
            <w:tcBorders>
              <w:top w:val="single" w:sz="4" w:space="0" w:color="auto"/>
              <w:left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t xml:space="preserve">1.Insumos, dotación  y grado de utilización </w:t>
            </w: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lang w:val="es-ES_tradnl"/>
              </w:rPr>
              <w:t xml:space="preserve">Porcentaje </w:t>
            </w:r>
            <w:r w:rsidRPr="003A2E7F">
              <w:rPr>
                <w:rFonts w:ascii="Times New Roman" w:hAnsi="Times New Roman" w:cs="Times New Roman"/>
              </w:rPr>
              <w:t>del gasto en justicia sobre el gasto público total.</w:t>
            </w:r>
            <w:r w:rsidRPr="003A2E7F">
              <w:rPr>
                <w:rFonts w:ascii="Times New Roman" w:hAnsi="Times New Roman" w:cs="Times New Roman"/>
                <w:vertAlign w:val="superscript"/>
              </w:rPr>
              <w:footnoteReference w:id="14"/>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Gasto del Poder Judicial, sobre el gasto del Gobierno Central.</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Planes y Presupuesto P.J.</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Ministerio de Hacienda</w:t>
            </w:r>
          </w:p>
        </w:tc>
        <w:tc>
          <w:tcPr>
            <w:tcW w:w="3146"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xml:space="preserve">Se refiere al peso relativo del gasto dedicado al P.J. según el gasto del Gobierno Central. </w:t>
            </w:r>
          </w:p>
        </w:tc>
      </w:tr>
      <w:tr w:rsidR="003A2E7F" w:rsidRPr="003A2E7F" w:rsidTr="00B14F0E">
        <w:trPr>
          <w:cantSplit/>
        </w:trPr>
        <w:tc>
          <w:tcPr>
            <w:tcW w:w="1984" w:type="dxa"/>
            <w:vMerge/>
            <w:tcBorders>
              <w:left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lang w:val="es-ES_tradnl"/>
              </w:rPr>
              <w:t>Porcentaje</w:t>
            </w:r>
            <w:r w:rsidRPr="003A2E7F">
              <w:rPr>
                <w:rFonts w:ascii="Times New Roman" w:hAnsi="Times New Roman" w:cs="Times New Roman"/>
              </w:rPr>
              <w:t xml:space="preserve"> del gasto en justicia</w:t>
            </w:r>
            <w:r w:rsidRPr="003A2E7F">
              <w:rPr>
                <w:rFonts w:ascii="Times New Roman" w:hAnsi="Times New Roman" w:cs="Times New Roman"/>
                <w:lang w:val="es-ES_tradnl"/>
              </w:rPr>
              <w:t xml:space="preserve"> sobre el Producto Interno Bruto (PIB).</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Gasto del Poder Judicial (P.J.), sobre el PIB.</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Planes y Presupuesto del Dpto. de Planificación del P.J.</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Banco Central de Costa Rica.</w:t>
            </w:r>
          </w:p>
        </w:tc>
        <w:tc>
          <w:tcPr>
            <w:tcW w:w="3146"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Se refiere al peso relativo que tiene el gasto asignado al P.J. en comparación con el PIB.</w:t>
            </w:r>
          </w:p>
        </w:tc>
      </w:tr>
      <w:tr w:rsidR="003A2E7F" w:rsidRPr="003A2E7F" w:rsidTr="00B14F0E">
        <w:trPr>
          <w:cantSplit/>
        </w:trPr>
        <w:tc>
          <w:tcPr>
            <w:tcW w:w="1984" w:type="dxa"/>
            <w:vMerge/>
            <w:tcBorders>
              <w:left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Porcentaje del presupuesto devengado respecto del presupuestado.</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Presupuesto devengado sobre el presupuestado</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Departamento Financiero Contable</w:t>
            </w:r>
          </w:p>
        </w:tc>
        <w:tc>
          <w:tcPr>
            <w:tcW w:w="3146"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Cs/>
              </w:rPr>
              <w:t>Establece en términos relativos cuanto de lo  presupuestado efectivamente se ha gastado.</w:t>
            </w:r>
          </w:p>
        </w:tc>
      </w:tr>
      <w:tr w:rsidR="003A2E7F" w:rsidRPr="003A2E7F" w:rsidTr="00B14F0E">
        <w:trPr>
          <w:cantSplit/>
        </w:trPr>
        <w:tc>
          <w:tcPr>
            <w:tcW w:w="1984" w:type="dxa"/>
            <w:vMerge/>
            <w:tcBorders>
              <w:left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Costo medio de las causas terminadas (colones y dólares).</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Gasto en justicia, sobre el total de causas terminadas (primera y segunda instancia).</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Estadística P.J.</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Planes y Presupuesto P.J</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Banco Central de Costa Rica.</w:t>
            </w:r>
          </w:p>
        </w:tc>
        <w:tc>
          <w:tcPr>
            <w:tcW w:w="3146"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Se refiere a la productividad de los recursos económicos asociados a las causas terminadas, independientemente de la materia y de la instancia.</w:t>
            </w:r>
          </w:p>
        </w:tc>
      </w:tr>
    </w:tbl>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br w:type="page"/>
      </w:r>
    </w:p>
    <w:tbl>
      <w:tblPr>
        <w:tblW w:w="13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4"/>
        <w:gridCol w:w="2704"/>
        <w:gridCol w:w="2825"/>
        <w:gridCol w:w="2551"/>
        <w:gridCol w:w="3146"/>
      </w:tblGrid>
      <w:tr w:rsidR="003A2E7F" w:rsidRPr="003A2E7F" w:rsidTr="00B14F0E">
        <w:trPr>
          <w:cantSplit/>
        </w:trPr>
        <w:tc>
          <w:tcPr>
            <w:tcW w:w="1984" w:type="dxa"/>
            <w:tcBorders>
              <w:top w:val="threeDEngrave" w:sz="24" w:space="0" w:color="auto"/>
              <w:left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lastRenderedPageBreak/>
              <w:t>CAMPO TEMÁTICO</w:t>
            </w:r>
          </w:p>
        </w:tc>
        <w:tc>
          <w:tcPr>
            <w:tcW w:w="2704"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INDICADOR</w:t>
            </w:r>
          </w:p>
        </w:tc>
        <w:tc>
          <w:tcPr>
            <w:tcW w:w="2825"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FORMULA DE CÁLCULO</w:t>
            </w:r>
          </w:p>
        </w:tc>
        <w:tc>
          <w:tcPr>
            <w:tcW w:w="2551"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FUENTE DE DATOS</w:t>
            </w:r>
          </w:p>
        </w:tc>
        <w:tc>
          <w:tcPr>
            <w:tcW w:w="3146"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COMENTARIO</w:t>
            </w:r>
          </w:p>
        </w:tc>
      </w:tr>
      <w:tr w:rsidR="003A2E7F" w:rsidRPr="003A2E7F" w:rsidTr="00B14F0E">
        <w:trPr>
          <w:cantSplit/>
        </w:trPr>
        <w:tc>
          <w:tcPr>
            <w:tcW w:w="1984" w:type="dxa"/>
            <w:vMerge w:val="restart"/>
            <w:tcBorders>
              <w:left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Porcentaje del costo administrativo respecto del costo de la justicia.</w:t>
            </w:r>
          </w:p>
          <w:p w:rsidR="003A2E7F" w:rsidRPr="003A2E7F" w:rsidRDefault="003A2E7F" w:rsidP="003A2E7F">
            <w:pPr>
              <w:spacing w:line="360" w:lineRule="auto"/>
              <w:jc w:val="both"/>
              <w:rPr>
                <w:rFonts w:ascii="Times New Roman" w:hAnsi="Times New Roman" w:cs="Times New Roman"/>
              </w:rPr>
            </w:pP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del gasto administrativo, sobre el gasto del Poder-Judicial.</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xml:space="preserve">- Sección de Planes y Presupuesto P.J </w:t>
            </w:r>
          </w:p>
        </w:tc>
        <w:tc>
          <w:tcPr>
            <w:tcW w:w="3146"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Determina el peso relativo del ámbito administrativo respecto del costo de la justicia.</w:t>
            </w:r>
          </w:p>
        </w:tc>
      </w:tr>
      <w:tr w:rsidR="003A2E7F" w:rsidRPr="003A2E7F" w:rsidTr="00B14F0E">
        <w:trPr>
          <w:cantSplit/>
        </w:trPr>
        <w:tc>
          <w:tcPr>
            <w:tcW w:w="1984" w:type="dxa"/>
            <w:vMerge/>
            <w:tcBorders>
              <w:left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Porcentaje del costo jurisdiccional respecto del costo de la justicia.</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del gasto jurisdiccional, sobre el gasto del Poder-Judicial.</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xml:space="preserve">- Sección de Planes y Presupuesto P.J </w:t>
            </w:r>
          </w:p>
        </w:tc>
        <w:tc>
          <w:tcPr>
            <w:tcW w:w="3146"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Determina el peso relativo del ámbito jurisdiccional respecto del costo de la justicia.</w:t>
            </w:r>
          </w:p>
        </w:tc>
      </w:tr>
      <w:tr w:rsidR="003A2E7F" w:rsidRPr="003A2E7F" w:rsidTr="00B14F0E">
        <w:trPr>
          <w:cantSplit/>
        </w:trPr>
        <w:tc>
          <w:tcPr>
            <w:tcW w:w="1984" w:type="dxa"/>
            <w:vMerge/>
            <w:tcBorders>
              <w:left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rPr>
              <w:t>Porcentaje del gasto dedicado a pago del personal.</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Gasto por pago al personal, sobre el gasto total del P.J.</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Planes y Presupuesto P.J.</w:t>
            </w:r>
          </w:p>
        </w:tc>
        <w:tc>
          <w:tcPr>
            <w:tcW w:w="3146"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Indica que porcentaje del gasto total del P.J. se destina al pago del personal.</w:t>
            </w:r>
          </w:p>
        </w:tc>
      </w:tr>
      <w:tr w:rsidR="003A2E7F" w:rsidRPr="003A2E7F" w:rsidTr="00B14F0E">
        <w:trPr>
          <w:cantSplit/>
        </w:trPr>
        <w:tc>
          <w:tcPr>
            <w:tcW w:w="1984" w:type="dxa"/>
            <w:vMerge/>
            <w:tcBorders>
              <w:left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Gasto en justicia por habitante.</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Gasto del Poder Judicial, sobre población total.</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Planes y Presupuesto P.J.</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Instituto Nacional de Estadística y Censos.</w:t>
            </w:r>
          </w:p>
        </w:tc>
        <w:tc>
          <w:tcPr>
            <w:tcW w:w="3146"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Este indicador muestra el peso relativo del el gasto público como inversión del Estado por persona.</w:t>
            </w:r>
          </w:p>
        </w:tc>
      </w:tr>
      <w:tr w:rsidR="003A2E7F" w:rsidRPr="003A2E7F" w:rsidTr="00B14F0E">
        <w:trPr>
          <w:cantSplit/>
        </w:trPr>
        <w:tc>
          <w:tcPr>
            <w:tcW w:w="1984" w:type="dxa"/>
            <w:vMerge/>
            <w:tcBorders>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Cobertura en km</w:t>
            </w:r>
            <w:r w:rsidRPr="003A2E7F">
              <w:rPr>
                <w:rFonts w:ascii="Times New Roman" w:hAnsi="Times New Roman" w:cs="Times New Roman"/>
                <w:vertAlign w:val="superscript"/>
              </w:rPr>
              <w:t>2</w:t>
            </w:r>
            <w:r w:rsidRPr="003A2E7F">
              <w:rPr>
                <w:rFonts w:ascii="Times New Roman" w:hAnsi="Times New Roman" w:cs="Times New Roman"/>
              </w:rPr>
              <w:t xml:space="preserve"> por Jueza y Juez.</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Espacio territorial, sobre el total de juezas y jueces</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Estadística P.J.</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xml:space="preserve">- División Territorial Administrativa (Decretos No. 29267) </w:t>
            </w:r>
          </w:p>
        </w:tc>
        <w:tc>
          <w:tcPr>
            <w:tcW w:w="3146"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xml:space="preserve">Determina el espacio territorial que deben cubrir las juezas o jueces. </w:t>
            </w:r>
          </w:p>
        </w:tc>
      </w:tr>
    </w:tbl>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br w:type="page"/>
      </w:r>
    </w:p>
    <w:tbl>
      <w:tblPr>
        <w:tblW w:w="132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4"/>
        <w:gridCol w:w="2704"/>
        <w:gridCol w:w="2825"/>
        <w:gridCol w:w="2551"/>
        <w:gridCol w:w="3146"/>
        <w:gridCol w:w="19"/>
      </w:tblGrid>
      <w:tr w:rsidR="003A2E7F" w:rsidRPr="003A2E7F" w:rsidTr="00B14F0E">
        <w:trPr>
          <w:gridAfter w:val="1"/>
          <w:wAfter w:w="19" w:type="dxa"/>
          <w:cantSplit/>
        </w:trPr>
        <w:tc>
          <w:tcPr>
            <w:tcW w:w="1984"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rPr>
            </w:pPr>
          </w:p>
          <w:p w:rsidR="003A2E7F" w:rsidRPr="003A2E7F" w:rsidRDefault="003A2E7F" w:rsidP="003A2E7F">
            <w:pPr>
              <w:spacing w:line="360" w:lineRule="auto"/>
              <w:jc w:val="both"/>
              <w:rPr>
                <w:rFonts w:ascii="Times New Roman" w:hAnsi="Times New Roman" w:cs="Times New Roman"/>
              </w:rPr>
            </w:pPr>
          </w:p>
        </w:tc>
        <w:tc>
          <w:tcPr>
            <w:tcW w:w="2704"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INDICADOR</w:t>
            </w:r>
          </w:p>
        </w:tc>
        <w:tc>
          <w:tcPr>
            <w:tcW w:w="2825"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FORMULA DE CÁLCULO</w:t>
            </w:r>
          </w:p>
        </w:tc>
        <w:tc>
          <w:tcPr>
            <w:tcW w:w="2551"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FUENTE DE DATOS</w:t>
            </w:r>
          </w:p>
        </w:tc>
        <w:tc>
          <w:tcPr>
            <w:tcW w:w="3146"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COMENTARIO</w:t>
            </w:r>
          </w:p>
        </w:tc>
      </w:tr>
      <w:tr w:rsidR="003A2E7F" w:rsidRPr="003A2E7F" w:rsidTr="00B14F0E">
        <w:trPr>
          <w:cantSplit/>
        </w:trPr>
        <w:tc>
          <w:tcPr>
            <w:tcW w:w="1984" w:type="dxa"/>
            <w:vMerge w:val="restart"/>
            <w:tcBorders>
              <w:left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Juezas y Jueces por 100.000 habitantes.</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juezas y jueces por cada 100 mil, sobre la población total.</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Planes y Presupuesto P.J.</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Instituto Nacional de Estadística y Censos</w:t>
            </w:r>
          </w:p>
        </w:tc>
        <w:tc>
          <w:tcPr>
            <w:tcW w:w="3165" w:type="dxa"/>
            <w:gridSpan w:val="2"/>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Este indicador está asociado con la cobertura, es decir,  la cantidad de habitantes que tienen acceso a una Juez y un Juez.</w:t>
            </w:r>
          </w:p>
        </w:tc>
      </w:tr>
      <w:tr w:rsidR="003A2E7F" w:rsidRPr="003A2E7F" w:rsidTr="00B14F0E">
        <w:trPr>
          <w:cantSplit/>
        </w:trPr>
        <w:tc>
          <w:tcPr>
            <w:tcW w:w="1984" w:type="dxa"/>
            <w:vMerge/>
            <w:tcBorders>
              <w:left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rPr>
              <w:t>Personal auxiliar por 100.000 habitantes.</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personal auxiliar del ámbito jurisdiccional por 100 mil, sobre población total.</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Planes y Presupuesto P.J.</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Centro Centroamericano de Población</w:t>
            </w:r>
          </w:p>
        </w:tc>
        <w:tc>
          <w:tcPr>
            <w:tcW w:w="3165" w:type="dxa"/>
            <w:gridSpan w:val="2"/>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Establece el nivel de apoyo con que cuentan los jueces en la tramitación procesal y tareas de registro y archivo por habitante.</w:t>
            </w:r>
          </w:p>
        </w:tc>
      </w:tr>
      <w:tr w:rsidR="003A2E7F" w:rsidRPr="003A2E7F" w:rsidTr="00B14F0E">
        <w:trPr>
          <w:cantSplit/>
        </w:trPr>
        <w:tc>
          <w:tcPr>
            <w:tcW w:w="1984" w:type="dxa"/>
            <w:vMerge/>
            <w:tcBorders>
              <w:left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rPr>
              <w:t>Fiscalas y Fiscales por 100.000 habitantes.</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Fiscalas y Fiscales por 100 mil,  sobre población total.</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Planes y Presupuesto P.J.</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xml:space="preserve">- Instituto Nacional de Estadística y Censos </w:t>
            </w:r>
          </w:p>
        </w:tc>
        <w:tc>
          <w:tcPr>
            <w:tcW w:w="3165" w:type="dxa"/>
            <w:gridSpan w:val="2"/>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Servidores a los que tienen acceso los habitantes y que son los encargados de iniciar o instar los procesos en materia penal y de representar el interés público en los procesos judiciales.</w:t>
            </w:r>
          </w:p>
        </w:tc>
      </w:tr>
      <w:tr w:rsidR="003A2E7F" w:rsidRPr="003A2E7F" w:rsidTr="00B14F0E">
        <w:trPr>
          <w:cantSplit/>
        </w:trPr>
        <w:tc>
          <w:tcPr>
            <w:tcW w:w="1984" w:type="dxa"/>
            <w:vMerge/>
            <w:tcBorders>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rPr>
              <w:t>Defensoras y Defensores públicos por 100.000 habitantes.</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defensoras y defensores públicos por 100 mil, sobre población total.</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Planes y Presupuesto P.J.</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Instituto Nacional de Estadística y Censos</w:t>
            </w:r>
          </w:p>
        </w:tc>
        <w:tc>
          <w:tcPr>
            <w:tcW w:w="3165" w:type="dxa"/>
            <w:gridSpan w:val="2"/>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Servidores o profesionales a los que tienen acceso los habitantes y que prestan servicio de asistencia jurídica a personas que carecen de recursos.</w:t>
            </w:r>
          </w:p>
        </w:tc>
      </w:tr>
    </w:tbl>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br w:type="page"/>
      </w:r>
    </w:p>
    <w:tbl>
      <w:tblPr>
        <w:tblW w:w="132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4"/>
        <w:gridCol w:w="2704"/>
        <w:gridCol w:w="2825"/>
        <w:gridCol w:w="2551"/>
        <w:gridCol w:w="3165"/>
      </w:tblGrid>
      <w:tr w:rsidR="003A2E7F" w:rsidRPr="003A2E7F" w:rsidTr="00B14F0E">
        <w:trPr>
          <w:cantSplit/>
        </w:trPr>
        <w:tc>
          <w:tcPr>
            <w:tcW w:w="1984"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lastRenderedPageBreak/>
              <w:t>CAMPO TEMÁTICO</w:t>
            </w:r>
          </w:p>
        </w:tc>
        <w:tc>
          <w:tcPr>
            <w:tcW w:w="2704"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INDICADOR</w:t>
            </w:r>
          </w:p>
        </w:tc>
        <w:tc>
          <w:tcPr>
            <w:tcW w:w="2825"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FORMULA DE CÁLCULO</w:t>
            </w:r>
          </w:p>
        </w:tc>
        <w:tc>
          <w:tcPr>
            <w:tcW w:w="2551"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FUENTE DE DATOS</w:t>
            </w:r>
          </w:p>
        </w:tc>
        <w:tc>
          <w:tcPr>
            <w:tcW w:w="3165"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COMENTARIO</w:t>
            </w:r>
          </w:p>
        </w:tc>
      </w:tr>
      <w:tr w:rsidR="003A2E7F" w:rsidRPr="003A2E7F" w:rsidTr="00B14F0E">
        <w:trPr>
          <w:cantSplit/>
        </w:trPr>
        <w:tc>
          <w:tcPr>
            <w:tcW w:w="1984" w:type="dxa"/>
            <w:vMerge w:val="restart"/>
            <w:tcBorders>
              <w:top w:val="single" w:sz="4" w:space="0" w:color="auto"/>
              <w:left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 xml:space="preserve">2. </w:t>
            </w:r>
            <w:proofErr w:type="spellStart"/>
            <w:r w:rsidRPr="003A2E7F">
              <w:rPr>
                <w:rFonts w:ascii="Times New Roman" w:hAnsi="Times New Roman" w:cs="Times New Roman"/>
                <w:b/>
                <w:bCs/>
              </w:rPr>
              <w:t>Litigiosidad</w:t>
            </w:r>
            <w:proofErr w:type="spellEnd"/>
            <w:r w:rsidRPr="003A2E7F">
              <w:rPr>
                <w:rFonts w:ascii="Times New Roman" w:hAnsi="Times New Roman" w:cs="Times New Roman"/>
                <w:b/>
                <w:bCs/>
              </w:rPr>
              <w:t xml:space="preserve"> y carga de trabajo</w:t>
            </w: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Casos entrados por 100.000 habitantes.</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casos entrados por cada 100 mil, sobre población total.</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Estadística, Depto. de Planificación P.J.</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Instituto Nacional de Estadística y Censos</w:t>
            </w: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Cantidad de casos que ingresan a primera instancia por primera vez y que corresponderían por habitante.</w:t>
            </w:r>
          </w:p>
        </w:tc>
      </w:tr>
      <w:tr w:rsidR="003A2E7F" w:rsidRPr="003A2E7F" w:rsidTr="00B14F0E">
        <w:trPr>
          <w:cantSplit/>
        </w:trPr>
        <w:tc>
          <w:tcPr>
            <w:tcW w:w="1984" w:type="dxa"/>
            <w:vMerge/>
            <w:tcBorders>
              <w:left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i/>
                <w:iCs/>
              </w:rPr>
            </w:pPr>
            <w:r w:rsidRPr="003A2E7F">
              <w:rPr>
                <w:rFonts w:ascii="Times New Roman" w:hAnsi="Times New Roman" w:cs="Times New Roman"/>
              </w:rPr>
              <w:t>Asuntos entrados en primera instancia por Jueza y Juez.</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asuntos entrados    sobre el total de juezas y jueces.</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Estadística P.J.</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Planes y Presupuesto P.J</w:t>
            </w: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Se refiere a aquellos asuntos  ingresados en primera instancia por primera vez y  que le correspondería a una Jueza o un  Juez darles trámite.</w:t>
            </w:r>
          </w:p>
        </w:tc>
      </w:tr>
      <w:tr w:rsidR="003A2E7F" w:rsidRPr="003A2E7F" w:rsidTr="00B14F0E">
        <w:trPr>
          <w:cantSplit/>
        </w:trPr>
        <w:tc>
          <w:tcPr>
            <w:tcW w:w="1984" w:type="dxa"/>
            <w:vMerge/>
            <w:tcBorders>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rPr>
              <w:t>Tasa de crecimiento de los casos registrados.</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casos registrados</w:t>
            </w:r>
            <w:r w:rsidRPr="003A2E7F">
              <w:rPr>
                <w:rFonts w:ascii="Times New Roman" w:hAnsi="Times New Roman" w:cs="Times New Roman"/>
                <w:vertAlign w:val="superscript"/>
              </w:rPr>
              <w:footnoteReference w:id="15"/>
            </w:r>
            <w:r w:rsidRPr="003A2E7F">
              <w:rPr>
                <w:rFonts w:ascii="Times New Roman" w:hAnsi="Times New Roman" w:cs="Times New Roman"/>
              </w:rPr>
              <w:t xml:space="preserve"> (casos ingresados por primera vez + los casos reentrados + la apertura de testimonio de piezas + lo que está en trámite al inicio de años anteriores) en el año w sobre el total de casos registrados en el año w-1, menos 1.</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Estadística P.J.</w:t>
            </w:r>
          </w:p>
          <w:p w:rsidR="003A2E7F" w:rsidRPr="003A2E7F" w:rsidRDefault="003A2E7F" w:rsidP="003A2E7F">
            <w:pPr>
              <w:spacing w:line="360" w:lineRule="auto"/>
              <w:jc w:val="both"/>
              <w:rPr>
                <w:rFonts w:ascii="Times New Roman" w:hAnsi="Times New Roman" w:cs="Times New Roman"/>
              </w:rPr>
            </w:pP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Registra el crecimiento o decrecimiento de los casos registrados en un período dado (años, semestres, etc.).</w:t>
            </w:r>
          </w:p>
        </w:tc>
      </w:tr>
    </w:tbl>
    <w:p w:rsidR="003A2E7F" w:rsidRPr="003A2E7F" w:rsidRDefault="003A2E7F" w:rsidP="003A2E7F">
      <w:pPr>
        <w:spacing w:line="360" w:lineRule="auto"/>
        <w:jc w:val="both"/>
        <w:rPr>
          <w:rFonts w:ascii="Times New Roman" w:hAnsi="Times New Roman" w:cs="Times New Roman"/>
        </w:rPr>
      </w:pP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br w:type="page"/>
      </w:r>
    </w:p>
    <w:tbl>
      <w:tblPr>
        <w:tblW w:w="132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4"/>
        <w:gridCol w:w="2704"/>
        <w:gridCol w:w="2825"/>
        <w:gridCol w:w="2551"/>
        <w:gridCol w:w="3165"/>
      </w:tblGrid>
      <w:tr w:rsidR="003A2E7F" w:rsidRPr="003A2E7F" w:rsidTr="00B14F0E">
        <w:trPr>
          <w:cantSplit/>
        </w:trPr>
        <w:tc>
          <w:tcPr>
            <w:tcW w:w="1984"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lastRenderedPageBreak/>
              <w:t>CAMPO TEMÁTICO</w:t>
            </w:r>
          </w:p>
        </w:tc>
        <w:tc>
          <w:tcPr>
            <w:tcW w:w="2704"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INDICADOR</w:t>
            </w:r>
          </w:p>
        </w:tc>
        <w:tc>
          <w:tcPr>
            <w:tcW w:w="2825"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FORMULA DE CÁLCULO</w:t>
            </w:r>
          </w:p>
        </w:tc>
        <w:tc>
          <w:tcPr>
            <w:tcW w:w="2551"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FUENTE DE DATOS</w:t>
            </w:r>
          </w:p>
        </w:tc>
        <w:tc>
          <w:tcPr>
            <w:tcW w:w="3165"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COMENTARIO</w:t>
            </w:r>
          </w:p>
        </w:tc>
      </w:tr>
      <w:tr w:rsidR="003A2E7F" w:rsidRPr="003A2E7F" w:rsidTr="00B14F0E">
        <w:tblPrEx>
          <w:tblBorders>
            <w:top w:val="threeDEngrave" w:sz="24" w:space="0" w:color="auto"/>
          </w:tblBorders>
        </w:tblPrEx>
        <w:trPr>
          <w:cantSplit/>
        </w:trPr>
        <w:tc>
          <w:tcPr>
            <w:tcW w:w="1984" w:type="dxa"/>
            <w:tcBorders>
              <w:left w:val="single" w:sz="4" w:space="0" w:color="auto"/>
              <w:right w:val="single" w:sz="4" w:space="0" w:color="auto"/>
            </w:tcBorders>
            <w:shd w:val="clear" w:color="auto" w:fill="E0E0E0"/>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clear" w:color="auto" w:fill="E0E0E0"/>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Carga de trabajo por Jueza y Juez (primera e instancia superior)</w:t>
            </w:r>
          </w:p>
        </w:tc>
        <w:tc>
          <w:tcPr>
            <w:tcW w:w="2825" w:type="dxa"/>
            <w:tcBorders>
              <w:top w:val="single" w:sz="4" w:space="0" w:color="auto"/>
              <w:left w:val="single" w:sz="4" w:space="0" w:color="auto"/>
              <w:bottom w:val="single" w:sz="4" w:space="0" w:color="auto"/>
              <w:right w:val="single" w:sz="4" w:space="0" w:color="auto"/>
            </w:tcBorders>
            <w:shd w:val="clear" w:color="auto" w:fill="E0E0E0"/>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casos registrados (casos ingresados por primera vez + los casos reentrados + la apertura de testimonio de piezas + los pendientes al inicio del período)</w:t>
            </w:r>
            <w:r w:rsidRPr="003A2E7F">
              <w:rPr>
                <w:rFonts w:ascii="Times New Roman" w:hAnsi="Times New Roman" w:cs="Times New Roman"/>
                <w:b/>
                <w:bCs/>
                <w:vertAlign w:val="superscript"/>
              </w:rPr>
              <w:footnoteReference w:id="16"/>
            </w:r>
            <w:r w:rsidRPr="003A2E7F">
              <w:rPr>
                <w:rFonts w:ascii="Times New Roman" w:hAnsi="Times New Roman" w:cs="Times New Roman"/>
              </w:rPr>
              <w:t xml:space="preserve">, sobre el total de juezas o jueces. </w:t>
            </w:r>
          </w:p>
        </w:tc>
        <w:tc>
          <w:tcPr>
            <w:tcW w:w="2551" w:type="dxa"/>
            <w:tcBorders>
              <w:top w:val="single" w:sz="4" w:space="0" w:color="auto"/>
              <w:left w:val="single" w:sz="4" w:space="0" w:color="auto"/>
              <w:bottom w:val="single" w:sz="4" w:space="0" w:color="auto"/>
              <w:right w:val="single" w:sz="4" w:space="0" w:color="auto"/>
            </w:tcBorders>
            <w:shd w:val="clear" w:color="auto" w:fill="E0E0E0"/>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Estadística P.J.</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Planes y Presupuesto P.J</w:t>
            </w:r>
          </w:p>
        </w:tc>
        <w:tc>
          <w:tcPr>
            <w:tcW w:w="3165" w:type="dxa"/>
            <w:tcBorders>
              <w:top w:val="single" w:sz="4" w:space="0" w:color="auto"/>
              <w:left w:val="single" w:sz="4" w:space="0" w:color="auto"/>
              <w:bottom w:val="single" w:sz="4" w:space="0" w:color="auto"/>
              <w:right w:val="single" w:sz="4" w:space="0" w:color="auto"/>
            </w:tcBorders>
            <w:shd w:val="clear" w:color="auto" w:fill="E0E0E0"/>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Mide los niveles de carga laboral de lo órganos jurisdiccionales, de acuerdo a la materia conocida por las juezas o los jueces.</w:t>
            </w:r>
          </w:p>
        </w:tc>
      </w:tr>
      <w:tr w:rsidR="003A2E7F" w:rsidRPr="003A2E7F" w:rsidTr="00B14F0E">
        <w:tblPrEx>
          <w:tblBorders>
            <w:top w:val="threeDEngrave" w:sz="24" w:space="0" w:color="auto"/>
          </w:tblBorders>
        </w:tblPrEx>
        <w:trPr>
          <w:cantSplit/>
        </w:trPr>
        <w:tc>
          <w:tcPr>
            <w:tcW w:w="1984" w:type="dxa"/>
            <w:tcBorders>
              <w:left w:val="single" w:sz="4" w:space="0" w:color="auto"/>
              <w:right w:val="single" w:sz="4" w:space="0" w:color="auto"/>
            </w:tcBorders>
            <w:shd w:val="clear" w:color="auto" w:fill="E0E0E0"/>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clear" w:color="auto" w:fill="E0E0E0"/>
          </w:tcPr>
          <w:p w:rsidR="003A2E7F" w:rsidRPr="003A2E7F" w:rsidRDefault="003A2E7F" w:rsidP="003A2E7F">
            <w:pPr>
              <w:spacing w:line="360" w:lineRule="auto"/>
              <w:jc w:val="both"/>
              <w:rPr>
                <w:rFonts w:ascii="Times New Roman" w:hAnsi="Times New Roman" w:cs="Times New Roman"/>
                <w:iCs/>
              </w:rPr>
            </w:pPr>
            <w:r w:rsidRPr="003A2E7F">
              <w:rPr>
                <w:rFonts w:ascii="Times New Roman" w:hAnsi="Times New Roman" w:cs="Times New Roman"/>
                <w:iCs/>
              </w:rPr>
              <w:t>Razón de congestión.</w:t>
            </w:r>
          </w:p>
          <w:p w:rsidR="003A2E7F" w:rsidRPr="003A2E7F" w:rsidRDefault="003A2E7F" w:rsidP="003A2E7F">
            <w:pPr>
              <w:spacing w:line="360" w:lineRule="auto"/>
              <w:jc w:val="both"/>
              <w:rPr>
                <w:rFonts w:ascii="Times New Roman" w:hAnsi="Times New Roman" w:cs="Times New Roman"/>
              </w:rPr>
            </w:pPr>
          </w:p>
          <w:p w:rsidR="003A2E7F" w:rsidRPr="003A2E7F" w:rsidRDefault="003A2E7F" w:rsidP="003A2E7F">
            <w:pPr>
              <w:spacing w:line="360" w:lineRule="auto"/>
              <w:jc w:val="both"/>
              <w:rPr>
                <w:rFonts w:ascii="Times New Roman" w:hAnsi="Times New Roman" w:cs="Times New Roman"/>
              </w:rPr>
            </w:pPr>
          </w:p>
          <w:p w:rsidR="003A2E7F" w:rsidRPr="003A2E7F" w:rsidRDefault="003A2E7F" w:rsidP="003A2E7F">
            <w:pPr>
              <w:spacing w:line="360" w:lineRule="auto"/>
              <w:jc w:val="both"/>
              <w:rPr>
                <w:rFonts w:ascii="Times New Roman" w:hAnsi="Times New Roman" w:cs="Times New Roman"/>
              </w:rPr>
            </w:pPr>
          </w:p>
          <w:p w:rsidR="003A2E7F" w:rsidRPr="003A2E7F" w:rsidRDefault="003A2E7F" w:rsidP="003A2E7F">
            <w:pPr>
              <w:spacing w:line="360" w:lineRule="auto"/>
              <w:jc w:val="both"/>
              <w:rPr>
                <w:rFonts w:ascii="Times New Roman" w:hAnsi="Times New Roman" w:cs="Times New Roman"/>
              </w:rPr>
            </w:pPr>
          </w:p>
        </w:tc>
        <w:tc>
          <w:tcPr>
            <w:tcW w:w="2825" w:type="dxa"/>
            <w:tcBorders>
              <w:top w:val="single" w:sz="4" w:space="0" w:color="auto"/>
              <w:left w:val="single" w:sz="4" w:space="0" w:color="auto"/>
              <w:bottom w:val="single" w:sz="4" w:space="0" w:color="auto"/>
              <w:right w:val="single" w:sz="4" w:space="0" w:color="auto"/>
            </w:tcBorders>
            <w:shd w:val="clear" w:color="auto" w:fill="E0E0E0"/>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casos registrados en el año (casos ingresados por primera vez + los casos reentrados + la apertura de testimonio de piezas) + los pendientes al inicio del período, dividido por el número de asuntos resueltos durante el año.</w:t>
            </w:r>
          </w:p>
        </w:tc>
        <w:tc>
          <w:tcPr>
            <w:tcW w:w="2551" w:type="dxa"/>
            <w:tcBorders>
              <w:top w:val="single" w:sz="4" w:space="0" w:color="auto"/>
              <w:left w:val="single" w:sz="4" w:space="0" w:color="auto"/>
              <w:bottom w:val="single" w:sz="4" w:space="0" w:color="auto"/>
              <w:right w:val="single" w:sz="4" w:space="0" w:color="auto"/>
            </w:tcBorders>
            <w:shd w:val="clear" w:color="auto" w:fill="E0E0E0"/>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Estadística P.J.</w:t>
            </w:r>
          </w:p>
          <w:p w:rsidR="003A2E7F" w:rsidRPr="003A2E7F" w:rsidRDefault="003A2E7F" w:rsidP="003A2E7F">
            <w:pPr>
              <w:spacing w:line="360" w:lineRule="auto"/>
              <w:jc w:val="both"/>
              <w:rPr>
                <w:rFonts w:ascii="Times New Roman" w:hAnsi="Times New Roman" w:cs="Times New Roman"/>
              </w:rPr>
            </w:pPr>
          </w:p>
        </w:tc>
        <w:tc>
          <w:tcPr>
            <w:tcW w:w="3165" w:type="dxa"/>
            <w:tcBorders>
              <w:top w:val="single" w:sz="4" w:space="0" w:color="auto"/>
              <w:left w:val="single" w:sz="4" w:space="0" w:color="auto"/>
              <w:bottom w:val="single" w:sz="4" w:space="0" w:color="auto"/>
              <w:right w:val="single" w:sz="4" w:space="0" w:color="auto"/>
            </w:tcBorders>
            <w:shd w:val="clear" w:color="auto" w:fill="E0E0E0"/>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Da información acerca del grado de saturación o retraso que tienen las oficinas judiciales.</w:t>
            </w:r>
          </w:p>
        </w:tc>
      </w:tr>
    </w:tbl>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br w:type="page"/>
      </w:r>
    </w:p>
    <w:tbl>
      <w:tblPr>
        <w:tblW w:w="13229" w:type="dxa"/>
        <w:tblInd w:w="108" w:type="dxa"/>
        <w:tblBorders>
          <w:top w:val="threeDEngrave" w:sz="2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4"/>
        <w:gridCol w:w="2704"/>
        <w:gridCol w:w="2825"/>
        <w:gridCol w:w="2551"/>
        <w:gridCol w:w="3165"/>
      </w:tblGrid>
      <w:tr w:rsidR="003A2E7F" w:rsidRPr="003A2E7F" w:rsidTr="00B14F0E">
        <w:trPr>
          <w:cantSplit/>
        </w:trPr>
        <w:tc>
          <w:tcPr>
            <w:tcW w:w="1984" w:type="dxa"/>
            <w:tcBorders>
              <w:top w:val="threeDEngrave" w:sz="24" w:space="0" w:color="auto"/>
              <w:left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lastRenderedPageBreak/>
              <w:t>CAMPO TEMÁTICO</w:t>
            </w:r>
          </w:p>
        </w:tc>
        <w:tc>
          <w:tcPr>
            <w:tcW w:w="2704"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INDICADOR</w:t>
            </w:r>
          </w:p>
        </w:tc>
        <w:tc>
          <w:tcPr>
            <w:tcW w:w="2825"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FORMULA DE CÁLCULO</w:t>
            </w:r>
          </w:p>
        </w:tc>
        <w:tc>
          <w:tcPr>
            <w:tcW w:w="2551"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FUENTE DE DATOS</w:t>
            </w:r>
          </w:p>
        </w:tc>
        <w:tc>
          <w:tcPr>
            <w:tcW w:w="3165"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COMENTARIO</w:t>
            </w:r>
          </w:p>
        </w:tc>
      </w:tr>
      <w:tr w:rsidR="003A2E7F" w:rsidRPr="003A2E7F" w:rsidTr="00B14F0E">
        <w:trPr>
          <w:cantSplit/>
        </w:trPr>
        <w:tc>
          <w:tcPr>
            <w:tcW w:w="1984" w:type="dxa"/>
            <w:vMerge w:val="restart"/>
            <w:tcBorders>
              <w:left w:val="single" w:sz="4" w:space="0" w:color="auto"/>
              <w:right w:val="single" w:sz="4" w:space="0" w:color="auto"/>
            </w:tcBorders>
            <w:shd w:val="clear" w:color="auto" w:fill="E0E0E0"/>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clear" w:color="auto" w:fill="E0E0E0"/>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Tasa de apelación (No Penal).</w:t>
            </w:r>
          </w:p>
          <w:p w:rsidR="003A2E7F" w:rsidRPr="003A2E7F" w:rsidRDefault="003A2E7F" w:rsidP="003A2E7F">
            <w:pPr>
              <w:spacing w:line="360" w:lineRule="auto"/>
              <w:jc w:val="both"/>
              <w:rPr>
                <w:rFonts w:ascii="Times New Roman" w:hAnsi="Times New Roman" w:cs="Times New Roman"/>
              </w:rPr>
            </w:pPr>
          </w:p>
        </w:tc>
        <w:tc>
          <w:tcPr>
            <w:tcW w:w="2825" w:type="dxa"/>
            <w:tcBorders>
              <w:top w:val="single" w:sz="4" w:space="0" w:color="auto"/>
              <w:left w:val="single" w:sz="4" w:space="0" w:color="auto"/>
              <w:bottom w:val="single" w:sz="4" w:space="0" w:color="auto"/>
              <w:right w:val="single" w:sz="4" w:space="0" w:color="auto"/>
            </w:tcBorders>
            <w:shd w:val="clear" w:color="auto" w:fill="E0E0E0"/>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asuntos entrados en Tribunales de Apelación sobre el total de sentencias dictadas por órganos de primera instancia.</w:t>
            </w:r>
          </w:p>
        </w:tc>
        <w:tc>
          <w:tcPr>
            <w:tcW w:w="2551" w:type="dxa"/>
            <w:tcBorders>
              <w:top w:val="single" w:sz="4" w:space="0" w:color="auto"/>
              <w:left w:val="single" w:sz="4" w:space="0" w:color="auto"/>
              <w:bottom w:val="single" w:sz="4" w:space="0" w:color="auto"/>
              <w:right w:val="single" w:sz="4" w:space="0" w:color="auto"/>
            </w:tcBorders>
            <w:shd w:val="clear" w:color="auto" w:fill="E0E0E0"/>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Estadística P.J.</w:t>
            </w:r>
          </w:p>
          <w:p w:rsidR="003A2E7F" w:rsidRPr="003A2E7F" w:rsidRDefault="003A2E7F" w:rsidP="003A2E7F">
            <w:pPr>
              <w:spacing w:line="360" w:lineRule="auto"/>
              <w:jc w:val="both"/>
              <w:rPr>
                <w:rFonts w:ascii="Times New Roman" w:hAnsi="Times New Roman" w:cs="Times New Roman"/>
              </w:rPr>
            </w:pPr>
          </w:p>
        </w:tc>
        <w:tc>
          <w:tcPr>
            <w:tcW w:w="3165" w:type="dxa"/>
            <w:tcBorders>
              <w:top w:val="single" w:sz="4" w:space="0" w:color="auto"/>
              <w:left w:val="single" w:sz="4" w:space="0" w:color="auto"/>
              <w:bottom w:val="single" w:sz="4" w:space="0" w:color="auto"/>
              <w:right w:val="single" w:sz="4" w:space="0" w:color="auto"/>
            </w:tcBorders>
            <w:shd w:val="clear" w:color="auto" w:fill="E0E0E0"/>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Establece el nivel de inconformidad de los usuarios por la sentencia dictada por órganos de primera instancia (se excluye a los Tribunales penales, Sala Tercera Tribunal de Casación Penal y Tribunal Penal Juvenil).</w:t>
            </w:r>
          </w:p>
        </w:tc>
      </w:tr>
      <w:tr w:rsidR="003A2E7F" w:rsidRPr="003A2E7F" w:rsidTr="00B14F0E">
        <w:trPr>
          <w:cantSplit/>
        </w:trPr>
        <w:tc>
          <w:tcPr>
            <w:tcW w:w="1984" w:type="dxa"/>
            <w:vMerge/>
            <w:tcBorders>
              <w:left w:val="single" w:sz="4" w:space="0" w:color="auto"/>
              <w:right w:val="single" w:sz="4" w:space="0" w:color="auto"/>
            </w:tcBorders>
            <w:shd w:val="clear" w:color="auto" w:fill="E0E0E0"/>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clear" w:color="auto" w:fill="E0E0E0"/>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Cs/>
              </w:rPr>
              <w:t>Tasa de apelación de sentencia.</w:t>
            </w:r>
          </w:p>
        </w:tc>
        <w:tc>
          <w:tcPr>
            <w:tcW w:w="2825" w:type="dxa"/>
            <w:tcBorders>
              <w:top w:val="single" w:sz="4" w:space="0" w:color="auto"/>
              <w:left w:val="single" w:sz="4" w:space="0" w:color="auto"/>
              <w:bottom w:val="single" w:sz="4" w:space="0" w:color="auto"/>
              <w:right w:val="single" w:sz="4" w:space="0" w:color="auto"/>
            </w:tcBorders>
            <w:shd w:val="clear" w:color="auto" w:fill="E0E0E0"/>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Cs/>
              </w:rPr>
              <w:t>Recursos de apelación ingresados a lo tribunales de apelación de sentencia sobre las sentencias dictadas por los tribunales penales.</w:t>
            </w:r>
          </w:p>
        </w:tc>
        <w:tc>
          <w:tcPr>
            <w:tcW w:w="2551" w:type="dxa"/>
            <w:tcBorders>
              <w:top w:val="single" w:sz="4" w:space="0" w:color="auto"/>
              <w:left w:val="single" w:sz="4" w:space="0" w:color="auto"/>
              <w:bottom w:val="single" w:sz="4" w:space="0" w:color="auto"/>
              <w:right w:val="single" w:sz="4" w:space="0" w:color="auto"/>
            </w:tcBorders>
            <w:shd w:val="clear" w:color="auto" w:fill="E0E0E0"/>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Estadística P.J.</w:t>
            </w:r>
          </w:p>
          <w:p w:rsidR="003A2E7F" w:rsidRPr="003A2E7F" w:rsidRDefault="003A2E7F" w:rsidP="003A2E7F">
            <w:pPr>
              <w:spacing w:line="360" w:lineRule="auto"/>
              <w:jc w:val="both"/>
              <w:rPr>
                <w:rFonts w:ascii="Times New Roman" w:hAnsi="Times New Roman" w:cs="Times New Roman"/>
              </w:rPr>
            </w:pPr>
          </w:p>
        </w:tc>
        <w:tc>
          <w:tcPr>
            <w:tcW w:w="3165" w:type="dxa"/>
            <w:tcBorders>
              <w:top w:val="single" w:sz="4" w:space="0" w:color="auto"/>
              <w:left w:val="single" w:sz="4" w:space="0" w:color="auto"/>
              <w:bottom w:val="single" w:sz="4" w:space="0" w:color="auto"/>
              <w:right w:val="single" w:sz="4" w:space="0" w:color="auto"/>
            </w:tcBorders>
            <w:shd w:val="clear" w:color="auto" w:fill="E0E0E0"/>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Cs/>
              </w:rPr>
              <w:t>En este caso, el indicador se utiliza para evaluar el grado de inconformidad de la persona usuaria por los casos fallados con sentencia en los Tribunales Penales.</w:t>
            </w:r>
          </w:p>
        </w:tc>
      </w:tr>
      <w:tr w:rsidR="003A2E7F" w:rsidRPr="003A2E7F" w:rsidTr="00B14F0E">
        <w:trPr>
          <w:cantSplit/>
        </w:trPr>
        <w:tc>
          <w:tcPr>
            <w:tcW w:w="1984" w:type="dxa"/>
            <w:vMerge/>
            <w:tcBorders>
              <w:left w:val="single" w:sz="4" w:space="0" w:color="auto"/>
              <w:bottom w:val="single" w:sz="4" w:space="0" w:color="auto"/>
              <w:right w:val="single" w:sz="4" w:space="0" w:color="auto"/>
            </w:tcBorders>
            <w:shd w:val="clear" w:color="auto" w:fill="E0E0E0"/>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clear" w:color="auto" w:fill="E0E0E0"/>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Distribución de los asuntos entrados por tipo de materia (%).</w:t>
            </w:r>
          </w:p>
        </w:tc>
        <w:tc>
          <w:tcPr>
            <w:tcW w:w="2825" w:type="dxa"/>
            <w:tcBorders>
              <w:top w:val="single" w:sz="4" w:space="0" w:color="auto"/>
              <w:left w:val="single" w:sz="4" w:space="0" w:color="auto"/>
              <w:bottom w:val="single" w:sz="4" w:space="0" w:color="auto"/>
              <w:right w:val="single" w:sz="4" w:space="0" w:color="auto"/>
            </w:tcBorders>
            <w:shd w:val="clear" w:color="auto" w:fill="E0E0E0"/>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Casos entrados por materia sobre el total de casos entrados.</w:t>
            </w:r>
          </w:p>
        </w:tc>
        <w:tc>
          <w:tcPr>
            <w:tcW w:w="2551" w:type="dxa"/>
            <w:tcBorders>
              <w:top w:val="single" w:sz="4" w:space="0" w:color="auto"/>
              <w:left w:val="single" w:sz="4" w:space="0" w:color="auto"/>
              <w:bottom w:val="single" w:sz="4" w:space="0" w:color="auto"/>
              <w:right w:val="single" w:sz="4" w:space="0" w:color="auto"/>
            </w:tcBorders>
            <w:shd w:val="clear" w:color="auto" w:fill="E0E0E0"/>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Estadística P.J.</w:t>
            </w:r>
          </w:p>
          <w:p w:rsidR="003A2E7F" w:rsidRPr="003A2E7F" w:rsidRDefault="003A2E7F" w:rsidP="003A2E7F">
            <w:pPr>
              <w:spacing w:line="360" w:lineRule="auto"/>
              <w:jc w:val="both"/>
              <w:rPr>
                <w:rFonts w:ascii="Times New Roman" w:hAnsi="Times New Roman" w:cs="Times New Roman"/>
              </w:rPr>
            </w:pPr>
          </w:p>
        </w:tc>
        <w:tc>
          <w:tcPr>
            <w:tcW w:w="3165" w:type="dxa"/>
            <w:tcBorders>
              <w:top w:val="single" w:sz="4" w:space="0" w:color="auto"/>
              <w:left w:val="single" w:sz="4" w:space="0" w:color="auto"/>
              <w:bottom w:val="single" w:sz="4" w:space="0" w:color="auto"/>
              <w:right w:val="single" w:sz="4" w:space="0" w:color="auto"/>
            </w:tcBorders>
            <w:shd w:val="clear" w:color="auto" w:fill="E0E0E0"/>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xml:space="preserve">Determina el peso relativo de las materias, según los casos entrados por primera vez.  </w:t>
            </w:r>
          </w:p>
        </w:tc>
      </w:tr>
    </w:tbl>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br w:type="page"/>
      </w:r>
    </w:p>
    <w:tbl>
      <w:tblPr>
        <w:tblW w:w="13229" w:type="dxa"/>
        <w:tblInd w:w="108" w:type="dxa"/>
        <w:tblBorders>
          <w:top w:val="threeDEngrave" w:sz="2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4"/>
        <w:gridCol w:w="2704"/>
        <w:gridCol w:w="2825"/>
        <w:gridCol w:w="2551"/>
        <w:gridCol w:w="3165"/>
      </w:tblGrid>
      <w:tr w:rsidR="003A2E7F" w:rsidRPr="003A2E7F" w:rsidTr="00B14F0E">
        <w:trPr>
          <w:cantSplit/>
        </w:trPr>
        <w:tc>
          <w:tcPr>
            <w:tcW w:w="1984"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lastRenderedPageBreak/>
              <w:t>CAMPO TEMÁTICO</w:t>
            </w:r>
          </w:p>
        </w:tc>
        <w:tc>
          <w:tcPr>
            <w:tcW w:w="2704"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INDICADOR</w:t>
            </w:r>
          </w:p>
        </w:tc>
        <w:tc>
          <w:tcPr>
            <w:tcW w:w="2825"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FORMULA DE CÁLCULO</w:t>
            </w:r>
          </w:p>
        </w:tc>
        <w:tc>
          <w:tcPr>
            <w:tcW w:w="2551"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FUENTE DE DATOS</w:t>
            </w:r>
          </w:p>
        </w:tc>
        <w:tc>
          <w:tcPr>
            <w:tcW w:w="3165"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COMENTARIO</w:t>
            </w:r>
          </w:p>
        </w:tc>
      </w:tr>
      <w:tr w:rsidR="003A2E7F" w:rsidRPr="003A2E7F" w:rsidTr="00B14F0E">
        <w:tblPrEx>
          <w:tblBorders>
            <w:top w:val="single" w:sz="4" w:space="0" w:color="auto"/>
          </w:tblBorders>
        </w:tblPrEx>
        <w:trPr>
          <w:cantSplit/>
        </w:trPr>
        <w:tc>
          <w:tcPr>
            <w:tcW w:w="1984" w:type="dxa"/>
            <w:tcBorders>
              <w:left w:val="single" w:sz="4" w:space="0" w:color="auto"/>
              <w:bottom w:val="single" w:sz="4" w:space="0" w:color="auto"/>
              <w:right w:val="single" w:sz="4" w:space="0" w:color="auto"/>
            </w:tcBorders>
            <w:shd w:val="clear" w:color="auto" w:fill="E0E0E0"/>
          </w:tcPr>
          <w:p w:rsidR="003A2E7F" w:rsidRPr="003A2E7F" w:rsidRDefault="003A2E7F" w:rsidP="003A2E7F">
            <w:pPr>
              <w:spacing w:line="360" w:lineRule="auto"/>
              <w:jc w:val="both"/>
              <w:rPr>
                <w:rFonts w:ascii="Times New Roman" w:hAnsi="Times New Roman" w:cs="Times New Roman"/>
                <w:b/>
                <w:bCs/>
              </w:rPr>
            </w:pPr>
          </w:p>
        </w:tc>
        <w:tc>
          <w:tcPr>
            <w:tcW w:w="2704" w:type="dxa"/>
            <w:tcBorders>
              <w:top w:val="single" w:sz="4" w:space="0" w:color="auto"/>
              <w:left w:val="single" w:sz="4" w:space="0" w:color="auto"/>
              <w:bottom w:val="single" w:sz="4" w:space="0" w:color="auto"/>
              <w:right w:val="single" w:sz="4" w:space="0" w:color="auto"/>
            </w:tcBorders>
            <w:shd w:val="clear" w:color="auto" w:fill="E0E0E0"/>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Abogadas y Abogados  por 100.000 habitantes.</w:t>
            </w:r>
          </w:p>
        </w:tc>
        <w:tc>
          <w:tcPr>
            <w:tcW w:w="2825" w:type="dxa"/>
            <w:tcBorders>
              <w:top w:val="single" w:sz="4" w:space="0" w:color="auto"/>
              <w:left w:val="single" w:sz="4" w:space="0" w:color="auto"/>
              <w:bottom w:val="single" w:sz="4" w:space="0" w:color="auto"/>
              <w:right w:val="single" w:sz="4" w:space="0" w:color="auto"/>
            </w:tcBorders>
            <w:shd w:val="clear" w:color="auto" w:fill="E0E0E0"/>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abogadas y abogados por 100 mil,  sobre población total.</w:t>
            </w:r>
          </w:p>
        </w:tc>
        <w:tc>
          <w:tcPr>
            <w:tcW w:w="2551" w:type="dxa"/>
            <w:tcBorders>
              <w:top w:val="single" w:sz="4" w:space="0" w:color="auto"/>
              <w:left w:val="single" w:sz="4" w:space="0" w:color="auto"/>
              <w:bottom w:val="single" w:sz="4" w:space="0" w:color="auto"/>
              <w:right w:val="single" w:sz="4" w:space="0" w:color="auto"/>
            </w:tcBorders>
            <w:shd w:val="clear" w:color="auto" w:fill="E0E0E0"/>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Colegio de Abogados.</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Instituto Nacional de Estadística y Censos.</w:t>
            </w:r>
          </w:p>
        </w:tc>
        <w:tc>
          <w:tcPr>
            <w:tcW w:w="3165" w:type="dxa"/>
            <w:tcBorders>
              <w:top w:val="single" w:sz="4" w:space="0" w:color="auto"/>
              <w:left w:val="single" w:sz="4" w:space="0" w:color="auto"/>
              <w:bottom w:val="single" w:sz="4" w:space="0" w:color="auto"/>
              <w:right w:val="single" w:sz="4" w:space="0" w:color="auto"/>
            </w:tcBorders>
            <w:shd w:val="clear" w:color="auto" w:fill="E0E0E0"/>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Las demandas que ingresan al Poder judicial, generalmente son inducidas por las y los abogados, quien muchas veces recomienda al ciudadano buscar soluciones extrajudiciales por algún conflicto, o bien litigar.</w:t>
            </w:r>
          </w:p>
        </w:tc>
      </w:tr>
      <w:tr w:rsidR="003A2E7F" w:rsidRPr="003A2E7F" w:rsidTr="00B14F0E">
        <w:tblPrEx>
          <w:tblBorders>
            <w:top w:val="single" w:sz="4" w:space="0" w:color="auto"/>
          </w:tblBorders>
        </w:tblPrEx>
        <w:trPr>
          <w:cantSplit/>
        </w:trPr>
        <w:tc>
          <w:tcPr>
            <w:tcW w:w="1984" w:type="dxa"/>
            <w:vMerge w:val="restart"/>
            <w:tcBorders>
              <w:top w:val="single" w:sz="4" w:space="0" w:color="auto"/>
              <w:left w:val="single" w:sz="4" w:space="0" w:color="auto"/>
              <w:right w:val="single" w:sz="4" w:space="0" w:color="auto"/>
            </w:tcBorders>
            <w:shd w:val="clear" w:color="auto" w:fill="E0E0E0"/>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3.  Producción, productividad, tipo de producto y actividad</w:t>
            </w:r>
          </w:p>
        </w:tc>
        <w:tc>
          <w:tcPr>
            <w:tcW w:w="2704" w:type="dxa"/>
            <w:tcBorders>
              <w:top w:val="single" w:sz="4" w:space="0" w:color="auto"/>
              <w:left w:val="single" w:sz="4" w:space="0" w:color="auto"/>
              <w:bottom w:val="single" w:sz="4" w:space="0" w:color="auto"/>
              <w:right w:val="single" w:sz="4" w:space="0" w:color="auto"/>
            </w:tcBorders>
            <w:shd w:val="clear" w:color="auto" w:fill="E0E0E0"/>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Cs/>
              </w:rPr>
              <w:t>Asuntos resueltos por Jueza y Juez</w:t>
            </w:r>
            <w:r w:rsidRPr="003A2E7F">
              <w:rPr>
                <w:rFonts w:ascii="Times New Roman" w:hAnsi="Times New Roman" w:cs="Times New Roman"/>
              </w:rPr>
              <w:t>(primera e instancia superior)</w:t>
            </w:r>
          </w:p>
        </w:tc>
        <w:tc>
          <w:tcPr>
            <w:tcW w:w="2825" w:type="dxa"/>
            <w:tcBorders>
              <w:top w:val="single" w:sz="4" w:space="0" w:color="auto"/>
              <w:left w:val="single" w:sz="4" w:space="0" w:color="auto"/>
              <w:bottom w:val="single" w:sz="4" w:space="0" w:color="auto"/>
              <w:right w:val="single" w:sz="4" w:space="0" w:color="auto"/>
            </w:tcBorders>
            <w:shd w:val="clear" w:color="auto" w:fill="E0E0E0"/>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asuntos resueltos, sobre el total de juezas y  jueces.</w:t>
            </w:r>
          </w:p>
        </w:tc>
        <w:tc>
          <w:tcPr>
            <w:tcW w:w="2551" w:type="dxa"/>
            <w:tcBorders>
              <w:top w:val="single" w:sz="4" w:space="0" w:color="auto"/>
              <w:left w:val="single" w:sz="4" w:space="0" w:color="auto"/>
              <w:bottom w:val="single" w:sz="4" w:space="0" w:color="auto"/>
              <w:right w:val="single" w:sz="4" w:space="0" w:color="auto"/>
            </w:tcBorders>
            <w:shd w:val="clear" w:color="auto" w:fill="E0E0E0"/>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Estadística P.J.</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Planes y Presupuesto P.J</w:t>
            </w:r>
          </w:p>
        </w:tc>
        <w:tc>
          <w:tcPr>
            <w:tcW w:w="3165" w:type="dxa"/>
            <w:tcBorders>
              <w:top w:val="single" w:sz="4" w:space="0" w:color="auto"/>
              <w:left w:val="single" w:sz="4" w:space="0" w:color="auto"/>
              <w:bottom w:val="single" w:sz="4" w:space="0" w:color="auto"/>
              <w:right w:val="single" w:sz="4" w:space="0" w:color="auto"/>
            </w:tcBorders>
            <w:shd w:val="clear" w:color="auto" w:fill="E0E0E0"/>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Se refiere a la productividad del sistema judicial, lo cual lleva al análisis de las causas que intervienen en los aumentos o disminuciones.</w:t>
            </w:r>
          </w:p>
        </w:tc>
      </w:tr>
      <w:tr w:rsidR="003A2E7F" w:rsidRPr="003A2E7F" w:rsidTr="00B14F0E">
        <w:tblPrEx>
          <w:tblBorders>
            <w:top w:val="single" w:sz="4" w:space="0" w:color="auto"/>
          </w:tblBorders>
        </w:tblPrEx>
        <w:trPr>
          <w:cantSplit/>
        </w:trPr>
        <w:tc>
          <w:tcPr>
            <w:tcW w:w="1984" w:type="dxa"/>
            <w:vMerge/>
            <w:tcBorders>
              <w:left w:val="single" w:sz="4" w:space="0" w:color="auto"/>
              <w:right w:val="single" w:sz="4" w:space="0" w:color="auto"/>
            </w:tcBorders>
            <w:shd w:val="clear" w:color="auto" w:fill="E0E0E0"/>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Sentencias por Jueza y Juez de primera instancia.</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sentencias dictadas sobre el total de juezas y jueces.</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Estadística P.J.</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Planes y</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xml:space="preserve">  Presupuesto P.J</w:t>
            </w: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Al igual que el caso anterior, determina la productividad del sistema judicial, pero de asuntos con un grado de complejidad mayor.</w:t>
            </w:r>
          </w:p>
          <w:p w:rsidR="003A2E7F" w:rsidRPr="003A2E7F" w:rsidRDefault="003A2E7F" w:rsidP="003A2E7F">
            <w:pPr>
              <w:spacing w:line="360" w:lineRule="auto"/>
              <w:jc w:val="both"/>
              <w:rPr>
                <w:rFonts w:ascii="Times New Roman" w:hAnsi="Times New Roman" w:cs="Times New Roman"/>
              </w:rPr>
            </w:pPr>
          </w:p>
        </w:tc>
      </w:tr>
      <w:tr w:rsidR="003A2E7F" w:rsidRPr="003A2E7F" w:rsidTr="00B14F0E">
        <w:tblPrEx>
          <w:tblBorders>
            <w:top w:val="single" w:sz="4" w:space="0" w:color="auto"/>
          </w:tblBorders>
        </w:tblPrEx>
        <w:trPr>
          <w:cantSplit/>
        </w:trPr>
        <w:tc>
          <w:tcPr>
            <w:tcW w:w="1984" w:type="dxa"/>
            <w:vMerge/>
            <w:tcBorders>
              <w:left w:val="single" w:sz="4" w:space="0" w:color="auto"/>
              <w:bottom w:val="single" w:sz="4" w:space="0" w:color="auto"/>
              <w:right w:val="single" w:sz="4" w:space="0" w:color="auto"/>
            </w:tcBorders>
            <w:shd w:val="clear" w:color="auto" w:fill="E0E0E0"/>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Tasa de sentencia.</w:t>
            </w:r>
          </w:p>
          <w:p w:rsidR="003A2E7F" w:rsidRPr="003A2E7F" w:rsidRDefault="003A2E7F" w:rsidP="003A2E7F">
            <w:pPr>
              <w:spacing w:line="360" w:lineRule="auto"/>
              <w:jc w:val="both"/>
              <w:rPr>
                <w:rFonts w:ascii="Times New Roman" w:hAnsi="Times New Roman" w:cs="Times New Roman"/>
              </w:rPr>
            </w:pP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sentencias dictadas sobre total de asuntos resueltos.</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Estadística P.J.</w:t>
            </w:r>
          </w:p>
          <w:p w:rsidR="003A2E7F" w:rsidRPr="003A2E7F" w:rsidRDefault="003A2E7F" w:rsidP="003A2E7F">
            <w:pPr>
              <w:spacing w:line="360" w:lineRule="auto"/>
              <w:jc w:val="both"/>
              <w:rPr>
                <w:rFonts w:ascii="Times New Roman" w:hAnsi="Times New Roman" w:cs="Times New Roman"/>
              </w:rPr>
            </w:pP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xml:space="preserve">Indica de manera porcentual la cantidad de casos que ameritan mayor demanda de tiempo de los jueces por la complejidad de los asuntos. </w:t>
            </w:r>
          </w:p>
        </w:tc>
      </w:tr>
    </w:tbl>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br w:type="page"/>
      </w:r>
    </w:p>
    <w:tbl>
      <w:tblPr>
        <w:tblW w:w="132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4"/>
        <w:gridCol w:w="2704"/>
        <w:gridCol w:w="2825"/>
        <w:gridCol w:w="2551"/>
        <w:gridCol w:w="3165"/>
      </w:tblGrid>
      <w:tr w:rsidR="003A2E7F" w:rsidRPr="003A2E7F" w:rsidTr="00B14F0E">
        <w:trPr>
          <w:cantSplit/>
        </w:trPr>
        <w:tc>
          <w:tcPr>
            <w:tcW w:w="1984"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lastRenderedPageBreak/>
              <w:t>CAMPO TEMÁTICO</w:t>
            </w:r>
          </w:p>
        </w:tc>
        <w:tc>
          <w:tcPr>
            <w:tcW w:w="2704"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INDICADOR</w:t>
            </w:r>
          </w:p>
        </w:tc>
        <w:tc>
          <w:tcPr>
            <w:tcW w:w="2825"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FORMULA DE CÁLCULO</w:t>
            </w:r>
          </w:p>
        </w:tc>
        <w:tc>
          <w:tcPr>
            <w:tcW w:w="2551"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FUENTE DE DATOS</w:t>
            </w:r>
          </w:p>
        </w:tc>
        <w:tc>
          <w:tcPr>
            <w:tcW w:w="3165"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COMENTARIO</w:t>
            </w:r>
          </w:p>
        </w:tc>
      </w:tr>
      <w:tr w:rsidR="003A2E7F" w:rsidRPr="003A2E7F" w:rsidTr="00B14F0E">
        <w:trPr>
          <w:cantSplit/>
        </w:trPr>
        <w:tc>
          <w:tcPr>
            <w:tcW w:w="1984" w:type="dxa"/>
            <w:vMerge w:val="restart"/>
            <w:tcBorders>
              <w:left w:val="single" w:sz="4" w:space="0" w:color="auto"/>
              <w:right w:val="single" w:sz="4" w:space="0" w:color="auto"/>
            </w:tcBorders>
            <w:shd w:val="clear" w:color="auto" w:fill="E0E0E0"/>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Tasa de conciliación.</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casos resueltos por conciliación sobre total de asuntos resueltos.</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Estadística P.J.</w:t>
            </w:r>
          </w:p>
          <w:p w:rsidR="003A2E7F" w:rsidRPr="003A2E7F" w:rsidRDefault="003A2E7F" w:rsidP="003A2E7F">
            <w:pPr>
              <w:spacing w:line="360" w:lineRule="auto"/>
              <w:jc w:val="both"/>
              <w:rPr>
                <w:rFonts w:ascii="Times New Roman" w:hAnsi="Times New Roman" w:cs="Times New Roman"/>
              </w:rPr>
            </w:pP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Determina la cantidad de asuntos que finalizan de forma anticipada por acuerdo de las partes.</w:t>
            </w:r>
          </w:p>
        </w:tc>
      </w:tr>
      <w:tr w:rsidR="003A2E7F" w:rsidRPr="003A2E7F" w:rsidTr="00B14F0E">
        <w:trPr>
          <w:cantSplit/>
        </w:trPr>
        <w:tc>
          <w:tcPr>
            <w:tcW w:w="1984" w:type="dxa"/>
            <w:vMerge/>
            <w:tcBorders>
              <w:left w:val="single" w:sz="4" w:space="0" w:color="auto"/>
              <w:right w:val="single" w:sz="4" w:space="0" w:color="auto"/>
            </w:tcBorders>
            <w:shd w:val="clear" w:color="auto" w:fill="E0E0E0"/>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Porcentaje de asuntos resueltos por acuerdo o conciliación (Juzgados Penales).</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casos resueltos por  conciliación en el Juzgado sobre total de asuntos resueltos en el Juzgado.</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Estadística P.J.</w:t>
            </w:r>
          </w:p>
          <w:p w:rsidR="003A2E7F" w:rsidRPr="003A2E7F" w:rsidRDefault="003A2E7F" w:rsidP="003A2E7F">
            <w:pPr>
              <w:spacing w:line="360" w:lineRule="auto"/>
              <w:jc w:val="both"/>
              <w:rPr>
                <w:rFonts w:ascii="Times New Roman" w:hAnsi="Times New Roman" w:cs="Times New Roman"/>
              </w:rPr>
            </w:pP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Determina la cantidad de asuntos que finalizan de manera anticipada por acuerdo de las partes en el Juzgado.</w:t>
            </w:r>
          </w:p>
        </w:tc>
      </w:tr>
      <w:tr w:rsidR="003A2E7F" w:rsidRPr="003A2E7F" w:rsidTr="00B14F0E">
        <w:trPr>
          <w:cantSplit/>
        </w:trPr>
        <w:tc>
          <w:tcPr>
            <w:tcW w:w="1984" w:type="dxa"/>
            <w:vMerge/>
            <w:tcBorders>
              <w:left w:val="single" w:sz="4" w:space="0" w:color="auto"/>
              <w:right w:val="single" w:sz="4" w:space="0" w:color="auto"/>
            </w:tcBorders>
            <w:shd w:val="clear" w:color="auto" w:fill="E0E0E0"/>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Cs/>
              </w:rPr>
              <w:t xml:space="preserve">Porcentaje de asuntos </w:t>
            </w:r>
            <w:proofErr w:type="spellStart"/>
            <w:r w:rsidRPr="003A2E7F">
              <w:rPr>
                <w:rFonts w:ascii="Times New Roman" w:hAnsi="Times New Roman" w:cs="Times New Roman"/>
                <w:bCs/>
              </w:rPr>
              <w:t>sobreseídos</w:t>
            </w:r>
            <w:proofErr w:type="spellEnd"/>
            <w:r w:rsidRPr="003A2E7F">
              <w:rPr>
                <w:rFonts w:ascii="Times New Roman" w:hAnsi="Times New Roman" w:cs="Times New Roman"/>
                <w:bCs/>
              </w:rPr>
              <w:t xml:space="preserve"> por cumplimiento de la conciliación como medida alterna en los juzgados penales.</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asuntos que se extinguen de la acción penal por cumplimiento de la conciliación sobre el total de sobreseimientos definitivos.</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Estadística P.J.</w:t>
            </w:r>
          </w:p>
          <w:p w:rsidR="003A2E7F" w:rsidRPr="003A2E7F" w:rsidRDefault="003A2E7F" w:rsidP="003A2E7F">
            <w:pPr>
              <w:spacing w:line="360" w:lineRule="auto"/>
              <w:jc w:val="both"/>
              <w:rPr>
                <w:rFonts w:ascii="Times New Roman" w:hAnsi="Times New Roman" w:cs="Times New Roman"/>
              </w:rPr>
            </w:pP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Cs/>
              </w:rPr>
              <w:t>Se refiere al valor relativo de aquellos asuntos que son resueltos una vez cumplida la conciliación.</w:t>
            </w:r>
          </w:p>
        </w:tc>
      </w:tr>
      <w:tr w:rsidR="003A2E7F" w:rsidRPr="003A2E7F" w:rsidTr="00B14F0E">
        <w:trPr>
          <w:cantSplit/>
        </w:trPr>
        <w:tc>
          <w:tcPr>
            <w:tcW w:w="1984" w:type="dxa"/>
            <w:vMerge/>
            <w:tcBorders>
              <w:left w:val="single" w:sz="4" w:space="0" w:color="auto"/>
              <w:right w:val="single" w:sz="4" w:space="0" w:color="auto"/>
            </w:tcBorders>
            <w:shd w:val="clear" w:color="auto" w:fill="E0E0E0"/>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bCs/>
              </w:rPr>
            </w:pPr>
            <w:r w:rsidRPr="003A2E7F">
              <w:rPr>
                <w:rFonts w:ascii="Times New Roman" w:hAnsi="Times New Roman" w:cs="Times New Roman"/>
                <w:bCs/>
              </w:rPr>
              <w:t xml:space="preserve">Porcentaje de asuntos </w:t>
            </w:r>
            <w:proofErr w:type="spellStart"/>
            <w:r w:rsidRPr="003A2E7F">
              <w:rPr>
                <w:rFonts w:ascii="Times New Roman" w:hAnsi="Times New Roman" w:cs="Times New Roman"/>
                <w:bCs/>
              </w:rPr>
              <w:t>sobreseídos</w:t>
            </w:r>
            <w:proofErr w:type="spellEnd"/>
            <w:r w:rsidRPr="003A2E7F">
              <w:rPr>
                <w:rFonts w:ascii="Times New Roman" w:hAnsi="Times New Roman" w:cs="Times New Roman"/>
                <w:bCs/>
              </w:rPr>
              <w:t xml:space="preserve"> por cumplimiento del plazo de suspensión del proceso a prueba como medida alterna en los juzgados penales.</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asuntos que se extinguen de la acción penal por cumplimiento del plazo de suspensión del proceso a prueba sobre el total de sobreseimientos definitivos.</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Estadística P.J.</w:t>
            </w:r>
          </w:p>
          <w:p w:rsidR="003A2E7F" w:rsidRPr="003A2E7F" w:rsidRDefault="003A2E7F" w:rsidP="003A2E7F">
            <w:pPr>
              <w:spacing w:line="360" w:lineRule="auto"/>
              <w:jc w:val="both"/>
              <w:rPr>
                <w:rFonts w:ascii="Times New Roman" w:hAnsi="Times New Roman" w:cs="Times New Roman"/>
              </w:rPr>
            </w:pP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Cs/>
              </w:rPr>
              <w:t>Determina el valor porcentual de  los asuntos que dan lugar al dictado de un sobreseimiento definitivo, siempre y cuando se cumplan ciertas condiciones o requisitos según se acuerde en cada caso.</w:t>
            </w:r>
          </w:p>
        </w:tc>
      </w:tr>
    </w:tbl>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br w:type="page"/>
      </w:r>
    </w:p>
    <w:tbl>
      <w:tblPr>
        <w:tblW w:w="132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4"/>
        <w:gridCol w:w="2704"/>
        <w:gridCol w:w="2825"/>
        <w:gridCol w:w="2551"/>
        <w:gridCol w:w="3165"/>
      </w:tblGrid>
      <w:tr w:rsidR="003A2E7F" w:rsidRPr="003A2E7F" w:rsidTr="00B14F0E">
        <w:trPr>
          <w:cantSplit/>
        </w:trPr>
        <w:tc>
          <w:tcPr>
            <w:tcW w:w="1984" w:type="dxa"/>
            <w:tcBorders>
              <w:top w:val="threeDEngrave" w:sz="24" w:space="0" w:color="auto"/>
              <w:left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lastRenderedPageBreak/>
              <w:t>CAMPO TEMÁTICO</w:t>
            </w:r>
          </w:p>
        </w:tc>
        <w:tc>
          <w:tcPr>
            <w:tcW w:w="2704"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INDICADOR</w:t>
            </w:r>
          </w:p>
        </w:tc>
        <w:tc>
          <w:tcPr>
            <w:tcW w:w="2825"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FORMULA DE CÁLCULO</w:t>
            </w:r>
          </w:p>
        </w:tc>
        <w:tc>
          <w:tcPr>
            <w:tcW w:w="2551"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FUENTE DE DATOS</w:t>
            </w:r>
          </w:p>
        </w:tc>
        <w:tc>
          <w:tcPr>
            <w:tcW w:w="3165"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COMENTARIO</w:t>
            </w:r>
          </w:p>
        </w:tc>
      </w:tr>
      <w:tr w:rsidR="003A2E7F" w:rsidRPr="003A2E7F" w:rsidTr="00B14F0E">
        <w:trPr>
          <w:cantSplit/>
        </w:trPr>
        <w:tc>
          <w:tcPr>
            <w:tcW w:w="1984" w:type="dxa"/>
            <w:tcBorders>
              <w:left w:val="single" w:sz="4" w:space="0" w:color="auto"/>
              <w:right w:val="single" w:sz="4" w:space="0" w:color="auto"/>
            </w:tcBorders>
            <w:shd w:val="clear" w:color="auto" w:fill="E0E0E0"/>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bCs/>
              </w:rPr>
            </w:pPr>
            <w:r w:rsidRPr="003A2E7F">
              <w:rPr>
                <w:rFonts w:ascii="Times New Roman" w:hAnsi="Times New Roman" w:cs="Times New Roman"/>
                <w:bCs/>
              </w:rPr>
              <w:t xml:space="preserve">Porcentaje de asuntos </w:t>
            </w:r>
            <w:proofErr w:type="spellStart"/>
            <w:r w:rsidRPr="003A2E7F">
              <w:rPr>
                <w:rFonts w:ascii="Times New Roman" w:hAnsi="Times New Roman" w:cs="Times New Roman"/>
                <w:bCs/>
              </w:rPr>
              <w:t>sobreseídos</w:t>
            </w:r>
            <w:proofErr w:type="spellEnd"/>
            <w:r w:rsidRPr="003A2E7F">
              <w:rPr>
                <w:rFonts w:ascii="Times New Roman" w:hAnsi="Times New Roman" w:cs="Times New Roman"/>
                <w:bCs/>
              </w:rPr>
              <w:t xml:space="preserve"> por prescripción en los juzgados penales.</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asuntos prescriptos como extinción de la acción penal sobre los sobreseimientos definitivos.</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Estadística P.J.</w:t>
            </w:r>
          </w:p>
          <w:p w:rsidR="003A2E7F" w:rsidRPr="003A2E7F" w:rsidRDefault="003A2E7F" w:rsidP="003A2E7F">
            <w:pPr>
              <w:spacing w:line="360" w:lineRule="auto"/>
              <w:jc w:val="both"/>
              <w:rPr>
                <w:rFonts w:ascii="Times New Roman" w:hAnsi="Times New Roman" w:cs="Times New Roman"/>
              </w:rPr>
            </w:pP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Cs/>
              </w:rPr>
              <w:t xml:space="preserve">Este indicador establece el peso relativo de los asuntos </w:t>
            </w:r>
            <w:proofErr w:type="spellStart"/>
            <w:r w:rsidRPr="003A2E7F">
              <w:rPr>
                <w:rFonts w:ascii="Times New Roman" w:hAnsi="Times New Roman" w:cs="Times New Roman"/>
                <w:bCs/>
              </w:rPr>
              <w:t>sobreseídos</w:t>
            </w:r>
            <w:proofErr w:type="spellEnd"/>
            <w:r w:rsidRPr="003A2E7F">
              <w:rPr>
                <w:rFonts w:ascii="Times New Roman" w:hAnsi="Times New Roman" w:cs="Times New Roman"/>
                <w:bCs/>
              </w:rPr>
              <w:t xml:space="preserve"> por prescripción respecto del total de asuntos </w:t>
            </w:r>
            <w:proofErr w:type="spellStart"/>
            <w:r w:rsidRPr="003A2E7F">
              <w:rPr>
                <w:rFonts w:ascii="Times New Roman" w:hAnsi="Times New Roman" w:cs="Times New Roman"/>
                <w:bCs/>
              </w:rPr>
              <w:t>sobreseídos</w:t>
            </w:r>
            <w:proofErr w:type="spellEnd"/>
            <w:r w:rsidRPr="003A2E7F">
              <w:rPr>
                <w:rFonts w:ascii="Times New Roman" w:hAnsi="Times New Roman" w:cs="Times New Roman"/>
                <w:bCs/>
              </w:rPr>
              <w:t>, aspecto que se estima relevante pues deja entrever datos en torno a la impunidad y que se deben mitigar.</w:t>
            </w:r>
          </w:p>
        </w:tc>
      </w:tr>
      <w:tr w:rsidR="003A2E7F" w:rsidRPr="003A2E7F" w:rsidTr="00B14F0E">
        <w:trPr>
          <w:cantSplit/>
        </w:trPr>
        <w:tc>
          <w:tcPr>
            <w:tcW w:w="1984" w:type="dxa"/>
            <w:tcBorders>
              <w:left w:val="single" w:sz="4" w:space="0" w:color="auto"/>
              <w:bottom w:val="single" w:sz="4" w:space="0" w:color="auto"/>
              <w:right w:val="single" w:sz="4" w:space="0" w:color="auto"/>
            </w:tcBorders>
            <w:shd w:val="clear" w:color="auto" w:fill="E0E0E0"/>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lastRenderedPageBreak/>
              <w:t>4. Duración y dilación</w:t>
            </w: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Tasa de pendencia (asuntos pendientes).</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asuntos pendientes, sobre la carga de trabajo (casos ingresados por primera vez + los casos reentrados + la apertura de testimonio de piezas + casos pendientes al inicio del período).</w:t>
            </w:r>
          </w:p>
          <w:p w:rsidR="003A2E7F" w:rsidRPr="003A2E7F" w:rsidRDefault="003A2E7F" w:rsidP="003A2E7F">
            <w:pPr>
              <w:spacing w:line="360" w:lineRule="auto"/>
              <w:jc w:val="both"/>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Estadística P.J.</w:t>
            </w:r>
          </w:p>
          <w:p w:rsidR="003A2E7F" w:rsidRPr="003A2E7F" w:rsidRDefault="003A2E7F" w:rsidP="003A2E7F">
            <w:pPr>
              <w:spacing w:line="360" w:lineRule="auto"/>
              <w:jc w:val="both"/>
              <w:rPr>
                <w:rFonts w:ascii="Times New Roman" w:hAnsi="Times New Roman" w:cs="Times New Roman"/>
              </w:rPr>
            </w:pP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Determina el peso relativo de los asuntos que llegaron al final del período y a los cuales no se les pudo dar un trámite expedito.</w:t>
            </w:r>
          </w:p>
        </w:tc>
      </w:tr>
    </w:tbl>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br w:type="page"/>
      </w:r>
    </w:p>
    <w:tbl>
      <w:tblPr>
        <w:tblW w:w="13229" w:type="dxa"/>
        <w:tblInd w:w="108" w:type="dxa"/>
        <w:tblBorders>
          <w:top w:val="threeDEngrave" w:sz="2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4"/>
        <w:gridCol w:w="2704"/>
        <w:gridCol w:w="2825"/>
        <w:gridCol w:w="2551"/>
        <w:gridCol w:w="3165"/>
      </w:tblGrid>
      <w:tr w:rsidR="003A2E7F" w:rsidRPr="003A2E7F" w:rsidTr="00B14F0E">
        <w:trPr>
          <w:cantSplit/>
        </w:trPr>
        <w:tc>
          <w:tcPr>
            <w:tcW w:w="1984"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lastRenderedPageBreak/>
              <w:t>CAMPO TEMÁTICO</w:t>
            </w:r>
          </w:p>
        </w:tc>
        <w:tc>
          <w:tcPr>
            <w:tcW w:w="2704"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INDICADOR</w:t>
            </w:r>
          </w:p>
        </w:tc>
        <w:tc>
          <w:tcPr>
            <w:tcW w:w="2825"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FORMULA DE CÁLCULO</w:t>
            </w:r>
          </w:p>
        </w:tc>
        <w:tc>
          <w:tcPr>
            <w:tcW w:w="2551"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FUENTE DE DATOS</w:t>
            </w:r>
          </w:p>
        </w:tc>
        <w:tc>
          <w:tcPr>
            <w:tcW w:w="3165"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COMENTARIO</w:t>
            </w:r>
          </w:p>
        </w:tc>
      </w:tr>
      <w:tr w:rsidR="003A2E7F" w:rsidRPr="003A2E7F" w:rsidTr="00B14F0E">
        <w:tblPrEx>
          <w:tblBorders>
            <w:top w:val="single" w:sz="4" w:space="0" w:color="auto"/>
          </w:tblBorders>
        </w:tblPrEx>
        <w:trPr>
          <w:cantSplit/>
        </w:trPr>
        <w:tc>
          <w:tcPr>
            <w:tcW w:w="1984" w:type="dxa"/>
            <w:vMerge w:val="restart"/>
            <w:tcBorders>
              <w:top w:val="single" w:sz="4" w:space="0" w:color="auto"/>
              <w:left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b/>
                <w:bCs/>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Tasa de resolución.</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asuntos resueltos sobre la carga de trabajo (casos ingresados por primera vez + los casos reentrados + la apertura de testimonio de piezas + casos pendientes al inicio del período).</w:t>
            </w:r>
          </w:p>
          <w:p w:rsidR="003A2E7F" w:rsidRPr="003A2E7F" w:rsidRDefault="003A2E7F" w:rsidP="003A2E7F">
            <w:pPr>
              <w:spacing w:line="360" w:lineRule="auto"/>
              <w:jc w:val="both"/>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Estadística P.J.</w:t>
            </w:r>
          </w:p>
          <w:p w:rsidR="003A2E7F" w:rsidRPr="003A2E7F" w:rsidRDefault="003A2E7F" w:rsidP="003A2E7F">
            <w:pPr>
              <w:spacing w:line="360" w:lineRule="auto"/>
              <w:jc w:val="both"/>
              <w:rPr>
                <w:rFonts w:ascii="Times New Roman" w:hAnsi="Times New Roman" w:cs="Times New Roman"/>
              </w:rPr>
            </w:pP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Determina el peso relativo de los asuntos que al final del período habían recibido una resolución.</w:t>
            </w:r>
          </w:p>
        </w:tc>
      </w:tr>
      <w:tr w:rsidR="003A2E7F" w:rsidRPr="003A2E7F" w:rsidTr="00B14F0E">
        <w:tblPrEx>
          <w:tblBorders>
            <w:top w:val="single" w:sz="4" w:space="0" w:color="auto"/>
          </w:tblBorders>
        </w:tblPrEx>
        <w:trPr>
          <w:cantSplit/>
        </w:trPr>
        <w:tc>
          <w:tcPr>
            <w:tcW w:w="1984" w:type="dxa"/>
            <w:vMerge/>
            <w:tcBorders>
              <w:left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clear" w:color="FFFFFF" w:fill="E0E0E0"/>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Casos pendientes al final del período por Jueza y Juez (primera e instancia superior).</w:t>
            </w:r>
          </w:p>
        </w:tc>
        <w:tc>
          <w:tcPr>
            <w:tcW w:w="2825" w:type="dxa"/>
            <w:tcBorders>
              <w:top w:val="single" w:sz="4" w:space="0" w:color="auto"/>
              <w:left w:val="single" w:sz="4" w:space="0" w:color="auto"/>
              <w:bottom w:val="single" w:sz="4" w:space="0" w:color="auto"/>
              <w:right w:val="single" w:sz="4" w:space="0" w:color="auto"/>
            </w:tcBorders>
            <w:shd w:val="clear" w:color="FFFFFF" w:fill="E0E0E0"/>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casos pendientes al final del período sobre el total de juezas y jueces.</w:t>
            </w:r>
          </w:p>
        </w:tc>
        <w:tc>
          <w:tcPr>
            <w:tcW w:w="2551" w:type="dxa"/>
            <w:tcBorders>
              <w:top w:val="single" w:sz="4" w:space="0" w:color="auto"/>
              <w:left w:val="single" w:sz="4" w:space="0" w:color="auto"/>
              <w:bottom w:val="single" w:sz="4" w:space="0" w:color="auto"/>
              <w:right w:val="single" w:sz="4" w:space="0" w:color="auto"/>
            </w:tcBorders>
            <w:shd w:val="clear" w:color="FFFFFF" w:fill="E0E0E0"/>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Estadística P.J.</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Planes y</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xml:space="preserve">  Presupuesto P.J</w:t>
            </w:r>
          </w:p>
        </w:tc>
        <w:tc>
          <w:tcPr>
            <w:tcW w:w="3165" w:type="dxa"/>
            <w:tcBorders>
              <w:top w:val="single" w:sz="4" w:space="0" w:color="auto"/>
              <w:left w:val="single" w:sz="4" w:space="0" w:color="auto"/>
              <w:bottom w:val="single" w:sz="4" w:space="0" w:color="auto"/>
              <w:right w:val="single" w:sz="4" w:space="0" w:color="auto"/>
            </w:tcBorders>
            <w:shd w:val="clear" w:color="FFFFFF" w:fill="E0E0E0"/>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Informa sobre aquellos asuntos que llegaron al final del período y a los cuales no se les pudo dar un trámite expedito.</w:t>
            </w:r>
          </w:p>
          <w:p w:rsidR="003A2E7F" w:rsidRPr="003A2E7F" w:rsidRDefault="003A2E7F" w:rsidP="003A2E7F">
            <w:pPr>
              <w:spacing w:line="360" w:lineRule="auto"/>
              <w:jc w:val="both"/>
              <w:rPr>
                <w:rFonts w:ascii="Times New Roman" w:hAnsi="Times New Roman" w:cs="Times New Roman"/>
              </w:rPr>
            </w:pPr>
          </w:p>
        </w:tc>
      </w:tr>
      <w:tr w:rsidR="003A2E7F" w:rsidRPr="003A2E7F" w:rsidTr="00B14F0E">
        <w:tblPrEx>
          <w:tblBorders>
            <w:top w:val="single" w:sz="4" w:space="0" w:color="auto"/>
          </w:tblBorders>
        </w:tblPrEx>
        <w:trPr>
          <w:cantSplit/>
        </w:trPr>
        <w:tc>
          <w:tcPr>
            <w:tcW w:w="1984" w:type="dxa"/>
            <w:vMerge/>
            <w:tcBorders>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clear" w:color="FFFFFF" w:fill="E0E0E0"/>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Duración promedio (desde el inicio hasta que se dicta sentencia, tanto en primera como instancia superior)</w:t>
            </w:r>
          </w:p>
        </w:tc>
        <w:tc>
          <w:tcPr>
            <w:tcW w:w="2825" w:type="dxa"/>
            <w:tcBorders>
              <w:top w:val="single" w:sz="4" w:space="0" w:color="auto"/>
              <w:left w:val="single" w:sz="4" w:space="0" w:color="auto"/>
              <w:bottom w:val="single" w:sz="4" w:space="0" w:color="auto"/>
              <w:right w:val="single" w:sz="4" w:space="0" w:color="auto"/>
            </w:tcBorders>
            <w:shd w:val="clear" w:color="FFFFFF" w:fill="E0E0E0"/>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Tiempo transcurrido desde el momento en que ingresó la denuncia y el momento en que se dictó sentencia (en meses).</w:t>
            </w:r>
          </w:p>
        </w:tc>
        <w:tc>
          <w:tcPr>
            <w:tcW w:w="2551" w:type="dxa"/>
            <w:tcBorders>
              <w:top w:val="single" w:sz="4" w:space="0" w:color="auto"/>
              <w:left w:val="single" w:sz="4" w:space="0" w:color="auto"/>
              <w:bottom w:val="single" w:sz="4" w:space="0" w:color="auto"/>
              <w:right w:val="single" w:sz="4" w:space="0" w:color="auto"/>
            </w:tcBorders>
            <w:shd w:val="clear" w:color="FFFFFF" w:fill="E0E0E0"/>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Estadística P.J.</w:t>
            </w:r>
          </w:p>
          <w:p w:rsidR="003A2E7F" w:rsidRPr="003A2E7F" w:rsidRDefault="003A2E7F" w:rsidP="003A2E7F">
            <w:pPr>
              <w:spacing w:line="360" w:lineRule="auto"/>
              <w:jc w:val="both"/>
              <w:rPr>
                <w:rFonts w:ascii="Times New Roman" w:hAnsi="Times New Roman" w:cs="Times New Roman"/>
              </w:rPr>
            </w:pPr>
          </w:p>
        </w:tc>
        <w:tc>
          <w:tcPr>
            <w:tcW w:w="3165" w:type="dxa"/>
            <w:tcBorders>
              <w:top w:val="single" w:sz="4" w:space="0" w:color="auto"/>
              <w:left w:val="single" w:sz="4" w:space="0" w:color="auto"/>
              <w:bottom w:val="single" w:sz="4" w:space="0" w:color="auto"/>
              <w:right w:val="single" w:sz="4" w:space="0" w:color="auto"/>
            </w:tcBorders>
            <w:shd w:val="clear" w:color="FFFFFF" w:fill="E0E0E0"/>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xml:space="preserve">Establece la prontitud con que una causa es resuelta. </w:t>
            </w:r>
          </w:p>
        </w:tc>
      </w:tr>
      <w:tr w:rsidR="003A2E7F" w:rsidRPr="003A2E7F" w:rsidTr="00B14F0E">
        <w:tblPrEx>
          <w:tblBorders>
            <w:top w:val="single" w:sz="4" w:space="0" w:color="auto"/>
          </w:tblBorders>
        </w:tblPrEx>
        <w:trPr>
          <w:cantSplit/>
        </w:trPr>
        <w:tc>
          <w:tcPr>
            <w:tcW w:w="198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5. Calidad del servicio</w:t>
            </w:r>
          </w:p>
        </w:tc>
        <w:tc>
          <w:tcPr>
            <w:tcW w:w="2704" w:type="dxa"/>
            <w:tcBorders>
              <w:top w:val="single" w:sz="4" w:space="0" w:color="auto"/>
              <w:left w:val="single" w:sz="4" w:space="0" w:color="auto"/>
              <w:bottom w:val="single" w:sz="4" w:space="0" w:color="auto"/>
              <w:right w:val="single" w:sz="4" w:space="0" w:color="auto"/>
            </w:tcBorders>
            <w:shd w:val="clear" w:color="FFFFFF" w:fill="E0E0E0"/>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Tasa de revocación en apelación.</w:t>
            </w:r>
          </w:p>
        </w:tc>
        <w:tc>
          <w:tcPr>
            <w:tcW w:w="2825" w:type="dxa"/>
            <w:tcBorders>
              <w:top w:val="single" w:sz="4" w:space="0" w:color="auto"/>
              <w:left w:val="single" w:sz="4" w:space="0" w:color="auto"/>
              <w:bottom w:val="single" w:sz="4" w:space="0" w:color="auto"/>
              <w:right w:val="single" w:sz="4" w:space="0" w:color="auto"/>
            </w:tcBorders>
            <w:shd w:val="clear" w:color="FFFFFF" w:fill="E0E0E0"/>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apelaciones declaradas con lugar, sobre el total de apelaciones registradas (existentes y nuevas).</w:t>
            </w:r>
          </w:p>
        </w:tc>
        <w:tc>
          <w:tcPr>
            <w:tcW w:w="2551" w:type="dxa"/>
            <w:tcBorders>
              <w:top w:val="single" w:sz="4" w:space="0" w:color="auto"/>
              <w:left w:val="single" w:sz="4" w:space="0" w:color="auto"/>
              <w:bottom w:val="single" w:sz="4" w:space="0" w:color="auto"/>
              <w:right w:val="single" w:sz="4" w:space="0" w:color="auto"/>
            </w:tcBorders>
            <w:shd w:val="clear" w:color="FFFFFF" w:fill="E0E0E0"/>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Estadística P.J.</w:t>
            </w:r>
          </w:p>
          <w:p w:rsidR="003A2E7F" w:rsidRPr="003A2E7F" w:rsidRDefault="003A2E7F" w:rsidP="003A2E7F">
            <w:pPr>
              <w:spacing w:line="360" w:lineRule="auto"/>
              <w:jc w:val="both"/>
              <w:rPr>
                <w:rFonts w:ascii="Times New Roman" w:hAnsi="Times New Roman" w:cs="Times New Roman"/>
                <w:b/>
                <w:bCs/>
                <w:lang w:val="es-ES_tradnl"/>
              </w:rPr>
            </w:pPr>
          </w:p>
        </w:tc>
        <w:tc>
          <w:tcPr>
            <w:tcW w:w="3165" w:type="dxa"/>
            <w:tcBorders>
              <w:top w:val="single" w:sz="4" w:space="0" w:color="auto"/>
              <w:left w:val="single" w:sz="4" w:space="0" w:color="auto"/>
              <w:bottom w:val="single" w:sz="4" w:space="0" w:color="auto"/>
              <w:right w:val="single" w:sz="4" w:space="0" w:color="auto"/>
            </w:tcBorders>
            <w:shd w:val="clear" w:color="FFFFFF" w:fill="E0E0E0"/>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Se refiere al grado de ineficiencia o incumplimiento de los asuntos dictados en primera instancia.</w:t>
            </w:r>
          </w:p>
        </w:tc>
      </w:tr>
    </w:tbl>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br w:type="page"/>
      </w:r>
    </w:p>
    <w:tbl>
      <w:tblPr>
        <w:tblW w:w="13229" w:type="dxa"/>
        <w:tblInd w:w="108" w:type="dxa"/>
        <w:tblBorders>
          <w:top w:val="threeDEngrave" w:sz="2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4"/>
        <w:gridCol w:w="2704"/>
        <w:gridCol w:w="2825"/>
        <w:gridCol w:w="2551"/>
        <w:gridCol w:w="3165"/>
      </w:tblGrid>
      <w:tr w:rsidR="003A2E7F" w:rsidRPr="003A2E7F" w:rsidTr="00B14F0E">
        <w:trPr>
          <w:cantSplit/>
        </w:trPr>
        <w:tc>
          <w:tcPr>
            <w:tcW w:w="1984"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lastRenderedPageBreak/>
              <w:t>CAMPO TEMÁTICO</w:t>
            </w:r>
          </w:p>
        </w:tc>
        <w:tc>
          <w:tcPr>
            <w:tcW w:w="2704"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INDICADOR</w:t>
            </w:r>
          </w:p>
        </w:tc>
        <w:tc>
          <w:tcPr>
            <w:tcW w:w="2825"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FORMULA DE CÁLCULO</w:t>
            </w:r>
          </w:p>
        </w:tc>
        <w:tc>
          <w:tcPr>
            <w:tcW w:w="2551"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FUENTE DE DATOS</w:t>
            </w:r>
          </w:p>
        </w:tc>
        <w:tc>
          <w:tcPr>
            <w:tcW w:w="3165"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COMENTARIO</w:t>
            </w:r>
          </w:p>
        </w:tc>
      </w:tr>
      <w:tr w:rsidR="003A2E7F" w:rsidRPr="003A2E7F" w:rsidTr="00B14F0E">
        <w:tblPrEx>
          <w:tblBorders>
            <w:top w:val="single" w:sz="4" w:space="0" w:color="auto"/>
          </w:tblBorders>
        </w:tblPrEx>
        <w:trPr>
          <w:cantSplit/>
        </w:trPr>
        <w:tc>
          <w:tcPr>
            <w:tcW w:w="1984" w:type="dxa"/>
            <w:vMerge w:val="restart"/>
            <w:tcBorders>
              <w:top w:val="single" w:sz="4" w:space="0" w:color="auto"/>
              <w:left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b/>
                <w:bCs/>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Porcentaje de casos anulados en apelación.</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anulaciones, sobre el total de apelaciones resueltas.</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Estadística P.J.</w:t>
            </w:r>
          </w:p>
          <w:p w:rsidR="003A2E7F" w:rsidRPr="003A2E7F" w:rsidRDefault="003A2E7F" w:rsidP="003A2E7F">
            <w:pPr>
              <w:spacing w:line="360" w:lineRule="auto"/>
              <w:jc w:val="both"/>
              <w:rPr>
                <w:rFonts w:ascii="Times New Roman" w:hAnsi="Times New Roman" w:cs="Times New Roman"/>
              </w:rPr>
            </w:pP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xml:space="preserve">Indica el peso relativo que tienen aquellas causas que por no haber seguido el procedimiento adecuado o por algún otro error en la primera instancia, es anulada en la instancia superior.   </w:t>
            </w:r>
          </w:p>
          <w:p w:rsidR="003A2E7F" w:rsidRPr="003A2E7F" w:rsidRDefault="003A2E7F" w:rsidP="003A2E7F">
            <w:pPr>
              <w:spacing w:line="360" w:lineRule="auto"/>
              <w:jc w:val="both"/>
              <w:rPr>
                <w:rFonts w:ascii="Times New Roman" w:hAnsi="Times New Roman" w:cs="Times New Roman"/>
              </w:rPr>
            </w:pPr>
          </w:p>
        </w:tc>
      </w:tr>
      <w:tr w:rsidR="003A2E7F" w:rsidRPr="003A2E7F" w:rsidTr="00B14F0E">
        <w:tblPrEx>
          <w:tblBorders>
            <w:top w:val="single" w:sz="4" w:space="0" w:color="auto"/>
          </w:tblBorders>
        </w:tblPrEx>
        <w:trPr>
          <w:cantSplit/>
        </w:trPr>
        <w:tc>
          <w:tcPr>
            <w:tcW w:w="1984" w:type="dxa"/>
            <w:vMerge/>
            <w:tcBorders>
              <w:left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b/>
                <w:bCs/>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Porcentaje de asuntos declarados con lugar en apelación.</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recursos declarados con lugar en apelación sobre el total de resoluciones dictadas en apelación.</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Estadística P.J.</w:t>
            </w:r>
          </w:p>
          <w:p w:rsidR="003A2E7F" w:rsidRPr="003A2E7F" w:rsidRDefault="003A2E7F" w:rsidP="003A2E7F">
            <w:pPr>
              <w:spacing w:line="360" w:lineRule="auto"/>
              <w:jc w:val="both"/>
              <w:rPr>
                <w:rFonts w:ascii="Times New Roman" w:hAnsi="Times New Roman" w:cs="Times New Roman"/>
              </w:rPr>
            </w:pP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Cs/>
              </w:rPr>
              <w:t xml:space="preserve">Indica el valor porcentual por el resultado de los recursos que proceden contra las sentencias o autos con carácter de sentencia y que son declarados con lugar </w:t>
            </w:r>
          </w:p>
        </w:tc>
      </w:tr>
      <w:tr w:rsidR="003A2E7F" w:rsidRPr="003A2E7F" w:rsidTr="00B14F0E">
        <w:tblPrEx>
          <w:tblBorders>
            <w:top w:val="single" w:sz="4" w:space="0" w:color="auto"/>
          </w:tblBorders>
        </w:tblPrEx>
        <w:trPr>
          <w:cantSplit/>
        </w:trPr>
        <w:tc>
          <w:tcPr>
            <w:tcW w:w="1984" w:type="dxa"/>
            <w:vMerge/>
            <w:tcBorders>
              <w:left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b/>
                <w:bCs/>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Número de quejas formuladas por las o los usuarios.</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quejas planteadas por los usuarios.</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Contraloría de Servicios</w:t>
            </w:r>
          </w:p>
          <w:p w:rsidR="003A2E7F" w:rsidRPr="003A2E7F" w:rsidRDefault="003A2E7F" w:rsidP="003A2E7F">
            <w:pPr>
              <w:spacing w:line="360" w:lineRule="auto"/>
              <w:jc w:val="both"/>
              <w:rPr>
                <w:rFonts w:ascii="Times New Roman" w:hAnsi="Times New Roman" w:cs="Times New Roman"/>
              </w:rPr>
            </w:pPr>
            <w:proofErr w:type="gramStart"/>
            <w:r w:rsidRPr="003A2E7F">
              <w:rPr>
                <w:rFonts w:ascii="Times New Roman" w:hAnsi="Times New Roman" w:cs="Times New Roman"/>
              </w:rPr>
              <w:t>del</w:t>
            </w:r>
            <w:proofErr w:type="gramEnd"/>
            <w:r w:rsidRPr="003A2E7F">
              <w:rPr>
                <w:rFonts w:ascii="Times New Roman" w:hAnsi="Times New Roman" w:cs="Times New Roman"/>
              </w:rPr>
              <w:t xml:space="preserve"> Poder Judicial.</w:t>
            </w: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Indica la cantidad de usuarios o usuarios insatisfechos con algún asunto en particular.</w:t>
            </w:r>
          </w:p>
        </w:tc>
      </w:tr>
      <w:tr w:rsidR="003A2E7F" w:rsidRPr="003A2E7F" w:rsidTr="00B14F0E">
        <w:tblPrEx>
          <w:tblBorders>
            <w:top w:val="single" w:sz="4" w:space="0" w:color="auto"/>
          </w:tblBorders>
        </w:tblPrEx>
        <w:trPr>
          <w:cantSplit/>
        </w:trPr>
        <w:tc>
          <w:tcPr>
            <w:tcW w:w="1984" w:type="dxa"/>
            <w:tcBorders>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b/>
                <w:bCs/>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Tasa de gestiones</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gestiones planteadas por los usuarios sobre la carga de trabajo</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xml:space="preserve">- Contraloría de Servicios </w:t>
            </w:r>
          </w:p>
          <w:p w:rsidR="003A2E7F" w:rsidRPr="003A2E7F" w:rsidRDefault="003A2E7F" w:rsidP="003A2E7F">
            <w:pPr>
              <w:spacing w:line="360" w:lineRule="auto"/>
              <w:jc w:val="both"/>
              <w:rPr>
                <w:rFonts w:ascii="Times New Roman" w:hAnsi="Times New Roman" w:cs="Times New Roman"/>
                <w:bCs/>
              </w:rPr>
            </w:pPr>
            <w:proofErr w:type="gramStart"/>
            <w:r w:rsidRPr="003A2E7F">
              <w:rPr>
                <w:rFonts w:ascii="Times New Roman" w:hAnsi="Times New Roman" w:cs="Times New Roman"/>
                <w:bCs/>
              </w:rPr>
              <w:t>del</w:t>
            </w:r>
            <w:proofErr w:type="gramEnd"/>
            <w:r w:rsidRPr="003A2E7F">
              <w:rPr>
                <w:rFonts w:ascii="Times New Roman" w:hAnsi="Times New Roman" w:cs="Times New Roman"/>
                <w:bCs/>
              </w:rPr>
              <w:t xml:space="preserve"> Poder Judicial.</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Cs/>
              </w:rPr>
              <w:t>- Sección de Estadística P.J.</w:t>
            </w: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xml:space="preserve">Se refiere a la cantidad de quejas recibidas según la carga de trabajo resultante en el año de estudio. </w:t>
            </w:r>
          </w:p>
        </w:tc>
      </w:tr>
    </w:tbl>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br w:type="page"/>
      </w:r>
    </w:p>
    <w:tbl>
      <w:tblPr>
        <w:tblW w:w="132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4"/>
        <w:gridCol w:w="2704"/>
        <w:gridCol w:w="2825"/>
        <w:gridCol w:w="2551"/>
        <w:gridCol w:w="3165"/>
      </w:tblGrid>
      <w:tr w:rsidR="003A2E7F" w:rsidRPr="003A2E7F" w:rsidTr="00B14F0E">
        <w:trPr>
          <w:cantSplit/>
        </w:trPr>
        <w:tc>
          <w:tcPr>
            <w:tcW w:w="1984"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lastRenderedPageBreak/>
              <w:t>CAMPO TEMÁTICO</w:t>
            </w:r>
          </w:p>
        </w:tc>
        <w:tc>
          <w:tcPr>
            <w:tcW w:w="2704"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INDICADOR</w:t>
            </w:r>
          </w:p>
        </w:tc>
        <w:tc>
          <w:tcPr>
            <w:tcW w:w="2825"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FORMULA DE CÁLCULO</w:t>
            </w:r>
          </w:p>
        </w:tc>
        <w:tc>
          <w:tcPr>
            <w:tcW w:w="2551"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FUENTE DE DATOS</w:t>
            </w:r>
          </w:p>
        </w:tc>
        <w:tc>
          <w:tcPr>
            <w:tcW w:w="3165"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COMENTARIO</w:t>
            </w:r>
          </w:p>
        </w:tc>
      </w:tr>
      <w:tr w:rsidR="003A2E7F" w:rsidRPr="003A2E7F" w:rsidTr="00B14F0E">
        <w:trPr>
          <w:cantSplit/>
        </w:trPr>
        <w:tc>
          <w:tcPr>
            <w:tcW w:w="1984" w:type="dxa"/>
            <w:vMerge w:val="restart"/>
            <w:tcBorders>
              <w:top w:val="single" w:sz="4" w:space="0" w:color="auto"/>
              <w:left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lang w:val="es-CR"/>
              </w:rPr>
              <w:t>6.</w:t>
            </w:r>
            <w:r w:rsidRPr="003A2E7F">
              <w:rPr>
                <w:rFonts w:ascii="Times New Roman" w:hAnsi="Times New Roman" w:cs="Times New Roman"/>
                <w:b/>
                <w:bCs/>
              </w:rPr>
              <w:t xml:space="preserve"> Fiscalía</w:t>
            </w:r>
          </w:p>
          <w:p w:rsidR="003A2E7F" w:rsidRPr="003A2E7F" w:rsidRDefault="003A2E7F" w:rsidP="003A2E7F">
            <w:pPr>
              <w:spacing w:line="360" w:lineRule="auto"/>
              <w:jc w:val="both"/>
              <w:rPr>
                <w:rFonts w:ascii="Times New Roman" w:hAnsi="Times New Roman" w:cs="Times New Roman"/>
                <w:b/>
                <w:bCs/>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Tasa de denuncia por delito ingresada al Ministerio Público.</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denuncias por 100 mil, sobre población total.</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Estadística P.J.</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Instituto Nacional de Estadística y Censos.</w:t>
            </w: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Se refiere a la cantidad de denuncias penales ingresadas al Ministerio Público por habitante.</w:t>
            </w:r>
          </w:p>
        </w:tc>
      </w:tr>
      <w:tr w:rsidR="003A2E7F" w:rsidRPr="003A2E7F" w:rsidTr="00B14F0E">
        <w:trPr>
          <w:cantSplit/>
        </w:trPr>
        <w:tc>
          <w:tcPr>
            <w:tcW w:w="1984" w:type="dxa"/>
            <w:vMerge/>
            <w:tcBorders>
              <w:left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b/>
                <w:bCs/>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Tasa de acusación.</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delitos (con acusación y procesos abreviados) trasladados a los juzgados, sobre el número de delitos ingresados en la Fiscalía.</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Estadística P.J.</w:t>
            </w:r>
          </w:p>
          <w:p w:rsidR="003A2E7F" w:rsidRPr="003A2E7F" w:rsidRDefault="003A2E7F" w:rsidP="003A2E7F">
            <w:pPr>
              <w:spacing w:line="360" w:lineRule="auto"/>
              <w:jc w:val="both"/>
              <w:rPr>
                <w:rFonts w:ascii="Times New Roman" w:hAnsi="Times New Roman" w:cs="Times New Roman"/>
              </w:rPr>
            </w:pP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Informa sobre la cantidad de  casos que son ingresados a los Juzgados, luego de haber  ingresado a la Fiscalía, lo que da un panorama del número solicitudes que se presentan ante los Juzgados.</w:t>
            </w:r>
          </w:p>
        </w:tc>
      </w:tr>
      <w:tr w:rsidR="003A2E7F" w:rsidRPr="003A2E7F" w:rsidTr="00B14F0E">
        <w:trPr>
          <w:cantSplit/>
        </w:trPr>
        <w:tc>
          <w:tcPr>
            <w:tcW w:w="1984" w:type="dxa"/>
            <w:vMerge/>
            <w:tcBorders>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b/>
                <w:bCs/>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Tasa de expedientes nuevos de menores de 18 años.</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expedientes de menores de 18 años por mil, sobre la población menor de 18 años.</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Estadística P.J.</w:t>
            </w:r>
          </w:p>
          <w:p w:rsidR="003A2E7F" w:rsidRPr="003A2E7F" w:rsidRDefault="003A2E7F" w:rsidP="003A2E7F">
            <w:pPr>
              <w:spacing w:line="360" w:lineRule="auto"/>
              <w:jc w:val="both"/>
              <w:rPr>
                <w:rFonts w:ascii="Times New Roman" w:hAnsi="Times New Roman" w:cs="Times New Roman"/>
              </w:rPr>
            </w:pP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Indica el peso relativo de la cantidad de expedientes ingresados en los que intervienen los menores de 18 años por infringir la Ley Penal Juvenil.</w:t>
            </w:r>
          </w:p>
        </w:tc>
      </w:tr>
      <w:tr w:rsidR="003A2E7F" w:rsidRPr="003A2E7F" w:rsidTr="00B14F0E">
        <w:trPr>
          <w:cantSplit/>
        </w:trPr>
        <w:tc>
          <w:tcPr>
            <w:tcW w:w="1984" w:type="dxa"/>
            <w:vMerge w:val="restart"/>
            <w:tcBorders>
              <w:top w:val="single" w:sz="4" w:space="0" w:color="auto"/>
              <w:left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7. Sistema     penitenciario</w:t>
            </w: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Tasa de condenatoria.</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personas condenadas en los Tribunales Penales por 100 mil, sobre población total.</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Estadística P.J.</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Instituto Nacional de Estadística y Censos.</w:t>
            </w: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Se refiere a la cantidad de personas condenadas por los Tribunales Penales por habitante.</w:t>
            </w:r>
          </w:p>
        </w:tc>
      </w:tr>
      <w:tr w:rsidR="003A2E7F" w:rsidRPr="003A2E7F" w:rsidTr="00B14F0E">
        <w:trPr>
          <w:cantSplit/>
        </w:trPr>
        <w:tc>
          <w:tcPr>
            <w:tcW w:w="1984" w:type="dxa"/>
            <w:vMerge/>
            <w:tcBorders>
              <w:left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b/>
                <w:bCs/>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absolutorias.</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personas absueltas en los Tribunales Penales por 100 mil, sobre la población total.</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Estadística P.J.</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Instituto Nacional de Estadística y Censos.</w:t>
            </w: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Determina la cantidad de personas absueltas por los Tribunales penales, por habitante.</w:t>
            </w:r>
          </w:p>
        </w:tc>
      </w:tr>
    </w:tbl>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br w:type="page"/>
      </w:r>
    </w:p>
    <w:tbl>
      <w:tblPr>
        <w:tblW w:w="132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4"/>
        <w:gridCol w:w="2704"/>
        <w:gridCol w:w="2825"/>
        <w:gridCol w:w="2551"/>
        <w:gridCol w:w="3165"/>
      </w:tblGrid>
      <w:tr w:rsidR="003A2E7F" w:rsidRPr="003A2E7F" w:rsidTr="00B14F0E">
        <w:trPr>
          <w:cantSplit/>
        </w:trPr>
        <w:tc>
          <w:tcPr>
            <w:tcW w:w="1984" w:type="dxa"/>
            <w:tcBorders>
              <w:top w:val="threeDEngrave" w:sz="24" w:space="0" w:color="auto"/>
              <w:left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lastRenderedPageBreak/>
              <w:t>CAMPO TEMÁTICO</w:t>
            </w:r>
          </w:p>
        </w:tc>
        <w:tc>
          <w:tcPr>
            <w:tcW w:w="2704"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INDICADOR</w:t>
            </w:r>
          </w:p>
        </w:tc>
        <w:tc>
          <w:tcPr>
            <w:tcW w:w="2825"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FORMULA DE CÁLCULO</w:t>
            </w:r>
          </w:p>
        </w:tc>
        <w:tc>
          <w:tcPr>
            <w:tcW w:w="2551"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FUENTE DE DATOS</w:t>
            </w:r>
          </w:p>
        </w:tc>
        <w:tc>
          <w:tcPr>
            <w:tcW w:w="3165"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COMENTARIO</w:t>
            </w:r>
          </w:p>
        </w:tc>
      </w:tr>
      <w:tr w:rsidR="003A2E7F" w:rsidRPr="003A2E7F" w:rsidTr="00B14F0E">
        <w:trPr>
          <w:cantSplit/>
        </w:trPr>
        <w:tc>
          <w:tcPr>
            <w:tcW w:w="1984" w:type="dxa"/>
            <w:tcBorders>
              <w:top w:val="single" w:sz="4" w:space="0" w:color="auto"/>
              <w:left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b/>
                <w:bCs/>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Cs/>
              </w:rPr>
              <w:t>Edad promedio de las personas condenadas.</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Sumatoria de las frecuencias por cada una de las edades de los adultos condenados, sobre la sumatoria de las frecuencias.</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numPr>
                <w:ilvl w:val="0"/>
                <w:numId w:val="4"/>
              </w:numPr>
              <w:tabs>
                <w:tab w:val="clear" w:pos="720"/>
                <w:tab w:val="num" w:pos="119"/>
              </w:tabs>
              <w:spacing w:line="360" w:lineRule="auto"/>
              <w:jc w:val="both"/>
              <w:rPr>
                <w:rFonts w:ascii="Times New Roman" w:hAnsi="Times New Roman" w:cs="Times New Roman"/>
              </w:rPr>
            </w:pPr>
            <w:r w:rsidRPr="003A2E7F">
              <w:rPr>
                <w:rFonts w:ascii="Times New Roman" w:hAnsi="Times New Roman" w:cs="Times New Roman"/>
              </w:rPr>
              <w:t xml:space="preserve"> Sección de Estadística</w:t>
            </w: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u w:val="single"/>
              </w:rPr>
            </w:pPr>
            <w:r w:rsidRPr="003A2E7F">
              <w:rPr>
                <w:rFonts w:ascii="Times New Roman" w:hAnsi="Times New Roman" w:cs="Times New Roman"/>
              </w:rPr>
              <w:t>Determina la edad promedio de las personas adultas que recibieron una sentencia condenatoria</w:t>
            </w:r>
            <w:r w:rsidRPr="003A2E7F">
              <w:rPr>
                <w:rFonts w:ascii="Times New Roman" w:hAnsi="Times New Roman" w:cs="Times New Roman"/>
                <w:u w:val="single"/>
              </w:rPr>
              <w:t>.</w:t>
            </w:r>
          </w:p>
        </w:tc>
      </w:tr>
      <w:tr w:rsidR="003A2E7F" w:rsidRPr="003A2E7F" w:rsidTr="00B14F0E">
        <w:trPr>
          <w:cantSplit/>
        </w:trPr>
        <w:tc>
          <w:tcPr>
            <w:tcW w:w="1984" w:type="dxa"/>
            <w:vMerge w:val="restart"/>
            <w:tcBorders>
              <w:top w:val="single" w:sz="4" w:space="0" w:color="auto"/>
              <w:left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8. Seguridad ciudadana</w:t>
            </w: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Tasa de criminalidad.</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Número de crímenes  más representativos, sobre la población total.</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Estadística P.J.</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Instituto Nacional de</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xml:space="preserve">  Estadística y Censos.</w:t>
            </w: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Determina la cantidad de crímenes más representativos, por habitante.</w:t>
            </w:r>
          </w:p>
        </w:tc>
      </w:tr>
      <w:tr w:rsidR="003A2E7F" w:rsidRPr="003A2E7F" w:rsidTr="00B14F0E">
        <w:trPr>
          <w:cantSplit/>
        </w:trPr>
        <w:tc>
          <w:tcPr>
            <w:tcW w:w="1984" w:type="dxa"/>
            <w:vMerge/>
            <w:tcBorders>
              <w:left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Tasa de víctimas por homicidios doloso.</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homicidios por 100 mil, sobre población total.</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Estadística P.J.</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Instituto Nacional de Estadística y Censos.</w:t>
            </w: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Determina la cantidad de hechos que tienen como resultado la muerte de una o varias personas  por habitante.</w:t>
            </w:r>
          </w:p>
        </w:tc>
      </w:tr>
      <w:tr w:rsidR="003A2E7F" w:rsidRPr="003A2E7F" w:rsidTr="00B14F0E">
        <w:trPr>
          <w:cantSplit/>
        </w:trPr>
        <w:tc>
          <w:tcPr>
            <w:tcW w:w="1984" w:type="dxa"/>
            <w:vMerge/>
            <w:tcBorders>
              <w:left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b/>
                <w:bCs/>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xml:space="preserve">Tasa de víctimas por secuestro extorsivo </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víctimas por 100 mil, sobre la población total</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Estadística P.J.</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Instituto Nacional de</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xml:space="preserve">   Estadística y Censos.</w:t>
            </w: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Determina la cantidad de personas que fueron víctimas de un secuestro extorsivo, por habitante.</w:t>
            </w:r>
          </w:p>
        </w:tc>
      </w:tr>
      <w:tr w:rsidR="003A2E7F" w:rsidRPr="003A2E7F" w:rsidTr="00B14F0E">
        <w:trPr>
          <w:cantSplit/>
        </w:trPr>
        <w:tc>
          <w:tcPr>
            <w:tcW w:w="1984" w:type="dxa"/>
            <w:vMerge/>
            <w:tcBorders>
              <w:left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b/>
                <w:bCs/>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lang w:val="es-CR"/>
              </w:rPr>
            </w:pPr>
            <w:r w:rsidRPr="003A2E7F">
              <w:rPr>
                <w:rFonts w:ascii="Times New Roman" w:hAnsi="Times New Roman" w:cs="Times New Roman"/>
                <w:lang w:val="es-CR"/>
              </w:rPr>
              <w:t>Tasa de delincuencia.</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Número de delitos más representativos, sobre la población total.</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Estadística P.J.</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Instituto Nacional de</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xml:space="preserve">  Estadística y Censos.</w:t>
            </w: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Determina la cantidad de delitos más representativos, por habitante.</w:t>
            </w:r>
          </w:p>
        </w:tc>
      </w:tr>
    </w:tbl>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br w:type="page"/>
      </w:r>
    </w:p>
    <w:tbl>
      <w:tblPr>
        <w:tblW w:w="132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4"/>
        <w:gridCol w:w="2704"/>
        <w:gridCol w:w="2825"/>
        <w:gridCol w:w="2551"/>
        <w:gridCol w:w="3165"/>
      </w:tblGrid>
      <w:tr w:rsidR="003A2E7F" w:rsidRPr="003A2E7F" w:rsidTr="00B14F0E">
        <w:trPr>
          <w:cantSplit/>
        </w:trPr>
        <w:tc>
          <w:tcPr>
            <w:tcW w:w="1984"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lastRenderedPageBreak/>
              <w:t>CAMPO TEMÁTICO</w:t>
            </w:r>
          </w:p>
        </w:tc>
        <w:tc>
          <w:tcPr>
            <w:tcW w:w="2704"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INDICADOR</w:t>
            </w:r>
          </w:p>
        </w:tc>
        <w:tc>
          <w:tcPr>
            <w:tcW w:w="2825"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FORMULA DE CÁLCULO</w:t>
            </w:r>
          </w:p>
        </w:tc>
        <w:tc>
          <w:tcPr>
            <w:tcW w:w="2551"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FUENTE DE DATOS</w:t>
            </w:r>
          </w:p>
        </w:tc>
        <w:tc>
          <w:tcPr>
            <w:tcW w:w="3165"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COMENTARIO</w:t>
            </w:r>
          </w:p>
        </w:tc>
      </w:tr>
      <w:tr w:rsidR="003A2E7F" w:rsidRPr="003A2E7F" w:rsidTr="00B14F0E">
        <w:trPr>
          <w:cantSplit/>
        </w:trPr>
        <w:tc>
          <w:tcPr>
            <w:tcW w:w="1984" w:type="dxa"/>
            <w:vMerge w:val="restart"/>
            <w:tcBorders>
              <w:left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lang w:val="es-CR"/>
              </w:rPr>
            </w:pPr>
            <w:r w:rsidRPr="003A2E7F">
              <w:rPr>
                <w:rFonts w:ascii="Times New Roman" w:hAnsi="Times New Roman" w:cs="Times New Roman"/>
                <w:lang w:val="es-CR"/>
              </w:rPr>
              <w:t>Tasa de denuncia por hurto.</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denuncias catalogadas como hurtos ingresadas al Ministerio Público por 100 mil, sobre la población total.</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Estadística P.J.</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Instituto Nacional de</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xml:space="preserve">  Estadística y Censos.</w:t>
            </w: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xml:space="preserve">Informa sobre la cantidad de denuncias por hurto en sus diferentes modalidades ingresadas al Ministerio Público por habitante. </w:t>
            </w:r>
          </w:p>
        </w:tc>
      </w:tr>
      <w:tr w:rsidR="003A2E7F" w:rsidRPr="003A2E7F" w:rsidTr="00B14F0E">
        <w:trPr>
          <w:cantSplit/>
        </w:trPr>
        <w:tc>
          <w:tcPr>
            <w:tcW w:w="1984" w:type="dxa"/>
            <w:vMerge/>
            <w:tcBorders>
              <w:left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lang w:val="es-CR"/>
              </w:rPr>
            </w:pPr>
            <w:r w:rsidRPr="003A2E7F">
              <w:rPr>
                <w:rFonts w:ascii="Times New Roman" w:hAnsi="Times New Roman" w:cs="Times New Roman"/>
                <w:lang w:val="es-CR"/>
              </w:rPr>
              <w:t>Tasa de denuncia por robo.</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denuncias catalogadas como robo ingresadas al Ministerio Público por 100 mil, sobre la población total.</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Estadística P.J.</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Instituto Nacional de</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xml:space="preserve">  Estadística y Censos.</w:t>
            </w: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Determina el peso relativo de las denuncias por robo en sus diferentes modalidades ingresadas al Ministerio público por habitante.</w:t>
            </w:r>
          </w:p>
        </w:tc>
      </w:tr>
      <w:tr w:rsidR="003A2E7F" w:rsidRPr="003A2E7F" w:rsidTr="00B14F0E">
        <w:trPr>
          <w:cantSplit/>
        </w:trPr>
        <w:tc>
          <w:tcPr>
            <w:tcW w:w="1984" w:type="dxa"/>
            <w:vMerge/>
            <w:tcBorders>
              <w:left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lang w:val="es-CR"/>
              </w:rPr>
            </w:pPr>
            <w:r w:rsidRPr="003A2E7F">
              <w:rPr>
                <w:rFonts w:ascii="Times New Roman" w:hAnsi="Times New Roman" w:cs="Times New Roman"/>
                <w:lang w:val="es-CR"/>
              </w:rPr>
              <w:t>Tasa de muertes por arma de fuego.</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muertes por arma de fuego por 100 mil, sobre la población total.</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Estadística P.J.</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Instituto Nacional de</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xml:space="preserve">  Estadística y Censos.</w:t>
            </w: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Determina la incidencia relativa de las muertes violentas ocasionadas con arma de fuego respecto de la población total.</w:t>
            </w:r>
          </w:p>
        </w:tc>
      </w:tr>
      <w:tr w:rsidR="003A2E7F" w:rsidRPr="003A2E7F" w:rsidTr="00B14F0E">
        <w:trPr>
          <w:cantSplit/>
        </w:trPr>
        <w:tc>
          <w:tcPr>
            <w:tcW w:w="1984" w:type="dxa"/>
            <w:vMerge/>
            <w:tcBorders>
              <w:left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Tasa de víctimas por accidentes de tránsito.</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víctimas por 100 mil, sobre población total.</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Estadística P.J.</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Instituto Nacional de</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xml:space="preserve">   Estadística y Censos.</w:t>
            </w: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Determina la cantidad de personas fallecidas en Accidentes de Tránsito, por habitante.</w:t>
            </w:r>
          </w:p>
        </w:tc>
      </w:tr>
      <w:tr w:rsidR="003A2E7F" w:rsidRPr="003A2E7F" w:rsidTr="00B14F0E">
        <w:trPr>
          <w:cantSplit/>
        </w:trPr>
        <w:tc>
          <w:tcPr>
            <w:tcW w:w="1984" w:type="dxa"/>
            <w:tcBorders>
              <w:left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9. Violencia</w:t>
            </w:r>
          </w:p>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 xml:space="preserve">    Doméstica y</w:t>
            </w:r>
          </w:p>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 xml:space="preserve">    Género</w:t>
            </w:r>
          </w:p>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Tasa de personas fallecidas por violencia doméstica.</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personas fallecidas por Violencia Doméstica, por 100 mil, sobre la población total.</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Estadística P.J.</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Instituto Nacional de</w:t>
            </w:r>
          </w:p>
          <w:p w:rsidR="003A2E7F" w:rsidRPr="003A2E7F" w:rsidRDefault="003A2E7F" w:rsidP="003A2E7F">
            <w:pPr>
              <w:numPr>
                <w:ilvl w:val="0"/>
                <w:numId w:val="4"/>
              </w:numPr>
              <w:tabs>
                <w:tab w:val="clear" w:pos="720"/>
                <w:tab w:val="num" w:pos="119"/>
              </w:tabs>
              <w:spacing w:line="360" w:lineRule="auto"/>
              <w:jc w:val="both"/>
              <w:rPr>
                <w:rFonts w:ascii="Times New Roman" w:hAnsi="Times New Roman" w:cs="Times New Roman"/>
              </w:rPr>
            </w:pPr>
            <w:r w:rsidRPr="003A2E7F">
              <w:rPr>
                <w:rFonts w:ascii="Times New Roman" w:hAnsi="Times New Roman" w:cs="Times New Roman"/>
              </w:rPr>
              <w:t xml:space="preserve">  Estadística y Censos.</w:t>
            </w: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Determina el peso relativo de las personas fallecidas por violencia doméstica, por habitante.</w:t>
            </w:r>
          </w:p>
        </w:tc>
      </w:tr>
    </w:tbl>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br w:type="page"/>
      </w:r>
    </w:p>
    <w:tbl>
      <w:tblPr>
        <w:tblW w:w="132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4"/>
        <w:gridCol w:w="2704"/>
        <w:gridCol w:w="2825"/>
        <w:gridCol w:w="2551"/>
        <w:gridCol w:w="3165"/>
      </w:tblGrid>
      <w:tr w:rsidR="003A2E7F" w:rsidRPr="003A2E7F" w:rsidTr="00B14F0E">
        <w:trPr>
          <w:cantSplit/>
        </w:trPr>
        <w:tc>
          <w:tcPr>
            <w:tcW w:w="1984"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lastRenderedPageBreak/>
              <w:t>CAMPO TEMÁTICO</w:t>
            </w:r>
          </w:p>
        </w:tc>
        <w:tc>
          <w:tcPr>
            <w:tcW w:w="2704"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Cs/>
              </w:rPr>
            </w:pPr>
            <w:r w:rsidRPr="003A2E7F">
              <w:rPr>
                <w:rFonts w:ascii="Times New Roman" w:hAnsi="Times New Roman" w:cs="Times New Roman"/>
                <w:b/>
                <w:bCs/>
              </w:rPr>
              <w:t>INDICADOR</w:t>
            </w:r>
          </w:p>
        </w:tc>
        <w:tc>
          <w:tcPr>
            <w:tcW w:w="2825"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rPr>
            </w:pPr>
            <w:r w:rsidRPr="003A2E7F">
              <w:rPr>
                <w:rFonts w:ascii="Times New Roman" w:hAnsi="Times New Roman" w:cs="Times New Roman"/>
                <w:b/>
              </w:rPr>
              <w:t>FORMULA DE CÁLCULO</w:t>
            </w:r>
          </w:p>
        </w:tc>
        <w:tc>
          <w:tcPr>
            <w:tcW w:w="2551"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t>FUENTE DE DATOS</w:t>
            </w:r>
          </w:p>
        </w:tc>
        <w:tc>
          <w:tcPr>
            <w:tcW w:w="3165"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rPr>
            </w:pPr>
            <w:r w:rsidRPr="003A2E7F">
              <w:rPr>
                <w:rFonts w:ascii="Times New Roman" w:hAnsi="Times New Roman" w:cs="Times New Roman"/>
                <w:b/>
              </w:rPr>
              <w:t>COMENTARIO</w:t>
            </w:r>
          </w:p>
        </w:tc>
      </w:tr>
      <w:tr w:rsidR="003A2E7F" w:rsidRPr="003A2E7F" w:rsidTr="00B14F0E">
        <w:trPr>
          <w:cantSplit/>
        </w:trPr>
        <w:tc>
          <w:tcPr>
            <w:tcW w:w="1984" w:type="dxa"/>
            <w:vMerge w:val="restart"/>
            <w:tcBorders>
              <w:left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Porcentaje de denuncias relacionadas con la Ley de Penalización de la Violencia Contra las Mujeres (LPVCM)</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denuncias asociadas a la LPVCM entre el total de denuncias en las Fiscalías Penales del Ministerio Público, por 100.</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Estadística</w:t>
            </w: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xml:space="preserve">Determina la cantidad de denuncias asociadas a la LPVCM por cada 100 denuncias ingresadas en las Fiscalías Penales del Ministerio Público. </w:t>
            </w:r>
          </w:p>
        </w:tc>
      </w:tr>
      <w:tr w:rsidR="00802750" w:rsidRPr="003A2E7F" w:rsidTr="00B14F0E">
        <w:trPr>
          <w:cantSplit/>
        </w:trPr>
        <w:tc>
          <w:tcPr>
            <w:tcW w:w="1984" w:type="dxa"/>
            <w:vMerge/>
            <w:tcBorders>
              <w:left w:val="single" w:sz="4" w:space="0" w:color="auto"/>
              <w:right w:val="single" w:sz="4" w:space="0" w:color="auto"/>
            </w:tcBorders>
            <w:shd w:val="pct12" w:color="auto" w:fill="FFFFFF"/>
          </w:tcPr>
          <w:p w:rsidR="00802750" w:rsidRPr="003A2E7F" w:rsidRDefault="00802750" w:rsidP="00802750">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802750" w:rsidRPr="00802750" w:rsidRDefault="00802750" w:rsidP="00802750">
            <w:pPr>
              <w:spacing w:line="360" w:lineRule="auto"/>
              <w:ind w:left="34"/>
              <w:jc w:val="both"/>
              <w:rPr>
                <w:rFonts w:ascii="Times New Roman" w:hAnsi="Times New Roman" w:cs="Times New Roman"/>
                <w:b/>
                <w:bCs/>
              </w:rPr>
            </w:pPr>
            <w:r w:rsidRPr="00802750">
              <w:rPr>
                <w:rFonts w:ascii="Times New Roman" w:hAnsi="Times New Roman" w:cs="Times New Roman"/>
              </w:rPr>
              <w:t>Porcentaje de casos terminados por los juzgados penales por la Ley de Penalización de la Violencia Contra las Mujeres (LPVCM)</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802750" w:rsidRPr="00802750" w:rsidRDefault="00EA7991" w:rsidP="00802750">
            <w:pPr>
              <w:spacing w:line="360" w:lineRule="auto"/>
              <w:jc w:val="both"/>
              <w:rPr>
                <w:rFonts w:ascii="Times New Roman" w:hAnsi="Times New Roman" w:cs="Times New Roman"/>
                <w:b/>
                <w:bCs/>
              </w:rPr>
            </w:pPr>
            <w:r>
              <w:rPr>
                <w:rFonts w:ascii="Times New Roman" w:hAnsi="Times New Roman" w:cs="Times New Roman"/>
              </w:rPr>
              <w:t>Total</w:t>
            </w:r>
            <w:r w:rsidR="00802750" w:rsidRPr="00802750">
              <w:rPr>
                <w:rFonts w:ascii="Times New Roman" w:hAnsi="Times New Roman" w:cs="Times New Roman"/>
              </w:rPr>
              <w:t xml:space="preserve"> de casos terminados relacionados con la LPVCM en los juzgados penales entre el total de casos terminados en los juzgados penales, por 100.</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802750" w:rsidRPr="00802750" w:rsidRDefault="00802750" w:rsidP="00802750">
            <w:pPr>
              <w:spacing w:line="360" w:lineRule="auto"/>
              <w:rPr>
                <w:rFonts w:ascii="Times New Roman" w:hAnsi="Times New Roman" w:cs="Times New Roman"/>
                <w:b/>
                <w:bCs/>
              </w:rPr>
            </w:pPr>
            <w:r w:rsidRPr="00802750">
              <w:rPr>
                <w:rFonts w:ascii="Times New Roman" w:hAnsi="Times New Roman" w:cs="Times New Roman"/>
              </w:rPr>
              <w:t>- Sección de Estadística</w:t>
            </w: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802750" w:rsidRPr="00EA7991" w:rsidRDefault="00802750" w:rsidP="00802750">
            <w:pPr>
              <w:spacing w:line="360" w:lineRule="auto"/>
              <w:jc w:val="both"/>
              <w:rPr>
                <w:rStyle w:val="Hipervnculo"/>
                <w:rFonts w:ascii="Times New Roman" w:hAnsi="Times New Roman"/>
                <w:color w:val="auto"/>
                <w:u w:val="none"/>
              </w:rPr>
            </w:pPr>
            <w:r w:rsidRPr="00EA7991">
              <w:rPr>
                <w:rStyle w:val="Hipervnculo"/>
                <w:rFonts w:ascii="Times New Roman" w:hAnsi="Times New Roman"/>
                <w:color w:val="auto"/>
                <w:u w:val="none"/>
              </w:rPr>
              <w:t>Determina la cantidad de casos terminados en los juzgados penales por la LPVCM por cada 100 asuntos terminadas en los Juzgados Penales.</w:t>
            </w:r>
          </w:p>
        </w:tc>
      </w:tr>
      <w:tr w:rsidR="00EA7991" w:rsidRPr="003A2E7F" w:rsidTr="00B14F0E">
        <w:trPr>
          <w:cantSplit/>
        </w:trPr>
        <w:tc>
          <w:tcPr>
            <w:tcW w:w="1984" w:type="dxa"/>
            <w:vMerge/>
            <w:tcBorders>
              <w:left w:val="single" w:sz="4" w:space="0" w:color="auto"/>
              <w:right w:val="single" w:sz="4" w:space="0" w:color="auto"/>
            </w:tcBorders>
            <w:shd w:val="pct12" w:color="auto" w:fill="FFFFFF"/>
          </w:tcPr>
          <w:p w:rsidR="00EA7991" w:rsidRPr="003A2E7F" w:rsidRDefault="00EA7991" w:rsidP="00EA7991">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EA7991" w:rsidRPr="0035603F" w:rsidRDefault="00EA7991" w:rsidP="00EA7991">
            <w:pPr>
              <w:spacing w:line="360" w:lineRule="auto"/>
              <w:ind w:left="34"/>
              <w:jc w:val="both"/>
              <w:rPr>
                <w:rFonts w:ascii="Times New Roman" w:hAnsi="Times New Roman" w:cs="Times New Roman"/>
                <w:b/>
                <w:bCs/>
              </w:rPr>
            </w:pPr>
            <w:r w:rsidRPr="0035603F">
              <w:rPr>
                <w:rFonts w:ascii="Times New Roman" w:hAnsi="Times New Roman" w:cs="Times New Roman"/>
              </w:rPr>
              <w:t>Porcentaje de casos terminados por los tribunales penales por la Ley de Penalización de la Violencia Contra las Mujeres (LPVCM)</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EA7991" w:rsidRPr="0035603F" w:rsidRDefault="00EA7991" w:rsidP="00EA7991">
            <w:pPr>
              <w:spacing w:line="360" w:lineRule="auto"/>
              <w:jc w:val="both"/>
              <w:rPr>
                <w:rFonts w:ascii="Times New Roman" w:hAnsi="Times New Roman" w:cs="Times New Roman"/>
                <w:b/>
                <w:bCs/>
              </w:rPr>
            </w:pPr>
            <w:r w:rsidRPr="0035603F">
              <w:rPr>
                <w:rFonts w:ascii="Times New Roman" w:hAnsi="Times New Roman" w:cs="Times New Roman"/>
              </w:rPr>
              <w:t>Total de casos terminados relacionados con la LPVCM en los tribunales penales entre el total de casos terminados en los tribunales penales, por 100.</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EA7991" w:rsidRPr="0035603F" w:rsidRDefault="00EA7991" w:rsidP="00EA7991">
            <w:pPr>
              <w:spacing w:line="360" w:lineRule="auto"/>
              <w:rPr>
                <w:rFonts w:ascii="Times New Roman" w:hAnsi="Times New Roman" w:cs="Times New Roman"/>
                <w:b/>
                <w:bCs/>
              </w:rPr>
            </w:pPr>
            <w:r w:rsidRPr="0035603F">
              <w:rPr>
                <w:rFonts w:ascii="Times New Roman" w:hAnsi="Times New Roman" w:cs="Times New Roman"/>
              </w:rPr>
              <w:t>- Sección de Estadística</w:t>
            </w: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EA7991" w:rsidRPr="0035603F" w:rsidRDefault="00EA7991" w:rsidP="00EA7991">
            <w:pPr>
              <w:spacing w:line="360" w:lineRule="auto"/>
              <w:jc w:val="both"/>
              <w:rPr>
                <w:rStyle w:val="Hipervnculo"/>
                <w:rFonts w:ascii="Times New Roman" w:hAnsi="Times New Roman"/>
                <w:color w:val="auto"/>
                <w:u w:val="none"/>
              </w:rPr>
            </w:pPr>
            <w:r w:rsidRPr="0035603F">
              <w:rPr>
                <w:rStyle w:val="Hipervnculo"/>
                <w:rFonts w:ascii="Times New Roman" w:hAnsi="Times New Roman"/>
                <w:color w:val="auto"/>
                <w:u w:val="none"/>
              </w:rPr>
              <w:t xml:space="preserve">Determina la cantidad de casos </w:t>
            </w:r>
            <w:proofErr w:type="gramStart"/>
            <w:r w:rsidRPr="0035603F">
              <w:rPr>
                <w:rStyle w:val="Hipervnculo"/>
                <w:rFonts w:ascii="Times New Roman" w:hAnsi="Times New Roman"/>
                <w:color w:val="auto"/>
                <w:u w:val="none"/>
              </w:rPr>
              <w:t>terminadas</w:t>
            </w:r>
            <w:proofErr w:type="gramEnd"/>
            <w:r w:rsidRPr="0035603F">
              <w:rPr>
                <w:rStyle w:val="Hipervnculo"/>
                <w:rFonts w:ascii="Times New Roman" w:hAnsi="Times New Roman"/>
                <w:color w:val="auto"/>
                <w:u w:val="none"/>
              </w:rPr>
              <w:t xml:space="preserve"> en los tribunales penales por la LPVCM por cada 100 asuntos terminadas en los tribunales penales.</w:t>
            </w:r>
          </w:p>
        </w:tc>
      </w:tr>
      <w:tr w:rsidR="00EA7991" w:rsidRPr="003A2E7F" w:rsidTr="00B14F0E">
        <w:trPr>
          <w:cantSplit/>
        </w:trPr>
        <w:tc>
          <w:tcPr>
            <w:tcW w:w="1984" w:type="dxa"/>
            <w:vMerge/>
            <w:tcBorders>
              <w:left w:val="single" w:sz="4" w:space="0" w:color="auto"/>
              <w:right w:val="single" w:sz="4" w:space="0" w:color="auto"/>
            </w:tcBorders>
            <w:shd w:val="pct12" w:color="auto" w:fill="FFFFFF"/>
          </w:tcPr>
          <w:p w:rsidR="00EA7991" w:rsidRPr="003A2E7F" w:rsidRDefault="00EA7991" w:rsidP="00EA7991">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EA7991" w:rsidRPr="003A2E7F" w:rsidRDefault="00EA7991" w:rsidP="00EA7991">
            <w:pPr>
              <w:spacing w:line="360" w:lineRule="auto"/>
              <w:jc w:val="both"/>
              <w:rPr>
                <w:rFonts w:ascii="Times New Roman" w:hAnsi="Times New Roman" w:cs="Times New Roman"/>
              </w:rPr>
            </w:pPr>
            <w:r w:rsidRPr="003A2E7F">
              <w:rPr>
                <w:rFonts w:ascii="Times New Roman" w:hAnsi="Times New Roman" w:cs="Times New Roman"/>
              </w:rPr>
              <w:t>Tasa de denuncia por violencia intrafamiliar/familiar</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EA7991" w:rsidRPr="003A2E7F" w:rsidRDefault="00EA7991" w:rsidP="00EA7991">
            <w:pPr>
              <w:spacing w:line="360" w:lineRule="auto"/>
              <w:jc w:val="both"/>
              <w:rPr>
                <w:rFonts w:ascii="Times New Roman" w:hAnsi="Times New Roman" w:cs="Times New Roman"/>
              </w:rPr>
            </w:pPr>
            <w:r w:rsidRPr="003A2E7F">
              <w:rPr>
                <w:rFonts w:ascii="Times New Roman" w:hAnsi="Times New Roman" w:cs="Times New Roman"/>
              </w:rPr>
              <w:t>Total de denuncias ingresadas al Sistema Judicial en los juzgados competentes en materia de Violencia Doméstica por 100 mil, sobre la población total.</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EA7991" w:rsidRPr="003A2E7F" w:rsidRDefault="00EA7991" w:rsidP="00EA7991">
            <w:pPr>
              <w:numPr>
                <w:ilvl w:val="0"/>
                <w:numId w:val="4"/>
              </w:numPr>
              <w:tabs>
                <w:tab w:val="clear" w:pos="720"/>
                <w:tab w:val="num" w:pos="119"/>
              </w:tabs>
              <w:spacing w:line="360" w:lineRule="auto"/>
              <w:jc w:val="both"/>
              <w:rPr>
                <w:rFonts w:ascii="Times New Roman" w:hAnsi="Times New Roman" w:cs="Times New Roman"/>
              </w:rPr>
            </w:pPr>
            <w:r w:rsidRPr="003A2E7F">
              <w:rPr>
                <w:rFonts w:ascii="Times New Roman" w:hAnsi="Times New Roman" w:cs="Times New Roman"/>
              </w:rPr>
              <w:t>Sección de Estadística</w:t>
            </w:r>
          </w:p>
          <w:p w:rsidR="00EA7991" w:rsidRPr="003A2E7F" w:rsidRDefault="00EA7991" w:rsidP="00EA7991">
            <w:pPr>
              <w:spacing w:line="360" w:lineRule="auto"/>
              <w:jc w:val="both"/>
              <w:rPr>
                <w:rFonts w:ascii="Times New Roman" w:hAnsi="Times New Roman" w:cs="Times New Roman"/>
              </w:rPr>
            </w:pPr>
            <w:r w:rsidRPr="003A2E7F">
              <w:rPr>
                <w:rFonts w:ascii="Times New Roman" w:hAnsi="Times New Roman" w:cs="Times New Roman"/>
              </w:rPr>
              <w:t>- Instituto Nacional de</w:t>
            </w:r>
          </w:p>
          <w:p w:rsidR="00EA7991" w:rsidRPr="003A2E7F" w:rsidRDefault="00EA7991" w:rsidP="00EA7991">
            <w:pPr>
              <w:spacing w:line="360" w:lineRule="auto"/>
              <w:jc w:val="both"/>
              <w:rPr>
                <w:rFonts w:ascii="Times New Roman" w:hAnsi="Times New Roman" w:cs="Times New Roman"/>
              </w:rPr>
            </w:pPr>
            <w:r w:rsidRPr="003A2E7F">
              <w:rPr>
                <w:rFonts w:ascii="Times New Roman" w:hAnsi="Times New Roman" w:cs="Times New Roman"/>
              </w:rPr>
              <w:t xml:space="preserve">  Estadística y Censos.</w:t>
            </w: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EA7991" w:rsidRPr="003A2E7F" w:rsidRDefault="00EA7991" w:rsidP="00EA7991">
            <w:pPr>
              <w:spacing w:line="360" w:lineRule="auto"/>
              <w:jc w:val="both"/>
              <w:rPr>
                <w:rFonts w:ascii="Times New Roman" w:hAnsi="Times New Roman" w:cs="Times New Roman"/>
              </w:rPr>
            </w:pPr>
            <w:r w:rsidRPr="003A2E7F">
              <w:rPr>
                <w:rFonts w:ascii="Times New Roman" w:hAnsi="Times New Roman" w:cs="Times New Roman"/>
              </w:rPr>
              <w:t xml:space="preserve">Determina la cantidad de denuncias que ingresan a los juzgados que tramitan la materia de Violencia Doméstica, por habitante.  </w:t>
            </w:r>
          </w:p>
        </w:tc>
      </w:tr>
      <w:tr w:rsidR="00EA7991" w:rsidRPr="003A2E7F" w:rsidTr="00B14F0E">
        <w:trPr>
          <w:cantSplit/>
        </w:trPr>
        <w:tc>
          <w:tcPr>
            <w:tcW w:w="1984" w:type="dxa"/>
            <w:vMerge/>
            <w:tcBorders>
              <w:left w:val="single" w:sz="4" w:space="0" w:color="auto"/>
              <w:bottom w:val="single" w:sz="4" w:space="0" w:color="auto"/>
              <w:right w:val="single" w:sz="4" w:space="0" w:color="auto"/>
            </w:tcBorders>
            <w:shd w:val="pct12" w:color="auto" w:fill="FFFFFF"/>
          </w:tcPr>
          <w:p w:rsidR="00EA7991" w:rsidRPr="003A2E7F" w:rsidRDefault="00EA7991" w:rsidP="00EA7991">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EA7991" w:rsidRPr="003A2E7F" w:rsidRDefault="00EA7991" w:rsidP="00EA7991">
            <w:pPr>
              <w:spacing w:line="360" w:lineRule="auto"/>
              <w:jc w:val="both"/>
              <w:rPr>
                <w:rFonts w:ascii="Times New Roman" w:hAnsi="Times New Roman" w:cs="Times New Roman"/>
              </w:rPr>
            </w:pPr>
            <w:r w:rsidRPr="003A2E7F">
              <w:rPr>
                <w:rFonts w:ascii="Times New Roman" w:hAnsi="Times New Roman" w:cs="Times New Roman"/>
              </w:rPr>
              <w:t>Total de casos terminados en los juzgados competentes en materia de Violencia Doméstica</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EA7991" w:rsidRPr="003A2E7F" w:rsidRDefault="00EA7991" w:rsidP="00EA7991">
            <w:pPr>
              <w:spacing w:line="360" w:lineRule="auto"/>
              <w:jc w:val="both"/>
              <w:rPr>
                <w:rFonts w:ascii="Times New Roman" w:hAnsi="Times New Roman" w:cs="Times New Roman"/>
              </w:rPr>
            </w:pPr>
            <w:r w:rsidRPr="003A2E7F">
              <w:rPr>
                <w:rFonts w:ascii="Times New Roman" w:hAnsi="Times New Roman" w:cs="Times New Roman"/>
              </w:rPr>
              <w:t xml:space="preserve">Total de denuncias terminadas en los juzgados competentes en materia de Violencia Doméstica. </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EA7991" w:rsidRPr="003A2E7F" w:rsidRDefault="00EA7991" w:rsidP="00EA7991">
            <w:pPr>
              <w:spacing w:line="360" w:lineRule="auto"/>
              <w:jc w:val="both"/>
              <w:rPr>
                <w:rFonts w:ascii="Times New Roman" w:hAnsi="Times New Roman" w:cs="Times New Roman"/>
              </w:rPr>
            </w:pPr>
            <w:r w:rsidRPr="003A2E7F">
              <w:rPr>
                <w:rFonts w:ascii="Times New Roman" w:hAnsi="Times New Roman" w:cs="Times New Roman"/>
              </w:rPr>
              <w:t>- Sección de Estadística</w:t>
            </w: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EA7991" w:rsidRPr="003A2E7F" w:rsidRDefault="00EA7991" w:rsidP="00EA7991">
            <w:pPr>
              <w:spacing w:line="360" w:lineRule="auto"/>
              <w:jc w:val="both"/>
              <w:rPr>
                <w:rFonts w:ascii="Times New Roman" w:hAnsi="Times New Roman" w:cs="Times New Roman"/>
              </w:rPr>
            </w:pPr>
            <w:r w:rsidRPr="003A2E7F">
              <w:rPr>
                <w:rFonts w:ascii="Times New Roman" w:hAnsi="Times New Roman" w:cs="Times New Roman"/>
              </w:rPr>
              <w:t>Determina la cantidad de denuncias terminadas en los juzgados que tramitan la materia de Violencia Doméstica, en las que se determinó el curso final de las medidas de protección otorgadas al momento de interponerse la demanda.</w:t>
            </w:r>
          </w:p>
        </w:tc>
      </w:tr>
    </w:tbl>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br w:type="page"/>
      </w:r>
    </w:p>
    <w:tbl>
      <w:tblPr>
        <w:tblW w:w="132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4"/>
        <w:gridCol w:w="2704"/>
        <w:gridCol w:w="2825"/>
        <w:gridCol w:w="2551"/>
        <w:gridCol w:w="3165"/>
      </w:tblGrid>
      <w:tr w:rsidR="003A2E7F" w:rsidRPr="003A2E7F" w:rsidTr="00B14F0E">
        <w:trPr>
          <w:cantSplit/>
        </w:trPr>
        <w:tc>
          <w:tcPr>
            <w:tcW w:w="1984"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lastRenderedPageBreak/>
              <w:t>CAMPO TEMÁTICO</w:t>
            </w:r>
          </w:p>
        </w:tc>
        <w:tc>
          <w:tcPr>
            <w:tcW w:w="2704"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INDICADOR</w:t>
            </w:r>
          </w:p>
        </w:tc>
        <w:tc>
          <w:tcPr>
            <w:tcW w:w="2825"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FORMULA DE CÁLCULO</w:t>
            </w:r>
          </w:p>
        </w:tc>
        <w:tc>
          <w:tcPr>
            <w:tcW w:w="2551"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FUENTE DE DATOS</w:t>
            </w:r>
          </w:p>
        </w:tc>
        <w:tc>
          <w:tcPr>
            <w:tcW w:w="3165"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COMENTARIO</w:t>
            </w:r>
          </w:p>
        </w:tc>
      </w:tr>
      <w:tr w:rsidR="003A2E7F" w:rsidRPr="003A2E7F" w:rsidTr="00B14F0E">
        <w:trPr>
          <w:cantSplit/>
        </w:trPr>
        <w:tc>
          <w:tcPr>
            <w:tcW w:w="1984" w:type="dxa"/>
            <w:vMerge w:val="restart"/>
            <w:tcBorders>
              <w:top w:val="single" w:sz="4" w:space="0" w:color="auto"/>
              <w:left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b/>
              </w:rPr>
            </w:pPr>
            <w:r w:rsidRPr="003A2E7F">
              <w:rPr>
                <w:rFonts w:ascii="Times New Roman" w:hAnsi="Times New Roman" w:cs="Times New Roman"/>
                <w:b/>
              </w:rPr>
              <w:t>10. Penal Juvenil</w:t>
            </w: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Tasa de menores acusados de infringir la Ley Penal Juvenil. Desagregado por sexo</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menores acusados de infringir la Ley Penal Juvenil por cada mil personas entre 12 y 17 años (población expuesta al riesgo).</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numPr>
                <w:ilvl w:val="0"/>
                <w:numId w:val="4"/>
              </w:numPr>
              <w:tabs>
                <w:tab w:val="clear" w:pos="720"/>
                <w:tab w:val="num" w:pos="119"/>
              </w:tabs>
              <w:spacing w:line="360" w:lineRule="auto"/>
              <w:jc w:val="both"/>
              <w:rPr>
                <w:rFonts w:ascii="Times New Roman" w:hAnsi="Times New Roman" w:cs="Times New Roman"/>
              </w:rPr>
            </w:pPr>
            <w:r w:rsidRPr="003A2E7F">
              <w:rPr>
                <w:rFonts w:ascii="Times New Roman" w:hAnsi="Times New Roman" w:cs="Times New Roman"/>
              </w:rPr>
              <w:t>Sección de Estadística</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Instituto Nacional de</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xml:space="preserve">  Estadística y Censos.</w:t>
            </w: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Indica el peso relativo que tienen los menores de edad que por algún motivo cometieron un delito y con ello infringen la Ley Penal Juvenil.</w:t>
            </w:r>
          </w:p>
        </w:tc>
      </w:tr>
      <w:tr w:rsidR="003A2E7F" w:rsidRPr="003A2E7F" w:rsidTr="00B14F0E">
        <w:trPr>
          <w:cantSplit/>
        </w:trPr>
        <w:tc>
          <w:tcPr>
            <w:tcW w:w="1984" w:type="dxa"/>
            <w:vMerge/>
            <w:tcBorders>
              <w:left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Tasa de menores de edad sentenciados.</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menores sentenciados por los juzgados penales juveniles por 100 mil, sobre la población expuesta al riesgo.</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numPr>
                <w:ilvl w:val="0"/>
                <w:numId w:val="4"/>
              </w:numPr>
              <w:tabs>
                <w:tab w:val="clear" w:pos="720"/>
                <w:tab w:val="num" w:pos="119"/>
              </w:tabs>
              <w:spacing w:line="360" w:lineRule="auto"/>
              <w:jc w:val="both"/>
              <w:rPr>
                <w:rFonts w:ascii="Times New Roman" w:hAnsi="Times New Roman" w:cs="Times New Roman"/>
              </w:rPr>
            </w:pPr>
            <w:r w:rsidRPr="003A2E7F">
              <w:rPr>
                <w:rFonts w:ascii="Times New Roman" w:hAnsi="Times New Roman" w:cs="Times New Roman"/>
              </w:rPr>
              <w:t>Sección de Estadística</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Instituto Nacional de</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xml:space="preserve">  Estadística y Censos.</w:t>
            </w: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xml:space="preserve">Determina la incidencia relativa  de los menores sentenciados según la edad establecida por la Ley Penal Juvenil respecto a la población total en esas edades que constituye el grupo </w:t>
            </w:r>
            <w:proofErr w:type="spellStart"/>
            <w:r w:rsidRPr="003A2E7F">
              <w:rPr>
                <w:rFonts w:ascii="Times New Roman" w:hAnsi="Times New Roman" w:cs="Times New Roman"/>
              </w:rPr>
              <w:t>etáreo</w:t>
            </w:r>
            <w:proofErr w:type="spellEnd"/>
            <w:r w:rsidRPr="003A2E7F">
              <w:rPr>
                <w:rFonts w:ascii="Times New Roman" w:hAnsi="Times New Roman" w:cs="Times New Roman"/>
              </w:rPr>
              <w:t xml:space="preserve"> expuesto al riesgo.</w:t>
            </w:r>
          </w:p>
        </w:tc>
      </w:tr>
      <w:tr w:rsidR="003A2E7F" w:rsidRPr="003A2E7F" w:rsidTr="00B14F0E">
        <w:trPr>
          <w:cantSplit/>
        </w:trPr>
        <w:tc>
          <w:tcPr>
            <w:tcW w:w="1984" w:type="dxa"/>
            <w:vMerge/>
            <w:tcBorders>
              <w:left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Porcentaje de sentencias condenatorias en menores. Desagregado por sexo</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menores condenados, sobre total de sentencias.</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Estadística</w:t>
            </w: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Se refiere  a la proporción  de menores cuya sentencia termina en condenatoria.</w:t>
            </w:r>
          </w:p>
        </w:tc>
      </w:tr>
      <w:tr w:rsidR="003A2E7F" w:rsidRPr="003A2E7F" w:rsidTr="00B14F0E">
        <w:trPr>
          <w:cantSplit/>
        </w:trPr>
        <w:tc>
          <w:tcPr>
            <w:tcW w:w="1984" w:type="dxa"/>
            <w:vMerge/>
            <w:tcBorders>
              <w:left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Porcentaje de las sentencias condenatorias según sexo de los menores</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xml:space="preserve">Total de sentencias condenatorias dictadas a hombres o mujeres, sobre el total de sentencias </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Estadística</w:t>
            </w: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Indica la proporción de hombres o mujeres que reciben una sentencia condenatoria.</w:t>
            </w:r>
          </w:p>
        </w:tc>
      </w:tr>
      <w:tr w:rsidR="003A2E7F" w:rsidRPr="003A2E7F" w:rsidTr="00B14F0E">
        <w:trPr>
          <w:cantSplit/>
        </w:trPr>
        <w:tc>
          <w:tcPr>
            <w:tcW w:w="1984" w:type="dxa"/>
            <w:vMerge/>
            <w:tcBorders>
              <w:left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xml:space="preserve">Tasa de menores condenados </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menores condenados por mil, sobre el total de menores acusados de infringir la Ley Penal Juvenil.</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Estadística</w:t>
            </w: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xml:space="preserve">Informa sobre aquellos menores que en algún momento infringieron la ley Penal Juvenil y que al dictar sentencia están siendo condenados. </w:t>
            </w:r>
          </w:p>
        </w:tc>
      </w:tr>
    </w:tbl>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br w:type="page"/>
      </w:r>
    </w:p>
    <w:tbl>
      <w:tblPr>
        <w:tblW w:w="132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4"/>
        <w:gridCol w:w="2704"/>
        <w:gridCol w:w="2825"/>
        <w:gridCol w:w="2551"/>
        <w:gridCol w:w="3165"/>
      </w:tblGrid>
      <w:tr w:rsidR="003A2E7F" w:rsidRPr="003A2E7F" w:rsidTr="00B14F0E">
        <w:trPr>
          <w:cantSplit/>
        </w:trPr>
        <w:tc>
          <w:tcPr>
            <w:tcW w:w="1984"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lastRenderedPageBreak/>
              <w:t>CAMPO TEMÁTICO</w:t>
            </w:r>
          </w:p>
        </w:tc>
        <w:tc>
          <w:tcPr>
            <w:tcW w:w="2704"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INDICADOR</w:t>
            </w:r>
          </w:p>
        </w:tc>
        <w:tc>
          <w:tcPr>
            <w:tcW w:w="2825"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FORMULA DE CÁLCULO</w:t>
            </w:r>
          </w:p>
        </w:tc>
        <w:tc>
          <w:tcPr>
            <w:tcW w:w="2551"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FUENTE DE DATOS</w:t>
            </w:r>
          </w:p>
        </w:tc>
        <w:tc>
          <w:tcPr>
            <w:tcW w:w="3165"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COMENTARIO</w:t>
            </w:r>
          </w:p>
        </w:tc>
      </w:tr>
      <w:tr w:rsidR="003A2E7F" w:rsidRPr="003A2E7F" w:rsidTr="00B14F0E">
        <w:trPr>
          <w:cantSplit/>
        </w:trPr>
        <w:tc>
          <w:tcPr>
            <w:tcW w:w="1984" w:type="dxa"/>
            <w:vMerge w:val="restart"/>
            <w:tcBorders>
              <w:left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Tasa de condena juvenil</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menores condenados por mil, sobre la población expuesta al riesgo.</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numPr>
                <w:ilvl w:val="0"/>
                <w:numId w:val="4"/>
              </w:numPr>
              <w:tabs>
                <w:tab w:val="clear" w:pos="720"/>
                <w:tab w:val="num" w:pos="119"/>
              </w:tabs>
              <w:spacing w:line="360" w:lineRule="auto"/>
              <w:jc w:val="both"/>
              <w:rPr>
                <w:rFonts w:ascii="Times New Roman" w:hAnsi="Times New Roman" w:cs="Times New Roman"/>
              </w:rPr>
            </w:pPr>
            <w:r w:rsidRPr="003A2E7F">
              <w:rPr>
                <w:rFonts w:ascii="Times New Roman" w:hAnsi="Times New Roman" w:cs="Times New Roman"/>
              </w:rPr>
              <w:t>Sección de Estadística</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Instituto Nacional de</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xml:space="preserve">  Estadística y Censos.</w:t>
            </w: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xml:space="preserve">Se refiere a la cantidad de menores condenados de acuerdo con la población de 12 a 17 años. </w:t>
            </w:r>
          </w:p>
        </w:tc>
      </w:tr>
      <w:tr w:rsidR="003A2E7F" w:rsidRPr="003A2E7F" w:rsidTr="00B14F0E">
        <w:trPr>
          <w:cantSplit/>
        </w:trPr>
        <w:tc>
          <w:tcPr>
            <w:tcW w:w="1984" w:type="dxa"/>
            <w:vMerge/>
            <w:tcBorders>
              <w:left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Edad promedio de las personas menores condenadas</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Sumatoria de las frecuencias por cada una de las edades de los menores condenados, sobre la sumatoria de las frecuencias.</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numPr>
                <w:ilvl w:val="0"/>
                <w:numId w:val="4"/>
              </w:numPr>
              <w:tabs>
                <w:tab w:val="clear" w:pos="720"/>
                <w:tab w:val="num" w:pos="119"/>
              </w:tabs>
              <w:spacing w:line="360" w:lineRule="auto"/>
              <w:jc w:val="both"/>
              <w:rPr>
                <w:rFonts w:ascii="Times New Roman" w:hAnsi="Times New Roman" w:cs="Times New Roman"/>
              </w:rPr>
            </w:pPr>
            <w:r w:rsidRPr="003A2E7F">
              <w:rPr>
                <w:rFonts w:ascii="Times New Roman" w:hAnsi="Times New Roman" w:cs="Times New Roman"/>
              </w:rPr>
              <w:t xml:space="preserve"> Sección de Estadística</w:t>
            </w: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Determina la edad promedio de los menores que recibieron una sentencia condenatoria.</w:t>
            </w:r>
          </w:p>
        </w:tc>
      </w:tr>
      <w:tr w:rsidR="003A2E7F" w:rsidRPr="003A2E7F" w:rsidTr="00B14F0E">
        <w:trPr>
          <w:cantSplit/>
        </w:trPr>
        <w:tc>
          <w:tcPr>
            <w:tcW w:w="1984" w:type="dxa"/>
            <w:vMerge/>
            <w:tcBorders>
              <w:left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Tasa de menores condenados por homicidio</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xml:space="preserve">Total de menores homicidas por mil, sobre la cantidad de menores acusados de infringir la Ley Penal Juvenil. </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numPr>
                <w:ilvl w:val="0"/>
                <w:numId w:val="4"/>
              </w:numPr>
              <w:tabs>
                <w:tab w:val="clear" w:pos="720"/>
                <w:tab w:val="num" w:pos="119"/>
              </w:tabs>
              <w:spacing w:line="360" w:lineRule="auto"/>
              <w:jc w:val="both"/>
              <w:rPr>
                <w:rFonts w:ascii="Times New Roman" w:hAnsi="Times New Roman" w:cs="Times New Roman"/>
              </w:rPr>
            </w:pPr>
            <w:r w:rsidRPr="003A2E7F">
              <w:rPr>
                <w:rFonts w:ascii="Times New Roman" w:hAnsi="Times New Roman" w:cs="Times New Roman"/>
              </w:rPr>
              <w:t>Sección de Estadística</w:t>
            </w:r>
          </w:p>
          <w:p w:rsidR="003A2E7F" w:rsidRPr="003A2E7F" w:rsidRDefault="003A2E7F" w:rsidP="003A2E7F">
            <w:pPr>
              <w:spacing w:line="360" w:lineRule="auto"/>
              <w:jc w:val="both"/>
              <w:rPr>
                <w:rFonts w:ascii="Times New Roman" w:hAnsi="Times New Roman" w:cs="Times New Roman"/>
              </w:rPr>
            </w:pP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Se refiere al peso relativo de la cantidad de menores acusados de infringir la ley penal juvenil y que terminan procesados por el fallecimiento de la víctima.</w:t>
            </w:r>
          </w:p>
        </w:tc>
      </w:tr>
      <w:tr w:rsidR="003A2E7F" w:rsidRPr="003A2E7F" w:rsidTr="00B14F0E">
        <w:trPr>
          <w:cantSplit/>
        </w:trPr>
        <w:tc>
          <w:tcPr>
            <w:tcW w:w="1984" w:type="dxa"/>
            <w:vMerge/>
            <w:tcBorders>
              <w:left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Tasa de menores condenados por robo</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xml:space="preserve">Total de menores condenados por robo, sobre la cantidad de menores acusados de infringir la Ley Penal Juvenil, expandido por mil. </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numPr>
                <w:ilvl w:val="0"/>
                <w:numId w:val="4"/>
              </w:numPr>
              <w:tabs>
                <w:tab w:val="clear" w:pos="720"/>
                <w:tab w:val="num" w:pos="119"/>
              </w:tabs>
              <w:spacing w:line="360" w:lineRule="auto"/>
              <w:jc w:val="both"/>
              <w:rPr>
                <w:rFonts w:ascii="Times New Roman" w:hAnsi="Times New Roman" w:cs="Times New Roman"/>
              </w:rPr>
            </w:pPr>
            <w:r w:rsidRPr="003A2E7F">
              <w:rPr>
                <w:rFonts w:ascii="Times New Roman" w:hAnsi="Times New Roman" w:cs="Times New Roman"/>
              </w:rPr>
              <w:t>Sección de Estadística</w:t>
            </w: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xml:space="preserve">Determina el peso relativo que tienen los menores condenados por haber cometido este delito, respecto del total de </w:t>
            </w:r>
            <w:r w:rsidRPr="003A2E7F">
              <w:rPr>
                <w:rFonts w:ascii="Times New Roman" w:hAnsi="Times New Roman" w:cs="Times New Roman"/>
                <w:bCs/>
              </w:rPr>
              <w:t>menores acusados de infringir la Ley Penal Juvenil, expandido por mil.</w:t>
            </w:r>
          </w:p>
        </w:tc>
      </w:tr>
      <w:tr w:rsidR="003A2E7F" w:rsidRPr="003A2E7F" w:rsidTr="00B14F0E">
        <w:trPr>
          <w:cantSplit/>
        </w:trPr>
        <w:tc>
          <w:tcPr>
            <w:tcW w:w="1984" w:type="dxa"/>
            <w:vMerge/>
            <w:tcBorders>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Porcentaje de desestimaciones dictadas a menores por los juzgados penales juveniles.</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Total de desestimaciones sobre el total de resoluciones dictadas  a los menores en juzgados penales juveniles.</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numPr>
                <w:ilvl w:val="0"/>
                <w:numId w:val="4"/>
              </w:numPr>
              <w:tabs>
                <w:tab w:val="clear" w:pos="720"/>
                <w:tab w:val="num" w:pos="119"/>
              </w:tabs>
              <w:spacing w:line="360" w:lineRule="auto"/>
              <w:jc w:val="both"/>
              <w:rPr>
                <w:rFonts w:ascii="Times New Roman" w:hAnsi="Times New Roman" w:cs="Times New Roman"/>
              </w:rPr>
            </w:pPr>
            <w:r w:rsidRPr="003A2E7F">
              <w:rPr>
                <w:rFonts w:ascii="Times New Roman" w:hAnsi="Times New Roman" w:cs="Times New Roman"/>
              </w:rPr>
              <w:t>Sección de Estadística</w:t>
            </w:r>
          </w:p>
          <w:p w:rsidR="003A2E7F" w:rsidRPr="003A2E7F" w:rsidRDefault="003A2E7F" w:rsidP="003A2E7F">
            <w:pPr>
              <w:spacing w:line="360" w:lineRule="auto"/>
              <w:jc w:val="both"/>
              <w:rPr>
                <w:rFonts w:ascii="Times New Roman" w:hAnsi="Times New Roman" w:cs="Times New Roman"/>
              </w:rPr>
            </w:pP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u w:val="single"/>
              </w:rPr>
            </w:pPr>
            <w:r w:rsidRPr="003A2E7F">
              <w:rPr>
                <w:rFonts w:ascii="Times New Roman" w:hAnsi="Times New Roman" w:cs="Times New Roman"/>
              </w:rPr>
              <w:t>Determina el peso relativo de aquellas causas que finalizan al denegar la demanda interpuesta en vista de que el hecho no se constituyó en delito.</w:t>
            </w:r>
          </w:p>
        </w:tc>
      </w:tr>
    </w:tbl>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br w:type="page"/>
      </w:r>
    </w:p>
    <w:tbl>
      <w:tblPr>
        <w:tblW w:w="132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4"/>
        <w:gridCol w:w="2704"/>
        <w:gridCol w:w="2825"/>
        <w:gridCol w:w="2551"/>
        <w:gridCol w:w="3165"/>
      </w:tblGrid>
      <w:tr w:rsidR="003A2E7F" w:rsidRPr="003A2E7F" w:rsidTr="00B14F0E">
        <w:trPr>
          <w:cantSplit/>
        </w:trPr>
        <w:tc>
          <w:tcPr>
            <w:tcW w:w="1984"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lastRenderedPageBreak/>
              <w:t>CAMPO TEMÁTICO</w:t>
            </w:r>
          </w:p>
        </w:tc>
        <w:tc>
          <w:tcPr>
            <w:tcW w:w="2704"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INDICADOR</w:t>
            </w:r>
          </w:p>
        </w:tc>
        <w:tc>
          <w:tcPr>
            <w:tcW w:w="2825"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FORMULA DE CÁLCULO</w:t>
            </w:r>
          </w:p>
        </w:tc>
        <w:tc>
          <w:tcPr>
            <w:tcW w:w="2551"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FUENTE DE DATOS</w:t>
            </w:r>
          </w:p>
        </w:tc>
        <w:tc>
          <w:tcPr>
            <w:tcW w:w="3165" w:type="dxa"/>
            <w:tcBorders>
              <w:top w:val="threeDEngrave" w:sz="24" w:space="0" w:color="auto"/>
              <w:left w:val="single" w:sz="4" w:space="0" w:color="auto"/>
              <w:bottom w:val="single" w:sz="4" w:space="0" w:color="auto"/>
              <w:right w:val="single" w:sz="4" w:space="0" w:color="auto"/>
            </w:tcBorders>
            <w:shd w:val="clear" w:color="auto" w:fill="FFCC99"/>
          </w:tcPr>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COMENTARIO</w:t>
            </w:r>
          </w:p>
        </w:tc>
      </w:tr>
      <w:tr w:rsidR="003A2E7F" w:rsidRPr="003A2E7F" w:rsidTr="00B14F0E">
        <w:trPr>
          <w:cantSplit/>
        </w:trPr>
        <w:tc>
          <w:tcPr>
            <w:tcW w:w="1984" w:type="dxa"/>
            <w:vMerge w:val="restart"/>
            <w:tcBorders>
              <w:left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bCs/>
              </w:rPr>
            </w:pPr>
            <w:r w:rsidRPr="003A2E7F">
              <w:rPr>
                <w:rFonts w:ascii="Times New Roman" w:hAnsi="Times New Roman" w:cs="Times New Roman"/>
                <w:bCs/>
              </w:rPr>
              <w:t xml:space="preserve">Porcentaje de menores </w:t>
            </w:r>
            <w:proofErr w:type="spellStart"/>
            <w:r w:rsidRPr="003A2E7F">
              <w:rPr>
                <w:rFonts w:ascii="Times New Roman" w:hAnsi="Times New Roman" w:cs="Times New Roman"/>
                <w:bCs/>
              </w:rPr>
              <w:t>sobreseídos</w:t>
            </w:r>
            <w:proofErr w:type="spellEnd"/>
            <w:r w:rsidRPr="003A2E7F">
              <w:rPr>
                <w:rFonts w:ascii="Times New Roman" w:hAnsi="Times New Roman" w:cs="Times New Roman"/>
                <w:bCs/>
              </w:rPr>
              <w:t xml:space="preserve"> por prescripción en los juzgados penales juveniles.</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Cs/>
              </w:rPr>
              <w:t>Total de resoluciones dictadas por prescripción sobre el total de resoluciones dictadas en los juzgados penales juveniles.</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numPr>
                <w:ilvl w:val="0"/>
                <w:numId w:val="4"/>
              </w:numPr>
              <w:tabs>
                <w:tab w:val="clear" w:pos="720"/>
                <w:tab w:val="num" w:pos="119"/>
              </w:tabs>
              <w:spacing w:line="360" w:lineRule="auto"/>
              <w:jc w:val="both"/>
              <w:rPr>
                <w:rFonts w:ascii="Times New Roman" w:hAnsi="Times New Roman" w:cs="Times New Roman"/>
              </w:rPr>
            </w:pPr>
            <w:r w:rsidRPr="003A2E7F">
              <w:rPr>
                <w:rFonts w:ascii="Times New Roman" w:hAnsi="Times New Roman" w:cs="Times New Roman"/>
              </w:rPr>
              <w:t>Sección de Estadística</w:t>
            </w:r>
          </w:p>
          <w:p w:rsidR="003A2E7F" w:rsidRPr="003A2E7F" w:rsidRDefault="003A2E7F" w:rsidP="003A2E7F">
            <w:pPr>
              <w:spacing w:line="360" w:lineRule="auto"/>
              <w:jc w:val="both"/>
              <w:rPr>
                <w:rFonts w:ascii="Times New Roman" w:hAnsi="Times New Roman" w:cs="Times New Roman"/>
              </w:rPr>
            </w:pP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u w:val="single"/>
              </w:rPr>
            </w:pPr>
            <w:r w:rsidRPr="003A2E7F">
              <w:rPr>
                <w:rFonts w:ascii="Times New Roman" w:hAnsi="Times New Roman" w:cs="Times New Roman"/>
              </w:rPr>
              <w:t xml:space="preserve">Indica la presencia de casos que son </w:t>
            </w:r>
            <w:proofErr w:type="spellStart"/>
            <w:r w:rsidRPr="003A2E7F">
              <w:rPr>
                <w:rFonts w:ascii="Times New Roman" w:hAnsi="Times New Roman" w:cs="Times New Roman"/>
              </w:rPr>
              <w:t>sobreseídos</w:t>
            </w:r>
            <w:proofErr w:type="spellEnd"/>
            <w:r w:rsidRPr="003A2E7F">
              <w:rPr>
                <w:rFonts w:ascii="Times New Roman" w:hAnsi="Times New Roman" w:cs="Times New Roman"/>
              </w:rPr>
              <w:t xml:space="preserve"> y que sugieren en alguna medida situaciones de impunidad.</w:t>
            </w:r>
          </w:p>
        </w:tc>
      </w:tr>
      <w:tr w:rsidR="003A2E7F" w:rsidRPr="003A2E7F" w:rsidTr="00B14F0E">
        <w:trPr>
          <w:cantSplit/>
        </w:trPr>
        <w:tc>
          <w:tcPr>
            <w:tcW w:w="1984" w:type="dxa"/>
            <w:vMerge/>
            <w:tcBorders>
              <w:left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bCs/>
              </w:rPr>
            </w:pPr>
            <w:r w:rsidRPr="003A2E7F">
              <w:rPr>
                <w:rFonts w:ascii="Times New Roman" w:hAnsi="Times New Roman" w:cs="Times New Roman"/>
                <w:bCs/>
              </w:rPr>
              <w:t xml:space="preserve">Porcentaje de menores </w:t>
            </w:r>
            <w:proofErr w:type="spellStart"/>
            <w:r w:rsidRPr="003A2E7F">
              <w:rPr>
                <w:rFonts w:ascii="Times New Roman" w:hAnsi="Times New Roman" w:cs="Times New Roman"/>
                <w:bCs/>
              </w:rPr>
              <w:t>sobreseídos</w:t>
            </w:r>
            <w:proofErr w:type="spellEnd"/>
            <w:r w:rsidRPr="003A2E7F">
              <w:rPr>
                <w:rFonts w:ascii="Times New Roman" w:hAnsi="Times New Roman" w:cs="Times New Roman"/>
                <w:bCs/>
              </w:rPr>
              <w:t xml:space="preserve"> por cumplimiento de la conciliación como medida alterna en los juzgados penales juveniles.</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Cs/>
              </w:rPr>
              <w:t>Total de sobreseimientos definitivos por conciliación sobre el total de resoluciones dictadas en los juzgados penales juveniles.</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numPr>
                <w:ilvl w:val="0"/>
                <w:numId w:val="4"/>
              </w:numPr>
              <w:tabs>
                <w:tab w:val="clear" w:pos="720"/>
                <w:tab w:val="num" w:pos="119"/>
              </w:tabs>
              <w:spacing w:line="360" w:lineRule="auto"/>
              <w:jc w:val="both"/>
              <w:rPr>
                <w:rFonts w:ascii="Times New Roman" w:hAnsi="Times New Roman" w:cs="Times New Roman"/>
              </w:rPr>
            </w:pPr>
            <w:r w:rsidRPr="003A2E7F">
              <w:rPr>
                <w:rFonts w:ascii="Times New Roman" w:hAnsi="Times New Roman" w:cs="Times New Roman"/>
              </w:rPr>
              <w:t>Sección de Estadística</w:t>
            </w:r>
          </w:p>
          <w:p w:rsidR="003A2E7F" w:rsidRPr="003A2E7F" w:rsidRDefault="003A2E7F" w:rsidP="003A2E7F">
            <w:pPr>
              <w:spacing w:line="360" w:lineRule="auto"/>
              <w:jc w:val="both"/>
              <w:rPr>
                <w:rFonts w:ascii="Times New Roman" w:hAnsi="Times New Roman" w:cs="Times New Roman"/>
              </w:rPr>
            </w:pP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xml:space="preserve">Se refiere a aquellos casos que  son </w:t>
            </w:r>
            <w:proofErr w:type="spellStart"/>
            <w:r w:rsidRPr="003A2E7F">
              <w:rPr>
                <w:rFonts w:ascii="Times New Roman" w:hAnsi="Times New Roman" w:cs="Times New Roman"/>
              </w:rPr>
              <w:t>sobreseídos</w:t>
            </w:r>
            <w:proofErr w:type="spellEnd"/>
            <w:r w:rsidRPr="003A2E7F">
              <w:rPr>
                <w:rFonts w:ascii="Times New Roman" w:hAnsi="Times New Roman" w:cs="Times New Roman"/>
              </w:rPr>
              <w:t xml:space="preserve"> porque las partes llegaron a un acuerdo y con ello ponen fin al proceso judicial.</w:t>
            </w:r>
          </w:p>
        </w:tc>
      </w:tr>
      <w:tr w:rsidR="003A2E7F" w:rsidRPr="003A2E7F" w:rsidTr="00B14F0E">
        <w:trPr>
          <w:cantSplit/>
        </w:trPr>
        <w:tc>
          <w:tcPr>
            <w:tcW w:w="1984" w:type="dxa"/>
            <w:vMerge/>
            <w:tcBorders>
              <w:left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bCs/>
              </w:rPr>
            </w:pPr>
            <w:r w:rsidRPr="003A2E7F">
              <w:rPr>
                <w:rFonts w:ascii="Times New Roman" w:hAnsi="Times New Roman" w:cs="Times New Roman"/>
                <w:bCs/>
              </w:rPr>
              <w:t xml:space="preserve">Porcentaje de menores </w:t>
            </w:r>
            <w:proofErr w:type="spellStart"/>
            <w:r w:rsidRPr="003A2E7F">
              <w:rPr>
                <w:rFonts w:ascii="Times New Roman" w:hAnsi="Times New Roman" w:cs="Times New Roman"/>
                <w:bCs/>
              </w:rPr>
              <w:t>sobreseídos</w:t>
            </w:r>
            <w:proofErr w:type="spellEnd"/>
            <w:r w:rsidRPr="003A2E7F">
              <w:rPr>
                <w:rFonts w:ascii="Times New Roman" w:hAnsi="Times New Roman" w:cs="Times New Roman"/>
                <w:bCs/>
              </w:rPr>
              <w:t xml:space="preserve"> por cumplimiento de la suspensión del proceso a prueba, como medida alterna en los juzgados penales juveniles.</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Cs/>
              </w:rPr>
              <w:t>Total de casos con suspensión del proceso a prueba sobre el total de resoluciones dictadas en los juzgados penales juveniles.</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numPr>
                <w:ilvl w:val="0"/>
                <w:numId w:val="4"/>
              </w:numPr>
              <w:tabs>
                <w:tab w:val="clear" w:pos="720"/>
                <w:tab w:val="num" w:pos="119"/>
              </w:tabs>
              <w:spacing w:line="360" w:lineRule="auto"/>
              <w:jc w:val="both"/>
              <w:rPr>
                <w:rFonts w:ascii="Times New Roman" w:hAnsi="Times New Roman" w:cs="Times New Roman"/>
              </w:rPr>
            </w:pPr>
            <w:r w:rsidRPr="003A2E7F">
              <w:rPr>
                <w:rFonts w:ascii="Times New Roman" w:hAnsi="Times New Roman" w:cs="Times New Roman"/>
              </w:rPr>
              <w:t>Sección de Estadística</w:t>
            </w:r>
          </w:p>
          <w:p w:rsidR="003A2E7F" w:rsidRPr="003A2E7F" w:rsidRDefault="003A2E7F" w:rsidP="003A2E7F">
            <w:pPr>
              <w:spacing w:line="360" w:lineRule="auto"/>
              <w:jc w:val="both"/>
              <w:rPr>
                <w:rFonts w:ascii="Times New Roman" w:hAnsi="Times New Roman" w:cs="Times New Roman"/>
              </w:rPr>
            </w:pP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Informa acerca de los casos en que la acción penal se ha extinguido porque el daño causado por el delito ha sido reparado.</w:t>
            </w:r>
          </w:p>
          <w:p w:rsidR="003A2E7F" w:rsidRPr="003A2E7F" w:rsidRDefault="003A2E7F" w:rsidP="003A2E7F">
            <w:pPr>
              <w:spacing w:line="360" w:lineRule="auto"/>
              <w:jc w:val="both"/>
              <w:rPr>
                <w:rFonts w:ascii="Times New Roman" w:hAnsi="Times New Roman" w:cs="Times New Roman"/>
                <w:u w:val="single"/>
              </w:rPr>
            </w:pPr>
          </w:p>
        </w:tc>
      </w:tr>
      <w:tr w:rsidR="003A2E7F" w:rsidRPr="003A2E7F" w:rsidTr="00B14F0E">
        <w:trPr>
          <w:cantSplit/>
        </w:trPr>
        <w:tc>
          <w:tcPr>
            <w:tcW w:w="1984" w:type="dxa"/>
            <w:vMerge/>
            <w:tcBorders>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p>
        </w:tc>
        <w:tc>
          <w:tcPr>
            <w:tcW w:w="2704"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Duración promedio (desde el inicio hasta que se dicta sentencia, tanto en Fiscalías Penales Juveniles como en Juzgados Penales Juveniles, Sala Tercera-penal Juvenil- y Tribunal de Apelación se Sentencia Penal Juvenil)</w:t>
            </w:r>
          </w:p>
        </w:tc>
        <w:tc>
          <w:tcPr>
            <w:tcW w:w="282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Tiempo transcurrido desde el momento en que ingresó la denuncia y el momento en que se dictó sentencia (en meses).</w:t>
            </w:r>
          </w:p>
        </w:tc>
        <w:tc>
          <w:tcPr>
            <w:tcW w:w="2551"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Sección de Estadística P.J.</w:t>
            </w:r>
          </w:p>
          <w:p w:rsidR="003A2E7F" w:rsidRPr="003A2E7F" w:rsidRDefault="003A2E7F" w:rsidP="003A2E7F">
            <w:pPr>
              <w:spacing w:line="360" w:lineRule="auto"/>
              <w:jc w:val="both"/>
              <w:rPr>
                <w:rFonts w:ascii="Times New Roman" w:hAnsi="Times New Roman" w:cs="Times New Roman"/>
              </w:rPr>
            </w:pPr>
          </w:p>
        </w:tc>
        <w:tc>
          <w:tcPr>
            <w:tcW w:w="3165" w:type="dxa"/>
            <w:tcBorders>
              <w:top w:val="single" w:sz="4" w:space="0" w:color="auto"/>
              <w:left w:val="single" w:sz="4" w:space="0" w:color="auto"/>
              <w:bottom w:val="single" w:sz="4" w:space="0" w:color="auto"/>
              <w:right w:val="single" w:sz="4" w:space="0" w:color="auto"/>
            </w:tcBorders>
            <w:shd w:val="pct12" w:color="auto" w:fill="FFFFFF"/>
          </w:tcPr>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xml:space="preserve">Establece la prontitud con que una causa es resuelta. </w:t>
            </w:r>
          </w:p>
        </w:tc>
      </w:tr>
    </w:tbl>
    <w:p w:rsidR="003A2E7F" w:rsidRPr="003A2E7F" w:rsidRDefault="003A2E7F" w:rsidP="003A2E7F">
      <w:pPr>
        <w:spacing w:line="360" w:lineRule="auto"/>
        <w:jc w:val="both"/>
        <w:rPr>
          <w:rFonts w:ascii="Times New Roman" w:hAnsi="Times New Roman" w:cs="Times New Roman"/>
        </w:rPr>
        <w:sectPr w:rsidR="003A2E7F" w:rsidRPr="003A2E7F" w:rsidSect="00C90951">
          <w:headerReference w:type="default" r:id="rId91"/>
          <w:footerReference w:type="default" r:id="rId92"/>
          <w:pgSz w:w="15842" w:h="12242" w:orient="landscape" w:code="1"/>
          <w:pgMar w:top="1418" w:right="1418" w:bottom="1418" w:left="1259" w:header="709" w:footer="709" w:gutter="0"/>
          <w:cols w:space="708"/>
          <w:docGrid w:linePitch="360"/>
        </w:sectPr>
      </w:pPr>
    </w:p>
    <w:p w:rsidR="003A2E7F" w:rsidRPr="003A2E7F" w:rsidRDefault="003A2E7F" w:rsidP="003A2E7F">
      <w:pPr>
        <w:spacing w:line="360" w:lineRule="auto"/>
        <w:jc w:val="both"/>
        <w:rPr>
          <w:rFonts w:ascii="Times New Roman" w:hAnsi="Times New Roman" w:cs="Times New Roman"/>
          <w:b/>
        </w:rPr>
      </w:pPr>
      <w:r w:rsidRPr="003A2E7F">
        <w:rPr>
          <w:rFonts w:ascii="Times New Roman" w:hAnsi="Times New Roman" w:cs="Times New Roman"/>
          <w:b/>
        </w:rPr>
        <w:lastRenderedPageBreak/>
        <w:t>GLOSARIO</w:t>
      </w:r>
    </w:p>
    <w:p w:rsidR="003A2E7F" w:rsidRPr="003A2E7F" w:rsidRDefault="003A2E7F" w:rsidP="003A2E7F">
      <w:pPr>
        <w:spacing w:line="360" w:lineRule="auto"/>
        <w:jc w:val="both"/>
        <w:rPr>
          <w:rFonts w:ascii="Times New Roman" w:hAnsi="Times New Roman" w:cs="Times New Roman"/>
        </w:rPr>
      </w:pP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rPr>
        <w:t xml:space="preserve">En este apartado se presentan algunas definiciones con el fin de lograr un mejor entendimiento en cuanto a la utilización que se les ha dado.   </w:t>
      </w:r>
    </w:p>
    <w:p w:rsidR="003A2E7F" w:rsidRPr="003A2E7F" w:rsidRDefault="003A2E7F" w:rsidP="003A2E7F">
      <w:pPr>
        <w:spacing w:line="360" w:lineRule="auto"/>
        <w:jc w:val="both"/>
        <w:rPr>
          <w:rFonts w:ascii="Times New Roman" w:hAnsi="Times New Roman" w:cs="Times New Roman"/>
        </w:rPr>
      </w:pP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t xml:space="preserve">Anulación: </w:t>
      </w:r>
      <w:r w:rsidRPr="003A2E7F">
        <w:rPr>
          <w:rFonts w:ascii="Times New Roman" w:hAnsi="Times New Roman" w:cs="Times New Roman"/>
        </w:rPr>
        <w:t xml:space="preserve">Se refiere al caso en que el órgano de apelación califica la sentencia de primera instancia como nula, porque no se siguió el procedimiento o hubo algún error grave. En la práctica implica rehacer total o parcialmente el proceso judicial.  </w:t>
      </w:r>
    </w:p>
    <w:p w:rsidR="003A2E7F" w:rsidRPr="003A2E7F" w:rsidRDefault="003A2E7F" w:rsidP="003A2E7F">
      <w:pPr>
        <w:spacing w:line="360" w:lineRule="auto"/>
        <w:jc w:val="both"/>
        <w:rPr>
          <w:rFonts w:ascii="Times New Roman" w:hAnsi="Times New Roman" w:cs="Times New Roman"/>
        </w:rPr>
      </w:pP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t xml:space="preserve">Apelación: </w:t>
      </w:r>
      <w:r w:rsidRPr="003A2E7F">
        <w:rPr>
          <w:rFonts w:ascii="Times New Roman" w:hAnsi="Times New Roman" w:cs="Times New Roman"/>
        </w:rPr>
        <w:t>Recurso que se interpone ante el Juez de primera instancia para que otorgue el emplazamiento a las partes para que se apersonen ante esta instancia en defensa de sus derechos.</w:t>
      </w:r>
    </w:p>
    <w:p w:rsidR="003A2E7F" w:rsidRPr="003A2E7F" w:rsidRDefault="003A2E7F" w:rsidP="003A2E7F">
      <w:pPr>
        <w:spacing w:line="360" w:lineRule="auto"/>
        <w:jc w:val="both"/>
        <w:rPr>
          <w:rFonts w:ascii="Times New Roman" w:hAnsi="Times New Roman" w:cs="Times New Roman"/>
        </w:rPr>
      </w:pP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t xml:space="preserve">Apertura de testimonio de piezas: </w:t>
      </w:r>
      <w:r w:rsidRPr="003A2E7F">
        <w:rPr>
          <w:rFonts w:ascii="Times New Roman" w:hAnsi="Times New Roman" w:cs="Times New Roman"/>
        </w:rPr>
        <w:t xml:space="preserve">Se refiere a un proceso nuevo que parte de un caso entrado por efectos prácticos. </w:t>
      </w:r>
    </w:p>
    <w:p w:rsidR="003A2E7F" w:rsidRPr="003A2E7F" w:rsidRDefault="003A2E7F" w:rsidP="003A2E7F">
      <w:pPr>
        <w:spacing w:line="360" w:lineRule="auto"/>
        <w:jc w:val="both"/>
        <w:rPr>
          <w:rFonts w:ascii="Times New Roman" w:hAnsi="Times New Roman" w:cs="Times New Roman"/>
        </w:rPr>
      </w:pP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t>Asuntos terminados:</w:t>
      </w:r>
      <w:r w:rsidRPr="003A2E7F">
        <w:rPr>
          <w:rFonts w:ascii="Times New Roman" w:hAnsi="Times New Roman" w:cs="Times New Roman"/>
        </w:rPr>
        <w:t xml:space="preserve"> es sinónimo de asuntos resueltos o salidos estadísticamente. Se refiere a aquellos casos en que el expediente se dio por terminado en el despacho. </w:t>
      </w:r>
    </w:p>
    <w:p w:rsidR="003A2E7F" w:rsidRPr="003A2E7F" w:rsidRDefault="003A2E7F" w:rsidP="003A2E7F">
      <w:pPr>
        <w:spacing w:line="360" w:lineRule="auto"/>
        <w:jc w:val="both"/>
        <w:rPr>
          <w:rFonts w:ascii="Times New Roman" w:hAnsi="Times New Roman" w:cs="Times New Roman"/>
        </w:rPr>
      </w:pP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t>Carga de trabajo:</w:t>
      </w:r>
      <w:r w:rsidRPr="003A2E7F">
        <w:rPr>
          <w:rFonts w:ascii="Times New Roman" w:hAnsi="Times New Roman" w:cs="Times New Roman"/>
        </w:rPr>
        <w:t xml:space="preserve"> es sinónimo de casos registrados. Se refiere a los asuntos ingresados por primera vez, más los casos reentrados, más la apertura de testimonio de piezas, más los casos pendientes al inicio del período o año bajo estudio.</w:t>
      </w:r>
    </w:p>
    <w:p w:rsidR="003A2E7F" w:rsidRPr="003A2E7F" w:rsidRDefault="003A2E7F" w:rsidP="003A2E7F">
      <w:pPr>
        <w:spacing w:line="360" w:lineRule="auto"/>
        <w:jc w:val="both"/>
        <w:rPr>
          <w:rFonts w:ascii="Times New Roman" w:hAnsi="Times New Roman" w:cs="Times New Roman"/>
        </w:rPr>
      </w:pPr>
    </w:p>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 xml:space="preserve">Casación: </w:t>
      </w:r>
      <w:r w:rsidRPr="003A2E7F">
        <w:rPr>
          <w:rFonts w:ascii="Times New Roman" w:hAnsi="Times New Roman" w:cs="Times New Roman"/>
        </w:rPr>
        <w:t xml:space="preserve">Medio de impugnación mediante el cual por motivos de derecho previstos por la Ley, una parte solicita a un órgano superior la revisión de los errores jurídicos atribuidos a la resolución del mérito que la perjudica, reclamando la correcta aplicación de la ley sustantiva, o solicitando la anulación de la resolución para una nueva decisión, con o sin reenvío a nuevo juicio. Es el recurso que se presenta ante la Sala respectiva, dependiendo de la materia, solicitando que se anule la sentencia dictada por algún tribunal al existir algún vicio (de forma o </w:t>
      </w:r>
      <w:r w:rsidRPr="003A2E7F">
        <w:rPr>
          <w:rFonts w:ascii="Times New Roman" w:hAnsi="Times New Roman" w:cs="Times New Roman"/>
        </w:rPr>
        <w:lastRenderedPageBreak/>
        <w:t>de fondo).</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t>Casos entrados:</w:t>
      </w:r>
      <w:r w:rsidRPr="003A2E7F">
        <w:rPr>
          <w:rFonts w:ascii="Times New Roman" w:hAnsi="Times New Roman" w:cs="Times New Roman"/>
        </w:rPr>
        <w:t xml:space="preserve"> Se refiere a los expedientes que llegan por primera vez a conocimiento del sistema judicial.</w:t>
      </w:r>
    </w:p>
    <w:p w:rsidR="003A2E7F" w:rsidRPr="003A2E7F" w:rsidRDefault="003A2E7F" w:rsidP="003A2E7F">
      <w:pPr>
        <w:spacing w:line="360" w:lineRule="auto"/>
        <w:jc w:val="both"/>
        <w:rPr>
          <w:rFonts w:ascii="Times New Roman" w:hAnsi="Times New Roman" w:cs="Times New Roman"/>
        </w:rPr>
      </w:pP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t xml:space="preserve">Casos reactivados: </w:t>
      </w:r>
      <w:r w:rsidRPr="003A2E7F">
        <w:rPr>
          <w:rFonts w:ascii="Times New Roman" w:hAnsi="Times New Roman" w:cs="Times New Roman"/>
        </w:rPr>
        <w:t>Expedientes que vuelven a la corriente del despacho y que con anterioridad se habían considerado como casos abandonados o excluidos del circulante activo.</w:t>
      </w:r>
    </w:p>
    <w:p w:rsidR="003A2E7F" w:rsidRPr="003A2E7F" w:rsidRDefault="003A2E7F" w:rsidP="003A2E7F">
      <w:pPr>
        <w:spacing w:line="360" w:lineRule="auto"/>
        <w:jc w:val="both"/>
        <w:rPr>
          <w:rFonts w:ascii="Times New Roman" w:hAnsi="Times New Roman" w:cs="Times New Roman"/>
        </w:rPr>
      </w:pP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t xml:space="preserve">Casos reentrados: </w:t>
      </w:r>
      <w:r w:rsidRPr="003A2E7F">
        <w:rPr>
          <w:rFonts w:ascii="Times New Roman" w:hAnsi="Times New Roman" w:cs="Times New Roman"/>
        </w:rPr>
        <w:t>Expedientes que el despacho los ha dado por terminados estadísticamente y que por algún motivo vuelven a entrar, ya sea por forma o fondo.</w:t>
      </w:r>
    </w:p>
    <w:p w:rsidR="003A2E7F" w:rsidRPr="003A2E7F" w:rsidRDefault="003A2E7F" w:rsidP="003A2E7F">
      <w:pPr>
        <w:spacing w:line="360" w:lineRule="auto"/>
        <w:jc w:val="both"/>
        <w:rPr>
          <w:rFonts w:ascii="Times New Roman" w:hAnsi="Times New Roman" w:cs="Times New Roman"/>
        </w:rPr>
      </w:pP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t xml:space="preserve">Conciliación: </w:t>
      </w:r>
      <w:r w:rsidRPr="003A2E7F">
        <w:rPr>
          <w:rFonts w:ascii="Times New Roman" w:hAnsi="Times New Roman" w:cs="Times New Roman"/>
        </w:rPr>
        <w:t>Resolución que homologa un acuerdo entre las partes en cuanto a las pretensiones (puede ser total o parcial).</w:t>
      </w:r>
    </w:p>
    <w:p w:rsidR="003A2E7F" w:rsidRPr="003A2E7F" w:rsidRDefault="003A2E7F" w:rsidP="003A2E7F">
      <w:pPr>
        <w:spacing w:line="360" w:lineRule="auto"/>
        <w:jc w:val="both"/>
        <w:rPr>
          <w:rFonts w:ascii="Times New Roman" w:hAnsi="Times New Roman" w:cs="Times New Roman"/>
        </w:rPr>
      </w:pP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t xml:space="preserve">Congestión: </w:t>
      </w:r>
      <w:r w:rsidRPr="003A2E7F">
        <w:rPr>
          <w:rFonts w:ascii="Times New Roman" w:hAnsi="Times New Roman" w:cs="Times New Roman"/>
        </w:rPr>
        <w:t>Retraso que tienen los despachos judiciales respecto de la tramitación de los asuntos  ingresados (se incluyen los casos en ejecución).</w:t>
      </w:r>
    </w:p>
    <w:p w:rsidR="003A2E7F" w:rsidRPr="003A2E7F" w:rsidRDefault="003A2E7F" w:rsidP="003A2E7F">
      <w:pPr>
        <w:spacing w:line="360" w:lineRule="auto"/>
        <w:jc w:val="both"/>
        <w:rPr>
          <w:rFonts w:ascii="Times New Roman" w:hAnsi="Times New Roman" w:cs="Times New Roman"/>
          <w:b/>
          <w:bCs/>
        </w:rPr>
      </w:pP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t xml:space="preserve">Crimen: </w:t>
      </w:r>
      <w:r w:rsidRPr="003A2E7F">
        <w:rPr>
          <w:rFonts w:ascii="Times New Roman" w:hAnsi="Times New Roman" w:cs="Times New Roman"/>
        </w:rPr>
        <w:t>Se refiere al delito  especificado o calificado por la gravedad del hecho punible y de las penas con que se castiga. (Actualmente la palabra “crimen” se sigue utilizando para designar las más graves infracciones punibles).</w:t>
      </w:r>
    </w:p>
    <w:p w:rsidR="003A2E7F" w:rsidRPr="003A2E7F" w:rsidRDefault="003A2E7F" w:rsidP="003A2E7F">
      <w:pPr>
        <w:spacing w:line="360" w:lineRule="auto"/>
        <w:jc w:val="both"/>
        <w:rPr>
          <w:rFonts w:ascii="Times New Roman" w:hAnsi="Times New Roman" w:cs="Times New Roman"/>
        </w:rPr>
      </w:pP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t>Delito:</w:t>
      </w:r>
      <w:r w:rsidRPr="003A2E7F">
        <w:rPr>
          <w:rFonts w:ascii="Times New Roman" w:hAnsi="Times New Roman" w:cs="Times New Roman"/>
        </w:rPr>
        <w:t xml:space="preserve"> Es el acto típico, antijurídico,  imputable y culpable, sancionado con una pena prevista en la ley.</w:t>
      </w:r>
    </w:p>
    <w:p w:rsidR="003A2E7F" w:rsidRPr="003A2E7F" w:rsidRDefault="003A2E7F" w:rsidP="003A2E7F">
      <w:pPr>
        <w:spacing w:line="360" w:lineRule="auto"/>
        <w:jc w:val="both"/>
        <w:rPr>
          <w:rFonts w:ascii="Times New Roman" w:hAnsi="Times New Roman" w:cs="Times New Roman"/>
        </w:rPr>
      </w:pP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t>Delitos trasladados a los juzgados:</w:t>
      </w:r>
      <w:r w:rsidRPr="003A2E7F">
        <w:rPr>
          <w:rFonts w:ascii="Times New Roman" w:hAnsi="Times New Roman" w:cs="Times New Roman"/>
        </w:rPr>
        <w:t xml:space="preserve"> Se refiere a los casos salidos de la Fiscalía y que son ingresados a los juzgados penales. En los casos salidos de la fiscalía se ha tomado en cuenta solo “la acusación fiscal y los procesos abreviados” por cuanto estos asuntos son los que le van a dar continuidad al proceso.</w:t>
      </w:r>
    </w:p>
    <w:p w:rsidR="003A2E7F" w:rsidRPr="003A2E7F" w:rsidRDefault="003A2E7F" w:rsidP="003A2E7F">
      <w:pPr>
        <w:spacing w:line="360" w:lineRule="auto"/>
        <w:jc w:val="both"/>
        <w:rPr>
          <w:rFonts w:ascii="Times New Roman" w:hAnsi="Times New Roman" w:cs="Times New Roman"/>
        </w:rPr>
      </w:pPr>
    </w:p>
    <w:p w:rsidR="003A2E7F" w:rsidRPr="003A2E7F" w:rsidRDefault="003A2E7F" w:rsidP="003A2E7F">
      <w:pPr>
        <w:spacing w:line="360" w:lineRule="auto"/>
        <w:jc w:val="both"/>
        <w:rPr>
          <w:rFonts w:ascii="Times New Roman" w:hAnsi="Times New Roman" w:cs="Times New Roman"/>
        </w:rPr>
      </w:pPr>
    </w:p>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 xml:space="preserve">Entrada neta: </w:t>
      </w:r>
      <w:r w:rsidRPr="003A2E7F">
        <w:rPr>
          <w:rFonts w:ascii="Times New Roman" w:hAnsi="Times New Roman" w:cs="Times New Roman"/>
        </w:rPr>
        <w:t>Casos ingresados menos las incompetencias. Para su cálculo se toma en cuenta a las materias: Civil, Agraria, Familia, Contencioso Administrativa, Penal, Trabajo, Contravencional, Tránsito, Pensiones Alimentarias, Penal Juvenil, Violencia Doméstica y Constitucional.</w:t>
      </w:r>
    </w:p>
    <w:p w:rsidR="003A2E7F" w:rsidRPr="003A2E7F" w:rsidRDefault="003A2E7F" w:rsidP="003A2E7F">
      <w:pPr>
        <w:spacing w:line="360" w:lineRule="auto"/>
        <w:jc w:val="both"/>
        <w:rPr>
          <w:rFonts w:ascii="Times New Roman" w:hAnsi="Times New Roman" w:cs="Times New Roman"/>
        </w:rPr>
      </w:pP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t xml:space="preserve">Expedientes situados en abandono: </w:t>
      </w:r>
      <w:r w:rsidRPr="003A2E7F">
        <w:rPr>
          <w:rFonts w:ascii="Times New Roman" w:hAnsi="Times New Roman" w:cs="Times New Roman"/>
        </w:rPr>
        <w:t xml:space="preserve">Casos que tienen más de seis meses que el interesado no aporta documentación o prueba que ayude a concluir el proceso. </w:t>
      </w:r>
    </w:p>
    <w:p w:rsidR="003A2E7F" w:rsidRPr="003A2E7F" w:rsidRDefault="003A2E7F" w:rsidP="003A2E7F">
      <w:pPr>
        <w:spacing w:line="360" w:lineRule="auto"/>
        <w:jc w:val="both"/>
        <w:rPr>
          <w:rFonts w:ascii="Times New Roman" w:hAnsi="Times New Roman" w:cs="Times New Roman"/>
        </w:rPr>
      </w:pPr>
    </w:p>
    <w:p w:rsidR="003A2E7F" w:rsidRPr="003A2E7F" w:rsidRDefault="003A2E7F" w:rsidP="003A2E7F">
      <w:pPr>
        <w:spacing w:line="360" w:lineRule="auto"/>
        <w:jc w:val="both"/>
        <w:rPr>
          <w:rFonts w:ascii="Times New Roman" w:hAnsi="Times New Roman" w:cs="Times New Roman"/>
        </w:rPr>
      </w:pPr>
      <w:proofErr w:type="spellStart"/>
      <w:r w:rsidRPr="003A2E7F">
        <w:rPr>
          <w:rFonts w:ascii="Times New Roman" w:hAnsi="Times New Roman" w:cs="Times New Roman"/>
          <w:b/>
          <w:bCs/>
        </w:rPr>
        <w:t>Femicidio</w:t>
      </w:r>
      <w:proofErr w:type="spellEnd"/>
      <w:r w:rsidRPr="003A2E7F">
        <w:rPr>
          <w:rFonts w:ascii="Times New Roman" w:hAnsi="Times New Roman" w:cs="Times New Roman"/>
          <w:b/>
          <w:bCs/>
        </w:rPr>
        <w:t xml:space="preserve">: </w:t>
      </w:r>
      <w:r w:rsidRPr="003A2E7F">
        <w:rPr>
          <w:rFonts w:ascii="Times New Roman" w:hAnsi="Times New Roman" w:cs="Times New Roman"/>
        </w:rPr>
        <w:t xml:space="preserve">Evento perpetrado contra mujeres y por sus parejas heterosexuales, específicamente </w:t>
      </w:r>
      <w:r w:rsidRPr="003A2E7F">
        <w:rPr>
          <w:rFonts w:ascii="Times New Roman" w:hAnsi="Times New Roman" w:cs="Times New Roman"/>
          <w:b/>
          <w:bCs/>
        </w:rPr>
        <w:t>esposos y concubinos</w:t>
      </w:r>
      <w:r w:rsidRPr="003A2E7F">
        <w:rPr>
          <w:rFonts w:ascii="Times New Roman" w:hAnsi="Times New Roman" w:cs="Times New Roman"/>
        </w:rPr>
        <w:t>, se excluyen los ex esposos y ex concubinos.</w:t>
      </w:r>
    </w:p>
    <w:p w:rsidR="003A2E7F" w:rsidRPr="003A2E7F" w:rsidRDefault="003A2E7F" w:rsidP="003A2E7F">
      <w:pPr>
        <w:spacing w:line="360" w:lineRule="auto"/>
        <w:jc w:val="both"/>
        <w:rPr>
          <w:rFonts w:ascii="Times New Roman" w:hAnsi="Times New Roman" w:cs="Times New Roman"/>
        </w:rPr>
      </w:pP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t xml:space="preserve">Gasto de la justicia: </w:t>
      </w:r>
      <w:r w:rsidRPr="003A2E7F">
        <w:rPr>
          <w:rFonts w:ascii="Times New Roman" w:hAnsi="Times New Roman" w:cs="Times New Roman"/>
        </w:rPr>
        <w:t>Se ha tomado para este tipo de gasto, al costo de la justicia, el cual se refiere al costo tanto del recurso humano como del gasto variable.</w:t>
      </w:r>
    </w:p>
    <w:p w:rsidR="003A2E7F" w:rsidRPr="003A2E7F" w:rsidRDefault="003A2E7F" w:rsidP="003A2E7F">
      <w:pPr>
        <w:spacing w:line="360" w:lineRule="auto"/>
        <w:jc w:val="both"/>
        <w:rPr>
          <w:rFonts w:ascii="Times New Roman" w:hAnsi="Times New Roman" w:cs="Times New Roman"/>
        </w:rPr>
      </w:pPr>
    </w:p>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 xml:space="preserve">Gasto público: </w:t>
      </w:r>
      <w:r w:rsidRPr="003A2E7F">
        <w:rPr>
          <w:rFonts w:ascii="Times New Roman" w:hAnsi="Times New Roman" w:cs="Times New Roman"/>
        </w:rPr>
        <w:t>Gasto efectivo del Gobierno de la República (gasto del gobierno Central).</w:t>
      </w:r>
    </w:p>
    <w:p w:rsidR="003A2E7F" w:rsidRPr="003A2E7F" w:rsidRDefault="003A2E7F" w:rsidP="003A2E7F">
      <w:pPr>
        <w:spacing w:line="360" w:lineRule="auto"/>
        <w:jc w:val="both"/>
        <w:rPr>
          <w:rFonts w:ascii="Times New Roman" w:hAnsi="Times New Roman" w:cs="Times New Roman"/>
        </w:rPr>
      </w:pP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t>Homicidio doloso:</w:t>
      </w:r>
      <w:r w:rsidRPr="003A2E7F">
        <w:rPr>
          <w:rFonts w:ascii="Times New Roman" w:hAnsi="Times New Roman" w:cs="Times New Roman"/>
        </w:rPr>
        <w:t xml:space="preserve"> Evento de</w:t>
      </w:r>
      <w:r w:rsidRPr="003A2E7F">
        <w:rPr>
          <w:rFonts w:ascii="Times New Roman" w:hAnsi="Times New Roman" w:cs="Times New Roman"/>
          <w:lang w:val="es-ES_tradnl"/>
        </w:rPr>
        <w:t xml:space="preserve"> agresión física que ejecuta una o varias personas en contra de otra(s), resultando el fallecimiento de alguna de ellas, de conformidad con las características contempladas en el Código Penal Costarricense, como lo son: alevosía, ventaja o ensañamiento o algún otro factor que determine el dolo del presunto autor. </w:t>
      </w:r>
    </w:p>
    <w:p w:rsidR="003A2E7F" w:rsidRPr="003A2E7F" w:rsidRDefault="003A2E7F" w:rsidP="003A2E7F">
      <w:pPr>
        <w:spacing w:line="360" w:lineRule="auto"/>
        <w:jc w:val="both"/>
        <w:rPr>
          <w:rFonts w:ascii="Times New Roman" w:hAnsi="Times New Roman" w:cs="Times New Roman"/>
          <w:b/>
          <w:bCs/>
        </w:rPr>
      </w:pP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t>Homicidio culposo:</w:t>
      </w:r>
      <w:r w:rsidRPr="003A2E7F">
        <w:rPr>
          <w:rFonts w:ascii="Times New Roman" w:hAnsi="Times New Roman" w:cs="Times New Roman"/>
        </w:rPr>
        <w:t xml:space="preserve"> Evento en el cual una o varias personas </w:t>
      </w:r>
      <w:proofErr w:type="gramStart"/>
      <w:r w:rsidRPr="003A2E7F">
        <w:rPr>
          <w:rFonts w:ascii="Times New Roman" w:hAnsi="Times New Roman" w:cs="Times New Roman"/>
        </w:rPr>
        <w:t>causan</w:t>
      </w:r>
      <w:proofErr w:type="gramEnd"/>
      <w:r w:rsidRPr="003A2E7F">
        <w:rPr>
          <w:rFonts w:ascii="Times New Roman" w:hAnsi="Times New Roman" w:cs="Times New Roman"/>
        </w:rPr>
        <w:t xml:space="preserve"> la muerte a otra(s), donde la ejecución de dicho suceso se debe a aspectos meramente circunstanciales o de culpabilidad y sin que medie la premeditación o algún otro elemento de dolo. </w:t>
      </w:r>
    </w:p>
    <w:p w:rsidR="003A2E7F" w:rsidRPr="003A2E7F" w:rsidRDefault="003A2E7F" w:rsidP="003A2E7F">
      <w:pPr>
        <w:spacing w:line="360" w:lineRule="auto"/>
        <w:jc w:val="both"/>
        <w:rPr>
          <w:rFonts w:ascii="Times New Roman" w:hAnsi="Times New Roman" w:cs="Times New Roman"/>
          <w:b/>
          <w:bCs/>
        </w:rPr>
      </w:pP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t xml:space="preserve">Incompetencia: </w:t>
      </w:r>
      <w:r w:rsidRPr="003A2E7F">
        <w:rPr>
          <w:rFonts w:ascii="Times New Roman" w:hAnsi="Times New Roman" w:cs="Times New Roman"/>
        </w:rPr>
        <w:t xml:space="preserve">Es una resolución mediante la cual la autoridad judicial estima que es incompetente y ordena remitir el expediente al juez que a su juicio le corresponde conocer el </w:t>
      </w:r>
      <w:r w:rsidRPr="003A2E7F">
        <w:rPr>
          <w:rFonts w:ascii="Times New Roman" w:hAnsi="Times New Roman" w:cs="Times New Roman"/>
        </w:rPr>
        <w:lastRenderedPageBreak/>
        <w:t>caso.</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t xml:space="preserve">Infractores o delincuentes: </w:t>
      </w:r>
      <w:r w:rsidRPr="003A2E7F">
        <w:rPr>
          <w:rFonts w:ascii="Times New Roman" w:hAnsi="Times New Roman" w:cs="Times New Roman"/>
        </w:rPr>
        <w:t>Personas que han infringido o irrespetado la ley.</w:t>
      </w:r>
    </w:p>
    <w:p w:rsidR="003A2E7F" w:rsidRPr="003A2E7F" w:rsidRDefault="003A2E7F" w:rsidP="003A2E7F">
      <w:pPr>
        <w:spacing w:line="360" w:lineRule="auto"/>
        <w:jc w:val="both"/>
        <w:rPr>
          <w:rFonts w:ascii="Times New Roman" w:hAnsi="Times New Roman" w:cs="Times New Roman"/>
          <w:b/>
          <w:bCs/>
        </w:rPr>
      </w:pP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t>Infracción simple:</w:t>
      </w:r>
      <w:r w:rsidRPr="003A2E7F">
        <w:rPr>
          <w:rFonts w:ascii="Times New Roman" w:hAnsi="Times New Roman" w:cs="Times New Roman"/>
        </w:rPr>
        <w:t xml:space="preserve"> Multas fijas sin oposición del infractor en contra de la Ley de Tránsito.</w:t>
      </w:r>
    </w:p>
    <w:p w:rsidR="003A2E7F" w:rsidRPr="003A2E7F" w:rsidRDefault="003A2E7F" w:rsidP="003A2E7F">
      <w:pPr>
        <w:spacing w:line="360" w:lineRule="auto"/>
        <w:jc w:val="both"/>
        <w:rPr>
          <w:rFonts w:ascii="Times New Roman" w:hAnsi="Times New Roman" w:cs="Times New Roman"/>
        </w:rPr>
      </w:pPr>
    </w:p>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 xml:space="preserve">Instancia superior: </w:t>
      </w:r>
      <w:r w:rsidRPr="003A2E7F">
        <w:rPr>
          <w:rFonts w:ascii="Times New Roman" w:hAnsi="Times New Roman" w:cs="Times New Roman"/>
        </w:rPr>
        <w:t>Órgano que conoce las apelaciones realizadas por alguna de las partes según  la resolución dictada por un Juzgado. También se refiere como “segunda instancia” o “Cortes de Apelación”.</w:t>
      </w:r>
    </w:p>
    <w:p w:rsidR="003A2E7F" w:rsidRPr="003A2E7F" w:rsidRDefault="003A2E7F" w:rsidP="003A2E7F">
      <w:pPr>
        <w:spacing w:line="360" w:lineRule="auto"/>
        <w:jc w:val="both"/>
        <w:rPr>
          <w:rFonts w:ascii="Times New Roman" w:hAnsi="Times New Roman" w:cs="Times New Roman"/>
        </w:rPr>
      </w:pP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rPr>
        <w:t>Misoginia:</w:t>
      </w:r>
      <w:r w:rsidRPr="003A2E7F">
        <w:rPr>
          <w:rFonts w:ascii="Times New Roman" w:hAnsi="Times New Roman" w:cs="Times New Roman"/>
        </w:rPr>
        <w:t xml:space="preserve"> Se refiere a la  aversión u odio a las mujeres, o la tendencia </w:t>
      </w:r>
      <w:hyperlink r:id="rId93" w:tooltip="Ideológica" w:history="1">
        <w:r w:rsidRPr="003A2E7F">
          <w:rPr>
            <w:rStyle w:val="Hipervnculo"/>
            <w:rFonts w:ascii="Times New Roman" w:hAnsi="Times New Roman"/>
          </w:rPr>
          <w:t>ideológica</w:t>
        </w:r>
      </w:hyperlink>
      <w:r w:rsidRPr="003A2E7F">
        <w:rPr>
          <w:rFonts w:ascii="Times New Roman" w:hAnsi="Times New Roman" w:cs="Times New Roman"/>
        </w:rPr>
        <w:t xml:space="preserve"> o psicológica que consiste en despreciar a la mujer como sexo y con ello todo lo considerado como </w:t>
      </w:r>
      <w:hyperlink r:id="rId94" w:tooltip="Femenino" w:history="1">
        <w:r w:rsidRPr="003A2E7F">
          <w:rPr>
            <w:rStyle w:val="Hipervnculo"/>
            <w:rFonts w:ascii="Times New Roman" w:hAnsi="Times New Roman"/>
          </w:rPr>
          <w:t>femenino</w:t>
        </w:r>
      </w:hyperlink>
      <w:r w:rsidRPr="003A2E7F">
        <w:rPr>
          <w:rFonts w:ascii="Times New Roman" w:hAnsi="Times New Roman" w:cs="Times New Roman"/>
        </w:rPr>
        <w:t>.</w:t>
      </w:r>
    </w:p>
    <w:p w:rsidR="003A2E7F" w:rsidRPr="003A2E7F" w:rsidRDefault="003A2E7F" w:rsidP="003A2E7F">
      <w:pPr>
        <w:spacing w:line="360" w:lineRule="auto"/>
        <w:jc w:val="both"/>
        <w:rPr>
          <w:rFonts w:ascii="Times New Roman" w:hAnsi="Times New Roman" w:cs="Times New Roman"/>
          <w:b/>
          <w:bCs/>
        </w:rPr>
      </w:pPr>
    </w:p>
    <w:p w:rsidR="003A2E7F" w:rsidRPr="003A2E7F" w:rsidRDefault="003A2E7F" w:rsidP="003A2E7F">
      <w:pPr>
        <w:spacing w:line="360" w:lineRule="auto"/>
        <w:jc w:val="both"/>
        <w:rPr>
          <w:rFonts w:ascii="Times New Roman" w:hAnsi="Times New Roman" w:cs="Times New Roman"/>
          <w:lang w:val="es-ES_tradnl"/>
        </w:rPr>
      </w:pPr>
      <w:r w:rsidRPr="003A2E7F">
        <w:rPr>
          <w:rFonts w:ascii="Times New Roman" w:hAnsi="Times New Roman" w:cs="Times New Roman"/>
          <w:b/>
          <w:bCs/>
        </w:rPr>
        <w:t xml:space="preserve">Organismo de Investigación Judicial: </w:t>
      </w:r>
      <w:r w:rsidRPr="003A2E7F">
        <w:rPr>
          <w:rFonts w:ascii="Times New Roman" w:hAnsi="Times New Roman" w:cs="Times New Roman"/>
          <w:lang w:val="es-ES_tradnl"/>
        </w:rPr>
        <w:t>Es una institución pública, que depende  de la Corte Suprema de Justicia y sus servicios son gratuitos. La misión del Organismo de Investigación Judicial, según su Ley Orgánica, Nº 5524, del 7 de mayo de 1974, es "Auxiliar a los Tribunales Penales y al Ministerio Público en el descubrimiento y verificación científica de los delitos y de sus presuntos responsables".</w:t>
      </w:r>
    </w:p>
    <w:p w:rsidR="003A2E7F" w:rsidRPr="003A2E7F" w:rsidRDefault="003A2E7F" w:rsidP="003A2E7F">
      <w:pPr>
        <w:spacing w:line="360" w:lineRule="auto"/>
        <w:jc w:val="both"/>
        <w:rPr>
          <w:rFonts w:ascii="Times New Roman" w:hAnsi="Times New Roman" w:cs="Times New Roman"/>
        </w:rPr>
      </w:pP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t>Pendencia:</w:t>
      </w:r>
      <w:r w:rsidRPr="003A2E7F">
        <w:rPr>
          <w:rFonts w:ascii="Times New Roman" w:hAnsi="Times New Roman" w:cs="Times New Roman"/>
        </w:rPr>
        <w:t xml:space="preserve"> Se refiere a los casos que se encuentran activos (trámite y ejecución) en el despacho. Es sinónimo de casos pendientes. </w:t>
      </w:r>
    </w:p>
    <w:p w:rsidR="003A2E7F" w:rsidRPr="003A2E7F" w:rsidRDefault="003A2E7F" w:rsidP="003A2E7F">
      <w:pPr>
        <w:spacing w:line="360" w:lineRule="auto"/>
        <w:jc w:val="both"/>
        <w:rPr>
          <w:rFonts w:ascii="Times New Roman" w:hAnsi="Times New Roman" w:cs="Times New Roman"/>
        </w:rPr>
      </w:pPr>
    </w:p>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 xml:space="preserve">Primera instancia: </w:t>
      </w:r>
      <w:r w:rsidRPr="003A2E7F">
        <w:rPr>
          <w:rFonts w:ascii="Times New Roman" w:hAnsi="Times New Roman" w:cs="Times New Roman"/>
        </w:rPr>
        <w:t xml:space="preserve">Órgano jurisdiccionalmente competente que conoce y resuelve la pretensión y </w:t>
      </w:r>
      <w:proofErr w:type="spellStart"/>
      <w:r w:rsidRPr="003A2E7F">
        <w:rPr>
          <w:rFonts w:ascii="Times New Roman" w:hAnsi="Times New Roman" w:cs="Times New Roman"/>
        </w:rPr>
        <w:t>ejecuta</w:t>
      </w:r>
      <w:proofErr w:type="spellEnd"/>
      <w:r w:rsidRPr="003A2E7F">
        <w:rPr>
          <w:rFonts w:ascii="Times New Roman" w:hAnsi="Times New Roman" w:cs="Times New Roman"/>
        </w:rPr>
        <w:t xml:space="preserve"> lo juzgado.</w:t>
      </w:r>
    </w:p>
    <w:p w:rsidR="003A2E7F" w:rsidRPr="003A2E7F" w:rsidRDefault="003A2E7F" w:rsidP="003A2E7F">
      <w:pPr>
        <w:spacing w:line="360" w:lineRule="auto"/>
        <w:jc w:val="both"/>
        <w:rPr>
          <w:rFonts w:ascii="Times New Roman" w:hAnsi="Times New Roman" w:cs="Times New Roman"/>
        </w:rPr>
      </w:pPr>
    </w:p>
    <w:p w:rsidR="003A2E7F" w:rsidRPr="003A2E7F" w:rsidRDefault="003A2E7F" w:rsidP="003A2E7F">
      <w:pPr>
        <w:spacing w:line="360" w:lineRule="auto"/>
        <w:jc w:val="both"/>
        <w:rPr>
          <w:rFonts w:ascii="Times New Roman" w:hAnsi="Times New Roman" w:cs="Times New Roman"/>
          <w:b/>
          <w:bCs/>
        </w:rPr>
      </w:pPr>
      <w:r w:rsidRPr="003A2E7F">
        <w:rPr>
          <w:rFonts w:ascii="Times New Roman" w:hAnsi="Times New Roman" w:cs="Times New Roman"/>
          <w:b/>
          <w:bCs/>
        </w:rPr>
        <w:t xml:space="preserve">Producto Interno bruto: </w:t>
      </w:r>
      <w:r w:rsidRPr="003A2E7F">
        <w:rPr>
          <w:rFonts w:ascii="Times New Roman" w:hAnsi="Times New Roman" w:cs="Times New Roman"/>
        </w:rPr>
        <w:t>Es el valor de los bienes y servicios finales producidos dentro del territorio nacional en un período determinado.</w:t>
      </w:r>
    </w:p>
    <w:p w:rsidR="003A2E7F" w:rsidRPr="003A2E7F" w:rsidRDefault="003A2E7F" w:rsidP="003A2E7F">
      <w:pPr>
        <w:spacing w:line="360" w:lineRule="auto"/>
        <w:jc w:val="both"/>
        <w:rPr>
          <w:rFonts w:ascii="Times New Roman" w:hAnsi="Times New Roman" w:cs="Times New Roman"/>
        </w:rPr>
      </w:pP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t xml:space="preserve">Resolución: </w:t>
      </w:r>
      <w:r w:rsidRPr="003A2E7F">
        <w:rPr>
          <w:rFonts w:ascii="Times New Roman" w:hAnsi="Times New Roman" w:cs="Times New Roman"/>
        </w:rPr>
        <w:t xml:space="preserve">Se refiere a los autos, fallos o providencias de una autoridad judicial. Decisiones </w:t>
      </w:r>
      <w:r w:rsidRPr="003A2E7F">
        <w:rPr>
          <w:rFonts w:ascii="Times New Roman" w:hAnsi="Times New Roman" w:cs="Times New Roman"/>
        </w:rPr>
        <w:lastRenderedPageBreak/>
        <w:t>emitidas por un Juez que pretende resolver una situación determinada.</w:t>
      </w: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t>Revocación:</w:t>
      </w:r>
      <w:r w:rsidRPr="003A2E7F">
        <w:rPr>
          <w:rFonts w:ascii="Times New Roman" w:hAnsi="Times New Roman" w:cs="Times New Roman"/>
        </w:rPr>
        <w:t xml:space="preserve"> Modificación parcial del Juez que conoce el recurso de apelación, de la decisión que se le somete. La revocación no implica rehacer el proceso judicial.</w:t>
      </w:r>
    </w:p>
    <w:p w:rsidR="003A2E7F" w:rsidRPr="003A2E7F" w:rsidRDefault="003A2E7F" w:rsidP="003A2E7F">
      <w:pPr>
        <w:spacing w:line="360" w:lineRule="auto"/>
        <w:jc w:val="both"/>
        <w:rPr>
          <w:rFonts w:ascii="Times New Roman" w:hAnsi="Times New Roman" w:cs="Times New Roman"/>
        </w:rPr>
      </w:pP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t xml:space="preserve">Sentencia: </w:t>
      </w:r>
      <w:r w:rsidRPr="003A2E7F">
        <w:rPr>
          <w:rFonts w:ascii="Times New Roman" w:hAnsi="Times New Roman" w:cs="Times New Roman"/>
        </w:rPr>
        <w:t xml:space="preserve">Decisión judicial que resuelve las pretensiones de las partes o señala la condenación o absolución del procesado. </w:t>
      </w:r>
    </w:p>
    <w:p w:rsidR="003A2E7F" w:rsidRPr="003A2E7F" w:rsidRDefault="003A2E7F" w:rsidP="003A2E7F">
      <w:pPr>
        <w:spacing w:line="360" w:lineRule="auto"/>
        <w:jc w:val="both"/>
        <w:rPr>
          <w:rFonts w:ascii="Times New Roman" w:hAnsi="Times New Roman" w:cs="Times New Roman"/>
        </w:rPr>
      </w:pPr>
    </w:p>
    <w:p w:rsidR="003A2E7F" w:rsidRPr="003A2E7F" w:rsidRDefault="003A2E7F" w:rsidP="003A2E7F">
      <w:pPr>
        <w:spacing w:line="360" w:lineRule="auto"/>
        <w:jc w:val="both"/>
        <w:rPr>
          <w:rFonts w:ascii="Times New Roman" w:hAnsi="Times New Roman" w:cs="Times New Roman"/>
        </w:rPr>
      </w:pPr>
      <w:r w:rsidRPr="003A2E7F">
        <w:rPr>
          <w:rFonts w:ascii="Times New Roman" w:hAnsi="Times New Roman" w:cs="Times New Roman"/>
          <w:b/>
          <w:bCs/>
        </w:rPr>
        <w:t xml:space="preserve">Testimonio de piezas: </w:t>
      </w:r>
      <w:r w:rsidRPr="003A2E7F">
        <w:rPr>
          <w:rFonts w:ascii="Times New Roman" w:hAnsi="Times New Roman" w:cs="Times New Roman"/>
        </w:rPr>
        <w:t xml:space="preserve">Copia certificada de una resolución que ordena la remisión de piezas al Ministerio Público. </w:t>
      </w:r>
    </w:p>
    <w:p w:rsidR="003A2E7F" w:rsidRPr="003A2E7F" w:rsidRDefault="003A2E7F" w:rsidP="003A2E7F">
      <w:pPr>
        <w:spacing w:line="360" w:lineRule="auto"/>
        <w:jc w:val="both"/>
        <w:rPr>
          <w:rFonts w:ascii="Times New Roman" w:hAnsi="Times New Roman" w:cs="Times New Roman"/>
          <w:b/>
        </w:rPr>
      </w:pPr>
    </w:p>
    <w:p w:rsidR="003A2E7F" w:rsidRPr="003A2E7F" w:rsidRDefault="003A2E7F" w:rsidP="003A2E7F">
      <w:pPr>
        <w:spacing w:line="360" w:lineRule="auto"/>
        <w:jc w:val="both"/>
        <w:rPr>
          <w:rFonts w:ascii="Times New Roman" w:hAnsi="Times New Roman" w:cs="Times New Roman"/>
        </w:rPr>
      </w:pPr>
    </w:p>
    <w:p w:rsidR="003A2E7F" w:rsidRPr="003A2E7F" w:rsidRDefault="003A2E7F" w:rsidP="003A2E7F">
      <w:pPr>
        <w:spacing w:line="360" w:lineRule="auto"/>
        <w:jc w:val="both"/>
        <w:rPr>
          <w:rFonts w:ascii="Times New Roman" w:hAnsi="Times New Roman" w:cs="Times New Roman"/>
        </w:rPr>
      </w:pPr>
    </w:p>
    <w:p w:rsidR="007D737B" w:rsidRDefault="007D737B" w:rsidP="007D737B">
      <w:pPr>
        <w:spacing w:line="360" w:lineRule="auto"/>
        <w:jc w:val="both"/>
      </w:pPr>
    </w:p>
    <w:sectPr w:rsidR="007D737B" w:rsidSect="00593A8C">
      <w:headerReference w:type="default" r:id="rId95"/>
      <w:footerReference w:type="default" r:id="rId96"/>
      <w:pgSz w:w="12242" w:h="15842" w:code="1"/>
      <w:pgMar w:top="1701" w:right="1417" w:bottom="1701" w:left="141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322D" w:rsidRDefault="0010322D">
      <w:r>
        <w:separator/>
      </w:r>
    </w:p>
  </w:endnote>
  <w:endnote w:type="continuationSeparator" w:id="0">
    <w:p w:rsidR="0010322D" w:rsidRDefault="0010322D">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467" w:rsidRDefault="003A1B7B" w:rsidP="0038705C">
    <w:pPr>
      <w:pStyle w:val="Piedepgina"/>
      <w:framePr w:wrap="around" w:vAnchor="text" w:hAnchor="margin" w:xAlign="right" w:y="1"/>
      <w:rPr>
        <w:rStyle w:val="Nmerodepgina"/>
      </w:rPr>
    </w:pPr>
    <w:r>
      <w:rPr>
        <w:rStyle w:val="Nmerodepgina"/>
      </w:rPr>
      <w:fldChar w:fldCharType="begin"/>
    </w:r>
    <w:r w:rsidR="00071467">
      <w:rPr>
        <w:rStyle w:val="Nmerodepgina"/>
      </w:rPr>
      <w:instrText xml:space="preserve">PAGE  </w:instrText>
    </w:r>
    <w:r>
      <w:rPr>
        <w:rStyle w:val="Nmerodepgina"/>
      </w:rPr>
      <w:fldChar w:fldCharType="end"/>
    </w:r>
  </w:p>
  <w:p w:rsidR="00071467" w:rsidRDefault="00071467" w:rsidP="0038705C">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467" w:rsidRDefault="003A1B7B">
    <w:pPr>
      <w:pStyle w:val="Piedepgina"/>
      <w:framePr w:wrap="auto" w:vAnchor="text" w:hAnchor="margin" w:xAlign="right" w:y="1"/>
      <w:jc w:val="right"/>
      <w:rPr>
        <w:rStyle w:val="Nmerodepgina"/>
      </w:rPr>
    </w:pPr>
    <w:r>
      <w:rPr>
        <w:rStyle w:val="Nmerodepgina"/>
      </w:rPr>
      <w:fldChar w:fldCharType="begin"/>
    </w:r>
    <w:r w:rsidR="00071467">
      <w:rPr>
        <w:rStyle w:val="Nmerodepgina"/>
      </w:rPr>
      <w:instrText xml:space="preserve">PAGE  </w:instrText>
    </w:r>
    <w:r>
      <w:rPr>
        <w:rStyle w:val="Nmerodepgina"/>
      </w:rPr>
      <w:fldChar w:fldCharType="separate"/>
    </w:r>
    <w:r w:rsidR="00071467">
      <w:rPr>
        <w:rStyle w:val="Nmerodepgina"/>
        <w:noProof/>
      </w:rPr>
      <w:t>1</w:t>
    </w:r>
    <w:r>
      <w:rPr>
        <w:rStyle w:val="Nmerodepgina"/>
      </w:rPr>
      <w:fldChar w:fldCharType="end"/>
    </w:r>
  </w:p>
  <w:p w:rsidR="00071467" w:rsidRPr="003F17C3" w:rsidRDefault="00071467" w:rsidP="003E1AD5">
    <w:pPr>
      <w:framePr w:wrap="auto" w:vAnchor="text" w:hAnchor="margin" w:xAlign="right" w:y="1"/>
      <w:widowControl/>
      <w:pBdr>
        <w:top w:val="single" w:sz="4" w:space="1" w:color="auto"/>
      </w:pBdr>
      <w:autoSpaceDE/>
      <w:autoSpaceDN/>
      <w:adjustRightInd/>
      <w:jc w:val="center"/>
      <w:rPr>
        <w:rFonts w:ascii="Book Antiqua" w:hAnsi="Book Antiqua" w:cs="Times New Roman"/>
        <w:b/>
        <w:bCs/>
        <w:color w:val="000000"/>
      </w:rPr>
    </w:pPr>
    <w:r w:rsidRPr="003F17C3">
      <w:rPr>
        <w:rFonts w:ascii="Book Antiqua" w:hAnsi="Book Antiqua" w:cs="Times New Roman"/>
        <w:b/>
        <w:bCs/>
        <w:color w:val="000000"/>
      </w:rPr>
      <w:t xml:space="preserve">Trabajamos por el desarrollo de la administración de </w:t>
    </w:r>
    <w:proofErr w:type="spellStart"/>
    <w:r w:rsidRPr="003F17C3">
      <w:rPr>
        <w:rFonts w:ascii="Book Antiqua" w:hAnsi="Book Antiqua" w:cs="Times New Roman"/>
        <w:b/>
        <w:bCs/>
        <w:color w:val="000000"/>
      </w:rPr>
      <w:t>justiciacon</w:t>
    </w:r>
    <w:proofErr w:type="spellEnd"/>
    <w:r w:rsidRPr="003F17C3">
      <w:rPr>
        <w:rFonts w:ascii="Book Antiqua" w:hAnsi="Book Antiqua" w:cs="Times New Roman"/>
        <w:b/>
        <w:bCs/>
        <w:color w:val="000000"/>
      </w:rPr>
      <w:t xml:space="preserve"> proyección e innovación</w:t>
    </w:r>
  </w:p>
  <w:p w:rsidR="00071467" w:rsidRPr="003F17C3" w:rsidRDefault="00071467" w:rsidP="003E1AD5">
    <w:pPr>
      <w:framePr w:wrap="auto" w:vAnchor="text" w:hAnchor="margin" w:xAlign="right" w:y="1"/>
      <w:widowControl/>
      <w:autoSpaceDE/>
      <w:autoSpaceDN/>
      <w:adjustRightInd/>
      <w:rPr>
        <w:rFonts w:ascii="Cambria" w:hAnsi="Cambria" w:cs="Times New Roman"/>
        <w:b/>
        <w:bCs/>
        <w:color w:val="000080"/>
      </w:rPr>
    </w:pPr>
  </w:p>
  <w:p w:rsidR="00071467" w:rsidRDefault="00071467">
    <w:pPr>
      <w:pStyle w:val="Piedepgina"/>
      <w:framePr w:wrap="auto" w:vAnchor="text" w:hAnchor="margin" w:xAlign="right" w:y="1"/>
      <w:ind w:right="360"/>
      <w:rPr>
        <w:rStyle w:val="Nmerodepgina"/>
      </w:rPr>
    </w:pPr>
  </w:p>
  <w:p w:rsidR="00071467" w:rsidRDefault="00071467">
    <w:pPr>
      <w:pStyle w:val="Piedepgina"/>
      <w:framePr w:wrap="auto" w:vAnchor="text" w:hAnchor="page" w:x="1419" w:y="-116"/>
      <w:ind w:right="360"/>
      <w:rPr>
        <w:rStyle w:val="Nmerodepgina"/>
      </w:rPr>
    </w:pPr>
  </w:p>
  <w:p w:rsidR="00071467" w:rsidRDefault="00071467">
    <w:pPr>
      <w:pStyle w:val="Piedep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467" w:rsidRDefault="003A1B7B" w:rsidP="0038705C">
    <w:pPr>
      <w:pStyle w:val="Piedepgina"/>
      <w:framePr w:wrap="around" w:vAnchor="text" w:hAnchor="margin" w:xAlign="right" w:y="1"/>
      <w:rPr>
        <w:rStyle w:val="Nmerodepgina"/>
      </w:rPr>
    </w:pPr>
    <w:r>
      <w:rPr>
        <w:rStyle w:val="Nmerodepgina"/>
      </w:rPr>
      <w:fldChar w:fldCharType="begin"/>
    </w:r>
    <w:r w:rsidR="00071467">
      <w:rPr>
        <w:rStyle w:val="Nmerodepgina"/>
      </w:rPr>
      <w:instrText xml:space="preserve">PAGE  </w:instrText>
    </w:r>
    <w:r>
      <w:rPr>
        <w:rStyle w:val="Nmerodepgina"/>
      </w:rPr>
      <w:fldChar w:fldCharType="end"/>
    </w:r>
  </w:p>
  <w:p w:rsidR="00071467" w:rsidRDefault="00071467" w:rsidP="0038705C">
    <w:pPr>
      <w:pStyle w:val="Piedepgin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467" w:rsidRDefault="003A1B7B">
    <w:pPr>
      <w:pStyle w:val="Piedepgina"/>
      <w:framePr w:wrap="auto" w:vAnchor="text" w:hAnchor="margin" w:xAlign="right" w:y="1"/>
      <w:jc w:val="right"/>
      <w:rPr>
        <w:rStyle w:val="Nmerodepgina"/>
      </w:rPr>
    </w:pPr>
    <w:r>
      <w:rPr>
        <w:rStyle w:val="Nmerodepgina"/>
      </w:rPr>
      <w:fldChar w:fldCharType="begin"/>
    </w:r>
    <w:r w:rsidR="00071467">
      <w:rPr>
        <w:rStyle w:val="Nmerodepgina"/>
      </w:rPr>
      <w:instrText xml:space="preserve">PAGE  </w:instrText>
    </w:r>
    <w:r>
      <w:rPr>
        <w:rStyle w:val="Nmerodepgina"/>
      </w:rPr>
      <w:fldChar w:fldCharType="separate"/>
    </w:r>
    <w:r w:rsidR="00DD6A5F">
      <w:rPr>
        <w:rStyle w:val="Nmerodepgina"/>
        <w:noProof/>
      </w:rPr>
      <w:t>ii</w:t>
    </w:r>
    <w:r>
      <w:rPr>
        <w:rStyle w:val="Nmerodepgina"/>
      </w:rPr>
      <w:fldChar w:fldCharType="end"/>
    </w:r>
  </w:p>
  <w:p w:rsidR="00071467" w:rsidRDefault="00071467" w:rsidP="003E1AD5">
    <w:pPr>
      <w:framePr w:wrap="auto" w:vAnchor="text" w:hAnchor="margin" w:xAlign="right" w:y="1"/>
      <w:widowControl/>
      <w:pBdr>
        <w:top w:val="single" w:sz="4" w:space="1" w:color="auto"/>
      </w:pBdr>
      <w:autoSpaceDE/>
      <w:autoSpaceDN/>
      <w:adjustRightInd/>
      <w:jc w:val="center"/>
      <w:rPr>
        <w:rFonts w:ascii="Book Antiqua" w:hAnsi="Book Antiqua" w:cs="Times New Roman"/>
        <w:b/>
        <w:bCs/>
        <w:color w:val="000000"/>
      </w:rPr>
    </w:pPr>
    <w:r w:rsidRPr="003F17C3">
      <w:rPr>
        <w:rFonts w:ascii="Book Antiqua" w:hAnsi="Book Antiqua" w:cs="Times New Roman"/>
        <w:b/>
        <w:bCs/>
        <w:color w:val="000000"/>
      </w:rPr>
      <w:t>Trabajamos por el desarrollo de la administración de justicia</w:t>
    </w:r>
  </w:p>
  <w:p w:rsidR="00071467" w:rsidRPr="003F17C3" w:rsidRDefault="00071467" w:rsidP="003E1AD5">
    <w:pPr>
      <w:framePr w:wrap="auto" w:vAnchor="text" w:hAnchor="margin" w:xAlign="right" w:y="1"/>
      <w:widowControl/>
      <w:pBdr>
        <w:top w:val="single" w:sz="4" w:space="1" w:color="auto"/>
      </w:pBdr>
      <w:autoSpaceDE/>
      <w:autoSpaceDN/>
      <w:adjustRightInd/>
      <w:jc w:val="center"/>
      <w:rPr>
        <w:rFonts w:ascii="Book Antiqua" w:hAnsi="Book Antiqua" w:cs="Times New Roman"/>
        <w:b/>
        <w:bCs/>
        <w:color w:val="000000"/>
      </w:rPr>
    </w:pPr>
    <w:proofErr w:type="gramStart"/>
    <w:r w:rsidRPr="003F17C3">
      <w:rPr>
        <w:rFonts w:ascii="Book Antiqua" w:hAnsi="Book Antiqua" w:cs="Times New Roman"/>
        <w:b/>
        <w:bCs/>
        <w:color w:val="000000"/>
      </w:rPr>
      <w:t>con</w:t>
    </w:r>
    <w:proofErr w:type="gramEnd"/>
    <w:r w:rsidRPr="003F17C3">
      <w:rPr>
        <w:rFonts w:ascii="Book Antiqua" w:hAnsi="Book Antiqua" w:cs="Times New Roman"/>
        <w:b/>
        <w:bCs/>
        <w:color w:val="000000"/>
      </w:rPr>
      <w:t xml:space="preserve"> proyección e innovación</w:t>
    </w:r>
  </w:p>
  <w:p w:rsidR="00071467" w:rsidRPr="003F17C3" w:rsidRDefault="00071467" w:rsidP="003E1AD5">
    <w:pPr>
      <w:framePr w:wrap="auto" w:vAnchor="text" w:hAnchor="margin" w:xAlign="right" w:y="1"/>
      <w:widowControl/>
      <w:autoSpaceDE/>
      <w:autoSpaceDN/>
      <w:adjustRightInd/>
      <w:rPr>
        <w:rFonts w:ascii="Cambria" w:hAnsi="Cambria" w:cs="Times New Roman"/>
        <w:b/>
        <w:bCs/>
        <w:color w:val="000080"/>
      </w:rPr>
    </w:pPr>
  </w:p>
  <w:p w:rsidR="00071467" w:rsidRDefault="00071467">
    <w:pPr>
      <w:pStyle w:val="Piedepgina"/>
      <w:framePr w:wrap="auto" w:vAnchor="text" w:hAnchor="margin" w:xAlign="right" w:y="1"/>
      <w:ind w:right="360"/>
      <w:rPr>
        <w:rStyle w:val="Nmerodepgina"/>
      </w:rPr>
    </w:pPr>
  </w:p>
  <w:p w:rsidR="00071467" w:rsidRDefault="00071467">
    <w:pPr>
      <w:pStyle w:val="Piedepgina"/>
      <w:framePr w:wrap="auto" w:vAnchor="text" w:hAnchor="page" w:x="1419" w:y="-116"/>
      <w:ind w:right="360"/>
      <w:rPr>
        <w:rStyle w:val="Nmerodepgina"/>
      </w:rPr>
    </w:pPr>
  </w:p>
  <w:p w:rsidR="00071467" w:rsidRDefault="00071467">
    <w:pPr>
      <w:pStyle w:val="Piedepgin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467" w:rsidRDefault="003A1B7B">
    <w:pPr>
      <w:pStyle w:val="Piedepgina"/>
      <w:framePr w:wrap="auto" w:vAnchor="text" w:hAnchor="margin" w:xAlign="right" w:y="1"/>
      <w:rPr>
        <w:rStyle w:val="Nmerodepgina"/>
      </w:rPr>
    </w:pPr>
    <w:r>
      <w:rPr>
        <w:rStyle w:val="Nmerodepgina"/>
      </w:rPr>
      <w:fldChar w:fldCharType="begin"/>
    </w:r>
    <w:r w:rsidR="00071467">
      <w:rPr>
        <w:rStyle w:val="Nmerodepgina"/>
      </w:rPr>
      <w:instrText xml:space="preserve"> PAGE </w:instrText>
    </w:r>
    <w:r>
      <w:rPr>
        <w:rStyle w:val="Nmerodepgina"/>
      </w:rPr>
      <w:fldChar w:fldCharType="separate"/>
    </w:r>
    <w:r w:rsidR="00DD6A5F">
      <w:rPr>
        <w:rStyle w:val="Nmerodepgina"/>
        <w:noProof/>
      </w:rPr>
      <w:t>93</w:t>
    </w:r>
    <w:r>
      <w:rPr>
        <w:rStyle w:val="Nmerodepgina"/>
      </w:rPr>
      <w:fldChar w:fldCharType="end"/>
    </w:r>
  </w:p>
  <w:p w:rsidR="00071467" w:rsidRDefault="00071467" w:rsidP="00C90951">
    <w:pPr>
      <w:widowControl/>
      <w:pBdr>
        <w:top w:val="single" w:sz="4" w:space="1" w:color="auto"/>
      </w:pBdr>
      <w:autoSpaceDE/>
      <w:autoSpaceDN/>
      <w:adjustRightInd/>
      <w:jc w:val="center"/>
      <w:rPr>
        <w:rFonts w:ascii="Book Antiqua" w:hAnsi="Book Antiqua" w:cs="Times New Roman"/>
        <w:b/>
        <w:bCs/>
        <w:color w:val="000000"/>
      </w:rPr>
    </w:pPr>
    <w:r w:rsidRPr="003F17C3">
      <w:rPr>
        <w:rFonts w:ascii="Book Antiqua" w:hAnsi="Book Antiqua" w:cs="Times New Roman"/>
        <w:b/>
        <w:bCs/>
        <w:color w:val="000000"/>
      </w:rPr>
      <w:t>Trabajamos por el desarrollo de la administración de justicia</w:t>
    </w:r>
  </w:p>
  <w:p w:rsidR="00071467" w:rsidRPr="003F17C3" w:rsidRDefault="00071467" w:rsidP="00C90951">
    <w:pPr>
      <w:widowControl/>
      <w:pBdr>
        <w:top w:val="single" w:sz="4" w:space="1" w:color="auto"/>
      </w:pBdr>
      <w:autoSpaceDE/>
      <w:autoSpaceDN/>
      <w:adjustRightInd/>
      <w:jc w:val="center"/>
      <w:rPr>
        <w:rFonts w:ascii="Book Antiqua" w:hAnsi="Book Antiqua" w:cs="Times New Roman"/>
        <w:b/>
        <w:bCs/>
        <w:color w:val="000000"/>
      </w:rPr>
    </w:pPr>
    <w:proofErr w:type="gramStart"/>
    <w:r w:rsidRPr="003F17C3">
      <w:rPr>
        <w:rFonts w:ascii="Book Antiqua" w:hAnsi="Book Antiqua" w:cs="Times New Roman"/>
        <w:b/>
        <w:bCs/>
        <w:color w:val="000000"/>
      </w:rPr>
      <w:t>con</w:t>
    </w:r>
    <w:proofErr w:type="gramEnd"/>
    <w:r w:rsidRPr="003F17C3">
      <w:rPr>
        <w:rFonts w:ascii="Book Antiqua" w:hAnsi="Book Antiqua" w:cs="Times New Roman"/>
        <w:b/>
        <w:bCs/>
        <w:color w:val="000000"/>
      </w:rPr>
      <w:t xml:space="preserve"> proyección e innovación</w:t>
    </w:r>
  </w:p>
  <w:p w:rsidR="00071467" w:rsidRDefault="00071467" w:rsidP="00C90951">
    <w:pPr>
      <w:pStyle w:val="Piedepgina"/>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467" w:rsidRDefault="003A1B7B">
    <w:pPr>
      <w:pStyle w:val="Piedepgina"/>
      <w:framePr w:wrap="auto" w:vAnchor="text" w:hAnchor="margin" w:xAlign="right" w:y="1"/>
      <w:rPr>
        <w:rStyle w:val="Nmerodepgina"/>
      </w:rPr>
    </w:pPr>
    <w:r>
      <w:rPr>
        <w:rStyle w:val="Nmerodepgina"/>
      </w:rPr>
      <w:fldChar w:fldCharType="begin"/>
    </w:r>
    <w:r w:rsidR="00071467">
      <w:rPr>
        <w:rStyle w:val="Nmerodepgina"/>
      </w:rPr>
      <w:instrText xml:space="preserve"> PAGE </w:instrText>
    </w:r>
    <w:r>
      <w:rPr>
        <w:rStyle w:val="Nmerodepgina"/>
      </w:rPr>
      <w:fldChar w:fldCharType="separate"/>
    </w:r>
    <w:r w:rsidR="00DD6A5F">
      <w:rPr>
        <w:rStyle w:val="Nmerodepgina"/>
        <w:noProof/>
      </w:rPr>
      <w:t>130</w:t>
    </w:r>
    <w:r>
      <w:rPr>
        <w:rStyle w:val="Nmerodepgina"/>
      </w:rPr>
      <w:fldChar w:fldCharType="end"/>
    </w:r>
  </w:p>
  <w:p w:rsidR="00071467" w:rsidRDefault="00071467" w:rsidP="00C90951">
    <w:pPr>
      <w:widowControl/>
      <w:pBdr>
        <w:top w:val="single" w:sz="4" w:space="1" w:color="auto"/>
      </w:pBdr>
      <w:autoSpaceDE/>
      <w:autoSpaceDN/>
      <w:adjustRightInd/>
      <w:jc w:val="center"/>
      <w:rPr>
        <w:rFonts w:ascii="Book Antiqua" w:hAnsi="Book Antiqua" w:cs="Times New Roman"/>
        <w:b/>
        <w:bCs/>
        <w:color w:val="000000"/>
      </w:rPr>
    </w:pPr>
    <w:r w:rsidRPr="003F17C3">
      <w:rPr>
        <w:rFonts w:ascii="Book Antiqua" w:hAnsi="Book Antiqua" w:cs="Times New Roman"/>
        <w:b/>
        <w:bCs/>
        <w:color w:val="000000"/>
      </w:rPr>
      <w:t>Trabajamos por el desarrollo de la administración de justicia</w:t>
    </w:r>
  </w:p>
  <w:p w:rsidR="00071467" w:rsidRPr="003F17C3" w:rsidRDefault="00071467" w:rsidP="00C90951">
    <w:pPr>
      <w:widowControl/>
      <w:pBdr>
        <w:top w:val="single" w:sz="4" w:space="1" w:color="auto"/>
      </w:pBdr>
      <w:autoSpaceDE/>
      <w:autoSpaceDN/>
      <w:adjustRightInd/>
      <w:jc w:val="center"/>
      <w:rPr>
        <w:rFonts w:ascii="Book Antiqua" w:hAnsi="Book Antiqua" w:cs="Times New Roman"/>
        <w:b/>
        <w:bCs/>
        <w:color w:val="000000"/>
      </w:rPr>
    </w:pPr>
    <w:proofErr w:type="gramStart"/>
    <w:r w:rsidRPr="003F17C3">
      <w:rPr>
        <w:rFonts w:ascii="Book Antiqua" w:hAnsi="Book Antiqua" w:cs="Times New Roman"/>
        <w:b/>
        <w:bCs/>
        <w:color w:val="000000"/>
      </w:rPr>
      <w:t>con</w:t>
    </w:r>
    <w:proofErr w:type="gramEnd"/>
    <w:r w:rsidRPr="003F17C3">
      <w:rPr>
        <w:rFonts w:ascii="Book Antiqua" w:hAnsi="Book Antiqua" w:cs="Times New Roman"/>
        <w:b/>
        <w:bCs/>
        <w:color w:val="000000"/>
      </w:rPr>
      <w:t xml:space="preserve"> proyección e innovación</w:t>
    </w:r>
  </w:p>
  <w:p w:rsidR="00071467" w:rsidRDefault="00071467" w:rsidP="00C90951">
    <w:pPr>
      <w:pStyle w:val="Piedepgina"/>
      <w:ind w:right="360"/>
    </w:pPr>
  </w:p>
  <w:p w:rsidR="00071467" w:rsidRDefault="00071467">
    <w:pPr>
      <w:pStyle w:val="Piedepgina"/>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467" w:rsidRDefault="003A1B7B" w:rsidP="0038705C">
    <w:pPr>
      <w:pStyle w:val="Piedepgina"/>
      <w:framePr w:wrap="around" w:vAnchor="text" w:hAnchor="margin" w:xAlign="right" w:y="1"/>
      <w:rPr>
        <w:rStyle w:val="Nmerodepgina"/>
      </w:rPr>
    </w:pPr>
    <w:r>
      <w:rPr>
        <w:rStyle w:val="Nmerodepgina"/>
      </w:rPr>
      <w:fldChar w:fldCharType="begin"/>
    </w:r>
    <w:r w:rsidR="00071467">
      <w:rPr>
        <w:rStyle w:val="Nmerodepgina"/>
      </w:rPr>
      <w:instrText xml:space="preserve">PAGE  </w:instrText>
    </w:r>
    <w:r>
      <w:rPr>
        <w:rStyle w:val="Nmerodepgina"/>
      </w:rPr>
      <w:fldChar w:fldCharType="separate"/>
    </w:r>
    <w:r w:rsidR="00DD6A5F">
      <w:rPr>
        <w:rStyle w:val="Nmerodepgina"/>
        <w:noProof/>
      </w:rPr>
      <w:t>135</w:t>
    </w:r>
    <w:r>
      <w:rPr>
        <w:rStyle w:val="Nmerodepgina"/>
      </w:rPr>
      <w:fldChar w:fldCharType="end"/>
    </w:r>
  </w:p>
  <w:p w:rsidR="00071467" w:rsidRDefault="00071467" w:rsidP="00C04B95">
    <w:pPr>
      <w:widowControl/>
      <w:pBdr>
        <w:top w:val="single" w:sz="4" w:space="1" w:color="auto"/>
      </w:pBdr>
      <w:autoSpaceDE/>
      <w:autoSpaceDN/>
      <w:adjustRightInd/>
      <w:jc w:val="center"/>
      <w:rPr>
        <w:rFonts w:ascii="Book Antiqua" w:hAnsi="Book Antiqua" w:cs="Times New Roman"/>
        <w:b/>
        <w:bCs/>
        <w:color w:val="000000"/>
      </w:rPr>
    </w:pPr>
    <w:r w:rsidRPr="003F17C3">
      <w:rPr>
        <w:rFonts w:ascii="Book Antiqua" w:hAnsi="Book Antiqua" w:cs="Times New Roman"/>
        <w:b/>
        <w:bCs/>
        <w:color w:val="000000"/>
      </w:rPr>
      <w:t>Trabajamos por el desarrollo de la administración de justicia</w:t>
    </w:r>
  </w:p>
  <w:p w:rsidR="00071467" w:rsidRPr="003F17C3" w:rsidRDefault="00071467" w:rsidP="00C04B95">
    <w:pPr>
      <w:widowControl/>
      <w:pBdr>
        <w:top w:val="single" w:sz="4" w:space="1" w:color="auto"/>
      </w:pBdr>
      <w:autoSpaceDE/>
      <w:autoSpaceDN/>
      <w:adjustRightInd/>
      <w:jc w:val="center"/>
      <w:rPr>
        <w:rFonts w:ascii="Book Antiqua" w:hAnsi="Book Antiqua" w:cs="Times New Roman"/>
        <w:b/>
        <w:bCs/>
        <w:color w:val="000000"/>
      </w:rPr>
    </w:pPr>
    <w:proofErr w:type="gramStart"/>
    <w:r w:rsidRPr="003F17C3">
      <w:rPr>
        <w:rFonts w:ascii="Book Antiqua" w:hAnsi="Book Antiqua" w:cs="Times New Roman"/>
        <w:b/>
        <w:bCs/>
        <w:color w:val="000000"/>
      </w:rPr>
      <w:t>con</w:t>
    </w:r>
    <w:proofErr w:type="gramEnd"/>
    <w:r w:rsidRPr="003F17C3">
      <w:rPr>
        <w:rFonts w:ascii="Book Antiqua" w:hAnsi="Book Antiqua" w:cs="Times New Roman"/>
        <w:b/>
        <w:bCs/>
        <w:color w:val="000000"/>
      </w:rPr>
      <w:t xml:space="preserve"> proyección e innovación</w:t>
    </w:r>
  </w:p>
  <w:p w:rsidR="00071467" w:rsidRDefault="00071467">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322D" w:rsidRDefault="0010322D">
      <w:r>
        <w:separator/>
      </w:r>
    </w:p>
  </w:footnote>
  <w:footnote w:type="continuationSeparator" w:id="0">
    <w:p w:rsidR="0010322D" w:rsidRDefault="0010322D">
      <w:r>
        <w:continuationSeparator/>
      </w:r>
    </w:p>
  </w:footnote>
  <w:footnote w:id="1">
    <w:p w:rsidR="00071467" w:rsidRPr="00341480" w:rsidRDefault="00071467" w:rsidP="00E9575C">
      <w:pPr>
        <w:pStyle w:val="Textonotapie"/>
        <w:jc w:val="both"/>
        <w:rPr>
          <w:rFonts w:ascii="Times New Roman" w:hAnsi="Times New Roman"/>
        </w:rPr>
      </w:pPr>
      <w:r w:rsidRPr="00341480">
        <w:rPr>
          <w:rStyle w:val="Refdenotaalpie"/>
          <w:rFonts w:ascii="Times New Roman" w:hAnsi="Times New Roman"/>
        </w:rPr>
        <w:footnoteRef/>
      </w:r>
      <w:r w:rsidRPr="00341480">
        <w:rPr>
          <w:rFonts w:ascii="Times New Roman" w:hAnsi="Times New Roman"/>
        </w:rPr>
        <w:t xml:space="preserve"> El tipo de cambio empleado es el de compra reportado por el Banco Central de Costa Rica al 1 de julio de cada año.</w:t>
      </w:r>
    </w:p>
  </w:footnote>
  <w:footnote w:id="2">
    <w:p w:rsidR="00071467" w:rsidRPr="00AA7C49" w:rsidRDefault="00071467" w:rsidP="009030AD">
      <w:pPr>
        <w:pStyle w:val="Textonotapie"/>
        <w:rPr>
          <w:lang w:val="es-CR"/>
        </w:rPr>
      </w:pPr>
      <w:r>
        <w:rPr>
          <w:rStyle w:val="Refdenotaalpie"/>
        </w:rPr>
        <w:footnoteRef/>
      </w:r>
      <w:r w:rsidRPr="006E701D">
        <w:rPr>
          <w:rFonts w:ascii="Times New Roman" w:hAnsi="Times New Roman"/>
        </w:rPr>
        <w:t>La</w:t>
      </w:r>
      <w:r>
        <w:rPr>
          <w:rFonts w:ascii="Times New Roman" w:hAnsi="Times New Roman"/>
        </w:rPr>
        <w:t>s</w:t>
      </w:r>
      <w:r w:rsidRPr="006E701D">
        <w:rPr>
          <w:rFonts w:ascii="Times New Roman" w:hAnsi="Times New Roman"/>
        </w:rPr>
        <w:t xml:space="preserve"> inco</w:t>
      </w:r>
      <w:r>
        <w:rPr>
          <w:rFonts w:ascii="Times New Roman" w:hAnsi="Times New Roman"/>
        </w:rPr>
        <w:t>m</w:t>
      </w:r>
      <w:r w:rsidRPr="006E701D">
        <w:rPr>
          <w:rFonts w:ascii="Times New Roman" w:hAnsi="Times New Roman"/>
        </w:rPr>
        <w:t>petencia</w:t>
      </w:r>
      <w:r>
        <w:rPr>
          <w:rFonts w:ascii="Times New Roman" w:hAnsi="Times New Roman"/>
        </w:rPr>
        <w:t>s</w:t>
      </w:r>
      <w:r w:rsidRPr="006E701D">
        <w:rPr>
          <w:rFonts w:ascii="Times New Roman" w:hAnsi="Times New Roman"/>
        </w:rPr>
        <w:t xml:space="preserve"> se puede</w:t>
      </w:r>
      <w:r>
        <w:rPr>
          <w:rFonts w:ascii="Times New Roman" w:hAnsi="Times New Roman"/>
        </w:rPr>
        <w:t>n</w:t>
      </w:r>
      <w:r w:rsidRPr="006E701D">
        <w:rPr>
          <w:rFonts w:ascii="Times New Roman" w:hAnsi="Times New Roman"/>
        </w:rPr>
        <w:t xml:space="preserve"> </w:t>
      </w:r>
      <w:proofErr w:type="spellStart"/>
      <w:r w:rsidRPr="006E701D">
        <w:rPr>
          <w:rFonts w:ascii="Times New Roman" w:hAnsi="Times New Roman"/>
        </w:rPr>
        <w:t>presentar</w:t>
      </w:r>
      <w:proofErr w:type="gramStart"/>
      <w:r>
        <w:rPr>
          <w:rFonts w:ascii="Times New Roman" w:hAnsi="Times New Roman"/>
        </w:rPr>
        <w:t>,tanto</w:t>
      </w:r>
      <w:proofErr w:type="spellEnd"/>
      <w:proofErr w:type="gramEnd"/>
      <w:r>
        <w:rPr>
          <w:rFonts w:ascii="Times New Roman" w:hAnsi="Times New Roman"/>
        </w:rPr>
        <w:t xml:space="preserve"> </w:t>
      </w:r>
      <w:r w:rsidRPr="006E701D">
        <w:rPr>
          <w:rFonts w:ascii="Times New Roman" w:hAnsi="Times New Roman"/>
        </w:rPr>
        <w:t xml:space="preserve">por materia </w:t>
      </w:r>
      <w:r>
        <w:rPr>
          <w:rFonts w:ascii="Times New Roman" w:hAnsi="Times New Roman"/>
        </w:rPr>
        <w:t>como por</w:t>
      </w:r>
      <w:r w:rsidRPr="006E701D">
        <w:rPr>
          <w:rFonts w:ascii="Times New Roman" w:hAnsi="Times New Roman"/>
        </w:rPr>
        <w:t xml:space="preserve"> territorio</w:t>
      </w:r>
      <w:r>
        <w:rPr>
          <w:rFonts w:ascii="Times New Roman" w:hAnsi="Times New Roman"/>
        </w:rPr>
        <w:t xml:space="preserve"> geográfico</w:t>
      </w:r>
      <w:r>
        <w:rPr>
          <w:lang w:val="es-CR"/>
        </w:rPr>
        <w:t>.</w:t>
      </w:r>
    </w:p>
  </w:footnote>
  <w:footnote w:id="3">
    <w:p w:rsidR="00071467" w:rsidRPr="00684DCA" w:rsidRDefault="00071467" w:rsidP="009030AD">
      <w:pPr>
        <w:pStyle w:val="Textonotapie"/>
        <w:jc w:val="both"/>
        <w:rPr>
          <w:rFonts w:ascii="Times New Roman" w:hAnsi="Times New Roman"/>
        </w:rPr>
      </w:pPr>
      <w:r>
        <w:rPr>
          <w:rStyle w:val="Refdenotaalpie"/>
        </w:rPr>
        <w:footnoteRef/>
      </w:r>
      <w:proofErr w:type="spellStart"/>
      <w:r>
        <w:rPr>
          <w:rFonts w:ascii="Times New Roman" w:hAnsi="Times New Roman"/>
        </w:rPr>
        <w:t>Paraesta</w:t>
      </w:r>
      <w:proofErr w:type="spellEnd"/>
      <w:r>
        <w:rPr>
          <w:rFonts w:ascii="Times New Roman" w:hAnsi="Times New Roman"/>
        </w:rPr>
        <w:t xml:space="preserve"> </w:t>
      </w:r>
      <w:r w:rsidRPr="00684DCA">
        <w:rPr>
          <w:rFonts w:ascii="Times New Roman" w:hAnsi="Times New Roman"/>
        </w:rPr>
        <w:t>materia se refiere a la entrada en el Juzgado Notarial.</w:t>
      </w:r>
    </w:p>
  </w:footnote>
  <w:footnote w:id="4">
    <w:p w:rsidR="00071467" w:rsidRPr="0041220C" w:rsidRDefault="00071467" w:rsidP="009030AD">
      <w:pPr>
        <w:pStyle w:val="Textonotapie"/>
        <w:jc w:val="both"/>
        <w:rPr>
          <w:rFonts w:ascii="Times New Roman" w:hAnsi="Times New Roman" w:cs="Times New Roman"/>
          <w:lang w:val="es-CR"/>
        </w:rPr>
      </w:pPr>
      <w:r w:rsidRPr="0041220C">
        <w:rPr>
          <w:rStyle w:val="Refdenotaalpie"/>
          <w:rFonts w:ascii="Times New Roman" w:hAnsi="Times New Roman"/>
        </w:rPr>
        <w:footnoteRef/>
      </w:r>
      <w:r w:rsidRPr="0041220C">
        <w:rPr>
          <w:rFonts w:ascii="Times New Roman" w:hAnsi="Times New Roman" w:cs="Times New Roman"/>
          <w:lang w:val="es-CR"/>
        </w:rPr>
        <w:t>Constituida por: Sala Primera, Sala Primera como Tribunal de Casación de lo Contencioso Administrativo, Sala Segunda, Sala Tercera, Sala Tercera (Penal Juvenil), Tribunales de Apelación de Sentencia Penal,  Tribunal de Apelación de Sentencia Penal Juvenil, Tribunales Civiles, Tribunales de Trabajo, Tribunal Contencioso Administrativo, Tribunal de Apelación Contencioso Administrativo, Tribunal Agrario y Tribunal de Familia.</w:t>
      </w:r>
    </w:p>
  </w:footnote>
  <w:footnote w:id="5">
    <w:p w:rsidR="00071467" w:rsidRPr="000211C3" w:rsidRDefault="00071467" w:rsidP="003B106A">
      <w:pPr>
        <w:jc w:val="both"/>
        <w:rPr>
          <w:rFonts w:ascii="Times New Roman" w:hAnsi="Times New Roman" w:cs="Times New Roman"/>
        </w:rPr>
      </w:pPr>
      <w:r w:rsidRPr="000950A1">
        <w:rPr>
          <w:rStyle w:val="Refdenotaalpie"/>
        </w:rPr>
        <w:footnoteRef/>
      </w:r>
      <w:r w:rsidRPr="000211C3">
        <w:rPr>
          <w:rFonts w:ascii="Times New Roman" w:hAnsi="Times New Roman" w:cs="Times New Roman"/>
          <w:sz w:val="20"/>
          <w:szCs w:val="20"/>
        </w:rPr>
        <w:t xml:space="preserve">Este </w:t>
      </w:r>
      <w:r w:rsidRPr="000211C3">
        <w:rPr>
          <w:rFonts w:ascii="Times New Roman" w:hAnsi="Times New Roman" w:cs="Times New Roman"/>
          <w:sz w:val="20"/>
          <w:szCs w:val="20"/>
          <w:lang w:eastAsia="ar-SA"/>
        </w:rPr>
        <w:t xml:space="preserve">fenómeno, ocurrirá en el sentido contrario, esto es, si baja el volumen de casos terminados en primera instancia, probablemente, también bajaría el volumen de nuevo ingreso a las instancias superiores y esta </w:t>
      </w:r>
      <w:proofErr w:type="spellStart"/>
      <w:r w:rsidRPr="000211C3">
        <w:rPr>
          <w:rFonts w:ascii="Times New Roman" w:hAnsi="Times New Roman" w:cs="Times New Roman"/>
          <w:sz w:val="20"/>
          <w:szCs w:val="20"/>
          <w:lang w:eastAsia="ar-SA"/>
        </w:rPr>
        <w:t>últimavariable</w:t>
      </w:r>
      <w:proofErr w:type="spellEnd"/>
      <w:r w:rsidRPr="000211C3">
        <w:rPr>
          <w:rFonts w:ascii="Times New Roman" w:hAnsi="Times New Roman" w:cs="Times New Roman"/>
          <w:sz w:val="20"/>
          <w:szCs w:val="20"/>
          <w:lang w:eastAsia="ar-SA"/>
        </w:rPr>
        <w:t xml:space="preserve"> es determinante en el cálculo del circulante final de </w:t>
      </w:r>
      <w:r>
        <w:rPr>
          <w:rFonts w:ascii="Times New Roman" w:hAnsi="Times New Roman" w:cs="Times New Roman"/>
          <w:sz w:val="20"/>
          <w:szCs w:val="20"/>
          <w:lang w:eastAsia="ar-SA"/>
        </w:rPr>
        <w:t>es</w:t>
      </w:r>
      <w:r w:rsidRPr="000211C3">
        <w:rPr>
          <w:rFonts w:ascii="Times New Roman" w:hAnsi="Times New Roman" w:cs="Times New Roman"/>
          <w:sz w:val="20"/>
          <w:szCs w:val="20"/>
          <w:lang w:eastAsia="ar-SA"/>
        </w:rPr>
        <w:t>as instancias.</w:t>
      </w:r>
    </w:p>
  </w:footnote>
  <w:footnote w:id="6">
    <w:p w:rsidR="00071467" w:rsidRPr="000211C3" w:rsidRDefault="00071467" w:rsidP="003B106A">
      <w:pPr>
        <w:pStyle w:val="Textonotapie"/>
        <w:rPr>
          <w:rFonts w:ascii="Times New Roman" w:hAnsi="Times New Roman"/>
        </w:rPr>
      </w:pPr>
      <w:r w:rsidRPr="000211C3">
        <w:rPr>
          <w:rStyle w:val="Refdenotaalpie"/>
          <w:rFonts w:ascii="Times New Roman" w:hAnsi="Times New Roman"/>
        </w:rPr>
        <w:footnoteRef/>
      </w:r>
      <w:r w:rsidRPr="000211C3">
        <w:rPr>
          <w:rFonts w:ascii="Times New Roman" w:hAnsi="Times New Roman"/>
        </w:rPr>
        <w:t xml:space="preserve"> El que aumente o disminuya el tiempo promedio de duración de los casos terminados con sentencia debe ser contextualizado con el grado de antigüedad de la existencia. Si en esta última variable hay muchos asuntos de larga espera y se prioriza su atención hasta la emisión de una sentencia por sobre los asuntos de reciente ingreso, el efecto directo es el aumento de la duración promedio. Si por el contrario se enfatiza la atención de asuntos de reciente ingreso la duración promedio disminuye, pero la existencia tiende a volverse cada mes más antigua. Lo ideal es atender los asuntos de larga data para reducir su presencia en la esfera judicial, esto hará que la duración promedio aumente inicialmente, pero al disminuirse la cantidad de asuntos con tiempos de espera largos, el indicador convergerá a un valor natural asociado a los procedimientos judiciales seguidos en despacho.</w:t>
      </w:r>
    </w:p>
  </w:footnote>
  <w:footnote w:id="7">
    <w:p w:rsidR="00071467" w:rsidRPr="000211C3" w:rsidRDefault="00071467" w:rsidP="003B106A">
      <w:pPr>
        <w:pStyle w:val="Textonotapie"/>
        <w:rPr>
          <w:rFonts w:ascii="Times New Roman" w:hAnsi="Times New Roman"/>
        </w:rPr>
      </w:pPr>
      <w:r w:rsidRPr="000211C3">
        <w:rPr>
          <w:rStyle w:val="Refdenotaalpie"/>
          <w:rFonts w:ascii="Times New Roman" w:hAnsi="Times New Roman"/>
        </w:rPr>
        <w:footnoteRef/>
      </w:r>
      <w:r w:rsidRPr="000211C3">
        <w:rPr>
          <w:rFonts w:ascii="Times New Roman" w:hAnsi="Times New Roman"/>
        </w:rPr>
        <w:t xml:space="preserve"> Se </w:t>
      </w:r>
      <w:r w:rsidRPr="000211C3">
        <w:rPr>
          <w:rFonts w:ascii="Times New Roman" w:hAnsi="Times New Roman"/>
          <w:bCs/>
          <w:lang w:eastAsia="ar-SA"/>
        </w:rPr>
        <w:t>separa el cálculo para el conglomerado de los “juzgados de trabajo de MAYOR cuantía” del relacionado con los competentes en “MENOR cuantía”.</w:t>
      </w:r>
    </w:p>
  </w:footnote>
  <w:footnote w:id="8">
    <w:p w:rsidR="00071467" w:rsidRPr="000211C3" w:rsidRDefault="00071467" w:rsidP="003B106A">
      <w:pPr>
        <w:pStyle w:val="Textonotapie"/>
        <w:rPr>
          <w:rFonts w:ascii="Times New Roman" w:hAnsi="Times New Roman"/>
        </w:rPr>
      </w:pPr>
      <w:r w:rsidRPr="000211C3">
        <w:rPr>
          <w:rStyle w:val="Refdenotaalpie"/>
          <w:rFonts w:ascii="Times New Roman" w:hAnsi="Times New Roman"/>
        </w:rPr>
        <w:footnoteRef/>
      </w:r>
      <w:r w:rsidRPr="000211C3">
        <w:rPr>
          <w:rFonts w:ascii="Times New Roman" w:hAnsi="Times New Roman"/>
          <w:bCs/>
          <w:lang w:eastAsia="ar-SA"/>
        </w:rPr>
        <w:t>La información resultante abarca desde la etapa preparatoria (Ministerio Público) hasta que se dicta sentencia en la etapa de juicio. Así, la duración que se muestra para los tribunales de juicio es la duración total y no solo la que compete a esta etapa del proceso penal.</w:t>
      </w:r>
    </w:p>
  </w:footnote>
  <w:footnote w:id="9">
    <w:p w:rsidR="00071467" w:rsidRPr="00C06EEE" w:rsidRDefault="00071467" w:rsidP="00021501">
      <w:pPr>
        <w:pStyle w:val="Textonotapie"/>
        <w:jc w:val="both"/>
        <w:rPr>
          <w:rFonts w:ascii="Times New Roman" w:hAnsi="Times New Roman" w:cs="Times New Roman"/>
          <w:sz w:val="18"/>
        </w:rPr>
      </w:pPr>
      <w:r w:rsidRPr="00C06EEE">
        <w:rPr>
          <w:rStyle w:val="Refdenotaalpie"/>
          <w:rFonts w:ascii="Times New Roman" w:hAnsi="Times New Roman"/>
          <w:sz w:val="18"/>
        </w:rPr>
        <w:footnoteRef/>
      </w:r>
      <w:r w:rsidRPr="00C06EEE">
        <w:rPr>
          <w:rFonts w:ascii="Times New Roman" w:hAnsi="Times New Roman" w:cs="Times New Roman"/>
          <w:sz w:val="18"/>
        </w:rPr>
        <w:t xml:space="preserve"> En informes anteriores este indicador era denominado “Porcentaje de delitos trasladados al Juzgado Penal”. Tal variación en nomenclatura responde a ajustarla mejor a la definición aritmética base para el cálculo que no cambió.</w:t>
      </w:r>
    </w:p>
  </w:footnote>
  <w:footnote w:id="10">
    <w:p w:rsidR="00071467" w:rsidRPr="009C2D1D" w:rsidRDefault="00071467" w:rsidP="00021501">
      <w:pPr>
        <w:pStyle w:val="Textonotapie"/>
        <w:jc w:val="both"/>
        <w:rPr>
          <w:rFonts w:ascii="Times New Roman" w:hAnsi="Times New Roman"/>
        </w:rPr>
      </w:pPr>
      <w:r w:rsidRPr="00C06EEE">
        <w:rPr>
          <w:rStyle w:val="Refdenotaalpie"/>
          <w:rFonts w:ascii="Times New Roman" w:hAnsi="Times New Roman"/>
          <w:sz w:val="18"/>
        </w:rPr>
        <w:footnoteRef/>
      </w:r>
      <w:r w:rsidRPr="00C06EEE">
        <w:rPr>
          <w:rFonts w:ascii="Times New Roman" w:hAnsi="Times New Roman" w:cs="Times New Roman"/>
          <w:sz w:val="18"/>
          <w:lang w:eastAsia="ar-SA"/>
        </w:rPr>
        <w:t>La entrada neta del Ministerio Público, se obtiene de restar a la cifra de casos entrados el monto de las incompetencias dictadas.</w:t>
      </w:r>
    </w:p>
  </w:footnote>
  <w:footnote w:id="11">
    <w:p w:rsidR="00071467" w:rsidRPr="00A32AD0" w:rsidRDefault="00071467" w:rsidP="00021501">
      <w:pPr>
        <w:pStyle w:val="Textonotapie"/>
        <w:rPr>
          <w:rFonts w:ascii="Times New Roman" w:hAnsi="Times New Roman"/>
        </w:rPr>
      </w:pPr>
      <w:r>
        <w:rPr>
          <w:rStyle w:val="Refdenotaalpie"/>
        </w:rPr>
        <w:footnoteRef/>
      </w:r>
      <w:r w:rsidRPr="00A32AD0">
        <w:rPr>
          <w:rFonts w:ascii="Times New Roman" w:hAnsi="Times New Roman"/>
        </w:rPr>
        <w:t>Antes llamados penados y absueltos por cada 100 habitantes se considera más apropiado darles esta nueva nomenclatura.</w:t>
      </w:r>
    </w:p>
  </w:footnote>
  <w:footnote w:id="12">
    <w:p w:rsidR="00071467" w:rsidRPr="00856FA0" w:rsidRDefault="00071467" w:rsidP="008833DF">
      <w:pPr>
        <w:pStyle w:val="Textonotapie"/>
        <w:rPr>
          <w:rFonts w:ascii="Times New Roman" w:hAnsi="Times New Roman"/>
          <w:lang w:val="es-CR"/>
        </w:rPr>
      </w:pPr>
      <w:r>
        <w:rPr>
          <w:rStyle w:val="Refdenotaalpie"/>
        </w:rPr>
        <w:footnoteRef/>
      </w:r>
      <w:r w:rsidRPr="00856FA0">
        <w:rPr>
          <w:rFonts w:ascii="Times New Roman" w:hAnsi="Times New Roman"/>
          <w:lang w:val="es-CR"/>
        </w:rPr>
        <w:t xml:space="preserve">La entrada neta </w:t>
      </w:r>
      <w:r>
        <w:rPr>
          <w:rFonts w:ascii="Times New Roman" w:hAnsi="Times New Roman"/>
          <w:lang w:val="es-CR"/>
        </w:rPr>
        <w:t xml:space="preserve">o real </w:t>
      </w:r>
      <w:r w:rsidRPr="00856FA0">
        <w:rPr>
          <w:rFonts w:ascii="Times New Roman" w:hAnsi="Times New Roman"/>
          <w:lang w:val="es-CR"/>
        </w:rPr>
        <w:t>es el resultado de restar a los casos entrados las incompetencias para eliminar el reconteo de causas cuando estás se trasladan para ser conocidas por otros despachos judiciales.</w:t>
      </w:r>
    </w:p>
  </w:footnote>
  <w:footnote w:id="13">
    <w:p w:rsidR="00071467" w:rsidRPr="00340D91" w:rsidRDefault="00071467" w:rsidP="001F09BD">
      <w:pPr>
        <w:pStyle w:val="Textonotapie"/>
        <w:jc w:val="both"/>
        <w:rPr>
          <w:rFonts w:ascii="Times New Roman" w:hAnsi="Times New Roman"/>
        </w:rPr>
      </w:pPr>
      <w:r w:rsidRPr="00340D91">
        <w:rPr>
          <w:rStyle w:val="Refdenotaalpie"/>
          <w:rFonts w:ascii="Times New Roman" w:hAnsi="Times New Roman"/>
        </w:rPr>
        <w:footnoteRef/>
      </w:r>
      <w:r w:rsidRPr="00340D91">
        <w:rPr>
          <w:rFonts w:ascii="Times New Roman" w:hAnsi="Times New Roman"/>
        </w:rPr>
        <w:t xml:space="preserve"> Según el Artículo 1 de la Ley de Justicia Penal Juvenil, promulgada en 1996, serán sometidos a esta Ley las personas que tengan una edad comprendida entre los doce años y menos de dieciocho al momento de la comisión de un hecho tipificado como delito.</w:t>
      </w:r>
    </w:p>
  </w:footnote>
  <w:footnote w:id="14">
    <w:p w:rsidR="00071467" w:rsidRPr="000E4E8C" w:rsidRDefault="00071467" w:rsidP="003A2E7F">
      <w:pPr>
        <w:pStyle w:val="Textonotapie"/>
        <w:rPr>
          <w:rFonts w:ascii="Times New Roman" w:hAnsi="Times New Roman"/>
        </w:rPr>
      </w:pPr>
      <w:r w:rsidRPr="000E4E8C">
        <w:rPr>
          <w:rStyle w:val="Refdenotaalpie"/>
          <w:rFonts w:ascii="Times New Roman" w:hAnsi="Times New Roman"/>
        </w:rPr>
        <w:footnoteRef/>
      </w:r>
      <w:r w:rsidRPr="000E4E8C">
        <w:rPr>
          <w:rFonts w:ascii="Times New Roman" w:hAnsi="Times New Roman"/>
          <w:sz w:val="18"/>
          <w:szCs w:val="18"/>
        </w:rPr>
        <w:t>Se toma como gasto en justicia al costo de la justicia y para el gasto público, el gasto del Gobierno Central.</w:t>
      </w:r>
    </w:p>
  </w:footnote>
  <w:footnote w:id="15">
    <w:p w:rsidR="00071467" w:rsidRPr="00F26EFC" w:rsidRDefault="00071467" w:rsidP="003A2E7F">
      <w:pPr>
        <w:pStyle w:val="Textonotapie"/>
        <w:rPr>
          <w:rFonts w:ascii="Times New Roman" w:hAnsi="Times New Roman"/>
        </w:rPr>
      </w:pPr>
      <w:r w:rsidRPr="00F26EFC">
        <w:rPr>
          <w:rStyle w:val="Refdenotaalpie"/>
          <w:rFonts w:ascii="Times New Roman" w:hAnsi="Times New Roman"/>
        </w:rPr>
        <w:footnoteRef/>
      </w:r>
      <w:r w:rsidRPr="00F26EFC">
        <w:rPr>
          <w:rFonts w:ascii="Times New Roman" w:hAnsi="Times New Roman"/>
        </w:rPr>
        <w:t xml:space="preserve"> Para la materia Penal, los casos registrados incluye: la entrada al Ministerio Público, más los delitos de acción privada, más los casos reentrados  y la apertura de testimonio de piezas de las tres etapas (Tribunales, Juzgados, Ministerio Público).</w:t>
      </w:r>
    </w:p>
  </w:footnote>
  <w:footnote w:id="16">
    <w:p w:rsidR="00071467" w:rsidRPr="00F26EFC" w:rsidRDefault="00071467" w:rsidP="003A2E7F">
      <w:pPr>
        <w:pStyle w:val="Textonotapie"/>
        <w:jc w:val="both"/>
        <w:rPr>
          <w:rFonts w:ascii="Times New Roman" w:hAnsi="Times New Roman"/>
        </w:rPr>
      </w:pPr>
      <w:r w:rsidRPr="00F26EFC">
        <w:rPr>
          <w:rStyle w:val="Refdenotaalpie"/>
          <w:rFonts w:ascii="Times New Roman" w:hAnsi="Times New Roman"/>
        </w:rPr>
        <w:footnoteRef/>
      </w:r>
      <w:r w:rsidRPr="00F26EFC">
        <w:rPr>
          <w:rFonts w:ascii="Times New Roman" w:hAnsi="Times New Roman"/>
        </w:rPr>
        <w:t xml:space="preserve"> En el caso de lo pendiente al inicio del período para la primera instancia, la materia penal toma en cuenta el circulante de cada una de las tres etapas.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467" w:rsidRDefault="00071467" w:rsidP="003E1AD5">
    <w:pPr>
      <w:pStyle w:val="Encabezado"/>
      <w:widowControl/>
      <w:tabs>
        <w:tab w:val="clear" w:pos="4252"/>
        <w:tab w:val="clear" w:pos="8504"/>
        <w:tab w:val="center" w:pos="8804"/>
        <w:tab w:val="right" w:pos="8875"/>
      </w:tabs>
      <w:rPr>
        <w:rFonts w:ascii="Book Antiqua" w:hAnsi="Book Antiqua" w:cs="Book Antiqua"/>
        <w:i/>
        <w:iCs/>
        <w:sz w:val="18"/>
        <w:szCs w:val="18"/>
        <w:lang w:val="es-CR"/>
      </w:rPr>
    </w:pPr>
    <w:r>
      <w:rPr>
        <w:rFonts w:ascii="Book Antiqua" w:hAnsi="Book Antiqua" w:cs="Book Antiqua"/>
        <w:i/>
        <w:iCs/>
        <w:sz w:val="18"/>
        <w:szCs w:val="18"/>
        <w:lang w:val="es-CR"/>
      </w:rPr>
      <w:t xml:space="preserve">                                                        Poder Judicial - Dirección de  Planificación</w:t>
    </w:r>
    <w:r w:rsidRPr="009E768D">
      <w:rPr>
        <w:rFonts w:ascii="Times New Roman" w:hAnsi="Times New Roman"/>
        <w:sz w:val="24"/>
        <w:szCs w:val="24"/>
      </w:rPr>
      <w:object w:dxaOrig="1845" w:dyaOrig="2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65pt;height:32.55pt" o:ole="">
          <v:imagedata r:id="rId1" o:title=""/>
        </v:shape>
        <o:OLEObject Type="Embed" ProgID="PBrush" ShapeID="_x0000_i1026" DrawAspect="Content" ObjectID="_1551866633" r:id="rId2"/>
      </w:object>
    </w:r>
  </w:p>
  <w:p w:rsidR="00071467" w:rsidRDefault="00071467" w:rsidP="003E1AD5">
    <w:pPr>
      <w:pStyle w:val="Encabezado"/>
      <w:widowControl/>
      <w:tabs>
        <w:tab w:val="clear" w:pos="8504"/>
        <w:tab w:val="right" w:pos="8875"/>
      </w:tabs>
      <w:jc w:val="center"/>
      <w:rPr>
        <w:rFonts w:ascii="Book Antiqua" w:hAnsi="Book Antiqua" w:cs="Book Antiqua"/>
        <w:i/>
        <w:iCs/>
        <w:sz w:val="18"/>
        <w:szCs w:val="18"/>
        <w:lang w:val="es-CR"/>
      </w:rPr>
    </w:pPr>
    <w:r>
      <w:rPr>
        <w:rFonts w:ascii="Book Antiqua" w:hAnsi="Book Antiqua" w:cs="Book Antiqua"/>
        <w:i/>
        <w:iCs/>
        <w:sz w:val="18"/>
        <w:szCs w:val="18"/>
        <w:lang w:val="es-CR"/>
      </w:rPr>
      <w:t>San José -  Costa Rica</w:t>
    </w:r>
  </w:p>
  <w:p w:rsidR="00071467" w:rsidRPr="005B3B0C" w:rsidRDefault="00071467" w:rsidP="003E1AD5">
    <w:pPr>
      <w:pStyle w:val="Encabezado"/>
      <w:widowControl/>
      <w:jc w:val="center"/>
      <w:rPr>
        <w:rFonts w:ascii="Times New Roman" w:hAnsi="Times New Roman"/>
        <w:lang w:val="en-US"/>
      </w:rPr>
    </w:pPr>
    <w:r w:rsidRPr="002A1796">
      <w:rPr>
        <w:rFonts w:ascii="Book Antiqua" w:hAnsi="Book Antiqua" w:cs="Book Antiqua"/>
        <w:i/>
        <w:iCs/>
        <w:sz w:val="18"/>
        <w:szCs w:val="18"/>
        <w:lang w:val="es-CR"/>
      </w:rPr>
      <w:t xml:space="preserve">Telf.   </w:t>
    </w:r>
    <w:r w:rsidRPr="005B3B0C">
      <w:rPr>
        <w:rFonts w:ascii="Book Antiqua" w:hAnsi="Book Antiqua" w:cs="Book Antiqua"/>
        <w:i/>
        <w:iCs/>
        <w:sz w:val="18"/>
        <w:szCs w:val="18"/>
        <w:lang w:val="en-US"/>
      </w:rPr>
      <w:t xml:space="preserve">2295-3600 / </w:t>
    </w:r>
    <w:proofErr w:type="gramStart"/>
    <w:r w:rsidRPr="005B3B0C">
      <w:rPr>
        <w:rFonts w:ascii="Book Antiqua" w:hAnsi="Book Antiqua" w:cs="Book Antiqua"/>
        <w:i/>
        <w:iCs/>
        <w:sz w:val="18"/>
        <w:szCs w:val="18"/>
        <w:lang w:val="en-US"/>
      </w:rPr>
      <w:t>3599  Fax</w:t>
    </w:r>
    <w:proofErr w:type="gramEnd"/>
    <w:r w:rsidRPr="005B3B0C">
      <w:rPr>
        <w:rFonts w:ascii="Book Antiqua" w:hAnsi="Book Antiqua" w:cs="Book Antiqua"/>
        <w:i/>
        <w:iCs/>
        <w:sz w:val="18"/>
        <w:szCs w:val="18"/>
        <w:lang w:val="en-US"/>
      </w:rPr>
      <w:t>. 2257-</w:t>
    </w:r>
    <w:r>
      <w:rPr>
        <w:rFonts w:ascii="Book Antiqua" w:hAnsi="Book Antiqua" w:cs="Book Antiqua"/>
        <w:i/>
        <w:iCs/>
        <w:sz w:val="18"/>
        <w:szCs w:val="18"/>
        <w:lang w:val="en-US"/>
      </w:rPr>
      <w:t xml:space="preserve">5633   / </w:t>
    </w:r>
    <w:proofErr w:type="spellStart"/>
    <w:r>
      <w:rPr>
        <w:rFonts w:ascii="Book Antiqua" w:hAnsi="Book Antiqua" w:cs="Book Antiqua"/>
        <w:i/>
        <w:iCs/>
        <w:sz w:val="18"/>
        <w:szCs w:val="18"/>
        <w:lang w:val="en-US"/>
      </w:rPr>
      <w:t>Apdo</w:t>
    </w:r>
    <w:proofErr w:type="spellEnd"/>
    <w:r>
      <w:rPr>
        <w:rFonts w:ascii="Book Antiqua" w:hAnsi="Book Antiqua" w:cs="Book Antiqua"/>
        <w:i/>
        <w:iCs/>
        <w:sz w:val="18"/>
        <w:szCs w:val="18"/>
        <w:lang w:val="en-US"/>
      </w:rPr>
      <w:t>.  95-</w:t>
    </w:r>
    <w:proofErr w:type="gramStart"/>
    <w:r>
      <w:rPr>
        <w:rFonts w:ascii="Book Antiqua" w:hAnsi="Book Antiqua" w:cs="Book Antiqua"/>
        <w:i/>
        <w:iCs/>
        <w:sz w:val="18"/>
        <w:szCs w:val="18"/>
        <w:lang w:val="en-US"/>
      </w:rPr>
      <w:t>1003  /</w:t>
    </w:r>
    <w:proofErr w:type="gramEnd"/>
    <w:r>
      <w:rPr>
        <w:rFonts w:ascii="Book Antiqua" w:hAnsi="Book Antiqua" w:cs="Book Antiqua"/>
        <w:i/>
        <w:iCs/>
        <w:sz w:val="18"/>
        <w:szCs w:val="18"/>
        <w:lang w:val="en-US"/>
      </w:rPr>
      <w:t xml:space="preserve"> dir</w:t>
    </w:r>
    <w:r w:rsidRPr="005B3B0C">
      <w:rPr>
        <w:rFonts w:ascii="Book Antiqua" w:hAnsi="Book Antiqua" w:cs="Book Antiqua"/>
        <w:i/>
        <w:iCs/>
        <w:sz w:val="18"/>
        <w:szCs w:val="18"/>
        <w:lang w:val="en-US"/>
      </w:rPr>
      <w:t>_planificacion@poder-judicial.go.cr</w:t>
    </w:r>
  </w:p>
  <w:p w:rsidR="00071467" w:rsidRPr="005B3B0C" w:rsidRDefault="00071467" w:rsidP="003E1AD5">
    <w:pPr>
      <w:pBdr>
        <w:bottom w:val="single" w:sz="6" w:space="0" w:color="auto"/>
      </w:pBdr>
      <w:spacing w:after="20"/>
      <w:rPr>
        <w:lang w:val="en-US"/>
      </w:rPr>
    </w:pPr>
  </w:p>
  <w:p w:rsidR="00071467" w:rsidRPr="003E1AD5" w:rsidRDefault="00071467" w:rsidP="00F26EFC">
    <w:pPr>
      <w:pStyle w:val="Encabezado"/>
      <w:widowControl/>
      <w:jc w:val="center"/>
      <w:rPr>
        <w:sz w:val="16"/>
        <w:szCs w:val="16"/>
        <w:lang w:val="en-US"/>
      </w:rPr>
    </w:pPr>
  </w:p>
  <w:p w:rsidR="00071467" w:rsidRPr="003E1AD5" w:rsidRDefault="00071467" w:rsidP="00F26EFC">
    <w:pPr>
      <w:pStyle w:val="Encabezado"/>
      <w:jc w:val="center"/>
      <w:rPr>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467" w:rsidRDefault="00071467" w:rsidP="003E1AD5">
    <w:pPr>
      <w:pStyle w:val="Encabezado"/>
      <w:widowControl/>
      <w:tabs>
        <w:tab w:val="clear" w:pos="4252"/>
        <w:tab w:val="clear" w:pos="8504"/>
        <w:tab w:val="center" w:pos="8804"/>
        <w:tab w:val="right" w:pos="8875"/>
      </w:tabs>
      <w:rPr>
        <w:rFonts w:ascii="Book Antiqua" w:hAnsi="Book Antiqua" w:cs="Book Antiqua"/>
        <w:i/>
        <w:iCs/>
        <w:sz w:val="18"/>
        <w:szCs w:val="18"/>
        <w:lang w:val="es-CR"/>
      </w:rPr>
    </w:pPr>
    <w:r>
      <w:rPr>
        <w:rFonts w:ascii="Book Antiqua" w:hAnsi="Book Antiqua" w:cs="Book Antiqua"/>
        <w:i/>
        <w:iCs/>
        <w:sz w:val="18"/>
        <w:szCs w:val="18"/>
        <w:lang w:val="es-CR"/>
      </w:rPr>
      <w:t xml:space="preserve">                                                        Poder Judicial - Dirección de  Planificación</w:t>
    </w:r>
    <w:r w:rsidRPr="009E768D">
      <w:rPr>
        <w:rFonts w:ascii="Times New Roman" w:hAnsi="Times New Roman"/>
        <w:sz w:val="24"/>
        <w:szCs w:val="24"/>
      </w:rPr>
      <w:object w:dxaOrig="1845" w:dyaOrig="2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5.65pt;height:32.55pt" o:ole="">
          <v:imagedata r:id="rId1" o:title=""/>
        </v:shape>
        <o:OLEObject Type="Embed" ProgID="PBrush" ShapeID="_x0000_i1027" DrawAspect="Content" ObjectID="_1551866634" r:id="rId2"/>
      </w:object>
    </w:r>
  </w:p>
  <w:p w:rsidR="00071467" w:rsidRDefault="00071467" w:rsidP="003E1AD5">
    <w:pPr>
      <w:pStyle w:val="Encabezado"/>
      <w:widowControl/>
      <w:tabs>
        <w:tab w:val="clear" w:pos="8504"/>
        <w:tab w:val="right" w:pos="8875"/>
      </w:tabs>
      <w:jc w:val="center"/>
      <w:rPr>
        <w:rFonts w:ascii="Book Antiqua" w:hAnsi="Book Antiqua" w:cs="Book Antiqua"/>
        <w:i/>
        <w:iCs/>
        <w:sz w:val="18"/>
        <w:szCs w:val="18"/>
        <w:lang w:val="es-CR"/>
      </w:rPr>
    </w:pPr>
    <w:r>
      <w:rPr>
        <w:rFonts w:ascii="Book Antiqua" w:hAnsi="Book Antiqua" w:cs="Book Antiqua"/>
        <w:i/>
        <w:iCs/>
        <w:sz w:val="18"/>
        <w:szCs w:val="18"/>
        <w:lang w:val="es-CR"/>
      </w:rPr>
      <w:t>San José -  Costa Rica</w:t>
    </w:r>
  </w:p>
  <w:p w:rsidR="00071467" w:rsidRDefault="00071467" w:rsidP="003E1AD5">
    <w:pPr>
      <w:pStyle w:val="Encabezado"/>
      <w:widowControl/>
      <w:jc w:val="center"/>
      <w:rPr>
        <w:rFonts w:ascii="Book Antiqua" w:hAnsi="Book Antiqua" w:cs="Book Antiqua"/>
        <w:i/>
        <w:iCs/>
        <w:sz w:val="18"/>
        <w:szCs w:val="18"/>
        <w:lang w:val="en-US"/>
      </w:rPr>
    </w:pPr>
    <w:r w:rsidRPr="002A1796">
      <w:rPr>
        <w:rFonts w:ascii="Book Antiqua" w:hAnsi="Book Antiqua" w:cs="Book Antiqua"/>
        <w:i/>
        <w:iCs/>
        <w:sz w:val="18"/>
        <w:szCs w:val="18"/>
        <w:lang w:val="es-CR"/>
      </w:rPr>
      <w:t xml:space="preserve">Telf.   </w:t>
    </w:r>
    <w:r w:rsidRPr="005B3B0C">
      <w:rPr>
        <w:rFonts w:ascii="Book Antiqua" w:hAnsi="Book Antiqua" w:cs="Book Antiqua"/>
        <w:i/>
        <w:iCs/>
        <w:sz w:val="18"/>
        <w:szCs w:val="18"/>
        <w:lang w:val="en-US"/>
      </w:rPr>
      <w:t xml:space="preserve">2295-3600 / </w:t>
    </w:r>
    <w:proofErr w:type="gramStart"/>
    <w:r w:rsidRPr="005B3B0C">
      <w:rPr>
        <w:rFonts w:ascii="Book Antiqua" w:hAnsi="Book Antiqua" w:cs="Book Antiqua"/>
        <w:i/>
        <w:iCs/>
        <w:sz w:val="18"/>
        <w:szCs w:val="18"/>
        <w:lang w:val="en-US"/>
      </w:rPr>
      <w:t>3599  Fax</w:t>
    </w:r>
    <w:proofErr w:type="gramEnd"/>
    <w:r w:rsidRPr="005B3B0C">
      <w:rPr>
        <w:rFonts w:ascii="Book Antiqua" w:hAnsi="Book Antiqua" w:cs="Book Antiqua"/>
        <w:i/>
        <w:iCs/>
        <w:sz w:val="18"/>
        <w:szCs w:val="18"/>
        <w:lang w:val="en-US"/>
      </w:rPr>
      <w:t>. 2257-</w:t>
    </w:r>
    <w:r>
      <w:rPr>
        <w:rFonts w:ascii="Book Antiqua" w:hAnsi="Book Antiqua" w:cs="Book Antiqua"/>
        <w:i/>
        <w:iCs/>
        <w:sz w:val="18"/>
        <w:szCs w:val="18"/>
        <w:lang w:val="en-US"/>
      </w:rPr>
      <w:t xml:space="preserve">5633   / </w:t>
    </w:r>
    <w:proofErr w:type="spellStart"/>
    <w:r>
      <w:rPr>
        <w:rFonts w:ascii="Book Antiqua" w:hAnsi="Book Antiqua" w:cs="Book Antiqua"/>
        <w:i/>
        <w:iCs/>
        <w:sz w:val="18"/>
        <w:szCs w:val="18"/>
        <w:lang w:val="en-US"/>
      </w:rPr>
      <w:t>Apdo</w:t>
    </w:r>
    <w:proofErr w:type="spellEnd"/>
    <w:r>
      <w:rPr>
        <w:rFonts w:ascii="Book Antiqua" w:hAnsi="Book Antiqua" w:cs="Book Antiqua"/>
        <w:i/>
        <w:iCs/>
        <w:sz w:val="18"/>
        <w:szCs w:val="18"/>
        <w:lang w:val="en-US"/>
      </w:rPr>
      <w:t>.  95-</w:t>
    </w:r>
    <w:proofErr w:type="gramStart"/>
    <w:r>
      <w:rPr>
        <w:rFonts w:ascii="Book Antiqua" w:hAnsi="Book Antiqua" w:cs="Book Antiqua"/>
        <w:i/>
        <w:iCs/>
        <w:sz w:val="18"/>
        <w:szCs w:val="18"/>
        <w:lang w:val="en-US"/>
      </w:rPr>
      <w:t>1003  /</w:t>
    </w:r>
    <w:proofErr w:type="gramEnd"/>
    <w:r>
      <w:rPr>
        <w:rFonts w:ascii="Book Antiqua" w:hAnsi="Book Antiqua" w:cs="Book Antiqua"/>
        <w:i/>
        <w:iCs/>
        <w:sz w:val="18"/>
        <w:szCs w:val="18"/>
        <w:lang w:val="en-US"/>
      </w:rPr>
      <w:t xml:space="preserve"> </w:t>
    </w:r>
    <w:hyperlink r:id="rId3" w:history="1">
      <w:r w:rsidRPr="003C5089">
        <w:rPr>
          <w:rStyle w:val="Hipervnculo"/>
          <w:rFonts w:ascii="Book Antiqua" w:hAnsi="Book Antiqua" w:cs="Book Antiqua"/>
          <w:i/>
          <w:iCs/>
          <w:sz w:val="18"/>
          <w:szCs w:val="18"/>
          <w:lang w:val="en-US"/>
        </w:rPr>
        <w:t>dir_planificacion@poder-judicial.go.cr</w:t>
      </w:r>
    </w:hyperlink>
  </w:p>
  <w:p w:rsidR="00071467" w:rsidRPr="005B3B0C" w:rsidRDefault="00071467" w:rsidP="003E1AD5">
    <w:pPr>
      <w:pBdr>
        <w:bottom w:val="single" w:sz="6" w:space="0" w:color="auto"/>
      </w:pBdr>
      <w:spacing w:after="20"/>
      <w:rPr>
        <w:lang w:val="en-US"/>
      </w:rPr>
    </w:pPr>
  </w:p>
  <w:p w:rsidR="00071467" w:rsidRPr="003E1AD5" w:rsidRDefault="00071467" w:rsidP="003E1AD5">
    <w:pPr>
      <w:pStyle w:val="Encabezado"/>
      <w:widowControl/>
      <w:rPr>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467" w:rsidRDefault="00071467" w:rsidP="003E1AD5">
    <w:pPr>
      <w:pStyle w:val="Encabezado"/>
      <w:widowControl/>
      <w:tabs>
        <w:tab w:val="clear" w:pos="4252"/>
        <w:tab w:val="clear" w:pos="8504"/>
        <w:tab w:val="center" w:pos="8804"/>
        <w:tab w:val="right" w:pos="8875"/>
      </w:tabs>
      <w:rPr>
        <w:rFonts w:ascii="Book Antiqua" w:hAnsi="Book Antiqua" w:cs="Book Antiqua"/>
        <w:i/>
        <w:iCs/>
        <w:sz w:val="18"/>
        <w:szCs w:val="18"/>
        <w:lang w:val="es-CR"/>
      </w:rPr>
    </w:pPr>
    <w:r>
      <w:rPr>
        <w:rFonts w:ascii="Book Antiqua" w:hAnsi="Book Antiqua" w:cs="Book Antiqua"/>
        <w:i/>
        <w:iCs/>
        <w:sz w:val="18"/>
        <w:szCs w:val="18"/>
        <w:lang w:val="es-CR"/>
      </w:rPr>
      <w:t xml:space="preserve">                                                        Poder Judicial - Dirección de  Planificación</w:t>
    </w:r>
    <w:r w:rsidRPr="009E768D">
      <w:rPr>
        <w:rFonts w:ascii="Times New Roman" w:hAnsi="Times New Roman"/>
        <w:sz w:val="24"/>
        <w:szCs w:val="24"/>
      </w:rPr>
      <w:object w:dxaOrig="1845" w:dyaOrig="2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5.65pt;height:32.55pt" o:ole="">
          <v:imagedata r:id="rId1" o:title=""/>
        </v:shape>
        <o:OLEObject Type="Embed" ProgID="PBrush" ShapeID="_x0000_i1028" DrawAspect="Content" ObjectID="_1551866635" r:id="rId2"/>
      </w:object>
    </w:r>
  </w:p>
  <w:p w:rsidR="00071467" w:rsidRDefault="00071467" w:rsidP="003E1AD5">
    <w:pPr>
      <w:pStyle w:val="Encabezado"/>
      <w:widowControl/>
      <w:tabs>
        <w:tab w:val="clear" w:pos="8504"/>
        <w:tab w:val="right" w:pos="8875"/>
      </w:tabs>
      <w:jc w:val="center"/>
      <w:rPr>
        <w:rFonts w:ascii="Book Antiqua" w:hAnsi="Book Antiqua" w:cs="Book Antiqua"/>
        <w:i/>
        <w:iCs/>
        <w:sz w:val="18"/>
        <w:szCs w:val="18"/>
        <w:lang w:val="es-CR"/>
      </w:rPr>
    </w:pPr>
    <w:r>
      <w:rPr>
        <w:rFonts w:ascii="Book Antiqua" w:hAnsi="Book Antiqua" w:cs="Book Antiqua"/>
        <w:i/>
        <w:iCs/>
        <w:sz w:val="18"/>
        <w:szCs w:val="18"/>
        <w:lang w:val="es-CR"/>
      </w:rPr>
      <w:t>San José -  Costa Rica</w:t>
    </w:r>
  </w:p>
  <w:p w:rsidR="00071467" w:rsidRPr="005B3B0C" w:rsidRDefault="00071467" w:rsidP="003E1AD5">
    <w:pPr>
      <w:pStyle w:val="Encabezado"/>
      <w:widowControl/>
      <w:jc w:val="center"/>
      <w:rPr>
        <w:rFonts w:ascii="Times New Roman" w:hAnsi="Times New Roman"/>
        <w:lang w:val="en-US"/>
      </w:rPr>
    </w:pPr>
    <w:r w:rsidRPr="002A1796">
      <w:rPr>
        <w:rFonts w:ascii="Book Antiqua" w:hAnsi="Book Antiqua" w:cs="Book Antiqua"/>
        <w:i/>
        <w:iCs/>
        <w:sz w:val="18"/>
        <w:szCs w:val="18"/>
        <w:lang w:val="es-CR"/>
      </w:rPr>
      <w:t xml:space="preserve">Telf.   </w:t>
    </w:r>
    <w:r w:rsidRPr="005B3B0C">
      <w:rPr>
        <w:rFonts w:ascii="Book Antiqua" w:hAnsi="Book Antiqua" w:cs="Book Antiqua"/>
        <w:i/>
        <w:iCs/>
        <w:sz w:val="18"/>
        <w:szCs w:val="18"/>
        <w:lang w:val="en-US"/>
      </w:rPr>
      <w:t xml:space="preserve">2295-3600 / </w:t>
    </w:r>
    <w:proofErr w:type="gramStart"/>
    <w:r w:rsidRPr="005B3B0C">
      <w:rPr>
        <w:rFonts w:ascii="Book Antiqua" w:hAnsi="Book Antiqua" w:cs="Book Antiqua"/>
        <w:i/>
        <w:iCs/>
        <w:sz w:val="18"/>
        <w:szCs w:val="18"/>
        <w:lang w:val="en-US"/>
      </w:rPr>
      <w:t>3599  Fax</w:t>
    </w:r>
    <w:proofErr w:type="gramEnd"/>
    <w:r w:rsidRPr="005B3B0C">
      <w:rPr>
        <w:rFonts w:ascii="Book Antiqua" w:hAnsi="Book Antiqua" w:cs="Book Antiqua"/>
        <w:i/>
        <w:iCs/>
        <w:sz w:val="18"/>
        <w:szCs w:val="18"/>
        <w:lang w:val="en-US"/>
      </w:rPr>
      <w:t>. 2257-</w:t>
    </w:r>
    <w:r>
      <w:rPr>
        <w:rFonts w:ascii="Book Antiqua" w:hAnsi="Book Antiqua" w:cs="Book Antiqua"/>
        <w:i/>
        <w:iCs/>
        <w:sz w:val="18"/>
        <w:szCs w:val="18"/>
        <w:lang w:val="en-US"/>
      </w:rPr>
      <w:t xml:space="preserve">5633   / </w:t>
    </w:r>
    <w:proofErr w:type="spellStart"/>
    <w:r>
      <w:rPr>
        <w:rFonts w:ascii="Book Antiqua" w:hAnsi="Book Antiqua" w:cs="Book Antiqua"/>
        <w:i/>
        <w:iCs/>
        <w:sz w:val="18"/>
        <w:szCs w:val="18"/>
        <w:lang w:val="en-US"/>
      </w:rPr>
      <w:t>Apdo</w:t>
    </w:r>
    <w:proofErr w:type="spellEnd"/>
    <w:r>
      <w:rPr>
        <w:rFonts w:ascii="Book Antiqua" w:hAnsi="Book Antiqua" w:cs="Book Antiqua"/>
        <w:i/>
        <w:iCs/>
        <w:sz w:val="18"/>
        <w:szCs w:val="18"/>
        <w:lang w:val="en-US"/>
      </w:rPr>
      <w:t>.  95-</w:t>
    </w:r>
    <w:proofErr w:type="gramStart"/>
    <w:r>
      <w:rPr>
        <w:rFonts w:ascii="Book Antiqua" w:hAnsi="Book Antiqua" w:cs="Book Antiqua"/>
        <w:i/>
        <w:iCs/>
        <w:sz w:val="18"/>
        <w:szCs w:val="18"/>
        <w:lang w:val="en-US"/>
      </w:rPr>
      <w:t>1003  /</w:t>
    </w:r>
    <w:proofErr w:type="gramEnd"/>
    <w:r>
      <w:rPr>
        <w:rFonts w:ascii="Book Antiqua" w:hAnsi="Book Antiqua" w:cs="Book Antiqua"/>
        <w:i/>
        <w:iCs/>
        <w:sz w:val="18"/>
        <w:szCs w:val="18"/>
        <w:lang w:val="en-US"/>
      </w:rPr>
      <w:t xml:space="preserve"> dir</w:t>
    </w:r>
    <w:r w:rsidRPr="005B3B0C">
      <w:rPr>
        <w:rFonts w:ascii="Book Antiqua" w:hAnsi="Book Antiqua" w:cs="Book Antiqua"/>
        <w:i/>
        <w:iCs/>
        <w:sz w:val="18"/>
        <w:szCs w:val="18"/>
        <w:lang w:val="en-US"/>
      </w:rPr>
      <w:t>_planificacion@poder-judicial.go.cr</w:t>
    </w:r>
  </w:p>
  <w:p w:rsidR="00071467" w:rsidRPr="005B3B0C" w:rsidRDefault="00071467" w:rsidP="003E1AD5">
    <w:pPr>
      <w:pBdr>
        <w:bottom w:val="single" w:sz="6" w:space="0" w:color="auto"/>
      </w:pBdr>
      <w:spacing w:after="20"/>
      <w:rPr>
        <w:lang w:val="en-US"/>
      </w:rPr>
    </w:pPr>
  </w:p>
  <w:p w:rsidR="00071467" w:rsidRPr="003E1AD5" w:rsidRDefault="00071467" w:rsidP="00F26EFC">
    <w:pPr>
      <w:pStyle w:val="Encabezado"/>
      <w:widowControl/>
      <w:jc w:val="center"/>
      <w:rPr>
        <w:sz w:val="16"/>
        <w:szCs w:val="16"/>
        <w:lang w:val="en-US"/>
      </w:rPr>
    </w:pPr>
  </w:p>
  <w:p w:rsidR="00071467" w:rsidRPr="003E1AD5" w:rsidRDefault="00071467" w:rsidP="00F26EFC">
    <w:pPr>
      <w:pStyle w:val="Encabezado"/>
      <w:jc w:val="center"/>
      <w:rPr>
        <w:lang w:val="en-U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467" w:rsidRDefault="00071467" w:rsidP="003E1AD5">
    <w:pPr>
      <w:pStyle w:val="Encabezado"/>
      <w:widowControl/>
      <w:tabs>
        <w:tab w:val="clear" w:pos="4252"/>
        <w:tab w:val="clear" w:pos="8504"/>
        <w:tab w:val="center" w:pos="8804"/>
        <w:tab w:val="right" w:pos="8875"/>
      </w:tabs>
      <w:rPr>
        <w:rFonts w:ascii="Book Antiqua" w:hAnsi="Book Antiqua" w:cs="Book Antiqua"/>
        <w:i/>
        <w:iCs/>
        <w:sz w:val="18"/>
        <w:szCs w:val="18"/>
        <w:lang w:val="es-CR"/>
      </w:rPr>
    </w:pPr>
    <w:r>
      <w:rPr>
        <w:rFonts w:ascii="Book Antiqua" w:hAnsi="Book Antiqua" w:cs="Book Antiqua"/>
        <w:i/>
        <w:iCs/>
        <w:sz w:val="18"/>
        <w:szCs w:val="18"/>
        <w:lang w:val="es-CR"/>
      </w:rPr>
      <w:t xml:space="preserve">                                                        Poder Judicial - Dirección de  Planificación</w:t>
    </w:r>
    <w:r w:rsidRPr="009E768D">
      <w:rPr>
        <w:rFonts w:ascii="Times New Roman" w:hAnsi="Times New Roman"/>
        <w:sz w:val="24"/>
        <w:szCs w:val="24"/>
      </w:rPr>
      <w:object w:dxaOrig="1845" w:dyaOrig="2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5.65pt;height:32.55pt" o:ole="">
          <v:imagedata r:id="rId1" o:title=""/>
        </v:shape>
        <o:OLEObject Type="Embed" ProgID="PBrush" ShapeID="_x0000_i1029" DrawAspect="Content" ObjectID="_1551866636" r:id="rId2"/>
      </w:object>
    </w:r>
  </w:p>
  <w:p w:rsidR="00071467" w:rsidRDefault="00071467" w:rsidP="003E1AD5">
    <w:pPr>
      <w:pStyle w:val="Encabezado"/>
      <w:widowControl/>
      <w:tabs>
        <w:tab w:val="clear" w:pos="8504"/>
        <w:tab w:val="right" w:pos="8875"/>
      </w:tabs>
      <w:jc w:val="center"/>
      <w:rPr>
        <w:rFonts w:ascii="Book Antiqua" w:hAnsi="Book Antiqua" w:cs="Book Antiqua"/>
        <w:i/>
        <w:iCs/>
        <w:sz w:val="18"/>
        <w:szCs w:val="18"/>
        <w:lang w:val="es-CR"/>
      </w:rPr>
    </w:pPr>
    <w:r>
      <w:rPr>
        <w:rFonts w:ascii="Book Antiqua" w:hAnsi="Book Antiqua" w:cs="Book Antiqua"/>
        <w:i/>
        <w:iCs/>
        <w:sz w:val="18"/>
        <w:szCs w:val="18"/>
        <w:lang w:val="es-CR"/>
      </w:rPr>
      <w:t>San José -  Costa Rica</w:t>
    </w:r>
  </w:p>
  <w:p w:rsidR="00071467" w:rsidRDefault="00071467" w:rsidP="003E1AD5">
    <w:pPr>
      <w:pStyle w:val="Encabezado"/>
      <w:widowControl/>
      <w:jc w:val="center"/>
      <w:rPr>
        <w:rFonts w:ascii="Book Antiqua" w:hAnsi="Book Antiqua" w:cs="Book Antiqua"/>
        <w:i/>
        <w:iCs/>
        <w:sz w:val="18"/>
        <w:szCs w:val="18"/>
        <w:lang w:val="en-US"/>
      </w:rPr>
    </w:pPr>
    <w:r w:rsidRPr="002A1796">
      <w:rPr>
        <w:rFonts w:ascii="Book Antiqua" w:hAnsi="Book Antiqua" w:cs="Book Antiqua"/>
        <w:i/>
        <w:iCs/>
        <w:sz w:val="18"/>
        <w:szCs w:val="18"/>
        <w:lang w:val="es-CR"/>
      </w:rPr>
      <w:t xml:space="preserve">Telf.   </w:t>
    </w:r>
    <w:r w:rsidRPr="005B3B0C">
      <w:rPr>
        <w:rFonts w:ascii="Book Antiqua" w:hAnsi="Book Antiqua" w:cs="Book Antiqua"/>
        <w:i/>
        <w:iCs/>
        <w:sz w:val="18"/>
        <w:szCs w:val="18"/>
        <w:lang w:val="en-US"/>
      </w:rPr>
      <w:t xml:space="preserve">2295-3600 / </w:t>
    </w:r>
    <w:proofErr w:type="gramStart"/>
    <w:r w:rsidRPr="005B3B0C">
      <w:rPr>
        <w:rFonts w:ascii="Book Antiqua" w:hAnsi="Book Antiqua" w:cs="Book Antiqua"/>
        <w:i/>
        <w:iCs/>
        <w:sz w:val="18"/>
        <w:szCs w:val="18"/>
        <w:lang w:val="en-US"/>
      </w:rPr>
      <w:t>3599  Fax</w:t>
    </w:r>
    <w:proofErr w:type="gramEnd"/>
    <w:r w:rsidRPr="005B3B0C">
      <w:rPr>
        <w:rFonts w:ascii="Book Antiqua" w:hAnsi="Book Antiqua" w:cs="Book Antiqua"/>
        <w:i/>
        <w:iCs/>
        <w:sz w:val="18"/>
        <w:szCs w:val="18"/>
        <w:lang w:val="en-US"/>
      </w:rPr>
      <w:t>. 2257-</w:t>
    </w:r>
    <w:r>
      <w:rPr>
        <w:rFonts w:ascii="Book Antiqua" w:hAnsi="Book Antiqua" w:cs="Book Antiqua"/>
        <w:i/>
        <w:iCs/>
        <w:sz w:val="18"/>
        <w:szCs w:val="18"/>
        <w:lang w:val="en-US"/>
      </w:rPr>
      <w:t xml:space="preserve">5633   / </w:t>
    </w:r>
    <w:proofErr w:type="spellStart"/>
    <w:r>
      <w:rPr>
        <w:rFonts w:ascii="Book Antiqua" w:hAnsi="Book Antiqua" w:cs="Book Antiqua"/>
        <w:i/>
        <w:iCs/>
        <w:sz w:val="18"/>
        <w:szCs w:val="18"/>
        <w:lang w:val="en-US"/>
      </w:rPr>
      <w:t>Apdo</w:t>
    </w:r>
    <w:proofErr w:type="spellEnd"/>
    <w:r>
      <w:rPr>
        <w:rFonts w:ascii="Book Antiqua" w:hAnsi="Book Antiqua" w:cs="Book Antiqua"/>
        <w:i/>
        <w:iCs/>
        <w:sz w:val="18"/>
        <w:szCs w:val="18"/>
        <w:lang w:val="en-US"/>
      </w:rPr>
      <w:t>.  95-</w:t>
    </w:r>
    <w:proofErr w:type="gramStart"/>
    <w:r>
      <w:rPr>
        <w:rFonts w:ascii="Book Antiqua" w:hAnsi="Book Antiqua" w:cs="Book Antiqua"/>
        <w:i/>
        <w:iCs/>
        <w:sz w:val="18"/>
        <w:szCs w:val="18"/>
        <w:lang w:val="en-US"/>
      </w:rPr>
      <w:t>1003  /</w:t>
    </w:r>
    <w:proofErr w:type="gramEnd"/>
    <w:r>
      <w:rPr>
        <w:rFonts w:ascii="Book Antiqua" w:hAnsi="Book Antiqua" w:cs="Book Antiqua"/>
        <w:i/>
        <w:iCs/>
        <w:sz w:val="18"/>
        <w:szCs w:val="18"/>
        <w:lang w:val="en-US"/>
      </w:rPr>
      <w:t xml:space="preserve"> </w:t>
    </w:r>
    <w:hyperlink r:id="rId3" w:history="1">
      <w:r w:rsidRPr="003C5089">
        <w:rPr>
          <w:rStyle w:val="Hipervnculo"/>
          <w:rFonts w:ascii="Book Antiqua" w:hAnsi="Book Antiqua" w:cs="Book Antiqua"/>
          <w:i/>
          <w:iCs/>
          <w:sz w:val="18"/>
          <w:szCs w:val="18"/>
          <w:lang w:val="en-US"/>
        </w:rPr>
        <w:t>dir_planificacion@poder-judicial.go.cr</w:t>
      </w:r>
    </w:hyperlink>
  </w:p>
  <w:p w:rsidR="00071467" w:rsidRPr="005B3B0C" w:rsidRDefault="00071467" w:rsidP="003E1AD5">
    <w:pPr>
      <w:pBdr>
        <w:bottom w:val="single" w:sz="6" w:space="0" w:color="auto"/>
      </w:pBdr>
      <w:spacing w:after="20"/>
      <w:rPr>
        <w:lang w:val="en-US"/>
      </w:rPr>
    </w:pPr>
  </w:p>
  <w:p w:rsidR="00071467" w:rsidRPr="003E1AD5" w:rsidRDefault="00071467" w:rsidP="003E1AD5">
    <w:pPr>
      <w:pStyle w:val="Encabezado"/>
      <w:widowControl/>
      <w:rPr>
        <w:lang w:val="en-US"/>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467" w:rsidRDefault="00071467" w:rsidP="00C90951">
    <w:pPr>
      <w:pStyle w:val="Encabezado"/>
      <w:widowControl/>
      <w:tabs>
        <w:tab w:val="clear" w:pos="4252"/>
        <w:tab w:val="clear" w:pos="8504"/>
        <w:tab w:val="center" w:pos="8804"/>
        <w:tab w:val="right" w:pos="8875"/>
      </w:tabs>
      <w:rPr>
        <w:rFonts w:ascii="Book Antiqua" w:hAnsi="Book Antiqua" w:cs="Book Antiqua"/>
        <w:i/>
        <w:iCs/>
        <w:sz w:val="18"/>
        <w:szCs w:val="18"/>
        <w:lang w:val="es-CR"/>
      </w:rPr>
    </w:pPr>
    <w:r>
      <w:rPr>
        <w:rFonts w:ascii="Book Antiqua" w:hAnsi="Book Antiqua" w:cs="Book Antiqua"/>
        <w:i/>
        <w:iCs/>
        <w:sz w:val="18"/>
        <w:szCs w:val="18"/>
        <w:lang w:val="es-CR"/>
      </w:rPr>
      <w:t xml:space="preserve">                                                        Poder Judicial - Dirección de  Planificación</w:t>
    </w:r>
    <w:r w:rsidRPr="009E768D">
      <w:rPr>
        <w:rFonts w:ascii="Times New Roman" w:hAnsi="Times New Roman"/>
        <w:sz w:val="24"/>
        <w:szCs w:val="24"/>
      </w:rPr>
      <w:object w:dxaOrig="1845" w:dyaOrig="2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5.65pt;height:32.55pt" o:ole="">
          <v:imagedata r:id="rId1" o:title=""/>
        </v:shape>
        <o:OLEObject Type="Embed" ProgID="PBrush" ShapeID="_x0000_i1030" DrawAspect="Content" ObjectID="_1551866637" r:id="rId2"/>
      </w:object>
    </w:r>
  </w:p>
  <w:p w:rsidR="00071467" w:rsidRDefault="00071467" w:rsidP="00C90951">
    <w:pPr>
      <w:pStyle w:val="Encabezado"/>
      <w:widowControl/>
      <w:tabs>
        <w:tab w:val="clear" w:pos="8504"/>
        <w:tab w:val="right" w:pos="8875"/>
      </w:tabs>
      <w:jc w:val="center"/>
      <w:rPr>
        <w:rFonts w:ascii="Book Antiqua" w:hAnsi="Book Antiqua" w:cs="Book Antiqua"/>
        <w:i/>
        <w:iCs/>
        <w:sz w:val="18"/>
        <w:szCs w:val="18"/>
        <w:lang w:val="es-CR"/>
      </w:rPr>
    </w:pPr>
    <w:r>
      <w:rPr>
        <w:rFonts w:ascii="Book Antiqua" w:hAnsi="Book Antiqua" w:cs="Book Antiqua"/>
        <w:i/>
        <w:iCs/>
        <w:sz w:val="18"/>
        <w:szCs w:val="18"/>
        <w:lang w:val="es-CR"/>
      </w:rPr>
      <w:t>San José -  Costa Rica</w:t>
    </w:r>
  </w:p>
  <w:p w:rsidR="00071467" w:rsidRPr="005B3B0C" w:rsidRDefault="00071467" w:rsidP="00C90951">
    <w:pPr>
      <w:pStyle w:val="Encabezado"/>
      <w:widowControl/>
      <w:jc w:val="center"/>
      <w:rPr>
        <w:rFonts w:ascii="Times New Roman" w:hAnsi="Times New Roman"/>
        <w:lang w:val="en-US"/>
      </w:rPr>
    </w:pPr>
    <w:r w:rsidRPr="002A1796">
      <w:rPr>
        <w:rFonts w:ascii="Book Antiqua" w:hAnsi="Book Antiqua" w:cs="Book Antiqua"/>
        <w:i/>
        <w:iCs/>
        <w:sz w:val="18"/>
        <w:szCs w:val="18"/>
        <w:lang w:val="es-CR"/>
      </w:rPr>
      <w:t xml:space="preserve">Telf.   </w:t>
    </w:r>
    <w:r w:rsidRPr="005B3B0C">
      <w:rPr>
        <w:rFonts w:ascii="Book Antiqua" w:hAnsi="Book Antiqua" w:cs="Book Antiqua"/>
        <w:i/>
        <w:iCs/>
        <w:sz w:val="18"/>
        <w:szCs w:val="18"/>
        <w:lang w:val="en-US"/>
      </w:rPr>
      <w:t xml:space="preserve">2295-3600 / </w:t>
    </w:r>
    <w:proofErr w:type="gramStart"/>
    <w:r w:rsidRPr="005B3B0C">
      <w:rPr>
        <w:rFonts w:ascii="Book Antiqua" w:hAnsi="Book Antiqua" w:cs="Book Antiqua"/>
        <w:i/>
        <w:iCs/>
        <w:sz w:val="18"/>
        <w:szCs w:val="18"/>
        <w:lang w:val="en-US"/>
      </w:rPr>
      <w:t>3599  Fax</w:t>
    </w:r>
    <w:proofErr w:type="gramEnd"/>
    <w:r w:rsidRPr="005B3B0C">
      <w:rPr>
        <w:rFonts w:ascii="Book Antiqua" w:hAnsi="Book Antiqua" w:cs="Book Antiqua"/>
        <w:i/>
        <w:iCs/>
        <w:sz w:val="18"/>
        <w:szCs w:val="18"/>
        <w:lang w:val="en-US"/>
      </w:rPr>
      <w:t>. 2257-</w:t>
    </w:r>
    <w:r>
      <w:rPr>
        <w:rFonts w:ascii="Book Antiqua" w:hAnsi="Book Antiqua" w:cs="Book Antiqua"/>
        <w:i/>
        <w:iCs/>
        <w:sz w:val="18"/>
        <w:szCs w:val="18"/>
        <w:lang w:val="en-US"/>
      </w:rPr>
      <w:t xml:space="preserve">5633   / </w:t>
    </w:r>
    <w:proofErr w:type="spellStart"/>
    <w:r>
      <w:rPr>
        <w:rFonts w:ascii="Book Antiqua" w:hAnsi="Book Antiqua" w:cs="Book Antiqua"/>
        <w:i/>
        <w:iCs/>
        <w:sz w:val="18"/>
        <w:szCs w:val="18"/>
        <w:lang w:val="en-US"/>
      </w:rPr>
      <w:t>Apdo</w:t>
    </w:r>
    <w:proofErr w:type="spellEnd"/>
    <w:r>
      <w:rPr>
        <w:rFonts w:ascii="Book Antiqua" w:hAnsi="Book Antiqua" w:cs="Book Antiqua"/>
        <w:i/>
        <w:iCs/>
        <w:sz w:val="18"/>
        <w:szCs w:val="18"/>
        <w:lang w:val="en-US"/>
      </w:rPr>
      <w:t>.  95-</w:t>
    </w:r>
    <w:proofErr w:type="gramStart"/>
    <w:r>
      <w:rPr>
        <w:rFonts w:ascii="Book Antiqua" w:hAnsi="Book Antiqua" w:cs="Book Antiqua"/>
        <w:i/>
        <w:iCs/>
        <w:sz w:val="18"/>
        <w:szCs w:val="18"/>
        <w:lang w:val="en-US"/>
      </w:rPr>
      <w:t>1003  /</w:t>
    </w:r>
    <w:proofErr w:type="gramEnd"/>
    <w:r>
      <w:rPr>
        <w:rFonts w:ascii="Book Antiqua" w:hAnsi="Book Antiqua" w:cs="Book Antiqua"/>
        <w:i/>
        <w:iCs/>
        <w:sz w:val="18"/>
        <w:szCs w:val="18"/>
        <w:lang w:val="en-US"/>
      </w:rPr>
      <w:t xml:space="preserve"> dir</w:t>
    </w:r>
    <w:r w:rsidRPr="005B3B0C">
      <w:rPr>
        <w:rFonts w:ascii="Book Antiqua" w:hAnsi="Book Antiqua" w:cs="Book Antiqua"/>
        <w:i/>
        <w:iCs/>
        <w:sz w:val="18"/>
        <w:szCs w:val="18"/>
        <w:lang w:val="en-US"/>
      </w:rPr>
      <w:t>_planificacion@poder-judicial.go.cr</w:t>
    </w:r>
  </w:p>
  <w:p w:rsidR="00071467" w:rsidRPr="005B3B0C" w:rsidRDefault="00071467" w:rsidP="00C90951">
    <w:pPr>
      <w:pBdr>
        <w:bottom w:val="single" w:sz="6" w:space="0" w:color="auto"/>
      </w:pBdr>
      <w:spacing w:after="20"/>
      <w:rPr>
        <w:lang w:val="en-US"/>
      </w:rPr>
    </w:pPr>
  </w:p>
  <w:p w:rsidR="00071467" w:rsidRPr="003E1AD5" w:rsidRDefault="00071467" w:rsidP="00C90951">
    <w:pPr>
      <w:pStyle w:val="Encabezado"/>
      <w:jc w:val="center"/>
      <w:rPr>
        <w:lang w:val="en-US"/>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467" w:rsidRDefault="00071467" w:rsidP="00C90951">
    <w:pPr>
      <w:pStyle w:val="Encabezado"/>
      <w:widowControl/>
      <w:tabs>
        <w:tab w:val="clear" w:pos="4252"/>
        <w:tab w:val="clear" w:pos="8504"/>
        <w:tab w:val="center" w:pos="8804"/>
        <w:tab w:val="right" w:pos="8875"/>
      </w:tabs>
      <w:jc w:val="center"/>
      <w:rPr>
        <w:rFonts w:ascii="Book Antiqua" w:hAnsi="Book Antiqua" w:cs="Book Antiqua"/>
        <w:i/>
        <w:iCs/>
        <w:sz w:val="18"/>
        <w:szCs w:val="18"/>
        <w:lang w:val="es-CR"/>
      </w:rPr>
    </w:pPr>
    <w:r>
      <w:rPr>
        <w:rFonts w:ascii="Book Antiqua" w:hAnsi="Book Antiqua" w:cs="Book Antiqua"/>
        <w:i/>
        <w:iCs/>
        <w:sz w:val="18"/>
        <w:szCs w:val="18"/>
        <w:lang w:val="es-CR"/>
      </w:rPr>
      <w:t>Poder Judicial - Dirección de  Planificación</w:t>
    </w:r>
    <w:r w:rsidRPr="009E768D">
      <w:rPr>
        <w:rFonts w:ascii="Times New Roman" w:hAnsi="Times New Roman"/>
        <w:sz w:val="24"/>
        <w:szCs w:val="24"/>
      </w:rPr>
      <w:object w:dxaOrig="1845" w:dyaOrig="2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5.65pt;height:32.55pt" o:ole="">
          <v:imagedata r:id="rId1" o:title=""/>
        </v:shape>
        <o:OLEObject Type="Embed" ProgID="PBrush" ShapeID="_x0000_i1031" DrawAspect="Content" ObjectID="_1551866638" r:id="rId2"/>
      </w:object>
    </w:r>
  </w:p>
  <w:p w:rsidR="00071467" w:rsidRDefault="00071467" w:rsidP="00C90951">
    <w:pPr>
      <w:pStyle w:val="Encabezado"/>
      <w:widowControl/>
      <w:tabs>
        <w:tab w:val="clear" w:pos="8504"/>
        <w:tab w:val="right" w:pos="8875"/>
      </w:tabs>
      <w:jc w:val="center"/>
      <w:rPr>
        <w:rFonts w:ascii="Book Antiqua" w:hAnsi="Book Antiqua" w:cs="Book Antiqua"/>
        <w:i/>
        <w:iCs/>
        <w:sz w:val="18"/>
        <w:szCs w:val="18"/>
        <w:lang w:val="es-CR"/>
      </w:rPr>
    </w:pPr>
    <w:r>
      <w:rPr>
        <w:rFonts w:ascii="Book Antiqua" w:hAnsi="Book Antiqua" w:cs="Book Antiqua"/>
        <w:i/>
        <w:iCs/>
        <w:sz w:val="18"/>
        <w:szCs w:val="18"/>
        <w:lang w:val="es-CR"/>
      </w:rPr>
      <w:t>San José -  Costa Rica</w:t>
    </w:r>
  </w:p>
  <w:p w:rsidR="00071467" w:rsidRPr="005B3B0C" w:rsidRDefault="00071467" w:rsidP="00C90951">
    <w:pPr>
      <w:pStyle w:val="Encabezado"/>
      <w:widowControl/>
      <w:jc w:val="center"/>
      <w:rPr>
        <w:rFonts w:ascii="Times New Roman" w:hAnsi="Times New Roman"/>
        <w:lang w:val="en-US"/>
      </w:rPr>
    </w:pPr>
    <w:r w:rsidRPr="002A1796">
      <w:rPr>
        <w:rFonts w:ascii="Book Antiqua" w:hAnsi="Book Antiqua" w:cs="Book Antiqua"/>
        <w:i/>
        <w:iCs/>
        <w:sz w:val="18"/>
        <w:szCs w:val="18"/>
        <w:lang w:val="es-CR"/>
      </w:rPr>
      <w:t xml:space="preserve">Telf.   </w:t>
    </w:r>
    <w:r w:rsidRPr="005B3B0C">
      <w:rPr>
        <w:rFonts w:ascii="Book Antiqua" w:hAnsi="Book Antiqua" w:cs="Book Antiqua"/>
        <w:i/>
        <w:iCs/>
        <w:sz w:val="18"/>
        <w:szCs w:val="18"/>
        <w:lang w:val="en-US"/>
      </w:rPr>
      <w:t xml:space="preserve">2295-3600 / </w:t>
    </w:r>
    <w:proofErr w:type="gramStart"/>
    <w:r w:rsidRPr="005B3B0C">
      <w:rPr>
        <w:rFonts w:ascii="Book Antiqua" w:hAnsi="Book Antiqua" w:cs="Book Antiqua"/>
        <w:i/>
        <w:iCs/>
        <w:sz w:val="18"/>
        <w:szCs w:val="18"/>
        <w:lang w:val="en-US"/>
      </w:rPr>
      <w:t>3599  Fax</w:t>
    </w:r>
    <w:proofErr w:type="gramEnd"/>
    <w:r w:rsidRPr="005B3B0C">
      <w:rPr>
        <w:rFonts w:ascii="Book Antiqua" w:hAnsi="Book Antiqua" w:cs="Book Antiqua"/>
        <w:i/>
        <w:iCs/>
        <w:sz w:val="18"/>
        <w:szCs w:val="18"/>
        <w:lang w:val="en-US"/>
      </w:rPr>
      <w:t>. 2257-</w:t>
    </w:r>
    <w:r>
      <w:rPr>
        <w:rFonts w:ascii="Book Antiqua" w:hAnsi="Book Antiqua" w:cs="Book Antiqua"/>
        <w:i/>
        <w:iCs/>
        <w:sz w:val="18"/>
        <w:szCs w:val="18"/>
        <w:lang w:val="en-US"/>
      </w:rPr>
      <w:t xml:space="preserve">5633   / </w:t>
    </w:r>
    <w:proofErr w:type="spellStart"/>
    <w:r>
      <w:rPr>
        <w:rFonts w:ascii="Book Antiqua" w:hAnsi="Book Antiqua" w:cs="Book Antiqua"/>
        <w:i/>
        <w:iCs/>
        <w:sz w:val="18"/>
        <w:szCs w:val="18"/>
        <w:lang w:val="en-US"/>
      </w:rPr>
      <w:t>Apdo</w:t>
    </w:r>
    <w:proofErr w:type="spellEnd"/>
    <w:r>
      <w:rPr>
        <w:rFonts w:ascii="Book Antiqua" w:hAnsi="Book Antiqua" w:cs="Book Antiqua"/>
        <w:i/>
        <w:iCs/>
        <w:sz w:val="18"/>
        <w:szCs w:val="18"/>
        <w:lang w:val="en-US"/>
      </w:rPr>
      <w:t>.  95-</w:t>
    </w:r>
    <w:proofErr w:type="gramStart"/>
    <w:r>
      <w:rPr>
        <w:rFonts w:ascii="Book Antiqua" w:hAnsi="Book Antiqua" w:cs="Book Antiqua"/>
        <w:i/>
        <w:iCs/>
        <w:sz w:val="18"/>
        <w:szCs w:val="18"/>
        <w:lang w:val="en-US"/>
      </w:rPr>
      <w:t>1003  /</w:t>
    </w:r>
    <w:proofErr w:type="gramEnd"/>
    <w:r>
      <w:rPr>
        <w:rFonts w:ascii="Book Antiqua" w:hAnsi="Book Antiqua" w:cs="Book Antiqua"/>
        <w:i/>
        <w:iCs/>
        <w:sz w:val="18"/>
        <w:szCs w:val="18"/>
        <w:lang w:val="en-US"/>
      </w:rPr>
      <w:t xml:space="preserve"> dir</w:t>
    </w:r>
    <w:r w:rsidRPr="005B3B0C">
      <w:rPr>
        <w:rFonts w:ascii="Book Antiqua" w:hAnsi="Book Antiqua" w:cs="Book Antiqua"/>
        <w:i/>
        <w:iCs/>
        <w:sz w:val="18"/>
        <w:szCs w:val="18"/>
        <w:lang w:val="en-US"/>
      </w:rPr>
      <w:t>_planificacion@poder-judicial.go.cr</w:t>
    </w:r>
  </w:p>
  <w:p w:rsidR="00071467" w:rsidRPr="005B3B0C" w:rsidRDefault="00071467" w:rsidP="00C90951">
    <w:pPr>
      <w:pBdr>
        <w:bottom w:val="single" w:sz="6" w:space="0" w:color="auto"/>
      </w:pBdr>
      <w:spacing w:after="20"/>
      <w:jc w:val="center"/>
      <w:rPr>
        <w:lang w:val="en-US"/>
      </w:rPr>
    </w:pPr>
  </w:p>
  <w:p w:rsidR="00071467" w:rsidRPr="003E1AD5" w:rsidRDefault="00071467" w:rsidP="00C90951">
    <w:pPr>
      <w:pBdr>
        <w:bottom w:val="single" w:sz="6" w:space="0" w:color="auto"/>
      </w:pBdr>
      <w:spacing w:after="20"/>
      <w:jc w:val="center"/>
      <w:rPr>
        <w:lang w:val="en-US"/>
      </w:rPr>
    </w:pPr>
  </w:p>
  <w:p w:rsidR="00071467" w:rsidRPr="003E1AD5" w:rsidRDefault="00071467" w:rsidP="00C90951">
    <w:pPr>
      <w:pStyle w:val="Encabezado"/>
      <w:jc w:val="center"/>
      <w:rPr>
        <w:lang w:val="en-US"/>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467" w:rsidRDefault="00071467" w:rsidP="00C04B95">
    <w:pPr>
      <w:pStyle w:val="Encabezado"/>
      <w:widowControl/>
      <w:tabs>
        <w:tab w:val="clear" w:pos="4252"/>
        <w:tab w:val="clear" w:pos="8504"/>
        <w:tab w:val="center" w:pos="8804"/>
        <w:tab w:val="right" w:pos="8875"/>
      </w:tabs>
      <w:jc w:val="center"/>
      <w:rPr>
        <w:rFonts w:ascii="Book Antiqua" w:hAnsi="Book Antiqua" w:cs="Book Antiqua"/>
        <w:i/>
        <w:iCs/>
        <w:sz w:val="18"/>
        <w:szCs w:val="18"/>
        <w:lang w:val="es-CR"/>
      </w:rPr>
    </w:pPr>
    <w:r>
      <w:rPr>
        <w:rFonts w:ascii="Book Antiqua" w:hAnsi="Book Antiqua" w:cs="Book Antiqua"/>
        <w:i/>
        <w:iCs/>
        <w:sz w:val="18"/>
        <w:szCs w:val="18"/>
        <w:lang w:val="es-CR"/>
      </w:rPr>
      <w:t>Poder Judicial - Dirección de  Planificación</w:t>
    </w:r>
    <w:r w:rsidRPr="009E768D">
      <w:rPr>
        <w:rFonts w:ascii="Times New Roman" w:hAnsi="Times New Roman"/>
        <w:sz w:val="24"/>
        <w:szCs w:val="24"/>
      </w:rPr>
      <w:object w:dxaOrig="1845" w:dyaOrig="2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5.65pt;height:32.55pt" o:ole="">
          <v:imagedata r:id="rId1" o:title=""/>
        </v:shape>
        <o:OLEObject Type="Embed" ProgID="PBrush" ShapeID="_x0000_i1032" DrawAspect="Content" ObjectID="_1551866639" r:id="rId2"/>
      </w:object>
    </w:r>
  </w:p>
  <w:p w:rsidR="00071467" w:rsidRDefault="00071467" w:rsidP="00C04B95">
    <w:pPr>
      <w:pStyle w:val="Encabezado"/>
      <w:widowControl/>
      <w:tabs>
        <w:tab w:val="clear" w:pos="8504"/>
        <w:tab w:val="right" w:pos="8875"/>
      </w:tabs>
      <w:jc w:val="center"/>
      <w:rPr>
        <w:rFonts w:ascii="Book Antiqua" w:hAnsi="Book Antiqua" w:cs="Book Antiqua"/>
        <w:i/>
        <w:iCs/>
        <w:sz w:val="18"/>
        <w:szCs w:val="18"/>
        <w:lang w:val="es-CR"/>
      </w:rPr>
    </w:pPr>
    <w:r>
      <w:rPr>
        <w:rFonts w:ascii="Book Antiqua" w:hAnsi="Book Antiqua" w:cs="Book Antiqua"/>
        <w:i/>
        <w:iCs/>
        <w:sz w:val="18"/>
        <w:szCs w:val="18"/>
        <w:lang w:val="es-CR"/>
      </w:rPr>
      <w:t>San José -  Costa Rica</w:t>
    </w:r>
  </w:p>
  <w:p w:rsidR="00071467" w:rsidRPr="005B3B0C" w:rsidRDefault="00071467" w:rsidP="00C04B95">
    <w:pPr>
      <w:pStyle w:val="Encabezado"/>
      <w:widowControl/>
      <w:jc w:val="center"/>
      <w:rPr>
        <w:rFonts w:ascii="Times New Roman" w:hAnsi="Times New Roman"/>
        <w:lang w:val="en-US"/>
      </w:rPr>
    </w:pPr>
    <w:r w:rsidRPr="002A1796">
      <w:rPr>
        <w:rFonts w:ascii="Book Antiqua" w:hAnsi="Book Antiqua" w:cs="Book Antiqua"/>
        <w:i/>
        <w:iCs/>
        <w:sz w:val="18"/>
        <w:szCs w:val="18"/>
        <w:lang w:val="es-CR"/>
      </w:rPr>
      <w:t xml:space="preserve">Telf.   </w:t>
    </w:r>
    <w:r w:rsidRPr="005B3B0C">
      <w:rPr>
        <w:rFonts w:ascii="Book Antiqua" w:hAnsi="Book Antiqua" w:cs="Book Antiqua"/>
        <w:i/>
        <w:iCs/>
        <w:sz w:val="18"/>
        <w:szCs w:val="18"/>
        <w:lang w:val="en-US"/>
      </w:rPr>
      <w:t xml:space="preserve">2295-3600 / </w:t>
    </w:r>
    <w:proofErr w:type="gramStart"/>
    <w:r w:rsidRPr="005B3B0C">
      <w:rPr>
        <w:rFonts w:ascii="Book Antiqua" w:hAnsi="Book Antiqua" w:cs="Book Antiqua"/>
        <w:i/>
        <w:iCs/>
        <w:sz w:val="18"/>
        <w:szCs w:val="18"/>
        <w:lang w:val="en-US"/>
      </w:rPr>
      <w:t>3599  Fax</w:t>
    </w:r>
    <w:proofErr w:type="gramEnd"/>
    <w:r w:rsidRPr="005B3B0C">
      <w:rPr>
        <w:rFonts w:ascii="Book Antiqua" w:hAnsi="Book Antiqua" w:cs="Book Antiqua"/>
        <w:i/>
        <w:iCs/>
        <w:sz w:val="18"/>
        <w:szCs w:val="18"/>
        <w:lang w:val="en-US"/>
      </w:rPr>
      <w:t>. 2257-</w:t>
    </w:r>
    <w:r>
      <w:rPr>
        <w:rFonts w:ascii="Book Antiqua" w:hAnsi="Book Antiqua" w:cs="Book Antiqua"/>
        <w:i/>
        <w:iCs/>
        <w:sz w:val="18"/>
        <w:szCs w:val="18"/>
        <w:lang w:val="en-US"/>
      </w:rPr>
      <w:t xml:space="preserve">5633   / </w:t>
    </w:r>
    <w:proofErr w:type="spellStart"/>
    <w:r>
      <w:rPr>
        <w:rFonts w:ascii="Book Antiqua" w:hAnsi="Book Antiqua" w:cs="Book Antiqua"/>
        <w:i/>
        <w:iCs/>
        <w:sz w:val="18"/>
        <w:szCs w:val="18"/>
        <w:lang w:val="en-US"/>
      </w:rPr>
      <w:t>Apdo</w:t>
    </w:r>
    <w:proofErr w:type="spellEnd"/>
    <w:r>
      <w:rPr>
        <w:rFonts w:ascii="Book Antiqua" w:hAnsi="Book Antiqua" w:cs="Book Antiqua"/>
        <w:i/>
        <w:iCs/>
        <w:sz w:val="18"/>
        <w:szCs w:val="18"/>
        <w:lang w:val="en-US"/>
      </w:rPr>
      <w:t>.  95-</w:t>
    </w:r>
    <w:proofErr w:type="gramStart"/>
    <w:r>
      <w:rPr>
        <w:rFonts w:ascii="Book Antiqua" w:hAnsi="Book Antiqua" w:cs="Book Antiqua"/>
        <w:i/>
        <w:iCs/>
        <w:sz w:val="18"/>
        <w:szCs w:val="18"/>
        <w:lang w:val="en-US"/>
      </w:rPr>
      <w:t>1003  /</w:t>
    </w:r>
    <w:proofErr w:type="gramEnd"/>
    <w:r>
      <w:rPr>
        <w:rFonts w:ascii="Book Antiqua" w:hAnsi="Book Antiqua" w:cs="Book Antiqua"/>
        <w:i/>
        <w:iCs/>
        <w:sz w:val="18"/>
        <w:szCs w:val="18"/>
        <w:lang w:val="en-US"/>
      </w:rPr>
      <w:t xml:space="preserve"> dir</w:t>
    </w:r>
    <w:r w:rsidRPr="005B3B0C">
      <w:rPr>
        <w:rFonts w:ascii="Book Antiqua" w:hAnsi="Book Antiqua" w:cs="Book Antiqua"/>
        <w:i/>
        <w:iCs/>
        <w:sz w:val="18"/>
        <w:szCs w:val="18"/>
        <w:lang w:val="en-US"/>
      </w:rPr>
      <w:t>_planificacion@poder-judicial.go.cr</w:t>
    </w:r>
  </w:p>
  <w:p w:rsidR="00071467" w:rsidRPr="00C04B95" w:rsidRDefault="00071467" w:rsidP="00491278">
    <w:pPr>
      <w:pBdr>
        <w:bottom w:val="single" w:sz="6" w:space="0" w:color="auto"/>
      </w:pBdr>
      <w:spacing w:after="20"/>
      <w:jc w:val="center"/>
      <w:rPr>
        <w:lang w:val="en-US"/>
      </w:rPr>
    </w:pPr>
  </w:p>
  <w:p w:rsidR="00071467" w:rsidRPr="00C04B95" w:rsidRDefault="00071467" w:rsidP="00491278">
    <w:pPr>
      <w:pStyle w:val="Encabezado"/>
      <w:jc w:val="center"/>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0"/>
        </w:tabs>
      </w:pPr>
      <w:rPr>
        <w:rFonts w:ascii="Arial" w:hAnsi="Arial" w:cs="Arial"/>
        <w:sz w:val="24"/>
        <w:szCs w:val="24"/>
      </w:rPr>
    </w:lvl>
    <w:lvl w:ilvl="1">
      <w:start w:val="1"/>
      <w:numFmt w:val="bullet"/>
      <w:lvlText w:val="ü"/>
      <w:lvlJc w:val="left"/>
      <w:pPr>
        <w:tabs>
          <w:tab w:val="num" w:pos="0"/>
        </w:tabs>
      </w:pPr>
      <w:rPr>
        <w:rFonts w:ascii="Wingdings" w:hAnsi="Wingdings"/>
        <w:sz w:val="24"/>
      </w:rPr>
    </w:lvl>
    <w:lvl w:ilvl="2">
      <w:start w:val="1"/>
      <w:numFmt w:val="decimal"/>
      <w:lvlText w:val="%3."/>
      <w:lvlJc w:val="left"/>
      <w:pPr>
        <w:tabs>
          <w:tab w:val="num" w:pos="0"/>
        </w:tabs>
      </w:pPr>
      <w:rPr>
        <w:rFonts w:ascii="Arial" w:hAnsi="Arial" w:cs="Arial"/>
        <w:sz w:val="24"/>
        <w:szCs w:val="24"/>
      </w:rPr>
    </w:lvl>
    <w:lvl w:ilvl="3">
      <w:start w:val="1"/>
      <w:numFmt w:val="decimal"/>
      <w:lvlText w:val="%4."/>
      <w:lvlJc w:val="left"/>
      <w:pPr>
        <w:tabs>
          <w:tab w:val="num" w:pos="0"/>
        </w:tabs>
      </w:pPr>
      <w:rPr>
        <w:rFonts w:ascii="Arial" w:hAnsi="Arial" w:cs="Arial"/>
        <w:sz w:val="24"/>
        <w:szCs w:val="24"/>
      </w:rPr>
    </w:lvl>
    <w:lvl w:ilvl="4">
      <w:start w:val="1"/>
      <w:numFmt w:val="decimal"/>
      <w:lvlText w:val="%5."/>
      <w:lvlJc w:val="left"/>
      <w:pPr>
        <w:tabs>
          <w:tab w:val="num" w:pos="0"/>
        </w:tabs>
      </w:pPr>
      <w:rPr>
        <w:rFonts w:ascii="Arial" w:hAnsi="Arial" w:cs="Arial"/>
        <w:sz w:val="24"/>
        <w:szCs w:val="24"/>
      </w:rPr>
    </w:lvl>
    <w:lvl w:ilvl="5">
      <w:start w:val="1"/>
      <w:numFmt w:val="decimal"/>
      <w:lvlText w:val="%6."/>
      <w:lvlJc w:val="left"/>
      <w:pPr>
        <w:tabs>
          <w:tab w:val="num" w:pos="0"/>
        </w:tabs>
      </w:pPr>
      <w:rPr>
        <w:rFonts w:ascii="Arial" w:hAnsi="Arial" w:cs="Arial"/>
        <w:sz w:val="24"/>
        <w:szCs w:val="24"/>
      </w:rPr>
    </w:lvl>
    <w:lvl w:ilvl="6">
      <w:start w:val="1"/>
      <w:numFmt w:val="decimal"/>
      <w:lvlText w:val="%7."/>
      <w:lvlJc w:val="left"/>
      <w:pPr>
        <w:tabs>
          <w:tab w:val="num" w:pos="0"/>
        </w:tabs>
      </w:pPr>
      <w:rPr>
        <w:rFonts w:ascii="Arial" w:hAnsi="Arial" w:cs="Arial"/>
        <w:sz w:val="24"/>
        <w:szCs w:val="24"/>
      </w:rPr>
    </w:lvl>
    <w:lvl w:ilvl="7">
      <w:start w:val="1"/>
      <w:numFmt w:val="decimal"/>
      <w:lvlText w:val="%8."/>
      <w:lvlJc w:val="left"/>
      <w:pPr>
        <w:tabs>
          <w:tab w:val="num" w:pos="0"/>
        </w:tabs>
      </w:pPr>
      <w:rPr>
        <w:rFonts w:ascii="Arial" w:hAnsi="Arial" w:cs="Arial"/>
        <w:sz w:val="24"/>
        <w:szCs w:val="24"/>
      </w:rPr>
    </w:lvl>
    <w:lvl w:ilvl="8">
      <w:start w:val="1"/>
      <w:numFmt w:val="decimal"/>
      <w:lvlText w:val="%9."/>
      <w:lvlJc w:val="left"/>
      <w:pPr>
        <w:tabs>
          <w:tab w:val="num" w:pos="0"/>
        </w:tabs>
      </w:pPr>
      <w:rPr>
        <w:rFonts w:ascii="Arial" w:hAnsi="Arial" w:cs="Arial"/>
        <w:sz w:val="24"/>
        <w:szCs w:val="24"/>
      </w:rPr>
    </w:lvl>
  </w:abstractNum>
  <w:abstractNum w:abstractNumId="1">
    <w:nsid w:val="00000002"/>
    <w:multiLevelType w:val="singleLevel"/>
    <w:tmpl w:val="00000002"/>
    <w:name w:val="WW8Num3"/>
    <w:lvl w:ilvl="0">
      <w:start w:val="1"/>
      <w:numFmt w:val="lowerLetter"/>
      <w:lvlText w:val="%1."/>
      <w:lvlJc w:val="left"/>
      <w:pPr>
        <w:tabs>
          <w:tab w:val="num" w:pos="0"/>
        </w:tabs>
        <w:ind w:left="720" w:hanging="360"/>
      </w:pPr>
      <w:rPr>
        <w:rFonts w:cs="Times New Roman"/>
      </w:rPr>
    </w:lvl>
  </w:abstractNum>
  <w:abstractNum w:abstractNumId="2">
    <w:nsid w:val="00000003"/>
    <w:multiLevelType w:val="singleLevel"/>
    <w:tmpl w:val="00000003"/>
    <w:name w:val="WW8Num4"/>
    <w:lvl w:ilvl="0">
      <w:start w:val="1"/>
      <w:numFmt w:val="lowerLetter"/>
      <w:lvlText w:val="%1."/>
      <w:lvlJc w:val="left"/>
      <w:pPr>
        <w:tabs>
          <w:tab w:val="num" w:pos="0"/>
        </w:tabs>
        <w:ind w:left="720" w:hanging="360"/>
      </w:pPr>
      <w:rPr>
        <w:rFonts w:cs="Times New Roman"/>
      </w:rPr>
    </w:lvl>
  </w:abstractNum>
  <w:abstractNum w:abstractNumId="3">
    <w:nsid w:val="00000004"/>
    <w:multiLevelType w:val="singleLevel"/>
    <w:tmpl w:val="00000004"/>
    <w:name w:val="WW8Num5"/>
    <w:lvl w:ilvl="0">
      <w:start w:val="1"/>
      <w:numFmt w:val="lowerLetter"/>
      <w:lvlText w:val="%1."/>
      <w:lvlJc w:val="left"/>
      <w:pPr>
        <w:tabs>
          <w:tab w:val="num" w:pos="0"/>
        </w:tabs>
        <w:ind w:left="720" w:hanging="360"/>
      </w:pPr>
      <w:rPr>
        <w:rFonts w:cs="Times New Roman"/>
      </w:rPr>
    </w:lvl>
  </w:abstractNum>
  <w:abstractNum w:abstractNumId="4">
    <w:nsid w:val="00000005"/>
    <w:multiLevelType w:val="singleLevel"/>
    <w:tmpl w:val="00000005"/>
    <w:name w:val="WW8Num6"/>
    <w:lvl w:ilvl="0">
      <w:start w:val="1"/>
      <w:numFmt w:val="decimal"/>
      <w:lvlText w:val="%1-"/>
      <w:lvlJc w:val="left"/>
      <w:pPr>
        <w:tabs>
          <w:tab w:val="num" w:pos="720"/>
        </w:tabs>
        <w:ind w:left="720" w:hanging="360"/>
      </w:pPr>
      <w:rPr>
        <w:rFonts w:cs="Times New Roman"/>
      </w:rPr>
    </w:lvl>
  </w:abstractNum>
  <w:abstractNum w:abstractNumId="5">
    <w:nsid w:val="00000006"/>
    <w:multiLevelType w:val="singleLevel"/>
    <w:tmpl w:val="00000006"/>
    <w:name w:val="WW8Num7"/>
    <w:lvl w:ilvl="0">
      <w:start w:val="1"/>
      <w:numFmt w:val="lowerLetter"/>
      <w:lvlText w:val="%1."/>
      <w:lvlJc w:val="left"/>
      <w:pPr>
        <w:tabs>
          <w:tab w:val="num" w:pos="0"/>
        </w:tabs>
        <w:ind w:left="720" w:hanging="360"/>
      </w:pPr>
      <w:rPr>
        <w:rFonts w:cs="Times New Roman"/>
      </w:rPr>
    </w:lvl>
  </w:abstractNum>
  <w:abstractNum w:abstractNumId="6">
    <w:nsid w:val="00000007"/>
    <w:multiLevelType w:val="singleLevel"/>
    <w:tmpl w:val="00000007"/>
    <w:name w:val="WW8Num10"/>
    <w:lvl w:ilvl="0">
      <w:start w:val="1"/>
      <w:numFmt w:val="lowerLetter"/>
      <w:lvlText w:val="%1."/>
      <w:lvlJc w:val="left"/>
      <w:pPr>
        <w:tabs>
          <w:tab w:val="num" w:pos="0"/>
        </w:tabs>
        <w:ind w:left="720" w:hanging="360"/>
      </w:pPr>
      <w:rPr>
        <w:rFonts w:cs="Times New Roman"/>
      </w:rPr>
    </w:lvl>
  </w:abstractNum>
  <w:abstractNum w:abstractNumId="7">
    <w:nsid w:val="00000008"/>
    <w:multiLevelType w:val="multilevel"/>
    <w:tmpl w:val="00000008"/>
    <w:name w:val="WW8Num11"/>
    <w:lvl w:ilvl="0">
      <w:start w:val="2"/>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1080" w:hanging="720"/>
      </w:pPr>
      <w:rPr>
        <w:rFonts w:cs="Times New Roman"/>
      </w:rPr>
    </w:lvl>
    <w:lvl w:ilvl="2">
      <w:start w:val="1"/>
      <w:numFmt w:val="decimal"/>
      <w:lvlText w:val="%1.%2.%3"/>
      <w:lvlJc w:val="left"/>
      <w:pPr>
        <w:tabs>
          <w:tab w:val="num" w:pos="0"/>
        </w:tabs>
        <w:ind w:left="1440" w:hanging="720"/>
      </w:pPr>
      <w:rPr>
        <w:rFonts w:cs="Times New Roman"/>
      </w:rPr>
    </w:lvl>
    <w:lvl w:ilvl="3">
      <w:start w:val="1"/>
      <w:numFmt w:val="decimal"/>
      <w:lvlText w:val="%1.%2.%3.%4"/>
      <w:lvlJc w:val="left"/>
      <w:pPr>
        <w:tabs>
          <w:tab w:val="num" w:pos="0"/>
        </w:tabs>
        <w:ind w:left="2160" w:hanging="1080"/>
      </w:pPr>
      <w:rPr>
        <w:rFonts w:cs="Times New Roman"/>
      </w:rPr>
    </w:lvl>
    <w:lvl w:ilvl="4">
      <w:start w:val="1"/>
      <w:numFmt w:val="decimal"/>
      <w:lvlText w:val="%1.%2.%3.%4.%5"/>
      <w:lvlJc w:val="left"/>
      <w:pPr>
        <w:tabs>
          <w:tab w:val="num" w:pos="0"/>
        </w:tabs>
        <w:ind w:left="2520" w:hanging="1080"/>
      </w:pPr>
      <w:rPr>
        <w:rFonts w:cs="Times New Roman"/>
      </w:rPr>
    </w:lvl>
    <w:lvl w:ilvl="5">
      <w:start w:val="1"/>
      <w:numFmt w:val="decimal"/>
      <w:lvlText w:val="%1.%2.%3.%4.%5.%6"/>
      <w:lvlJc w:val="left"/>
      <w:pPr>
        <w:tabs>
          <w:tab w:val="num" w:pos="0"/>
        </w:tabs>
        <w:ind w:left="3240" w:hanging="1440"/>
      </w:pPr>
      <w:rPr>
        <w:rFonts w:cs="Times New Roman"/>
      </w:rPr>
    </w:lvl>
    <w:lvl w:ilvl="6">
      <w:start w:val="1"/>
      <w:numFmt w:val="decimal"/>
      <w:lvlText w:val="%1.%2.%3.%4.%5.%6.%7"/>
      <w:lvlJc w:val="left"/>
      <w:pPr>
        <w:tabs>
          <w:tab w:val="num" w:pos="0"/>
        </w:tabs>
        <w:ind w:left="3960" w:hanging="1800"/>
      </w:pPr>
      <w:rPr>
        <w:rFonts w:cs="Times New Roman"/>
      </w:rPr>
    </w:lvl>
    <w:lvl w:ilvl="7">
      <w:start w:val="1"/>
      <w:numFmt w:val="decimal"/>
      <w:lvlText w:val="%1.%2.%3.%4.%5.%6.%7.%8"/>
      <w:lvlJc w:val="left"/>
      <w:pPr>
        <w:tabs>
          <w:tab w:val="num" w:pos="0"/>
        </w:tabs>
        <w:ind w:left="4320" w:hanging="1800"/>
      </w:pPr>
      <w:rPr>
        <w:rFonts w:cs="Times New Roman"/>
      </w:rPr>
    </w:lvl>
    <w:lvl w:ilvl="8">
      <w:start w:val="1"/>
      <w:numFmt w:val="decimal"/>
      <w:lvlText w:val="%1.%2.%3.%4.%5.%6.%7.%8.%9"/>
      <w:lvlJc w:val="left"/>
      <w:pPr>
        <w:tabs>
          <w:tab w:val="num" w:pos="0"/>
        </w:tabs>
        <w:ind w:left="5040" w:hanging="2160"/>
      </w:pPr>
      <w:rPr>
        <w:rFonts w:cs="Times New Roman"/>
      </w:rPr>
    </w:lvl>
  </w:abstractNum>
  <w:abstractNum w:abstractNumId="8">
    <w:nsid w:val="00000009"/>
    <w:multiLevelType w:val="singleLevel"/>
    <w:tmpl w:val="00000009"/>
    <w:name w:val="WW8Num13"/>
    <w:lvl w:ilvl="0">
      <w:start w:val="1"/>
      <w:numFmt w:val="bullet"/>
      <w:lvlText w:val=""/>
      <w:lvlJc w:val="left"/>
      <w:pPr>
        <w:tabs>
          <w:tab w:val="num" w:pos="0"/>
        </w:tabs>
        <w:ind w:left="720" w:hanging="360"/>
      </w:pPr>
      <w:rPr>
        <w:rFonts w:ascii="Symbol" w:hAnsi="Symbol"/>
      </w:rPr>
    </w:lvl>
  </w:abstractNum>
  <w:abstractNum w:abstractNumId="9">
    <w:nsid w:val="0000000A"/>
    <w:multiLevelType w:val="singleLevel"/>
    <w:tmpl w:val="0000000A"/>
    <w:name w:val="WW8Num15"/>
    <w:lvl w:ilvl="0">
      <w:start w:val="1"/>
      <w:numFmt w:val="lowerLetter"/>
      <w:lvlText w:val="%1."/>
      <w:lvlJc w:val="left"/>
      <w:pPr>
        <w:tabs>
          <w:tab w:val="num" w:pos="0"/>
        </w:tabs>
        <w:ind w:left="720" w:hanging="360"/>
      </w:pPr>
      <w:rPr>
        <w:rFonts w:cs="Times New Roman"/>
      </w:rPr>
    </w:lvl>
  </w:abstractNum>
  <w:abstractNum w:abstractNumId="10">
    <w:nsid w:val="0000000B"/>
    <w:multiLevelType w:val="singleLevel"/>
    <w:tmpl w:val="0000000B"/>
    <w:name w:val="WW8Num17"/>
    <w:lvl w:ilvl="0">
      <w:start w:val="1"/>
      <w:numFmt w:val="lowerLetter"/>
      <w:lvlText w:val="%1."/>
      <w:lvlJc w:val="left"/>
      <w:pPr>
        <w:tabs>
          <w:tab w:val="num" w:pos="0"/>
        </w:tabs>
        <w:ind w:left="720" w:hanging="360"/>
      </w:pPr>
      <w:rPr>
        <w:rFonts w:cs="Times New Roman"/>
      </w:rPr>
    </w:lvl>
  </w:abstractNum>
  <w:abstractNum w:abstractNumId="11">
    <w:nsid w:val="0000000C"/>
    <w:multiLevelType w:val="singleLevel"/>
    <w:tmpl w:val="0000000C"/>
    <w:name w:val="WW8Num19"/>
    <w:lvl w:ilvl="0">
      <w:start w:val="1"/>
      <w:numFmt w:val="bullet"/>
      <w:lvlText w:val=""/>
      <w:lvlJc w:val="left"/>
      <w:pPr>
        <w:tabs>
          <w:tab w:val="num" w:pos="0"/>
        </w:tabs>
        <w:ind w:left="720" w:hanging="360"/>
      </w:pPr>
      <w:rPr>
        <w:rFonts w:ascii="Symbol" w:hAnsi="Symbol"/>
      </w:rPr>
    </w:lvl>
  </w:abstractNum>
  <w:abstractNum w:abstractNumId="12">
    <w:nsid w:val="0000000D"/>
    <w:multiLevelType w:val="singleLevel"/>
    <w:tmpl w:val="0000000D"/>
    <w:name w:val="WW8Num20"/>
    <w:lvl w:ilvl="0">
      <w:start w:val="1"/>
      <w:numFmt w:val="lowerLetter"/>
      <w:lvlText w:val="%1."/>
      <w:lvlJc w:val="left"/>
      <w:pPr>
        <w:tabs>
          <w:tab w:val="num" w:pos="0"/>
        </w:tabs>
        <w:ind w:left="720" w:hanging="360"/>
      </w:pPr>
      <w:rPr>
        <w:rFonts w:cs="Times New Roman"/>
      </w:rPr>
    </w:lvl>
  </w:abstractNum>
  <w:abstractNum w:abstractNumId="13">
    <w:nsid w:val="0000000E"/>
    <w:multiLevelType w:val="singleLevel"/>
    <w:tmpl w:val="0000000E"/>
    <w:name w:val="WW8Num21"/>
    <w:lvl w:ilvl="0">
      <w:start w:val="1"/>
      <w:numFmt w:val="lowerLetter"/>
      <w:lvlText w:val="%1."/>
      <w:lvlJc w:val="left"/>
      <w:pPr>
        <w:tabs>
          <w:tab w:val="num" w:pos="0"/>
        </w:tabs>
        <w:ind w:left="720" w:hanging="360"/>
      </w:pPr>
      <w:rPr>
        <w:rFonts w:cs="Times New Roman"/>
      </w:rPr>
    </w:lvl>
  </w:abstractNum>
  <w:abstractNum w:abstractNumId="14">
    <w:nsid w:val="0000000F"/>
    <w:multiLevelType w:val="singleLevel"/>
    <w:tmpl w:val="0000000F"/>
    <w:name w:val="WW8Num23"/>
    <w:lvl w:ilvl="0">
      <w:start w:val="1"/>
      <w:numFmt w:val="lowerLetter"/>
      <w:lvlText w:val="%1."/>
      <w:lvlJc w:val="left"/>
      <w:pPr>
        <w:tabs>
          <w:tab w:val="num" w:pos="0"/>
        </w:tabs>
        <w:ind w:left="720" w:hanging="360"/>
      </w:pPr>
      <w:rPr>
        <w:rFonts w:cs="Times New Roman"/>
      </w:rPr>
    </w:lvl>
  </w:abstractNum>
  <w:abstractNum w:abstractNumId="15">
    <w:nsid w:val="00000010"/>
    <w:multiLevelType w:val="singleLevel"/>
    <w:tmpl w:val="00000010"/>
    <w:name w:val="WW8Num26"/>
    <w:lvl w:ilvl="0">
      <w:start w:val="1"/>
      <w:numFmt w:val="lowerLetter"/>
      <w:lvlText w:val="%1."/>
      <w:lvlJc w:val="left"/>
      <w:pPr>
        <w:tabs>
          <w:tab w:val="num" w:pos="0"/>
        </w:tabs>
        <w:ind w:left="720" w:hanging="360"/>
      </w:pPr>
      <w:rPr>
        <w:rFonts w:cs="Times New Roman"/>
      </w:rPr>
    </w:lvl>
  </w:abstractNum>
  <w:abstractNum w:abstractNumId="16">
    <w:nsid w:val="00000011"/>
    <w:multiLevelType w:val="multilevel"/>
    <w:tmpl w:val="00000011"/>
    <w:name w:val="WW8Num27"/>
    <w:lvl w:ilvl="0">
      <w:start w:val="1"/>
      <w:numFmt w:val="decimal"/>
      <w:pStyle w:val="Ttulo2Procedimiento"/>
      <w:lvlText w:val="%1."/>
      <w:lvlJc w:val="left"/>
      <w:pPr>
        <w:tabs>
          <w:tab w:val="num" w:pos="360"/>
        </w:tabs>
        <w:ind w:left="360" w:hanging="360"/>
      </w:pPr>
      <w:rPr>
        <w:rFonts w:cs="Times New Roman"/>
        <w:b/>
        <w:bCs/>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17">
    <w:nsid w:val="00000012"/>
    <w:multiLevelType w:val="singleLevel"/>
    <w:tmpl w:val="00000012"/>
    <w:name w:val="WW8Num34"/>
    <w:lvl w:ilvl="0">
      <w:start w:val="1"/>
      <w:numFmt w:val="lowerLetter"/>
      <w:lvlText w:val="%1."/>
      <w:lvlJc w:val="left"/>
      <w:pPr>
        <w:tabs>
          <w:tab w:val="num" w:pos="0"/>
        </w:tabs>
        <w:ind w:left="720" w:hanging="360"/>
      </w:pPr>
      <w:rPr>
        <w:rFonts w:cs="Times New Roman"/>
      </w:rPr>
    </w:lvl>
  </w:abstractNum>
  <w:abstractNum w:abstractNumId="18">
    <w:nsid w:val="00000013"/>
    <w:multiLevelType w:val="singleLevel"/>
    <w:tmpl w:val="00000013"/>
    <w:name w:val="WW8Num35"/>
    <w:lvl w:ilvl="0">
      <w:start w:val="1"/>
      <w:numFmt w:val="lowerLetter"/>
      <w:lvlText w:val="%1."/>
      <w:lvlJc w:val="left"/>
      <w:pPr>
        <w:tabs>
          <w:tab w:val="num" w:pos="0"/>
        </w:tabs>
        <w:ind w:left="720" w:hanging="360"/>
      </w:pPr>
      <w:rPr>
        <w:rFonts w:cs="Times New Roman"/>
      </w:rPr>
    </w:lvl>
  </w:abstractNum>
  <w:abstractNum w:abstractNumId="19">
    <w:nsid w:val="00000014"/>
    <w:multiLevelType w:val="multilevel"/>
    <w:tmpl w:val="00000014"/>
    <w:name w:val="WW8Num39"/>
    <w:lvl w:ilvl="0">
      <w:start w:val="1"/>
      <w:numFmt w:val="decimal"/>
      <w:lvlText w:val="%1."/>
      <w:lvlJc w:val="left"/>
      <w:pPr>
        <w:tabs>
          <w:tab w:val="num" w:pos="360"/>
        </w:tabs>
        <w:ind w:left="360" w:hanging="360"/>
      </w:pPr>
      <w:rPr>
        <w:rFonts w:ascii="Times New Roman" w:hAnsi="Times New Roman" w:cs="Times New Roman"/>
        <w:b w:val="0"/>
        <w:bCs w:val="0"/>
        <w:i w:val="0"/>
        <w:iCs w:val="0"/>
        <w:caps w:val="0"/>
        <w:smallCaps w:val="0"/>
        <w:strike w:val="0"/>
        <w:dstrike w:val="0"/>
        <w:vanish w:val="0"/>
        <w:color w:val="000000"/>
        <w:spacing w:val="0"/>
        <w:w w:val="100"/>
        <w:kern w:val="1"/>
        <w:position w:val="0"/>
        <w:sz w:val="24"/>
        <w:szCs w:val="24"/>
        <w:u w:val="none"/>
        <w:vertAlign w:val="baseline"/>
      </w:rPr>
    </w:lvl>
    <w:lvl w:ilvl="1">
      <w:start w:val="1"/>
      <w:numFmt w:val="upperLetter"/>
      <w:lvlText w:val="%2."/>
      <w:lvlJc w:val="left"/>
      <w:pPr>
        <w:tabs>
          <w:tab w:val="num" w:pos="1080"/>
        </w:tabs>
        <w:ind w:left="720"/>
      </w:pPr>
      <w:rPr>
        <w:rFonts w:cs="Times New Roman"/>
      </w:rPr>
    </w:lvl>
    <w:lvl w:ilvl="2">
      <w:start w:val="1"/>
      <w:numFmt w:val="decimal"/>
      <w:lvlText w:val="%3."/>
      <w:lvlJc w:val="left"/>
      <w:pPr>
        <w:tabs>
          <w:tab w:val="num" w:pos="1800"/>
        </w:tabs>
        <w:ind w:left="1440"/>
      </w:pPr>
      <w:rPr>
        <w:rFonts w:cs="Times New Roman"/>
      </w:rPr>
    </w:lvl>
    <w:lvl w:ilvl="3">
      <w:start w:val="1"/>
      <w:numFmt w:val="decimal"/>
      <w:lvlText w:val="%3.%4"/>
      <w:lvlJc w:val="left"/>
      <w:pPr>
        <w:tabs>
          <w:tab w:val="num" w:pos="2520"/>
        </w:tabs>
        <w:ind w:left="2160"/>
      </w:pPr>
      <w:rPr>
        <w:rFonts w:cs="Times New Roman"/>
      </w:rPr>
    </w:lvl>
    <w:lvl w:ilvl="4">
      <w:start w:val="1"/>
      <w:numFmt w:val="decimal"/>
      <w:lvlText w:val="(%5)"/>
      <w:lvlJc w:val="left"/>
      <w:pPr>
        <w:tabs>
          <w:tab w:val="num" w:pos="1980"/>
        </w:tabs>
        <w:ind w:left="162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20">
    <w:nsid w:val="00000015"/>
    <w:multiLevelType w:val="singleLevel"/>
    <w:tmpl w:val="00000015"/>
    <w:name w:val="WW8Num43"/>
    <w:lvl w:ilvl="0">
      <w:start w:val="1"/>
      <w:numFmt w:val="lowerLetter"/>
      <w:lvlText w:val="%1."/>
      <w:lvlJc w:val="left"/>
      <w:pPr>
        <w:tabs>
          <w:tab w:val="num" w:pos="0"/>
        </w:tabs>
        <w:ind w:left="720" w:hanging="360"/>
      </w:pPr>
      <w:rPr>
        <w:rFonts w:cs="Times New Roman"/>
      </w:rPr>
    </w:lvl>
  </w:abstractNum>
  <w:abstractNum w:abstractNumId="21">
    <w:nsid w:val="00000016"/>
    <w:multiLevelType w:val="multilevel"/>
    <w:tmpl w:val="00000016"/>
    <w:name w:val="WW8Num45"/>
    <w:lvl w:ilvl="0">
      <w:start w:val="3"/>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720" w:hanging="360"/>
      </w:pPr>
      <w:rPr>
        <w:rFonts w:cs="Times New Roman"/>
      </w:rPr>
    </w:lvl>
    <w:lvl w:ilvl="2">
      <w:start w:val="1"/>
      <w:numFmt w:val="decimal"/>
      <w:lvlText w:val="%1.%2.%3"/>
      <w:lvlJc w:val="left"/>
      <w:pPr>
        <w:tabs>
          <w:tab w:val="num" w:pos="0"/>
        </w:tabs>
        <w:ind w:left="1440" w:hanging="720"/>
      </w:pPr>
      <w:rPr>
        <w:rFonts w:cs="Times New Roman"/>
      </w:rPr>
    </w:lvl>
    <w:lvl w:ilvl="3">
      <w:start w:val="1"/>
      <w:numFmt w:val="decimal"/>
      <w:lvlText w:val="%1.%2.%3.%4"/>
      <w:lvlJc w:val="left"/>
      <w:pPr>
        <w:tabs>
          <w:tab w:val="num" w:pos="0"/>
        </w:tabs>
        <w:ind w:left="2160" w:hanging="1080"/>
      </w:pPr>
      <w:rPr>
        <w:rFonts w:cs="Times New Roman"/>
      </w:rPr>
    </w:lvl>
    <w:lvl w:ilvl="4">
      <w:start w:val="1"/>
      <w:numFmt w:val="decimal"/>
      <w:lvlText w:val="%1.%2.%3.%4.%5"/>
      <w:lvlJc w:val="left"/>
      <w:pPr>
        <w:tabs>
          <w:tab w:val="num" w:pos="0"/>
        </w:tabs>
        <w:ind w:left="2520" w:hanging="1080"/>
      </w:pPr>
      <w:rPr>
        <w:rFonts w:cs="Times New Roman"/>
      </w:rPr>
    </w:lvl>
    <w:lvl w:ilvl="5">
      <w:start w:val="1"/>
      <w:numFmt w:val="decimal"/>
      <w:lvlText w:val="%1.%2.%3.%4.%5.%6"/>
      <w:lvlJc w:val="left"/>
      <w:pPr>
        <w:tabs>
          <w:tab w:val="num" w:pos="0"/>
        </w:tabs>
        <w:ind w:left="3240" w:hanging="1440"/>
      </w:pPr>
      <w:rPr>
        <w:rFonts w:cs="Times New Roman"/>
      </w:rPr>
    </w:lvl>
    <w:lvl w:ilvl="6">
      <w:start w:val="1"/>
      <w:numFmt w:val="decimal"/>
      <w:lvlText w:val="%1.%2.%3.%4.%5.%6.%7"/>
      <w:lvlJc w:val="left"/>
      <w:pPr>
        <w:tabs>
          <w:tab w:val="num" w:pos="0"/>
        </w:tabs>
        <w:ind w:left="3600" w:hanging="1440"/>
      </w:pPr>
      <w:rPr>
        <w:rFonts w:cs="Times New Roman"/>
      </w:rPr>
    </w:lvl>
    <w:lvl w:ilvl="7">
      <w:start w:val="1"/>
      <w:numFmt w:val="decimal"/>
      <w:lvlText w:val="%1.%2.%3.%4.%5.%6.%7.%8"/>
      <w:lvlJc w:val="left"/>
      <w:pPr>
        <w:tabs>
          <w:tab w:val="num" w:pos="0"/>
        </w:tabs>
        <w:ind w:left="4320" w:hanging="1800"/>
      </w:pPr>
      <w:rPr>
        <w:rFonts w:cs="Times New Roman"/>
      </w:rPr>
    </w:lvl>
    <w:lvl w:ilvl="8">
      <w:start w:val="1"/>
      <w:numFmt w:val="decimal"/>
      <w:lvlText w:val="%1.%2.%3.%4.%5.%6.%7.%8.%9"/>
      <w:lvlJc w:val="left"/>
      <w:pPr>
        <w:tabs>
          <w:tab w:val="num" w:pos="0"/>
        </w:tabs>
        <w:ind w:left="4680" w:hanging="1800"/>
      </w:pPr>
      <w:rPr>
        <w:rFonts w:cs="Times New Roman"/>
      </w:rPr>
    </w:lvl>
  </w:abstractNum>
  <w:abstractNum w:abstractNumId="22">
    <w:nsid w:val="00000017"/>
    <w:multiLevelType w:val="singleLevel"/>
    <w:tmpl w:val="00000017"/>
    <w:name w:val="WW8Num46"/>
    <w:lvl w:ilvl="0">
      <w:start w:val="1"/>
      <w:numFmt w:val="lowerLetter"/>
      <w:lvlText w:val="%1."/>
      <w:lvlJc w:val="left"/>
      <w:pPr>
        <w:tabs>
          <w:tab w:val="num" w:pos="0"/>
        </w:tabs>
        <w:ind w:left="720" w:hanging="360"/>
      </w:pPr>
      <w:rPr>
        <w:rFonts w:cs="Times New Roman"/>
      </w:rPr>
    </w:lvl>
  </w:abstractNum>
  <w:abstractNum w:abstractNumId="23">
    <w:nsid w:val="00000018"/>
    <w:multiLevelType w:val="singleLevel"/>
    <w:tmpl w:val="00000018"/>
    <w:name w:val="WW8Num47"/>
    <w:lvl w:ilvl="0">
      <w:start w:val="1"/>
      <w:numFmt w:val="lowerLetter"/>
      <w:lvlText w:val="%1."/>
      <w:lvlJc w:val="left"/>
      <w:pPr>
        <w:tabs>
          <w:tab w:val="num" w:pos="0"/>
        </w:tabs>
        <w:ind w:left="720" w:hanging="360"/>
      </w:pPr>
      <w:rPr>
        <w:rFonts w:cs="Times New Roman"/>
      </w:rPr>
    </w:lvl>
  </w:abstractNum>
  <w:abstractNum w:abstractNumId="24">
    <w:nsid w:val="00000019"/>
    <w:multiLevelType w:val="singleLevel"/>
    <w:tmpl w:val="00000019"/>
    <w:name w:val="WW8Num50"/>
    <w:lvl w:ilvl="0">
      <w:start w:val="1"/>
      <w:numFmt w:val="lowerLetter"/>
      <w:lvlText w:val="%1."/>
      <w:lvlJc w:val="left"/>
      <w:pPr>
        <w:tabs>
          <w:tab w:val="num" w:pos="0"/>
        </w:tabs>
        <w:ind w:left="1065" w:hanging="360"/>
      </w:pPr>
      <w:rPr>
        <w:rFonts w:cs="Times New Roman"/>
      </w:rPr>
    </w:lvl>
  </w:abstractNum>
  <w:abstractNum w:abstractNumId="25">
    <w:nsid w:val="0000001A"/>
    <w:multiLevelType w:val="singleLevel"/>
    <w:tmpl w:val="0000001A"/>
    <w:name w:val="WW8Num51"/>
    <w:lvl w:ilvl="0">
      <w:start w:val="1"/>
      <w:numFmt w:val="lowerLetter"/>
      <w:lvlText w:val="%1."/>
      <w:lvlJc w:val="left"/>
      <w:pPr>
        <w:tabs>
          <w:tab w:val="num" w:pos="0"/>
        </w:tabs>
        <w:ind w:left="720" w:hanging="360"/>
      </w:pPr>
      <w:rPr>
        <w:rFonts w:cs="Times New Roman"/>
      </w:rPr>
    </w:lvl>
  </w:abstractNum>
  <w:abstractNum w:abstractNumId="26">
    <w:nsid w:val="07B302C2"/>
    <w:multiLevelType w:val="multilevel"/>
    <w:tmpl w:val="1384F7EE"/>
    <w:name w:val="WW8Num502"/>
    <w:lvl w:ilvl="0">
      <w:start w:val="1"/>
      <w:numFmt w:val="lowerLetter"/>
      <w:suff w:val="nothing"/>
      <w:lvlText w:val="%1)"/>
      <w:lvlJc w:val="left"/>
      <w:rPr>
        <w:rFonts w:cs="Times New Roman" w:hint="default"/>
        <w:color w:val="FF0000"/>
      </w:rPr>
    </w:lvl>
    <w:lvl w:ilvl="1">
      <w:start w:val="1"/>
      <w:numFmt w:val="lowerLetter"/>
      <w:suff w:val="nothing"/>
      <w:lvlText w:val="%2)"/>
      <w:lvlJc w:val="left"/>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7">
    <w:nsid w:val="08F71ABC"/>
    <w:multiLevelType w:val="hybridMultilevel"/>
    <w:tmpl w:val="BD50365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nsid w:val="0D6C10AC"/>
    <w:multiLevelType w:val="multilevel"/>
    <w:tmpl w:val="8F4A707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0F6E252A"/>
    <w:multiLevelType w:val="multilevel"/>
    <w:tmpl w:val="553EC564"/>
    <w:lvl w:ilvl="0">
      <w:start w:val="8"/>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1"/>
      <w:numFmt w:val="decimal"/>
      <w:lvlText w:val="%1.%2.%3"/>
      <w:lvlJc w:val="left"/>
      <w:pPr>
        <w:ind w:left="1428" w:hanging="720"/>
      </w:pPr>
      <w:rPr>
        <w:rFonts w:hint="default"/>
        <w:b/>
        <w:i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30">
    <w:nsid w:val="1E5E3A3E"/>
    <w:multiLevelType w:val="multilevel"/>
    <w:tmpl w:val="32B6016E"/>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22FB3E98"/>
    <w:multiLevelType w:val="multilevel"/>
    <w:tmpl w:val="03229152"/>
    <w:lvl w:ilvl="0">
      <w:start w:val="6"/>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35971685"/>
    <w:multiLevelType w:val="hybridMultilevel"/>
    <w:tmpl w:val="243A1A1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3C3F7E5C"/>
    <w:multiLevelType w:val="multilevel"/>
    <w:tmpl w:val="FBD4BAF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b/>
        <w:bCs/>
        <w:i w:val="0"/>
        <w:iCs w:val="0"/>
        <w:sz w:val="24"/>
        <w:szCs w:val="24"/>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34">
    <w:nsid w:val="3C926778"/>
    <w:multiLevelType w:val="multilevel"/>
    <w:tmpl w:val="5AB6567E"/>
    <w:lvl w:ilvl="0">
      <w:start w:val="1"/>
      <w:numFmt w:val="decimal"/>
      <w:pStyle w:val="EstiloTtulo114ptCentradoInterlineadoMnimo24ptoDis"/>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35">
    <w:nsid w:val="467FCA3A"/>
    <w:multiLevelType w:val="multilevel"/>
    <w:tmpl w:val="00000001"/>
    <w:name w:val="List1182779962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6">
    <w:nsid w:val="467FCA49"/>
    <w:multiLevelType w:val="multilevel"/>
    <w:tmpl w:val="00000002"/>
    <w:name w:val="List1182779977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7">
    <w:nsid w:val="467FCA55"/>
    <w:multiLevelType w:val="multilevel"/>
    <w:tmpl w:val="00000003"/>
    <w:name w:val="List1182779989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8">
    <w:nsid w:val="467FCA5B"/>
    <w:multiLevelType w:val="multilevel"/>
    <w:tmpl w:val="00000004"/>
    <w:name w:val="List1182779995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9">
    <w:nsid w:val="467FCB27"/>
    <w:multiLevelType w:val="multilevel"/>
    <w:tmpl w:val="00000005"/>
    <w:name w:val="List1182780199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0">
    <w:nsid w:val="467FCB2B"/>
    <w:multiLevelType w:val="multilevel"/>
    <w:tmpl w:val="00000006"/>
    <w:name w:val="List1182780203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1">
    <w:nsid w:val="467FCDA6"/>
    <w:multiLevelType w:val="multilevel"/>
    <w:tmpl w:val="00000007"/>
    <w:name w:val="List1182780838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2">
    <w:nsid w:val="467FF4F6"/>
    <w:multiLevelType w:val="multilevel"/>
    <w:tmpl w:val="00000008"/>
    <w:name w:val="List1182790902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3">
    <w:nsid w:val="468019A7"/>
    <w:multiLevelType w:val="multilevel"/>
    <w:tmpl w:val="00000009"/>
    <w:name w:val="List1182800295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4">
    <w:nsid w:val="46816EEA"/>
    <w:multiLevelType w:val="multilevel"/>
    <w:tmpl w:val="0000000A"/>
    <w:name w:val="List1182887658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5">
    <w:nsid w:val="4681700A"/>
    <w:multiLevelType w:val="multilevel"/>
    <w:tmpl w:val="0000000B"/>
    <w:name w:val="List1182887946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6">
    <w:nsid w:val="46828F28"/>
    <w:multiLevelType w:val="multilevel"/>
    <w:tmpl w:val="238E84DD"/>
    <w:name w:val="List1182961448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7">
    <w:nsid w:val="46895D6F"/>
    <w:multiLevelType w:val="multilevel"/>
    <w:tmpl w:val="00000001"/>
    <w:name w:val="List1183407471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8">
    <w:nsid w:val="46895D72"/>
    <w:multiLevelType w:val="multilevel"/>
    <w:tmpl w:val="00000002"/>
    <w:name w:val="List1183407474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9">
    <w:nsid w:val="468BC571"/>
    <w:multiLevelType w:val="multilevel"/>
    <w:tmpl w:val="00000006"/>
    <w:name w:val="List1183565169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50">
    <w:nsid w:val="468BC576"/>
    <w:multiLevelType w:val="multilevel"/>
    <w:tmpl w:val="00000007"/>
    <w:name w:val="List1183565174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51">
    <w:nsid w:val="4B170563"/>
    <w:multiLevelType w:val="singleLevel"/>
    <w:tmpl w:val="4A84109C"/>
    <w:lvl w:ilvl="0">
      <w:start w:val="1"/>
      <w:numFmt w:val="bullet"/>
      <w:pStyle w:val="Listaconvietas"/>
      <w:lvlText w:val=""/>
      <w:lvlJc w:val="left"/>
      <w:pPr>
        <w:tabs>
          <w:tab w:val="num" w:pos="1440"/>
        </w:tabs>
        <w:ind w:left="1440" w:hanging="360"/>
      </w:pPr>
      <w:rPr>
        <w:rFonts w:ascii="Wingdings" w:hAnsi="Wingdings" w:cs="Wingdings" w:hint="default"/>
        <w:sz w:val="16"/>
        <w:szCs w:val="16"/>
      </w:rPr>
    </w:lvl>
  </w:abstractNum>
  <w:abstractNum w:abstractNumId="52">
    <w:nsid w:val="53856979"/>
    <w:multiLevelType w:val="multilevel"/>
    <w:tmpl w:val="2DA0E094"/>
    <w:lvl w:ilvl="0">
      <w:start w:val="8"/>
      <w:numFmt w:val="decimal"/>
      <w:lvlText w:val="%1"/>
      <w:lvlJc w:val="left"/>
      <w:pPr>
        <w:tabs>
          <w:tab w:val="num" w:pos="705"/>
        </w:tabs>
        <w:ind w:left="705" w:hanging="705"/>
      </w:pPr>
      <w:rPr>
        <w:rFonts w:hint="default"/>
        <w:b/>
        <w:i/>
      </w:rPr>
    </w:lvl>
    <w:lvl w:ilvl="1">
      <w:start w:val="2"/>
      <w:numFmt w:val="decimal"/>
      <w:lvlText w:val="%1.%2"/>
      <w:lvlJc w:val="left"/>
      <w:pPr>
        <w:tabs>
          <w:tab w:val="num" w:pos="705"/>
        </w:tabs>
        <w:ind w:left="705" w:hanging="705"/>
      </w:pPr>
      <w:rPr>
        <w:rFonts w:hint="default"/>
        <w:b/>
        <w:i/>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080"/>
        </w:tabs>
        <w:ind w:left="1080" w:hanging="108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440"/>
        </w:tabs>
        <w:ind w:left="1440" w:hanging="1440"/>
      </w:pPr>
      <w:rPr>
        <w:rFonts w:hint="default"/>
        <w:b/>
        <w:i/>
      </w:rPr>
    </w:lvl>
    <w:lvl w:ilvl="8">
      <w:start w:val="1"/>
      <w:numFmt w:val="decimal"/>
      <w:lvlText w:val="%1.%2.%3.%4.%5.%6.%7.%8.%9"/>
      <w:lvlJc w:val="left"/>
      <w:pPr>
        <w:tabs>
          <w:tab w:val="num" w:pos="1440"/>
        </w:tabs>
        <w:ind w:left="1440" w:hanging="1440"/>
      </w:pPr>
      <w:rPr>
        <w:rFonts w:hint="default"/>
        <w:b/>
        <w:i/>
      </w:rPr>
    </w:lvl>
  </w:abstractNum>
  <w:abstractNum w:abstractNumId="53">
    <w:nsid w:val="559913A9"/>
    <w:multiLevelType w:val="singleLevel"/>
    <w:tmpl w:val="25407178"/>
    <w:lvl w:ilvl="0">
      <w:start w:val="1"/>
      <w:numFmt w:val="decimal"/>
      <w:pStyle w:val="Listaconnmeros"/>
      <w:lvlText w:val="%1)"/>
      <w:legacy w:legacy="1" w:legacySpace="0" w:legacyIndent="360"/>
      <w:lvlJc w:val="left"/>
      <w:pPr>
        <w:ind w:left="1440" w:hanging="360"/>
      </w:pPr>
      <w:rPr>
        <w:rFonts w:ascii="Arial Black" w:hAnsi="Arial Black" w:cs="Arial Black" w:hint="default"/>
        <w:b w:val="0"/>
        <w:bCs w:val="0"/>
        <w:i w:val="0"/>
        <w:iCs w:val="0"/>
        <w:sz w:val="18"/>
        <w:szCs w:val="18"/>
      </w:rPr>
    </w:lvl>
  </w:abstractNum>
  <w:abstractNum w:abstractNumId="54">
    <w:nsid w:val="60C41409"/>
    <w:multiLevelType w:val="hybridMultilevel"/>
    <w:tmpl w:val="6DD28514"/>
    <w:lvl w:ilvl="0" w:tplc="23FE3234">
      <w:start w:val="1"/>
      <w:numFmt w:val="bullet"/>
      <w:lvlText w:val="-"/>
      <w:lvlJc w:val="left"/>
      <w:pPr>
        <w:tabs>
          <w:tab w:val="num" w:pos="720"/>
        </w:tabs>
        <w:ind w:left="720" w:hanging="360"/>
      </w:pPr>
      <w:rPr>
        <w:rFonts w:ascii="Times New Roman" w:eastAsia="Times New Roman" w:hAnsi="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55">
    <w:nsid w:val="644B6A39"/>
    <w:multiLevelType w:val="multilevel"/>
    <w:tmpl w:val="9F7606C4"/>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6">
    <w:nsid w:val="70442DC7"/>
    <w:multiLevelType w:val="hybridMultilevel"/>
    <w:tmpl w:val="D89EC986"/>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57">
    <w:nsid w:val="754A5D15"/>
    <w:multiLevelType w:val="multilevel"/>
    <w:tmpl w:val="2558E7E1"/>
    <w:name w:val="List1183153210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58">
    <w:nsid w:val="754A5D16"/>
    <w:multiLevelType w:val="multilevel"/>
    <w:tmpl w:val="2558E7E2"/>
    <w:name w:val="List1183153215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59">
    <w:nsid w:val="754A5D17"/>
    <w:multiLevelType w:val="multilevel"/>
    <w:tmpl w:val="2558E7E3"/>
    <w:name w:val="List1183153279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0">
    <w:nsid w:val="754A5D18"/>
    <w:multiLevelType w:val="multilevel"/>
    <w:tmpl w:val="2558E7E4"/>
    <w:name w:val="List1183153319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1">
    <w:nsid w:val="754A5D19"/>
    <w:multiLevelType w:val="multilevel"/>
    <w:tmpl w:val="2558E7E5"/>
    <w:name w:val="List1183153477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2">
    <w:nsid w:val="754A5D1A"/>
    <w:multiLevelType w:val="multilevel"/>
    <w:tmpl w:val="2558E7E6"/>
    <w:name w:val="List1183583397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3">
    <w:nsid w:val="754A5D1B"/>
    <w:multiLevelType w:val="multilevel"/>
    <w:tmpl w:val="2558E7E7"/>
    <w:name w:val="List1183583403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4">
    <w:nsid w:val="754A5D1C"/>
    <w:multiLevelType w:val="multilevel"/>
    <w:tmpl w:val="684A596F"/>
    <w:name w:val="List1185998224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5">
    <w:nsid w:val="754A5D1D"/>
    <w:multiLevelType w:val="multilevel"/>
    <w:tmpl w:val="684A5970"/>
    <w:name w:val="List1185999295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6">
    <w:nsid w:val="754A5D1E"/>
    <w:multiLevelType w:val="multilevel"/>
    <w:tmpl w:val="2558E7EA"/>
    <w:name w:val="List1185902774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7">
    <w:nsid w:val="754A5D1F"/>
    <w:multiLevelType w:val="multilevel"/>
    <w:tmpl w:val="2558E7EB"/>
    <w:name w:val="List1185912087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8">
    <w:nsid w:val="754A5D20"/>
    <w:multiLevelType w:val="multilevel"/>
    <w:tmpl w:val="2558E7EC"/>
    <w:name w:val="List1185913294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9">
    <w:nsid w:val="754A5D21"/>
    <w:multiLevelType w:val="multilevel"/>
    <w:tmpl w:val="2558E7ED"/>
    <w:name w:val="List1185918543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70">
    <w:nsid w:val="754A5D22"/>
    <w:multiLevelType w:val="multilevel"/>
    <w:tmpl w:val="2558E7EE"/>
    <w:name w:val="List1185918549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71">
    <w:nsid w:val="754A5D23"/>
    <w:multiLevelType w:val="multilevel"/>
    <w:tmpl w:val="2558E7EF"/>
    <w:name w:val="List1185979638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72">
    <w:nsid w:val="754A5D24"/>
    <w:multiLevelType w:val="multilevel"/>
    <w:tmpl w:val="76621B07"/>
    <w:name w:val="List1189202695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73">
    <w:nsid w:val="754A5D25"/>
    <w:multiLevelType w:val="multilevel"/>
    <w:tmpl w:val="76621B08"/>
    <w:name w:val="List1189202715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16"/>
  </w:num>
  <w:num w:numId="2">
    <w:abstractNumId w:val="51"/>
  </w:num>
  <w:num w:numId="3">
    <w:abstractNumId w:val="53"/>
  </w:num>
  <w:num w:numId="4">
    <w:abstractNumId w:val="54"/>
  </w:num>
  <w:num w:numId="5">
    <w:abstractNumId w:val="34"/>
  </w:num>
  <w:num w:numId="6">
    <w:abstractNumId w:val="55"/>
  </w:num>
  <w:num w:numId="7">
    <w:abstractNumId w:val="56"/>
  </w:num>
  <w:num w:numId="8">
    <w:abstractNumId w:val="28"/>
  </w:num>
  <w:num w:numId="9">
    <w:abstractNumId w:val="29"/>
  </w:num>
  <w:num w:numId="10">
    <w:abstractNumId w:val="52"/>
  </w:num>
  <w:num w:numId="11">
    <w:abstractNumId w:val="32"/>
  </w:num>
  <w:num w:numId="12">
    <w:abstractNumId w:val="33"/>
  </w:num>
  <w:num w:numId="13">
    <w:abstractNumId w:val="33"/>
    <w:lvlOverride w:ilvl="0">
      <w:startOverride w:val="8"/>
    </w:lvlOverride>
  </w:num>
  <w:num w:numId="14">
    <w:abstractNumId w:val="33"/>
    <w:lvlOverride w:ilvl="0">
      <w:startOverride w:val="6"/>
    </w:lvlOverride>
  </w:num>
  <w:num w:numId="15">
    <w:abstractNumId w:val="30"/>
  </w:num>
  <w:num w:numId="16">
    <w:abstractNumId w:val="31"/>
  </w:num>
  <w:num w:numId="17">
    <w:abstractNumId w:val="27"/>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3F01"/>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7177"/>
  </w:hdrShapeDefaults>
  <w:footnotePr>
    <w:footnote w:id="-1"/>
    <w:footnote w:id="0"/>
  </w:footnotePr>
  <w:endnotePr>
    <w:pos w:val="sectEnd"/>
    <w:endnote w:id="-1"/>
    <w:endnote w:id="0"/>
  </w:endnotePr>
  <w:compat/>
  <w:rsids>
    <w:rsidRoot w:val="0033399C"/>
    <w:rsid w:val="00011892"/>
    <w:rsid w:val="00021501"/>
    <w:rsid w:val="00023F57"/>
    <w:rsid w:val="000255A7"/>
    <w:rsid w:val="00040478"/>
    <w:rsid w:val="00041A40"/>
    <w:rsid w:val="00045D38"/>
    <w:rsid w:val="000468A0"/>
    <w:rsid w:val="00052FEF"/>
    <w:rsid w:val="0006567D"/>
    <w:rsid w:val="0006626B"/>
    <w:rsid w:val="00071467"/>
    <w:rsid w:val="00082993"/>
    <w:rsid w:val="000904E8"/>
    <w:rsid w:val="00095138"/>
    <w:rsid w:val="000A0B18"/>
    <w:rsid w:val="000B274D"/>
    <w:rsid w:val="000B35A4"/>
    <w:rsid w:val="000B6401"/>
    <w:rsid w:val="000B74F6"/>
    <w:rsid w:val="000C2C62"/>
    <w:rsid w:val="000D06D6"/>
    <w:rsid w:val="000D1A9D"/>
    <w:rsid w:val="000D3677"/>
    <w:rsid w:val="000D5DB3"/>
    <w:rsid w:val="000D755B"/>
    <w:rsid w:val="000E29E4"/>
    <w:rsid w:val="000E4E8C"/>
    <w:rsid w:val="000E4FAE"/>
    <w:rsid w:val="000F3C25"/>
    <w:rsid w:val="001017FD"/>
    <w:rsid w:val="0010322D"/>
    <w:rsid w:val="001131D3"/>
    <w:rsid w:val="0011572E"/>
    <w:rsid w:val="00120DC1"/>
    <w:rsid w:val="0012309E"/>
    <w:rsid w:val="0013125F"/>
    <w:rsid w:val="00141162"/>
    <w:rsid w:val="00143194"/>
    <w:rsid w:val="00143D61"/>
    <w:rsid w:val="00145874"/>
    <w:rsid w:val="00147649"/>
    <w:rsid w:val="00160AA9"/>
    <w:rsid w:val="00162F98"/>
    <w:rsid w:val="001677B7"/>
    <w:rsid w:val="00170B18"/>
    <w:rsid w:val="001720A9"/>
    <w:rsid w:val="00172C90"/>
    <w:rsid w:val="00177A9D"/>
    <w:rsid w:val="00182985"/>
    <w:rsid w:val="00186790"/>
    <w:rsid w:val="00192257"/>
    <w:rsid w:val="00193F55"/>
    <w:rsid w:val="00194131"/>
    <w:rsid w:val="001A3AA6"/>
    <w:rsid w:val="001A5163"/>
    <w:rsid w:val="001B13A2"/>
    <w:rsid w:val="001B4045"/>
    <w:rsid w:val="001B61F3"/>
    <w:rsid w:val="001C42EF"/>
    <w:rsid w:val="001D6C63"/>
    <w:rsid w:val="001E6DE7"/>
    <w:rsid w:val="001E7D2B"/>
    <w:rsid w:val="001F09BD"/>
    <w:rsid w:val="001F5A4D"/>
    <w:rsid w:val="001F743C"/>
    <w:rsid w:val="0020523B"/>
    <w:rsid w:val="002062F2"/>
    <w:rsid w:val="002133E9"/>
    <w:rsid w:val="002353A5"/>
    <w:rsid w:val="00235C64"/>
    <w:rsid w:val="0025544A"/>
    <w:rsid w:val="00291546"/>
    <w:rsid w:val="002A1796"/>
    <w:rsid w:val="002A6DD9"/>
    <w:rsid w:val="002B5993"/>
    <w:rsid w:val="002B59B5"/>
    <w:rsid w:val="002C07E9"/>
    <w:rsid w:val="002C113F"/>
    <w:rsid w:val="002C7A21"/>
    <w:rsid w:val="002E1222"/>
    <w:rsid w:val="002F0214"/>
    <w:rsid w:val="00300F16"/>
    <w:rsid w:val="003071A2"/>
    <w:rsid w:val="00326671"/>
    <w:rsid w:val="00331055"/>
    <w:rsid w:val="0033399C"/>
    <w:rsid w:val="0034492A"/>
    <w:rsid w:val="003449B7"/>
    <w:rsid w:val="00355FC7"/>
    <w:rsid w:val="0035603F"/>
    <w:rsid w:val="00363E74"/>
    <w:rsid w:val="003649A6"/>
    <w:rsid w:val="003670DF"/>
    <w:rsid w:val="00383A09"/>
    <w:rsid w:val="00386379"/>
    <w:rsid w:val="003863D2"/>
    <w:rsid w:val="0038705C"/>
    <w:rsid w:val="003A1B7B"/>
    <w:rsid w:val="003A2E7F"/>
    <w:rsid w:val="003B106A"/>
    <w:rsid w:val="003B15C0"/>
    <w:rsid w:val="003B661C"/>
    <w:rsid w:val="003C4919"/>
    <w:rsid w:val="003D40EA"/>
    <w:rsid w:val="003D5C8C"/>
    <w:rsid w:val="003D5E54"/>
    <w:rsid w:val="003D67BA"/>
    <w:rsid w:val="003E1AD5"/>
    <w:rsid w:val="003E5A85"/>
    <w:rsid w:val="003F17C3"/>
    <w:rsid w:val="003F4159"/>
    <w:rsid w:val="00400AE2"/>
    <w:rsid w:val="004047FA"/>
    <w:rsid w:val="004129F5"/>
    <w:rsid w:val="00416F3C"/>
    <w:rsid w:val="004238EC"/>
    <w:rsid w:val="0044031D"/>
    <w:rsid w:val="0044199A"/>
    <w:rsid w:val="00445DA9"/>
    <w:rsid w:val="00454784"/>
    <w:rsid w:val="00461B7A"/>
    <w:rsid w:val="00470E02"/>
    <w:rsid w:val="004717BC"/>
    <w:rsid w:val="00472123"/>
    <w:rsid w:val="0048267E"/>
    <w:rsid w:val="004854B6"/>
    <w:rsid w:val="00491278"/>
    <w:rsid w:val="00492EA0"/>
    <w:rsid w:val="00493F20"/>
    <w:rsid w:val="00494648"/>
    <w:rsid w:val="00494B1F"/>
    <w:rsid w:val="004C0FC1"/>
    <w:rsid w:val="004C4CC1"/>
    <w:rsid w:val="004C56F2"/>
    <w:rsid w:val="004C790C"/>
    <w:rsid w:val="004E66CC"/>
    <w:rsid w:val="004F01B6"/>
    <w:rsid w:val="004F1CD4"/>
    <w:rsid w:val="004F4826"/>
    <w:rsid w:val="00500717"/>
    <w:rsid w:val="00500B5C"/>
    <w:rsid w:val="00501C43"/>
    <w:rsid w:val="0051133F"/>
    <w:rsid w:val="00516B9B"/>
    <w:rsid w:val="005171EA"/>
    <w:rsid w:val="00524368"/>
    <w:rsid w:val="00530EF8"/>
    <w:rsid w:val="005334D8"/>
    <w:rsid w:val="0053493C"/>
    <w:rsid w:val="0053785B"/>
    <w:rsid w:val="00537870"/>
    <w:rsid w:val="00565C5C"/>
    <w:rsid w:val="005702FF"/>
    <w:rsid w:val="005759B4"/>
    <w:rsid w:val="00575D61"/>
    <w:rsid w:val="0058093F"/>
    <w:rsid w:val="005856D9"/>
    <w:rsid w:val="00593A8C"/>
    <w:rsid w:val="00596F7E"/>
    <w:rsid w:val="005A1DDA"/>
    <w:rsid w:val="005B3B0C"/>
    <w:rsid w:val="005C5BC2"/>
    <w:rsid w:val="005D362A"/>
    <w:rsid w:val="005D73FD"/>
    <w:rsid w:val="005E2B1C"/>
    <w:rsid w:val="005F756F"/>
    <w:rsid w:val="005F7D1B"/>
    <w:rsid w:val="005F7EBA"/>
    <w:rsid w:val="00607D7A"/>
    <w:rsid w:val="00612358"/>
    <w:rsid w:val="006228B5"/>
    <w:rsid w:val="00631AEF"/>
    <w:rsid w:val="00632A16"/>
    <w:rsid w:val="00634E50"/>
    <w:rsid w:val="00634E92"/>
    <w:rsid w:val="0063661C"/>
    <w:rsid w:val="0063776D"/>
    <w:rsid w:val="006652A1"/>
    <w:rsid w:val="006712DD"/>
    <w:rsid w:val="00671DC6"/>
    <w:rsid w:val="006822E3"/>
    <w:rsid w:val="006825D8"/>
    <w:rsid w:val="00685DB4"/>
    <w:rsid w:val="00687C6B"/>
    <w:rsid w:val="006917B4"/>
    <w:rsid w:val="006B1453"/>
    <w:rsid w:val="006B33E1"/>
    <w:rsid w:val="006C4280"/>
    <w:rsid w:val="006D43CD"/>
    <w:rsid w:val="006D5056"/>
    <w:rsid w:val="006E123A"/>
    <w:rsid w:val="006E271B"/>
    <w:rsid w:val="006F20EF"/>
    <w:rsid w:val="006F6CEF"/>
    <w:rsid w:val="00701E00"/>
    <w:rsid w:val="00707E0E"/>
    <w:rsid w:val="00712829"/>
    <w:rsid w:val="007145B1"/>
    <w:rsid w:val="00727D0A"/>
    <w:rsid w:val="00736426"/>
    <w:rsid w:val="00743881"/>
    <w:rsid w:val="00757231"/>
    <w:rsid w:val="0075723E"/>
    <w:rsid w:val="00757D84"/>
    <w:rsid w:val="00771D93"/>
    <w:rsid w:val="00772ACE"/>
    <w:rsid w:val="00772ECF"/>
    <w:rsid w:val="0077584F"/>
    <w:rsid w:val="00786548"/>
    <w:rsid w:val="00787E0A"/>
    <w:rsid w:val="00793491"/>
    <w:rsid w:val="0079621E"/>
    <w:rsid w:val="007A533D"/>
    <w:rsid w:val="007B6E3D"/>
    <w:rsid w:val="007C23B2"/>
    <w:rsid w:val="007C4B39"/>
    <w:rsid w:val="007D61DC"/>
    <w:rsid w:val="007D737B"/>
    <w:rsid w:val="007E357A"/>
    <w:rsid w:val="007F6778"/>
    <w:rsid w:val="008005DA"/>
    <w:rsid w:val="00802750"/>
    <w:rsid w:val="00803406"/>
    <w:rsid w:val="008056CF"/>
    <w:rsid w:val="00817ADF"/>
    <w:rsid w:val="0082162A"/>
    <w:rsid w:val="00822EE0"/>
    <w:rsid w:val="00823DA5"/>
    <w:rsid w:val="0082744F"/>
    <w:rsid w:val="00841046"/>
    <w:rsid w:val="008528B2"/>
    <w:rsid w:val="008621E0"/>
    <w:rsid w:val="00865B23"/>
    <w:rsid w:val="00877DA8"/>
    <w:rsid w:val="008813B6"/>
    <w:rsid w:val="00882CF4"/>
    <w:rsid w:val="008833DF"/>
    <w:rsid w:val="008B1B17"/>
    <w:rsid w:val="008B489F"/>
    <w:rsid w:val="008B4B3D"/>
    <w:rsid w:val="008B6829"/>
    <w:rsid w:val="008B6905"/>
    <w:rsid w:val="008C63C2"/>
    <w:rsid w:val="008D1B5C"/>
    <w:rsid w:val="008D30AC"/>
    <w:rsid w:val="008D438A"/>
    <w:rsid w:val="008E2F7A"/>
    <w:rsid w:val="008E5522"/>
    <w:rsid w:val="008E559E"/>
    <w:rsid w:val="00901E72"/>
    <w:rsid w:val="009030AD"/>
    <w:rsid w:val="0090502B"/>
    <w:rsid w:val="00907D20"/>
    <w:rsid w:val="00914CC2"/>
    <w:rsid w:val="009272F1"/>
    <w:rsid w:val="00931A19"/>
    <w:rsid w:val="00941B18"/>
    <w:rsid w:val="00946FE5"/>
    <w:rsid w:val="009545AD"/>
    <w:rsid w:val="009564C9"/>
    <w:rsid w:val="0096540A"/>
    <w:rsid w:val="0096615B"/>
    <w:rsid w:val="00966A99"/>
    <w:rsid w:val="00975729"/>
    <w:rsid w:val="00983ECB"/>
    <w:rsid w:val="00994811"/>
    <w:rsid w:val="009971A9"/>
    <w:rsid w:val="009B11E6"/>
    <w:rsid w:val="009B280C"/>
    <w:rsid w:val="009B442B"/>
    <w:rsid w:val="009E469D"/>
    <w:rsid w:val="009E5DDD"/>
    <w:rsid w:val="009E768D"/>
    <w:rsid w:val="009F4D66"/>
    <w:rsid w:val="00A0383E"/>
    <w:rsid w:val="00A14CC9"/>
    <w:rsid w:val="00A171E3"/>
    <w:rsid w:val="00A17453"/>
    <w:rsid w:val="00A17B50"/>
    <w:rsid w:val="00A26018"/>
    <w:rsid w:val="00A30EF3"/>
    <w:rsid w:val="00A31608"/>
    <w:rsid w:val="00A35411"/>
    <w:rsid w:val="00A3601A"/>
    <w:rsid w:val="00A361F6"/>
    <w:rsid w:val="00A369A4"/>
    <w:rsid w:val="00A37FDD"/>
    <w:rsid w:val="00A53F9C"/>
    <w:rsid w:val="00A7346E"/>
    <w:rsid w:val="00A822A4"/>
    <w:rsid w:val="00A96EA6"/>
    <w:rsid w:val="00AA15E3"/>
    <w:rsid w:val="00AB510F"/>
    <w:rsid w:val="00AC105E"/>
    <w:rsid w:val="00AC29D2"/>
    <w:rsid w:val="00AD1156"/>
    <w:rsid w:val="00AE48EC"/>
    <w:rsid w:val="00AE524D"/>
    <w:rsid w:val="00AF1260"/>
    <w:rsid w:val="00AF2370"/>
    <w:rsid w:val="00AF4774"/>
    <w:rsid w:val="00B04628"/>
    <w:rsid w:val="00B054C9"/>
    <w:rsid w:val="00B05B57"/>
    <w:rsid w:val="00B14F0E"/>
    <w:rsid w:val="00B208D7"/>
    <w:rsid w:val="00B21F6D"/>
    <w:rsid w:val="00B32555"/>
    <w:rsid w:val="00B43E3A"/>
    <w:rsid w:val="00B452CA"/>
    <w:rsid w:val="00B45D0F"/>
    <w:rsid w:val="00B479A2"/>
    <w:rsid w:val="00B50E93"/>
    <w:rsid w:val="00B515E4"/>
    <w:rsid w:val="00B54361"/>
    <w:rsid w:val="00B61D53"/>
    <w:rsid w:val="00B62236"/>
    <w:rsid w:val="00B67EDE"/>
    <w:rsid w:val="00B724BB"/>
    <w:rsid w:val="00B74580"/>
    <w:rsid w:val="00B75BFF"/>
    <w:rsid w:val="00B76687"/>
    <w:rsid w:val="00B834BB"/>
    <w:rsid w:val="00BA0835"/>
    <w:rsid w:val="00BA1D15"/>
    <w:rsid w:val="00BA4368"/>
    <w:rsid w:val="00BB2677"/>
    <w:rsid w:val="00BB5944"/>
    <w:rsid w:val="00BC0004"/>
    <w:rsid w:val="00BC1BC9"/>
    <w:rsid w:val="00BD398C"/>
    <w:rsid w:val="00BE4B52"/>
    <w:rsid w:val="00C01B04"/>
    <w:rsid w:val="00C04B95"/>
    <w:rsid w:val="00C214C6"/>
    <w:rsid w:val="00C32F98"/>
    <w:rsid w:val="00C41625"/>
    <w:rsid w:val="00C4542A"/>
    <w:rsid w:val="00C47ED3"/>
    <w:rsid w:val="00C51F0B"/>
    <w:rsid w:val="00C540DA"/>
    <w:rsid w:val="00C54F4C"/>
    <w:rsid w:val="00C616A0"/>
    <w:rsid w:val="00C61B85"/>
    <w:rsid w:val="00C6478F"/>
    <w:rsid w:val="00C727DE"/>
    <w:rsid w:val="00C82D25"/>
    <w:rsid w:val="00C90951"/>
    <w:rsid w:val="00C96380"/>
    <w:rsid w:val="00C97F62"/>
    <w:rsid w:val="00CA458D"/>
    <w:rsid w:val="00CB1604"/>
    <w:rsid w:val="00CC3B1C"/>
    <w:rsid w:val="00CC6355"/>
    <w:rsid w:val="00CD0ED8"/>
    <w:rsid w:val="00CD5DC7"/>
    <w:rsid w:val="00CE3861"/>
    <w:rsid w:val="00CF3917"/>
    <w:rsid w:val="00CF3E3D"/>
    <w:rsid w:val="00D04BFD"/>
    <w:rsid w:val="00D06E2A"/>
    <w:rsid w:val="00D07B7F"/>
    <w:rsid w:val="00D14FDC"/>
    <w:rsid w:val="00D177F5"/>
    <w:rsid w:val="00D20F60"/>
    <w:rsid w:val="00D33694"/>
    <w:rsid w:val="00D36E9F"/>
    <w:rsid w:val="00D41B8C"/>
    <w:rsid w:val="00D41EB1"/>
    <w:rsid w:val="00D51C5A"/>
    <w:rsid w:val="00D6647E"/>
    <w:rsid w:val="00D801A1"/>
    <w:rsid w:val="00D83EDC"/>
    <w:rsid w:val="00D87AF3"/>
    <w:rsid w:val="00D94FB3"/>
    <w:rsid w:val="00DA5365"/>
    <w:rsid w:val="00DB5040"/>
    <w:rsid w:val="00DD0A16"/>
    <w:rsid w:val="00DD3AC4"/>
    <w:rsid w:val="00DD67CE"/>
    <w:rsid w:val="00DD6A5F"/>
    <w:rsid w:val="00DE3441"/>
    <w:rsid w:val="00DE75DA"/>
    <w:rsid w:val="00DF7DEA"/>
    <w:rsid w:val="00E0512C"/>
    <w:rsid w:val="00E102C0"/>
    <w:rsid w:val="00E1383A"/>
    <w:rsid w:val="00E154A6"/>
    <w:rsid w:val="00E209B5"/>
    <w:rsid w:val="00E2213C"/>
    <w:rsid w:val="00E36CD5"/>
    <w:rsid w:val="00E443D2"/>
    <w:rsid w:val="00E65343"/>
    <w:rsid w:val="00E674AD"/>
    <w:rsid w:val="00E7443D"/>
    <w:rsid w:val="00E80B98"/>
    <w:rsid w:val="00E828E0"/>
    <w:rsid w:val="00E92231"/>
    <w:rsid w:val="00E9575C"/>
    <w:rsid w:val="00EA1451"/>
    <w:rsid w:val="00EA2338"/>
    <w:rsid w:val="00EA7991"/>
    <w:rsid w:val="00EB2643"/>
    <w:rsid w:val="00EB4687"/>
    <w:rsid w:val="00EC0C84"/>
    <w:rsid w:val="00EC337E"/>
    <w:rsid w:val="00EC3C75"/>
    <w:rsid w:val="00EC636E"/>
    <w:rsid w:val="00EC72A5"/>
    <w:rsid w:val="00EE7EA3"/>
    <w:rsid w:val="00EF116B"/>
    <w:rsid w:val="00EF6E3F"/>
    <w:rsid w:val="00EF6FCE"/>
    <w:rsid w:val="00F145EC"/>
    <w:rsid w:val="00F22A17"/>
    <w:rsid w:val="00F268F9"/>
    <w:rsid w:val="00F26EFC"/>
    <w:rsid w:val="00F573EF"/>
    <w:rsid w:val="00F603D1"/>
    <w:rsid w:val="00F820B9"/>
    <w:rsid w:val="00F8360A"/>
    <w:rsid w:val="00F838C3"/>
    <w:rsid w:val="00F83B56"/>
    <w:rsid w:val="00F93C46"/>
    <w:rsid w:val="00F9630F"/>
    <w:rsid w:val="00FB1EBD"/>
    <w:rsid w:val="00FB5AD0"/>
    <w:rsid w:val="00FC1CB6"/>
    <w:rsid w:val="00FC3215"/>
    <w:rsid w:val="00FC36FA"/>
    <w:rsid w:val="00FE042C"/>
    <w:rsid w:val="00FF1621"/>
    <w:rsid w:val="00FF5DA8"/>
  </w:rsids>
  <m:mathPr>
    <m:mathFont m:val="Cambria Math"/>
    <m:brkBin m:val="before"/>
    <m:brkBinSub m:val="--"/>
    <m:smallFrac m:val="off"/>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71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R" w:eastAsia="es-C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68D"/>
    <w:pPr>
      <w:widowControl w:val="0"/>
      <w:autoSpaceDE w:val="0"/>
      <w:autoSpaceDN w:val="0"/>
      <w:adjustRightInd w:val="0"/>
    </w:pPr>
    <w:rPr>
      <w:rFonts w:ascii="Arial" w:hAnsi="Arial" w:cs="Arial"/>
      <w:sz w:val="24"/>
      <w:szCs w:val="24"/>
      <w:lang w:val="es-ES" w:eastAsia="es-ES"/>
    </w:rPr>
  </w:style>
  <w:style w:type="paragraph" w:styleId="Ttulo1">
    <w:name w:val="heading 1"/>
    <w:aliases w:val="Título Principal"/>
    <w:basedOn w:val="Normal"/>
    <w:next w:val="Normal"/>
    <w:link w:val="Ttulo1Car"/>
    <w:qFormat/>
    <w:rsid w:val="009E768D"/>
    <w:pPr>
      <w:keepNext/>
      <w:tabs>
        <w:tab w:val="center" w:pos="4680"/>
      </w:tabs>
      <w:jc w:val="both"/>
      <w:outlineLvl w:val="0"/>
    </w:pPr>
    <w:rPr>
      <w:b/>
      <w:bCs/>
      <w:i/>
      <w:iCs/>
      <w:color w:val="000000"/>
      <w:spacing w:val="-3"/>
      <w:u w:color="000000"/>
    </w:rPr>
  </w:style>
  <w:style w:type="paragraph" w:styleId="Ttulo2">
    <w:name w:val="heading 2"/>
    <w:basedOn w:val="Normal"/>
    <w:next w:val="Normal"/>
    <w:link w:val="Ttulo2Car"/>
    <w:qFormat/>
    <w:rsid w:val="00822EE0"/>
    <w:pPr>
      <w:keepNext/>
      <w:spacing w:before="240" w:after="60"/>
      <w:outlineLvl w:val="1"/>
    </w:pPr>
    <w:rPr>
      <w:b/>
      <w:bCs/>
      <w:i/>
      <w:iCs/>
      <w:sz w:val="28"/>
      <w:szCs w:val="28"/>
    </w:rPr>
  </w:style>
  <w:style w:type="paragraph" w:styleId="Ttulo3">
    <w:name w:val="heading 3"/>
    <w:basedOn w:val="Normal"/>
    <w:next w:val="Normal"/>
    <w:link w:val="Ttulo3Car"/>
    <w:qFormat/>
    <w:rsid w:val="00822EE0"/>
    <w:pPr>
      <w:keepNext/>
      <w:spacing w:before="240" w:after="60"/>
      <w:outlineLvl w:val="2"/>
    </w:pPr>
    <w:rPr>
      <w:b/>
      <w:bCs/>
      <w:sz w:val="26"/>
      <w:szCs w:val="26"/>
    </w:rPr>
  </w:style>
  <w:style w:type="paragraph" w:styleId="Ttulo4">
    <w:name w:val="heading 4"/>
    <w:basedOn w:val="Normal"/>
    <w:next w:val="Normal"/>
    <w:link w:val="Ttulo4Car"/>
    <w:qFormat/>
    <w:rsid w:val="009E768D"/>
    <w:pPr>
      <w:keepNext/>
      <w:outlineLvl w:val="3"/>
    </w:pPr>
    <w:rPr>
      <w:rFonts w:ascii="Book Antiqua" w:hAnsi="Book Antiqua" w:cs="Book Antiqua"/>
      <w:b/>
      <w:bCs/>
      <w:u w:color="000000"/>
    </w:rPr>
  </w:style>
  <w:style w:type="paragraph" w:styleId="Ttulo5">
    <w:name w:val="heading 5"/>
    <w:basedOn w:val="Normal"/>
    <w:next w:val="Normal"/>
    <w:link w:val="Ttulo5Car"/>
    <w:qFormat/>
    <w:rsid w:val="009E768D"/>
    <w:pPr>
      <w:keepNext/>
      <w:jc w:val="both"/>
      <w:outlineLvl w:val="4"/>
    </w:pPr>
    <w:rPr>
      <w:b/>
      <w:bCs/>
      <w:i/>
      <w:iCs/>
      <w:color w:val="000000"/>
      <w:u w:color="000000"/>
    </w:rPr>
  </w:style>
  <w:style w:type="paragraph" w:styleId="Ttulo6">
    <w:name w:val="heading 6"/>
    <w:basedOn w:val="Normal"/>
    <w:next w:val="Normal"/>
    <w:link w:val="Ttulo6Car"/>
    <w:qFormat/>
    <w:rsid w:val="00F22A17"/>
    <w:pPr>
      <w:widowControl/>
      <w:tabs>
        <w:tab w:val="num" w:pos="0"/>
      </w:tabs>
      <w:suppressAutoHyphens/>
      <w:autoSpaceDE/>
      <w:autoSpaceDN/>
      <w:adjustRightInd/>
      <w:spacing w:before="240" w:after="60"/>
      <w:ind w:left="1152" w:hanging="1152"/>
      <w:jc w:val="both"/>
      <w:outlineLvl w:val="5"/>
    </w:pPr>
    <w:rPr>
      <w:rFonts w:ascii="Book Antiqua" w:hAnsi="Book Antiqua" w:cs="Book Antiqua"/>
      <w:b/>
      <w:bCs/>
      <w:sz w:val="22"/>
      <w:szCs w:val="22"/>
      <w:lang w:val="es-CR" w:eastAsia="zh-CN"/>
    </w:rPr>
  </w:style>
  <w:style w:type="paragraph" w:styleId="Ttulo7">
    <w:name w:val="heading 7"/>
    <w:basedOn w:val="Normal"/>
    <w:next w:val="Normal"/>
    <w:link w:val="Ttulo7Car"/>
    <w:qFormat/>
    <w:rsid w:val="005B3B0C"/>
    <w:pPr>
      <w:spacing w:before="240" w:after="60"/>
      <w:outlineLvl w:val="6"/>
    </w:pPr>
  </w:style>
  <w:style w:type="paragraph" w:styleId="Ttulo8">
    <w:name w:val="heading 8"/>
    <w:basedOn w:val="Normal"/>
    <w:next w:val="Normal"/>
    <w:link w:val="Ttulo8Car"/>
    <w:qFormat/>
    <w:rsid w:val="009E768D"/>
    <w:pPr>
      <w:keepNext/>
      <w:jc w:val="right"/>
      <w:outlineLvl w:val="7"/>
    </w:pPr>
    <w:rPr>
      <w:rFonts w:ascii="Book Antiqua" w:hAnsi="Book Antiqua" w:cs="Book Antiqua"/>
    </w:rPr>
  </w:style>
  <w:style w:type="paragraph" w:styleId="Ttulo9">
    <w:name w:val="heading 9"/>
    <w:basedOn w:val="Normal"/>
    <w:next w:val="Normal"/>
    <w:link w:val="Ttulo9Car"/>
    <w:qFormat/>
    <w:rsid w:val="00F22A17"/>
    <w:pPr>
      <w:keepNext/>
      <w:widowControl/>
      <w:tabs>
        <w:tab w:val="num" w:pos="0"/>
      </w:tabs>
      <w:suppressAutoHyphens/>
      <w:autoSpaceDE/>
      <w:autoSpaceDN/>
      <w:adjustRightInd/>
      <w:spacing w:before="240" w:after="360"/>
      <w:ind w:left="1584" w:hanging="1584"/>
      <w:jc w:val="center"/>
      <w:outlineLvl w:val="8"/>
    </w:pPr>
    <w:rPr>
      <w:b/>
      <w:bCs/>
      <w:sz w:val="28"/>
      <w:szCs w:val="28"/>
      <w:lang w:val="es-CR"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semiHidden/>
    <w:rsid w:val="009E768D"/>
    <w:pPr>
      <w:widowControl/>
      <w:autoSpaceDE/>
      <w:autoSpaceDN/>
      <w:adjustRightInd/>
    </w:pPr>
    <w:rPr>
      <w:rFonts w:ascii="Tahoma" w:hAnsi="Tahoma" w:cs="Tahoma"/>
      <w:sz w:val="16"/>
      <w:szCs w:val="16"/>
    </w:rPr>
  </w:style>
  <w:style w:type="paragraph" w:customStyle="1" w:styleId="Estilo">
    <w:name w:val="Estilo"/>
    <w:next w:val="Normal"/>
    <w:rsid w:val="009E768D"/>
    <w:pPr>
      <w:widowControl w:val="0"/>
      <w:autoSpaceDE w:val="0"/>
      <w:autoSpaceDN w:val="0"/>
      <w:adjustRightInd w:val="0"/>
    </w:pPr>
    <w:rPr>
      <w:rFonts w:ascii="Arial" w:hAnsi="Arial" w:cs="Arial"/>
      <w:sz w:val="24"/>
      <w:szCs w:val="24"/>
      <w:lang w:val="es-ES" w:eastAsia="es-ES"/>
    </w:rPr>
  </w:style>
  <w:style w:type="paragraph" w:customStyle="1" w:styleId="Estilo1">
    <w:name w:val="Estilo1"/>
    <w:next w:val="Normal"/>
    <w:rsid w:val="009E768D"/>
    <w:pPr>
      <w:widowControl w:val="0"/>
      <w:autoSpaceDE w:val="0"/>
      <w:autoSpaceDN w:val="0"/>
      <w:adjustRightInd w:val="0"/>
    </w:pPr>
    <w:rPr>
      <w:rFonts w:ascii="Arial" w:hAnsi="Arial" w:cs="Arial"/>
      <w:sz w:val="24"/>
      <w:szCs w:val="24"/>
      <w:u w:color="000000"/>
      <w:lang w:val="es-ES" w:eastAsia="es-ES"/>
    </w:rPr>
  </w:style>
  <w:style w:type="paragraph" w:styleId="Encabezado">
    <w:name w:val="header"/>
    <w:aliases w:val="encabezado"/>
    <w:basedOn w:val="Normal"/>
    <w:link w:val="EncabezadoCar"/>
    <w:rsid w:val="009E768D"/>
    <w:pPr>
      <w:tabs>
        <w:tab w:val="center" w:pos="4252"/>
        <w:tab w:val="right" w:pos="8504"/>
      </w:tabs>
    </w:pPr>
    <w:rPr>
      <w:rFonts w:cs="Times New Roman"/>
      <w:sz w:val="20"/>
      <w:szCs w:val="20"/>
      <w:u w:color="000000"/>
    </w:rPr>
  </w:style>
  <w:style w:type="paragraph" w:styleId="Textoindependiente3">
    <w:name w:val="Body Text 3"/>
    <w:basedOn w:val="Normal"/>
    <w:link w:val="Textoindependiente3Car"/>
    <w:rsid w:val="009E768D"/>
    <w:pPr>
      <w:jc w:val="both"/>
    </w:pPr>
    <w:rPr>
      <w:rFonts w:ascii="Book Antiqua" w:hAnsi="Book Antiqua" w:cs="Book Antiqua"/>
    </w:rPr>
  </w:style>
  <w:style w:type="paragraph" w:styleId="Piedepgina">
    <w:name w:val="footer"/>
    <w:basedOn w:val="Normal"/>
    <w:link w:val="PiedepginaCar"/>
    <w:uiPriority w:val="99"/>
    <w:rsid w:val="009E768D"/>
    <w:pPr>
      <w:tabs>
        <w:tab w:val="center" w:pos="4252"/>
        <w:tab w:val="right" w:pos="8504"/>
      </w:tabs>
    </w:pPr>
    <w:rPr>
      <w:sz w:val="20"/>
      <w:szCs w:val="20"/>
    </w:rPr>
  </w:style>
  <w:style w:type="paragraph" w:styleId="Textoindependiente2">
    <w:name w:val="Body Text 2"/>
    <w:basedOn w:val="Normal"/>
    <w:link w:val="Textoindependiente2Car"/>
    <w:rsid w:val="009E768D"/>
    <w:pPr>
      <w:jc w:val="both"/>
    </w:pPr>
    <w:rPr>
      <w:rFonts w:ascii="Book Antiqua" w:hAnsi="Book Antiqua" w:cs="Book Antiqua"/>
    </w:rPr>
  </w:style>
  <w:style w:type="character" w:styleId="Hipervnculo">
    <w:name w:val="Hyperlink"/>
    <w:basedOn w:val="Fuentedeprrafopredeter"/>
    <w:rsid w:val="009E768D"/>
    <w:rPr>
      <w:rFonts w:cs="Times New Roman"/>
      <w:color w:val="0000FF"/>
      <w:u w:val="single"/>
    </w:rPr>
  </w:style>
  <w:style w:type="character" w:styleId="Nmerodepgina">
    <w:name w:val="page number"/>
    <w:basedOn w:val="Fuentedeprrafopredeter"/>
    <w:rsid w:val="009E768D"/>
    <w:rPr>
      <w:rFonts w:cs="Times New Roman"/>
    </w:rPr>
  </w:style>
  <w:style w:type="character" w:styleId="Hipervnculovisitado">
    <w:name w:val="FollowedHyperlink"/>
    <w:basedOn w:val="Fuentedeprrafopredeter"/>
    <w:rsid w:val="009E768D"/>
    <w:rPr>
      <w:rFonts w:cs="Times New Roman"/>
      <w:color w:val="800080"/>
      <w:u w:val="single"/>
    </w:rPr>
  </w:style>
  <w:style w:type="paragraph" w:customStyle="1" w:styleId="Ttulo30">
    <w:name w:val="TÍtulo 3"/>
    <w:next w:val="Normal"/>
    <w:rsid w:val="009E768D"/>
    <w:pPr>
      <w:keepNext/>
      <w:widowControl w:val="0"/>
      <w:autoSpaceDE w:val="0"/>
      <w:autoSpaceDN w:val="0"/>
      <w:adjustRightInd w:val="0"/>
      <w:jc w:val="both"/>
    </w:pPr>
    <w:rPr>
      <w:rFonts w:ascii="Arial" w:hAnsi="Arial" w:cs="Arial"/>
      <w:sz w:val="24"/>
      <w:szCs w:val="24"/>
      <w:lang w:val="es-ES" w:eastAsia="es-ES"/>
    </w:rPr>
  </w:style>
  <w:style w:type="paragraph" w:styleId="Textoindependiente">
    <w:name w:val="Body Text"/>
    <w:basedOn w:val="Normal"/>
    <w:link w:val="TextoindependienteCar"/>
    <w:rsid w:val="009E768D"/>
    <w:rPr>
      <w:rFonts w:ascii="Book Antiqua" w:hAnsi="Book Antiqua" w:cs="Book Antiqua"/>
      <w:sz w:val="22"/>
      <w:szCs w:val="22"/>
    </w:rPr>
  </w:style>
  <w:style w:type="paragraph" w:styleId="Textonotapie">
    <w:name w:val="footnote text"/>
    <w:basedOn w:val="Normal"/>
    <w:link w:val="TextonotapieCar"/>
    <w:semiHidden/>
    <w:rsid w:val="009E768D"/>
    <w:rPr>
      <w:sz w:val="20"/>
      <w:szCs w:val="20"/>
    </w:rPr>
  </w:style>
  <w:style w:type="character" w:styleId="Refdenotaalpie">
    <w:name w:val="footnote reference"/>
    <w:basedOn w:val="Fuentedeprrafopredeter"/>
    <w:semiHidden/>
    <w:rsid w:val="009E768D"/>
    <w:rPr>
      <w:rFonts w:cs="Times New Roman"/>
      <w:vertAlign w:val="superscript"/>
    </w:rPr>
  </w:style>
  <w:style w:type="paragraph" w:styleId="Sangra2detindependiente">
    <w:name w:val="Body Text Indent 2"/>
    <w:basedOn w:val="Normal"/>
    <w:link w:val="Sangra2detindependienteCar"/>
    <w:rsid w:val="009E768D"/>
    <w:pPr>
      <w:ind w:left="497"/>
      <w:jc w:val="both"/>
    </w:pPr>
    <w:rPr>
      <w:color w:val="000000"/>
      <w:spacing w:val="-10"/>
      <w:sz w:val="28"/>
      <w:szCs w:val="28"/>
      <w:u w:color="000000"/>
    </w:rPr>
  </w:style>
  <w:style w:type="paragraph" w:styleId="Mapadeldocumento">
    <w:name w:val="Document Map"/>
    <w:basedOn w:val="Normal"/>
    <w:link w:val="MapadeldocumentoCar"/>
    <w:semiHidden/>
    <w:rsid w:val="009E768D"/>
    <w:pPr>
      <w:shd w:val="clear" w:color="auto" w:fill="000080"/>
    </w:pPr>
    <w:rPr>
      <w:rFonts w:ascii="Tahoma" w:hAnsi="Tahoma" w:cs="Tahoma"/>
      <w:color w:val="000000"/>
      <w:sz w:val="20"/>
      <w:szCs w:val="20"/>
      <w:u w:color="000000"/>
    </w:rPr>
  </w:style>
  <w:style w:type="paragraph" w:styleId="NormalWeb">
    <w:name w:val="Normal (Web)"/>
    <w:basedOn w:val="Normal"/>
    <w:rsid w:val="009E768D"/>
    <w:rPr>
      <w:rFonts w:ascii="Arial Unicode MS" w:eastAsia="Arial Unicode MS" w:cs="Arial Unicode MS"/>
      <w:color w:val="000000"/>
      <w:u w:color="000000"/>
    </w:rPr>
  </w:style>
  <w:style w:type="paragraph" w:customStyle="1" w:styleId="Car">
    <w:name w:val="Car"/>
    <w:basedOn w:val="Normal"/>
    <w:semiHidden/>
    <w:rsid w:val="00A17B50"/>
    <w:pPr>
      <w:widowControl/>
      <w:autoSpaceDE/>
      <w:autoSpaceDN/>
      <w:adjustRightInd/>
      <w:spacing w:after="160" w:line="240" w:lineRule="exact"/>
    </w:pPr>
    <w:rPr>
      <w:rFonts w:ascii="Verdana" w:hAnsi="Verdana" w:cs="Verdana"/>
      <w:sz w:val="20"/>
      <w:szCs w:val="20"/>
      <w:lang w:val="en-AU" w:eastAsia="en-US"/>
    </w:rPr>
  </w:style>
  <w:style w:type="paragraph" w:customStyle="1" w:styleId="H5">
    <w:name w:val="H5"/>
    <w:next w:val="Normal"/>
    <w:rsid w:val="000E4FAE"/>
    <w:pPr>
      <w:keepNext/>
      <w:widowControl w:val="0"/>
      <w:autoSpaceDE w:val="0"/>
      <w:autoSpaceDN w:val="0"/>
      <w:adjustRightInd w:val="0"/>
      <w:spacing w:before="100" w:after="100"/>
      <w:outlineLvl w:val="5"/>
    </w:pPr>
    <w:rPr>
      <w:rFonts w:ascii="Arial" w:hAnsi="Arial" w:cs="Arial"/>
      <w:b/>
      <w:bCs/>
      <w:shd w:val="clear" w:color="auto" w:fill="FFFFFF"/>
      <w:lang w:val="es-ES" w:eastAsia="es-ES"/>
    </w:rPr>
  </w:style>
  <w:style w:type="paragraph" w:customStyle="1" w:styleId="estilo2">
    <w:name w:val="estilo2"/>
    <w:basedOn w:val="Normal"/>
    <w:rsid w:val="00817ADF"/>
    <w:pPr>
      <w:widowControl/>
      <w:autoSpaceDE/>
      <w:autoSpaceDN/>
      <w:adjustRightInd/>
      <w:spacing w:before="100" w:beforeAutospacing="1" w:after="100" w:afterAutospacing="1"/>
    </w:pPr>
    <w:rPr>
      <w:rFonts w:ascii="Verdana" w:hAnsi="Verdana" w:cs="Verdana"/>
    </w:rPr>
  </w:style>
  <w:style w:type="character" w:customStyle="1" w:styleId="estilo51">
    <w:name w:val="estilo51"/>
    <w:basedOn w:val="Fuentedeprrafopredeter"/>
    <w:rsid w:val="00817ADF"/>
    <w:rPr>
      <w:rFonts w:cs="Times New Roman"/>
      <w:b/>
      <w:bCs/>
    </w:rPr>
  </w:style>
  <w:style w:type="character" w:customStyle="1" w:styleId="estilo41">
    <w:name w:val="estilo41"/>
    <w:basedOn w:val="Fuentedeprrafopredeter"/>
    <w:rsid w:val="00817ADF"/>
    <w:rPr>
      <w:rFonts w:cs="Times New Roman"/>
    </w:rPr>
  </w:style>
  <w:style w:type="character" w:styleId="Textoennegrita">
    <w:name w:val="Strong"/>
    <w:basedOn w:val="Fuentedeprrafopredeter"/>
    <w:qFormat/>
    <w:rsid w:val="00817ADF"/>
    <w:rPr>
      <w:rFonts w:cs="Times New Roman"/>
      <w:b/>
      <w:bCs/>
    </w:rPr>
  </w:style>
  <w:style w:type="paragraph" w:styleId="Prrafodelista">
    <w:name w:val="List Paragraph"/>
    <w:basedOn w:val="Normal"/>
    <w:qFormat/>
    <w:rsid w:val="005B3B0C"/>
    <w:pPr>
      <w:widowControl/>
      <w:autoSpaceDE/>
      <w:autoSpaceDN/>
      <w:adjustRightInd/>
      <w:ind w:left="708"/>
    </w:pPr>
  </w:style>
  <w:style w:type="character" w:styleId="nfasis">
    <w:name w:val="Emphasis"/>
    <w:basedOn w:val="Fuentedeprrafopredeter"/>
    <w:qFormat/>
    <w:rsid w:val="00F838C3"/>
    <w:rPr>
      <w:rFonts w:cs="Times New Roman"/>
      <w:i/>
      <w:iCs/>
    </w:rPr>
  </w:style>
  <w:style w:type="character" w:customStyle="1" w:styleId="TextonotapieCar">
    <w:name w:val="Texto nota pie Car"/>
    <w:basedOn w:val="Fuentedeprrafopredeter"/>
    <w:link w:val="Textonotapie"/>
    <w:semiHidden/>
    <w:locked/>
    <w:rsid w:val="00F838C3"/>
    <w:rPr>
      <w:rFonts w:ascii="Arial" w:hAnsi="Arial" w:cs="Arial"/>
      <w:lang w:val="es-ES" w:eastAsia="es-ES"/>
    </w:rPr>
  </w:style>
  <w:style w:type="paragraph" w:customStyle="1" w:styleId="Prrafodelista1">
    <w:name w:val="Párrafo de lista1"/>
    <w:basedOn w:val="Normal"/>
    <w:qFormat/>
    <w:rsid w:val="00822EE0"/>
    <w:pPr>
      <w:widowControl/>
      <w:autoSpaceDE/>
      <w:autoSpaceDN/>
      <w:adjustRightInd/>
      <w:spacing w:after="200" w:line="276" w:lineRule="auto"/>
      <w:ind w:left="720"/>
    </w:pPr>
    <w:rPr>
      <w:rFonts w:ascii="Calibri" w:hAnsi="Calibri" w:cs="Calibri"/>
      <w:sz w:val="22"/>
      <w:szCs w:val="22"/>
      <w:lang w:val="es-CR" w:eastAsia="en-US"/>
    </w:rPr>
  </w:style>
  <w:style w:type="character" w:customStyle="1" w:styleId="CarCar1">
    <w:name w:val="Car Car1"/>
    <w:basedOn w:val="Fuentedeprrafopredeter"/>
    <w:semiHidden/>
    <w:locked/>
    <w:rsid w:val="00822EE0"/>
    <w:rPr>
      <w:rFonts w:ascii="Calibri" w:hAnsi="Calibri" w:cs="Calibri"/>
      <w:lang w:val="es-CR" w:eastAsia="en-US"/>
    </w:rPr>
  </w:style>
  <w:style w:type="paragraph" w:styleId="Sangradetextonormal">
    <w:name w:val="Body Text Indent"/>
    <w:basedOn w:val="Normal"/>
    <w:link w:val="SangradetextonormalCar"/>
    <w:rsid w:val="00D14FDC"/>
    <w:pPr>
      <w:spacing w:after="120"/>
      <w:ind w:left="283"/>
    </w:pPr>
  </w:style>
  <w:style w:type="character" w:customStyle="1" w:styleId="CarCar2">
    <w:name w:val="Car Car2"/>
    <w:basedOn w:val="Fuentedeprrafopredeter"/>
    <w:semiHidden/>
    <w:rsid w:val="00D14FDC"/>
    <w:rPr>
      <w:rFonts w:cs="Times New Roman"/>
      <w:lang w:val="es-ES" w:eastAsia="es-ES"/>
    </w:rPr>
  </w:style>
  <w:style w:type="paragraph" w:styleId="Textodebloque">
    <w:name w:val="Block Text"/>
    <w:basedOn w:val="Normal"/>
    <w:rsid w:val="00FE042C"/>
    <w:pPr>
      <w:spacing w:line="360" w:lineRule="auto"/>
      <w:ind w:left="360" w:right="680"/>
      <w:jc w:val="both"/>
    </w:pPr>
    <w:rPr>
      <w:color w:val="000000"/>
      <w:u w:color="000000"/>
      <w:shd w:val="clear" w:color="auto" w:fill="FFFFFF"/>
    </w:rPr>
  </w:style>
  <w:style w:type="paragraph" w:customStyle="1" w:styleId="CarCar6">
    <w:name w:val="Car Car6"/>
    <w:basedOn w:val="Normal"/>
    <w:semiHidden/>
    <w:rsid w:val="00FE042C"/>
    <w:pPr>
      <w:widowControl/>
      <w:autoSpaceDE/>
      <w:autoSpaceDN/>
      <w:adjustRightInd/>
      <w:spacing w:after="160" w:line="240" w:lineRule="exact"/>
    </w:pPr>
    <w:rPr>
      <w:rFonts w:ascii="Verdana" w:hAnsi="Verdana" w:cs="Verdana"/>
      <w:sz w:val="20"/>
      <w:szCs w:val="20"/>
      <w:lang w:val="en-AU" w:eastAsia="en-US"/>
    </w:rPr>
  </w:style>
  <w:style w:type="paragraph" w:customStyle="1" w:styleId="CharChar">
    <w:name w:val="Char Char"/>
    <w:basedOn w:val="Normal"/>
    <w:semiHidden/>
    <w:rsid w:val="00FE042C"/>
    <w:pPr>
      <w:widowControl/>
      <w:autoSpaceDE/>
      <w:autoSpaceDN/>
      <w:adjustRightInd/>
      <w:spacing w:after="160" w:line="240" w:lineRule="exact"/>
    </w:pPr>
    <w:rPr>
      <w:rFonts w:ascii="Verdana" w:hAnsi="Verdana" w:cs="Verdana"/>
      <w:sz w:val="20"/>
      <w:szCs w:val="20"/>
      <w:lang w:val="en-AU" w:eastAsia="en-US"/>
    </w:rPr>
  </w:style>
  <w:style w:type="paragraph" w:customStyle="1" w:styleId="Sangra3detindependiente1">
    <w:name w:val="Sangría 3 de t. independiente1"/>
    <w:basedOn w:val="Normal"/>
    <w:rsid w:val="00901E72"/>
    <w:pPr>
      <w:widowControl/>
      <w:suppressAutoHyphens/>
      <w:autoSpaceDE/>
      <w:autoSpaceDN/>
      <w:adjustRightInd/>
      <w:spacing w:after="120"/>
      <w:ind w:left="283"/>
    </w:pPr>
    <w:rPr>
      <w:sz w:val="16"/>
      <w:szCs w:val="16"/>
      <w:lang w:eastAsia="ar-SA"/>
    </w:rPr>
  </w:style>
  <w:style w:type="character" w:customStyle="1" w:styleId="hasnegrita1">
    <w:name w:val="has_negrita1"/>
    <w:basedOn w:val="Fuentedeprrafopredeter"/>
    <w:rsid w:val="00901E72"/>
    <w:rPr>
      <w:rFonts w:cs="Times New Roman"/>
      <w:b/>
      <w:bCs/>
    </w:rPr>
  </w:style>
  <w:style w:type="character" w:customStyle="1" w:styleId="CarCar3">
    <w:name w:val="Car Car3"/>
    <w:basedOn w:val="Fuentedeprrafopredeter"/>
    <w:rsid w:val="00901E72"/>
    <w:rPr>
      <w:rFonts w:cs="Times New Roman"/>
      <w:lang w:val="es-ES" w:eastAsia="es-ES"/>
    </w:rPr>
  </w:style>
  <w:style w:type="character" w:customStyle="1" w:styleId="WW8Num8z0">
    <w:name w:val="WW8Num8z0"/>
    <w:rsid w:val="00F22A17"/>
    <w:rPr>
      <w:rFonts w:ascii="Wingdings" w:hAnsi="Wingdings"/>
    </w:rPr>
  </w:style>
  <w:style w:type="character" w:customStyle="1" w:styleId="WW8Num8z1">
    <w:name w:val="WW8Num8z1"/>
    <w:rsid w:val="00F22A17"/>
    <w:rPr>
      <w:rFonts w:ascii="Courier New" w:hAnsi="Courier New"/>
    </w:rPr>
  </w:style>
  <w:style w:type="character" w:customStyle="1" w:styleId="WW8Num8z3">
    <w:name w:val="WW8Num8z3"/>
    <w:rsid w:val="00F22A17"/>
    <w:rPr>
      <w:rFonts w:ascii="Symbol" w:hAnsi="Symbol"/>
    </w:rPr>
  </w:style>
  <w:style w:type="character" w:customStyle="1" w:styleId="WW8Num12z0">
    <w:name w:val="WW8Num12z0"/>
    <w:rsid w:val="00F22A17"/>
    <w:rPr>
      <w:rFonts w:ascii="Times New Roman" w:hAnsi="Times New Roman"/>
    </w:rPr>
  </w:style>
  <w:style w:type="character" w:customStyle="1" w:styleId="WW8Num13z0">
    <w:name w:val="WW8Num13z0"/>
    <w:rsid w:val="00F22A17"/>
    <w:rPr>
      <w:rFonts w:ascii="Symbol" w:hAnsi="Symbol"/>
    </w:rPr>
  </w:style>
  <w:style w:type="character" w:customStyle="1" w:styleId="WW8Num13z1">
    <w:name w:val="WW8Num13z1"/>
    <w:rsid w:val="00F22A17"/>
    <w:rPr>
      <w:rFonts w:ascii="Courier New" w:hAnsi="Courier New"/>
    </w:rPr>
  </w:style>
  <w:style w:type="character" w:customStyle="1" w:styleId="WW8Num13z2">
    <w:name w:val="WW8Num13z2"/>
    <w:rsid w:val="00F22A17"/>
    <w:rPr>
      <w:rFonts w:ascii="Wingdings" w:hAnsi="Wingdings"/>
    </w:rPr>
  </w:style>
  <w:style w:type="character" w:customStyle="1" w:styleId="WW8Num18z0">
    <w:name w:val="WW8Num18z0"/>
    <w:rsid w:val="00F22A17"/>
    <w:rPr>
      <w:rFonts w:ascii="Wingdings" w:hAnsi="Wingdings"/>
    </w:rPr>
  </w:style>
  <w:style w:type="character" w:customStyle="1" w:styleId="WW8Num18z1">
    <w:name w:val="WW8Num18z1"/>
    <w:rsid w:val="00F22A17"/>
    <w:rPr>
      <w:rFonts w:ascii="Courier New" w:hAnsi="Courier New"/>
    </w:rPr>
  </w:style>
  <w:style w:type="character" w:customStyle="1" w:styleId="WW8Num18z3">
    <w:name w:val="WW8Num18z3"/>
    <w:rsid w:val="00F22A17"/>
    <w:rPr>
      <w:rFonts w:ascii="Symbol" w:hAnsi="Symbol"/>
    </w:rPr>
  </w:style>
  <w:style w:type="character" w:customStyle="1" w:styleId="WW8Num19z0">
    <w:name w:val="WW8Num19z0"/>
    <w:rsid w:val="00F22A17"/>
    <w:rPr>
      <w:rFonts w:ascii="Symbol" w:hAnsi="Symbol"/>
    </w:rPr>
  </w:style>
  <w:style w:type="character" w:customStyle="1" w:styleId="WW8Num19z1">
    <w:name w:val="WW8Num19z1"/>
    <w:rsid w:val="00F22A17"/>
    <w:rPr>
      <w:rFonts w:ascii="Courier New" w:hAnsi="Courier New"/>
    </w:rPr>
  </w:style>
  <w:style w:type="character" w:customStyle="1" w:styleId="WW8Num19z2">
    <w:name w:val="WW8Num19z2"/>
    <w:rsid w:val="00F22A17"/>
    <w:rPr>
      <w:rFonts w:ascii="Wingdings" w:hAnsi="Wingdings"/>
    </w:rPr>
  </w:style>
  <w:style w:type="character" w:customStyle="1" w:styleId="WW8Num27z0">
    <w:name w:val="WW8Num27z0"/>
    <w:rsid w:val="00F22A17"/>
    <w:rPr>
      <w:b/>
    </w:rPr>
  </w:style>
  <w:style w:type="character" w:customStyle="1" w:styleId="WW8Num31z0">
    <w:name w:val="WW8Num31z0"/>
    <w:rsid w:val="00F22A17"/>
    <w:rPr>
      <w:rFonts w:ascii="Arial" w:hAnsi="Arial"/>
      <w:i/>
    </w:rPr>
  </w:style>
  <w:style w:type="character" w:customStyle="1" w:styleId="WW8Num35z1">
    <w:name w:val="WW8Num35z1"/>
    <w:rsid w:val="00F22A17"/>
    <w:rPr>
      <w:rFonts w:ascii="Book Antiqua" w:eastAsia="Times New Roman" w:hAnsi="Book Antiqua"/>
    </w:rPr>
  </w:style>
  <w:style w:type="character" w:customStyle="1" w:styleId="WW8Num35z2">
    <w:name w:val="WW8Num35z2"/>
    <w:rsid w:val="00F22A17"/>
    <w:rPr>
      <w:rFonts w:ascii="Wingdings" w:hAnsi="Wingdings"/>
    </w:rPr>
  </w:style>
  <w:style w:type="character" w:customStyle="1" w:styleId="WW8Num35z3">
    <w:name w:val="WW8Num35z3"/>
    <w:rsid w:val="00F22A17"/>
    <w:rPr>
      <w:rFonts w:ascii="Symbol" w:hAnsi="Symbol"/>
    </w:rPr>
  </w:style>
  <w:style w:type="character" w:customStyle="1" w:styleId="WW8Num35z4">
    <w:name w:val="WW8Num35z4"/>
    <w:rsid w:val="00F22A17"/>
    <w:rPr>
      <w:rFonts w:ascii="Courier New" w:hAnsi="Courier New"/>
    </w:rPr>
  </w:style>
  <w:style w:type="character" w:customStyle="1" w:styleId="WW8Num39z0">
    <w:name w:val="WW8Num39z0"/>
    <w:rsid w:val="00F22A17"/>
    <w:rPr>
      <w:rFonts w:ascii="Times New Roman" w:hAnsi="Times New Roman"/>
      <w:color w:val="000000"/>
      <w:spacing w:val="0"/>
      <w:w w:val="100"/>
      <w:kern w:val="1"/>
      <w:position w:val="0"/>
      <w:sz w:val="2"/>
      <w:u w:val="none"/>
      <w:vertAlign w:val="baseline"/>
      <w:em w:val="none"/>
    </w:rPr>
  </w:style>
  <w:style w:type="character" w:customStyle="1" w:styleId="WW8Num39z2">
    <w:name w:val="WW8Num39z2"/>
    <w:rsid w:val="00F22A17"/>
    <w:rPr>
      <w:lang w:val="es-ES"/>
    </w:rPr>
  </w:style>
  <w:style w:type="character" w:customStyle="1" w:styleId="WW8Num41z0">
    <w:name w:val="WW8Num41z0"/>
    <w:rsid w:val="00F22A17"/>
    <w:rPr>
      <w:rFonts w:ascii="Symbol" w:hAnsi="Symbol"/>
    </w:rPr>
  </w:style>
  <w:style w:type="character" w:customStyle="1" w:styleId="WW8Num41z1">
    <w:name w:val="WW8Num41z1"/>
    <w:rsid w:val="00F22A17"/>
    <w:rPr>
      <w:rFonts w:ascii="Courier New" w:hAnsi="Courier New"/>
    </w:rPr>
  </w:style>
  <w:style w:type="character" w:customStyle="1" w:styleId="WW8Num41z2">
    <w:name w:val="WW8Num41z2"/>
    <w:rsid w:val="00F22A17"/>
    <w:rPr>
      <w:rFonts w:ascii="Wingdings" w:hAnsi="Wingdings"/>
    </w:rPr>
  </w:style>
  <w:style w:type="character" w:customStyle="1" w:styleId="WW8Num42z0">
    <w:name w:val="WW8Num42z0"/>
    <w:rsid w:val="00F22A17"/>
    <w:rPr>
      <w:b/>
      <w:color w:val="000000"/>
    </w:rPr>
  </w:style>
  <w:style w:type="character" w:customStyle="1" w:styleId="WW8Num42z1">
    <w:name w:val="WW8Num42z1"/>
    <w:rsid w:val="00F22A17"/>
    <w:rPr>
      <w:rFonts w:ascii="Wingdings" w:hAnsi="Wingdings"/>
      <w:b/>
      <w:color w:val="000000"/>
    </w:rPr>
  </w:style>
  <w:style w:type="character" w:customStyle="1" w:styleId="WW8Num48z0">
    <w:name w:val="WW8Num48z0"/>
    <w:rsid w:val="00F22A17"/>
    <w:rPr>
      <w:rFonts w:ascii="Wingdings" w:hAnsi="Wingdings"/>
    </w:rPr>
  </w:style>
  <w:style w:type="character" w:customStyle="1" w:styleId="WW8Num48z1">
    <w:name w:val="WW8Num48z1"/>
    <w:rsid w:val="00F22A17"/>
    <w:rPr>
      <w:rFonts w:ascii="Courier New" w:hAnsi="Courier New"/>
    </w:rPr>
  </w:style>
  <w:style w:type="character" w:customStyle="1" w:styleId="WW8Num48z3">
    <w:name w:val="WW8Num48z3"/>
    <w:rsid w:val="00F22A17"/>
    <w:rPr>
      <w:rFonts w:ascii="Symbol" w:hAnsi="Symbol"/>
    </w:rPr>
  </w:style>
  <w:style w:type="character" w:customStyle="1" w:styleId="WW8Num52z0">
    <w:name w:val="WW8Num52z0"/>
    <w:rsid w:val="00F22A17"/>
    <w:rPr>
      <w:rFonts w:ascii="Calibri" w:eastAsia="Times New Roman" w:hAnsi="Calibri"/>
    </w:rPr>
  </w:style>
  <w:style w:type="character" w:customStyle="1" w:styleId="WW8Num52z1">
    <w:name w:val="WW8Num52z1"/>
    <w:rsid w:val="00F22A17"/>
    <w:rPr>
      <w:rFonts w:ascii="Courier New" w:hAnsi="Courier New"/>
    </w:rPr>
  </w:style>
  <w:style w:type="character" w:customStyle="1" w:styleId="WW8Num52z2">
    <w:name w:val="WW8Num52z2"/>
    <w:rsid w:val="00F22A17"/>
    <w:rPr>
      <w:rFonts w:ascii="Wingdings" w:hAnsi="Wingdings"/>
    </w:rPr>
  </w:style>
  <w:style w:type="character" w:customStyle="1" w:styleId="WW8Num52z3">
    <w:name w:val="WW8Num52z3"/>
    <w:rsid w:val="00F22A17"/>
    <w:rPr>
      <w:rFonts w:ascii="Symbol" w:hAnsi="Symbol"/>
    </w:rPr>
  </w:style>
  <w:style w:type="character" w:customStyle="1" w:styleId="Fuentedeprrafopredeter1">
    <w:name w:val="Fuente de párrafo predeter.1"/>
    <w:rsid w:val="00F22A17"/>
  </w:style>
  <w:style w:type="character" w:customStyle="1" w:styleId="CarCar8">
    <w:name w:val="Car Car8"/>
    <w:rsid w:val="00F22A17"/>
    <w:rPr>
      <w:rFonts w:ascii="Cambria" w:eastAsia="Times New Roman" w:hAnsi="Cambria"/>
      <w:sz w:val="24"/>
      <w:lang w:val="es-CR"/>
    </w:rPr>
  </w:style>
  <w:style w:type="character" w:customStyle="1" w:styleId="CarCar7">
    <w:name w:val="Car Car7"/>
    <w:rsid w:val="00F22A17"/>
    <w:rPr>
      <w:rFonts w:ascii="Cambria" w:eastAsia="Times New Roman" w:hAnsi="Cambria"/>
      <w:b/>
      <w:kern w:val="1"/>
      <w:sz w:val="32"/>
      <w:lang w:val="es-CR"/>
    </w:rPr>
  </w:style>
  <w:style w:type="character" w:customStyle="1" w:styleId="CarCar61">
    <w:name w:val="Car Car61"/>
    <w:rsid w:val="00F22A17"/>
    <w:rPr>
      <w:sz w:val="24"/>
      <w:lang w:val="es-CR"/>
    </w:rPr>
  </w:style>
  <w:style w:type="character" w:customStyle="1" w:styleId="CarCar5">
    <w:name w:val="Car Car5"/>
    <w:rsid w:val="00F22A17"/>
    <w:rPr>
      <w:rFonts w:ascii="Tahoma" w:hAnsi="Tahoma"/>
      <w:sz w:val="16"/>
      <w:lang w:val="es-CR"/>
    </w:rPr>
  </w:style>
  <w:style w:type="character" w:customStyle="1" w:styleId="CarCar9">
    <w:name w:val="Car Car9"/>
    <w:rsid w:val="00F22A17"/>
    <w:rPr>
      <w:sz w:val="24"/>
      <w:lang w:val="es-CR"/>
    </w:rPr>
  </w:style>
  <w:style w:type="character" w:customStyle="1" w:styleId="CarCar4">
    <w:name w:val="Car Car4"/>
    <w:rsid w:val="00F22A17"/>
    <w:rPr>
      <w:rFonts w:ascii="Tahoma" w:hAnsi="Tahoma"/>
      <w:sz w:val="16"/>
      <w:lang w:val="es-CR"/>
    </w:rPr>
  </w:style>
  <w:style w:type="character" w:customStyle="1" w:styleId="CarCar31">
    <w:name w:val="Car Car31"/>
    <w:rsid w:val="00F22A17"/>
    <w:rPr>
      <w:lang w:val="es-CR"/>
    </w:rPr>
  </w:style>
  <w:style w:type="character" w:customStyle="1" w:styleId="Caracteresdenotaalpie">
    <w:name w:val="Caracteres de nota al pie"/>
    <w:rsid w:val="00F22A17"/>
    <w:rPr>
      <w:vertAlign w:val="superscript"/>
    </w:rPr>
  </w:style>
  <w:style w:type="character" w:customStyle="1" w:styleId="CarCar21">
    <w:name w:val="Car Car21"/>
    <w:rsid w:val="00F22A17"/>
    <w:rPr>
      <w:lang w:val="es-CR"/>
    </w:rPr>
  </w:style>
  <w:style w:type="character" w:customStyle="1" w:styleId="Caracteresdenotafinal">
    <w:name w:val="Caracteres de nota final"/>
    <w:rsid w:val="00F22A17"/>
    <w:rPr>
      <w:vertAlign w:val="superscript"/>
    </w:rPr>
  </w:style>
  <w:style w:type="character" w:customStyle="1" w:styleId="encabezadoCarCar">
    <w:name w:val="encabezado Car Car"/>
    <w:rsid w:val="00F22A17"/>
    <w:rPr>
      <w:rFonts w:ascii="Book Antiqua" w:hAnsi="Book Antiqua"/>
      <w:sz w:val="24"/>
    </w:rPr>
  </w:style>
  <w:style w:type="character" w:customStyle="1" w:styleId="CarCar10">
    <w:name w:val="Car Car10"/>
    <w:rsid w:val="00F22A17"/>
    <w:rPr>
      <w:rFonts w:ascii="Book Antiqua" w:hAnsi="Book Antiqua"/>
      <w:b/>
      <w:i/>
      <w:sz w:val="28"/>
    </w:rPr>
  </w:style>
  <w:style w:type="character" w:customStyle="1" w:styleId="CarCar15">
    <w:name w:val="Car Car15"/>
    <w:rsid w:val="00F22A17"/>
    <w:rPr>
      <w:sz w:val="24"/>
    </w:rPr>
  </w:style>
  <w:style w:type="character" w:customStyle="1" w:styleId="CarCar14">
    <w:name w:val="Car Car14"/>
    <w:rsid w:val="00F22A17"/>
    <w:rPr>
      <w:sz w:val="24"/>
    </w:rPr>
  </w:style>
  <w:style w:type="paragraph" w:customStyle="1" w:styleId="Encabezado1">
    <w:name w:val="Encabezado1"/>
    <w:basedOn w:val="Normal"/>
    <w:next w:val="Normal"/>
    <w:rsid w:val="00F22A17"/>
    <w:pPr>
      <w:widowControl/>
      <w:suppressAutoHyphens/>
      <w:autoSpaceDE/>
      <w:autoSpaceDN/>
      <w:adjustRightInd/>
      <w:spacing w:before="240" w:after="60"/>
      <w:jc w:val="center"/>
    </w:pPr>
    <w:rPr>
      <w:rFonts w:ascii="Cambria" w:hAnsi="Cambria" w:cs="Cambria"/>
      <w:b/>
      <w:bCs/>
      <w:kern w:val="1"/>
      <w:sz w:val="32"/>
      <w:szCs w:val="32"/>
      <w:lang w:val="es-CR" w:eastAsia="zh-CN"/>
    </w:rPr>
  </w:style>
  <w:style w:type="paragraph" w:styleId="Lista">
    <w:name w:val="List"/>
    <w:basedOn w:val="Normal"/>
    <w:rsid w:val="00F22A17"/>
    <w:pPr>
      <w:widowControl/>
      <w:suppressAutoHyphens/>
      <w:autoSpaceDE/>
      <w:autoSpaceDN/>
      <w:adjustRightInd/>
      <w:ind w:left="283" w:hanging="283"/>
    </w:pPr>
    <w:rPr>
      <w:lang w:val="es-CR" w:eastAsia="zh-CN"/>
    </w:rPr>
  </w:style>
  <w:style w:type="paragraph" w:styleId="Epgrafe">
    <w:name w:val="caption"/>
    <w:basedOn w:val="Normal"/>
    <w:qFormat/>
    <w:rsid w:val="00F22A17"/>
    <w:pPr>
      <w:widowControl/>
      <w:suppressLineNumbers/>
      <w:suppressAutoHyphens/>
      <w:autoSpaceDE/>
      <w:autoSpaceDN/>
      <w:adjustRightInd/>
      <w:spacing w:before="120" w:after="120"/>
      <w:jc w:val="both"/>
    </w:pPr>
    <w:rPr>
      <w:rFonts w:ascii="Book Antiqua" w:hAnsi="Book Antiqua" w:cs="Book Antiqua"/>
      <w:i/>
      <w:iCs/>
      <w:lang w:val="es-CR" w:eastAsia="zh-CN"/>
    </w:rPr>
  </w:style>
  <w:style w:type="paragraph" w:customStyle="1" w:styleId="ndice">
    <w:name w:val="Índice"/>
    <w:basedOn w:val="Normal"/>
    <w:rsid w:val="00F22A17"/>
    <w:pPr>
      <w:widowControl/>
      <w:suppressLineNumbers/>
      <w:suppressAutoHyphens/>
      <w:autoSpaceDE/>
      <w:autoSpaceDN/>
      <w:adjustRightInd/>
      <w:spacing w:before="240" w:after="360"/>
      <w:jc w:val="both"/>
    </w:pPr>
    <w:rPr>
      <w:rFonts w:ascii="Book Antiqua" w:hAnsi="Book Antiqua" w:cs="Book Antiqua"/>
      <w:lang w:val="es-CR" w:eastAsia="zh-CN"/>
    </w:rPr>
  </w:style>
  <w:style w:type="paragraph" w:customStyle="1" w:styleId="Textoindependiente21">
    <w:name w:val="Texto independiente 21"/>
    <w:basedOn w:val="Normal"/>
    <w:rsid w:val="00F22A17"/>
    <w:pPr>
      <w:widowControl/>
      <w:suppressAutoHyphens/>
      <w:autoSpaceDE/>
      <w:autoSpaceDN/>
      <w:adjustRightInd/>
      <w:spacing w:before="240" w:after="360"/>
      <w:jc w:val="both"/>
    </w:pPr>
    <w:rPr>
      <w:rFonts w:ascii="Book Antiqua" w:hAnsi="Book Antiqua" w:cs="Book Antiqua"/>
      <w:b/>
      <w:bCs/>
      <w:lang w:val="es-CR" w:eastAsia="zh-CN"/>
    </w:rPr>
  </w:style>
  <w:style w:type="paragraph" w:styleId="TDC2">
    <w:name w:val="toc 2"/>
    <w:basedOn w:val="Normal"/>
    <w:next w:val="Normal"/>
    <w:autoRedefine/>
    <w:semiHidden/>
    <w:rsid w:val="00F22A17"/>
    <w:pPr>
      <w:widowControl/>
      <w:suppressAutoHyphens/>
      <w:autoSpaceDE/>
      <w:autoSpaceDN/>
      <w:adjustRightInd/>
      <w:spacing w:before="240" w:after="360"/>
      <w:jc w:val="both"/>
    </w:pPr>
    <w:rPr>
      <w:b/>
      <w:bCs/>
      <w:i/>
      <w:iCs/>
      <w:sz w:val="32"/>
      <w:szCs w:val="32"/>
      <w:lang w:val="es-CR" w:eastAsia="zh-CN"/>
    </w:rPr>
  </w:style>
  <w:style w:type="paragraph" w:styleId="Subttulo">
    <w:name w:val="Subtitle"/>
    <w:basedOn w:val="Normal"/>
    <w:next w:val="Normal"/>
    <w:link w:val="SubttuloCar"/>
    <w:qFormat/>
    <w:rsid w:val="00F22A17"/>
    <w:pPr>
      <w:widowControl/>
      <w:suppressAutoHyphens/>
      <w:autoSpaceDE/>
      <w:autoSpaceDN/>
      <w:adjustRightInd/>
      <w:spacing w:before="240" w:after="60"/>
      <w:jc w:val="center"/>
    </w:pPr>
    <w:rPr>
      <w:rFonts w:ascii="Cambria" w:hAnsi="Cambria" w:cs="Cambria"/>
      <w:lang w:val="es-CR" w:eastAsia="zh-CN"/>
    </w:rPr>
  </w:style>
  <w:style w:type="paragraph" w:customStyle="1" w:styleId="Mapadeldocumento1">
    <w:name w:val="Mapa del documento1"/>
    <w:basedOn w:val="Normal"/>
    <w:rsid w:val="00F22A17"/>
    <w:pPr>
      <w:widowControl/>
      <w:suppressAutoHyphens/>
      <w:autoSpaceDE/>
      <w:autoSpaceDN/>
      <w:adjustRightInd/>
      <w:spacing w:before="240" w:after="360"/>
      <w:jc w:val="both"/>
    </w:pPr>
    <w:rPr>
      <w:rFonts w:ascii="Tahoma" w:hAnsi="Tahoma" w:cs="Tahoma"/>
      <w:sz w:val="16"/>
      <w:szCs w:val="16"/>
      <w:lang w:val="es-CR" w:eastAsia="zh-CN"/>
    </w:rPr>
  </w:style>
  <w:style w:type="character" w:customStyle="1" w:styleId="CarCar13">
    <w:name w:val="Car Car13"/>
    <w:semiHidden/>
    <w:locked/>
    <w:rsid w:val="00F22A17"/>
    <w:rPr>
      <w:rFonts w:ascii="Book Antiqua" w:hAnsi="Book Antiqua"/>
      <w:lang w:val="es-CR" w:eastAsia="zh-CN"/>
    </w:rPr>
  </w:style>
  <w:style w:type="paragraph" w:customStyle="1" w:styleId="Epgrafe1">
    <w:name w:val="Epígrafe1"/>
    <w:basedOn w:val="Normal"/>
    <w:next w:val="Normal"/>
    <w:rsid w:val="00F22A17"/>
    <w:pPr>
      <w:widowControl/>
      <w:suppressAutoHyphens/>
      <w:autoSpaceDE/>
      <w:autoSpaceDN/>
      <w:adjustRightInd/>
      <w:spacing w:before="240" w:after="360"/>
      <w:jc w:val="center"/>
    </w:pPr>
    <w:rPr>
      <w:rFonts w:ascii="Book Antiqua" w:hAnsi="Book Antiqua" w:cs="Book Antiqua"/>
      <w:b/>
      <w:bCs/>
      <w:color w:val="1F497D"/>
      <w:sz w:val="22"/>
      <w:szCs w:val="22"/>
      <w:lang w:eastAsia="zh-CN"/>
    </w:rPr>
  </w:style>
  <w:style w:type="paragraph" w:styleId="Textonotaalfinal">
    <w:name w:val="endnote text"/>
    <w:basedOn w:val="Normal"/>
    <w:link w:val="TextonotaalfinalCar"/>
    <w:semiHidden/>
    <w:rsid w:val="00F22A17"/>
    <w:pPr>
      <w:widowControl/>
      <w:suppressAutoHyphens/>
      <w:autoSpaceDE/>
      <w:autoSpaceDN/>
      <w:adjustRightInd/>
      <w:spacing w:before="240" w:after="360"/>
      <w:jc w:val="both"/>
    </w:pPr>
    <w:rPr>
      <w:rFonts w:ascii="Book Antiqua" w:hAnsi="Book Antiqua" w:cs="Book Antiqua"/>
      <w:sz w:val="20"/>
      <w:szCs w:val="20"/>
      <w:lang w:val="es-CR" w:eastAsia="zh-CN"/>
    </w:rPr>
  </w:style>
  <w:style w:type="paragraph" w:customStyle="1" w:styleId="Ttulo1Procedimientos">
    <w:name w:val="Título 1 Procedimientos"/>
    <w:basedOn w:val="Ttulo1"/>
    <w:rsid w:val="00F22A17"/>
    <w:pPr>
      <w:widowControl/>
      <w:tabs>
        <w:tab w:val="clear" w:pos="4680"/>
      </w:tabs>
      <w:suppressAutoHyphens/>
      <w:autoSpaceDE/>
      <w:autoSpaceDN/>
      <w:adjustRightInd/>
      <w:spacing w:before="240" w:after="240"/>
    </w:pPr>
    <w:rPr>
      <w:i w:val="0"/>
      <w:iCs w:val="0"/>
      <w:caps/>
      <w:smallCaps/>
      <w:color w:val="auto"/>
      <w:spacing w:val="0"/>
      <w:sz w:val="26"/>
      <w:szCs w:val="26"/>
      <w:lang w:eastAsia="zh-CN"/>
    </w:rPr>
  </w:style>
  <w:style w:type="paragraph" w:customStyle="1" w:styleId="Ttulo2Procedimiento">
    <w:name w:val="Título 2 Procedimiento"/>
    <w:basedOn w:val="Normal"/>
    <w:rsid w:val="00F22A17"/>
    <w:pPr>
      <w:widowControl/>
      <w:numPr>
        <w:numId w:val="1"/>
      </w:numPr>
      <w:suppressAutoHyphens/>
      <w:autoSpaceDE/>
      <w:autoSpaceDN/>
      <w:adjustRightInd/>
      <w:spacing w:before="240" w:after="360"/>
      <w:jc w:val="both"/>
    </w:pPr>
    <w:rPr>
      <w:i/>
      <w:iCs/>
      <w:lang w:eastAsia="zh-CN"/>
    </w:rPr>
  </w:style>
  <w:style w:type="paragraph" w:customStyle="1" w:styleId="Ttulo3Procedimiento">
    <w:name w:val="Título 3 Procedimiento"/>
    <w:basedOn w:val="Normal"/>
    <w:rsid w:val="00F22A17"/>
    <w:pPr>
      <w:widowControl/>
      <w:tabs>
        <w:tab w:val="num" w:pos="360"/>
      </w:tabs>
      <w:suppressAutoHyphens/>
      <w:autoSpaceDE/>
      <w:autoSpaceDN/>
      <w:adjustRightInd/>
      <w:spacing w:before="240" w:after="360"/>
      <w:ind w:left="360" w:hanging="360"/>
      <w:jc w:val="both"/>
    </w:pPr>
    <w:rPr>
      <w:i/>
      <w:iCs/>
      <w:sz w:val="22"/>
      <w:szCs w:val="22"/>
      <w:lang w:eastAsia="zh-CN"/>
    </w:rPr>
  </w:style>
  <w:style w:type="paragraph" w:customStyle="1" w:styleId="CarCar10CarCar">
    <w:name w:val="Car Car10 Car Car"/>
    <w:basedOn w:val="Normal"/>
    <w:rsid w:val="00F22A17"/>
    <w:pPr>
      <w:widowControl/>
      <w:suppressAutoHyphens/>
      <w:autoSpaceDE/>
      <w:autoSpaceDN/>
      <w:adjustRightInd/>
      <w:spacing w:after="160" w:line="240" w:lineRule="exact"/>
    </w:pPr>
    <w:rPr>
      <w:rFonts w:ascii="Verdana" w:hAnsi="Verdana" w:cs="Verdana"/>
      <w:sz w:val="20"/>
      <w:szCs w:val="20"/>
      <w:lang w:val="en-AU" w:eastAsia="zh-CN"/>
    </w:rPr>
  </w:style>
  <w:style w:type="paragraph" w:customStyle="1" w:styleId="Saludo1">
    <w:name w:val="Saludo1"/>
    <w:basedOn w:val="Normal"/>
    <w:next w:val="Normal"/>
    <w:rsid w:val="00F22A17"/>
    <w:pPr>
      <w:widowControl/>
      <w:suppressAutoHyphens/>
      <w:autoSpaceDE/>
      <w:autoSpaceDN/>
      <w:adjustRightInd/>
    </w:pPr>
    <w:rPr>
      <w:lang w:val="es-CR" w:eastAsia="zh-CN"/>
    </w:rPr>
  </w:style>
  <w:style w:type="paragraph" w:customStyle="1" w:styleId="Fecha1">
    <w:name w:val="Fecha1"/>
    <w:basedOn w:val="Normal"/>
    <w:next w:val="Normal"/>
    <w:rsid w:val="00F22A17"/>
    <w:pPr>
      <w:widowControl/>
      <w:suppressAutoHyphens/>
      <w:autoSpaceDE/>
      <w:autoSpaceDN/>
      <w:adjustRightInd/>
    </w:pPr>
    <w:rPr>
      <w:lang w:val="es-CR" w:eastAsia="zh-CN"/>
    </w:rPr>
  </w:style>
  <w:style w:type="paragraph" w:customStyle="1" w:styleId="Direccininterior">
    <w:name w:val="Dirección interior"/>
    <w:basedOn w:val="Normal"/>
    <w:rsid w:val="00F22A17"/>
    <w:pPr>
      <w:widowControl/>
      <w:suppressAutoHyphens/>
      <w:autoSpaceDE/>
      <w:autoSpaceDN/>
      <w:adjustRightInd/>
    </w:pPr>
    <w:rPr>
      <w:lang w:val="es-CR" w:eastAsia="zh-CN"/>
    </w:rPr>
  </w:style>
  <w:style w:type="paragraph" w:customStyle="1" w:styleId="Lista21">
    <w:name w:val="Lista 21"/>
    <w:basedOn w:val="Normal"/>
    <w:rsid w:val="00F22A17"/>
    <w:pPr>
      <w:widowControl/>
      <w:suppressAutoHyphens/>
      <w:autoSpaceDE/>
      <w:autoSpaceDN/>
      <w:adjustRightInd/>
      <w:spacing w:before="240" w:after="360"/>
      <w:ind w:left="566" w:hanging="283"/>
      <w:jc w:val="both"/>
    </w:pPr>
    <w:rPr>
      <w:rFonts w:ascii="Book Antiqua" w:hAnsi="Book Antiqua" w:cs="Book Antiqua"/>
      <w:lang w:val="es-CR" w:eastAsia="zh-CN"/>
    </w:rPr>
  </w:style>
  <w:style w:type="paragraph" w:customStyle="1" w:styleId="Contenidodelatabla">
    <w:name w:val="Contenido de la tabla"/>
    <w:basedOn w:val="Normal"/>
    <w:rsid w:val="00F22A17"/>
    <w:pPr>
      <w:widowControl/>
      <w:suppressLineNumbers/>
      <w:suppressAutoHyphens/>
      <w:autoSpaceDE/>
      <w:autoSpaceDN/>
      <w:adjustRightInd/>
      <w:spacing w:before="240" w:after="360"/>
      <w:jc w:val="both"/>
    </w:pPr>
    <w:rPr>
      <w:rFonts w:ascii="Book Antiqua" w:hAnsi="Book Antiqua" w:cs="Book Antiqua"/>
      <w:lang w:val="es-CR" w:eastAsia="zh-CN"/>
    </w:rPr>
  </w:style>
  <w:style w:type="paragraph" w:customStyle="1" w:styleId="Encabezadodelatabla">
    <w:name w:val="Encabezado de la tabla"/>
    <w:basedOn w:val="Contenidodelatabla"/>
    <w:rsid w:val="00F22A17"/>
    <w:pPr>
      <w:jc w:val="center"/>
    </w:pPr>
    <w:rPr>
      <w:b/>
      <w:bCs/>
    </w:rPr>
  </w:style>
  <w:style w:type="character" w:styleId="Refdecomentario">
    <w:name w:val="annotation reference"/>
    <w:basedOn w:val="Fuentedeprrafopredeter"/>
    <w:semiHidden/>
    <w:rsid w:val="00F22A17"/>
    <w:rPr>
      <w:rFonts w:cs="Times New Roman"/>
      <w:sz w:val="16"/>
      <w:szCs w:val="16"/>
    </w:rPr>
  </w:style>
  <w:style w:type="paragraph" w:styleId="Textocomentario">
    <w:name w:val="annotation text"/>
    <w:basedOn w:val="Normal"/>
    <w:link w:val="TextocomentarioCar"/>
    <w:semiHidden/>
    <w:rsid w:val="00F22A17"/>
    <w:pPr>
      <w:widowControl/>
      <w:suppressAutoHyphens/>
      <w:autoSpaceDE/>
      <w:autoSpaceDN/>
      <w:adjustRightInd/>
      <w:spacing w:before="240" w:after="360"/>
      <w:jc w:val="both"/>
    </w:pPr>
    <w:rPr>
      <w:rFonts w:ascii="Book Antiqua" w:hAnsi="Book Antiqua" w:cs="Times New Roman"/>
      <w:sz w:val="20"/>
      <w:szCs w:val="20"/>
      <w:lang w:val="es-CR" w:eastAsia="zh-CN"/>
    </w:rPr>
  </w:style>
  <w:style w:type="character" w:customStyle="1" w:styleId="TextocomentarioCar">
    <w:name w:val="Texto comentario Car"/>
    <w:link w:val="Textocomentario"/>
    <w:locked/>
    <w:rsid w:val="00F22A17"/>
    <w:rPr>
      <w:rFonts w:ascii="Book Antiqua" w:hAnsi="Book Antiqua"/>
      <w:lang w:val="es-CR" w:eastAsia="zh-CN"/>
    </w:rPr>
  </w:style>
  <w:style w:type="paragraph" w:styleId="Asuntodelcomentario">
    <w:name w:val="annotation subject"/>
    <w:basedOn w:val="Textocomentario"/>
    <w:next w:val="Textocomentario"/>
    <w:link w:val="AsuntodelcomentarioCar"/>
    <w:semiHidden/>
    <w:rsid w:val="00F22A17"/>
    <w:rPr>
      <w:b/>
    </w:rPr>
  </w:style>
  <w:style w:type="character" w:customStyle="1" w:styleId="AsuntodelcomentarioCar">
    <w:name w:val="Asunto del comentario Car"/>
    <w:link w:val="Asuntodelcomentario"/>
    <w:locked/>
    <w:rsid w:val="00F22A17"/>
    <w:rPr>
      <w:rFonts w:ascii="Book Antiqua" w:hAnsi="Book Antiqua"/>
      <w:b/>
      <w:lang w:val="es-CR" w:eastAsia="zh-CN"/>
    </w:rPr>
  </w:style>
  <w:style w:type="character" w:customStyle="1" w:styleId="EncabezadoCar">
    <w:name w:val="Encabezado Car"/>
    <w:aliases w:val="encabezado Car"/>
    <w:link w:val="Encabezado"/>
    <w:locked/>
    <w:rsid w:val="00041A40"/>
    <w:rPr>
      <w:rFonts w:ascii="Arial" w:hAnsi="Arial"/>
      <w:u w:color="000000"/>
      <w:lang w:val="es-ES" w:eastAsia="es-ES"/>
    </w:rPr>
  </w:style>
  <w:style w:type="paragraph" w:customStyle="1" w:styleId="ecxmsonormal">
    <w:name w:val="ecxmsonormal"/>
    <w:basedOn w:val="Normal"/>
    <w:rsid w:val="00EB2643"/>
    <w:pPr>
      <w:widowControl/>
      <w:autoSpaceDE/>
      <w:autoSpaceDN/>
      <w:adjustRightInd/>
      <w:spacing w:before="100" w:beforeAutospacing="1" w:after="100" w:afterAutospacing="1"/>
    </w:pPr>
    <w:rPr>
      <w:lang w:val="en-US" w:eastAsia="en-US"/>
    </w:rPr>
  </w:style>
  <w:style w:type="paragraph" w:styleId="TDC1">
    <w:name w:val="toc 1"/>
    <w:basedOn w:val="Normal"/>
    <w:next w:val="Normal"/>
    <w:autoRedefine/>
    <w:semiHidden/>
    <w:rsid w:val="0020523B"/>
    <w:pPr>
      <w:jc w:val="center"/>
    </w:pPr>
    <w:rPr>
      <w:b/>
      <w:sz w:val="36"/>
      <w:szCs w:val="36"/>
    </w:rPr>
  </w:style>
  <w:style w:type="paragraph" w:customStyle="1" w:styleId="xl24">
    <w:name w:val="xl24"/>
    <w:basedOn w:val="Normal"/>
    <w:rsid w:val="0038705C"/>
    <w:pPr>
      <w:widowControl/>
      <w:autoSpaceDE/>
      <w:autoSpaceDN/>
      <w:adjustRightInd/>
      <w:spacing w:before="100" w:beforeAutospacing="1" w:after="100" w:afterAutospacing="1"/>
      <w:jc w:val="center"/>
    </w:pPr>
    <w:rPr>
      <w:rFonts w:ascii="Times New Roman" w:hAnsi="Times New Roman" w:cs="Times New Roman"/>
    </w:rPr>
  </w:style>
  <w:style w:type="paragraph" w:customStyle="1" w:styleId="xl25">
    <w:name w:val="xl25"/>
    <w:basedOn w:val="Normal"/>
    <w:rsid w:val="0038705C"/>
    <w:pPr>
      <w:widowControl/>
      <w:autoSpaceDE/>
      <w:autoSpaceDN/>
      <w:adjustRightInd/>
      <w:spacing w:before="100" w:beforeAutospacing="1" w:after="100" w:afterAutospacing="1"/>
    </w:pPr>
    <w:rPr>
      <w:rFonts w:ascii="Times New Roman" w:hAnsi="Times New Roman" w:cs="Times New Roman"/>
      <w:b/>
      <w:bCs/>
    </w:rPr>
  </w:style>
  <w:style w:type="paragraph" w:customStyle="1" w:styleId="xl26">
    <w:name w:val="xl26"/>
    <w:basedOn w:val="Normal"/>
    <w:rsid w:val="0038705C"/>
    <w:pPr>
      <w:widowControl/>
      <w:autoSpaceDE/>
      <w:autoSpaceDN/>
      <w:adjustRightInd/>
      <w:spacing w:before="100" w:beforeAutospacing="1" w:after="100" w:afterAutospacing="1"/>
      <w:jc w:val="right"/>
    </w:pPr>
    <w:rPr>
      <w:rFonts w:ascii="Times New Roman" w:hAnsi="Times New Roman" w:cs="Times New Roman"/>
      <w:b/>
      <w:bCs/>
    </w:rPr>
  </w:style>
  <w:style w:type="paragraph" w:customStyle="1" w:styleId="xl27">
    <w:name w:val="xl27"/>
    <w:basedOn w:val="Normal"/>
    <w:rsid w:val="0038705C"/>
    <w:pPr>
      <w:widowControl/>
      <w:pBdr>
        <w:left w:val="single" w:sz="4" w:space="0" w:color="auto"/>
        <w:right w:val="single" w:sz="4" w:space="0" w:color="auto"/>
      </w:pBdr>
      <w:autoSpaceDE/>
      <w:autoSpaceDN/>
      <w:adjustRightInd/>
      <w:spacing w:before="100" w:beforeAutospacing="1" w:after="100" w:afterAutospacing="1"/>
      <w:jc w:val="center"/>
    </w:pPr>
    <w:rPr>
      <w:rFonts w:ascii="Times New Roman" w:hAnsi="Times New Roman" w:cs="Times New Roman"/>
    </w:rPr>
  </w:style>
  <w:style w:type="paragraph" w:customStyle="1" w:styleId="xl28">
    <w:name w:val="xl28"/>
    <w:basedOn w:val="Normal"/>
    <w:rsid w:val="0038705C"/>
    <w:pPr>
      <w:widowControl/>
      <w:pBdr>
        <w:left w:val="single" w:sz="4" w:space="0" w:color="auto"/>
        <w:right w:val="single" w:sz="4" w:space="0" w:color="auto"/>
      </w:pBdr>
      <w:autoSpaceDE/>
      <w:autoSpaceDN/>
      <w:adjustRightInd/>
      <w:spacing w:before="100" w:beforeAutospacing="1" w:after="100" w:afterAutospacing="1"/>
      <w:jc w:val="center"/>
    </w:pPr>
    <w:rPr>
      <w:rFonts w:ascii="Times New Roman" w:hAnsi="Times New Roman" w:cs="Times New Roman"/>
      <w:b/>
      <w:bCs/>
    </w:rPr>
  </w:style>
  <w:style w:type="paragraph" w:customStyle="1" w:styleId="xl29">
    <w:name w:val="xl29"/>
    <w:basedOn w:val="Normal"/>
    <w:rsid w:val="0038705C"/>
    <w:pPr>
      <w:widowControl/>
      <w:pBdr>
        <w:left w:val="single" w:sz="4" w:space="0" w:color="auto"/>
      </w:pBdr>
      <w:autoSpaceDE/>
      <w:autoSpaceDN/>
      <w:adjustRightInd/>
      <w:spacing w:before="100" w:beforeAutospacing="1" w:after="100" w:afterAutospacing="1"/>
      <w:jc w:val="center"/>
    </w:pPr>
    <w:rPr>
      <w:rFonts w:ascii="Times New Roman" w:hAnsi="Times New Roman" w:cs="Times New Roman"/>
      <w:b/>
      <w:bCs/>
    </w:rPr>
  </w:style>
  <w:style w:type="paragraph" w:customStyle="1" w:styleId="xl30">
    <w:name w:val="xl30"/>
    <w:basedOn w:val="Normal"/>
    <w:rsid w:val="0038705C"/>
    <w:pPr>
      <w:widowControl/>
      <w:pBdr>
        <w:left w:val="single" w:sz="4" w:space="0" w:color="auto"/>
      </w:pBdr>
      <w:autoSpaceDE/>
      <w:autoSpaceDN/>
      <w:adjustRightInd/>
      <w:spacing w:before="100" w:beforeAutospacing="1" w:after="100" w:afterAutospacing="1"/>
      <w:jc w:val="center"/>
    </w:pPr>
    <w:rPr>
      <w:rFonts w:ascii="Times New Roman" w:hAnsi="Times New Roman" w:cs="Times New Roman"/>
    </w:rPr>
  </w:style>
  <w:style w:type="paragraph" w:customStyle="1" w:styleId="xl31">
    <w:name w:val="xl31"/>
    <w:basedOn w:val="Normal"/>
    <w:rsid w:val="0038705C"/>
    <w:pPr>
      <w:widowControl/>
      <w:pBdr>
        <w:left w:val="single" w:sz="4" w:space="0" w:color="auto"/>
        <w:right w:val="single" w:sz="4" w:space="0" w:color="auto"/>
      </w:pBdr>
      <w:autoSpaceDE/>
      <w:autoSpaceDN/>
      <w:adjustRightInd/>
      <w:spacing w:before="100" w:beforeAutospacing="1" w:after="100" w:afterAutospacing="1"/>
      <w:jc w:val="center"/>
    </w:pPr>
    <w:rPr>
      <w:b/>
      <w:bCs/>
      <w:u w:val="single"/>
    </w:rPr>
  </w:style>
  <w:style w:type="paragraph" w:customStyle="1" w:styleId="xl32">
    <w:name w:val="xl32"/>
    <w:basedOn w:val="Normal"/>
    <w:rsid w:val="0038705C"/>
    <w:pPr>
      <w:widowControl/>
      <w:pBdr>
        <w:left w:val="single" w:sz="4" w:space="0" w:color="auto"/>
      </w:pBdr>
      <w:autoSpaceDE/>
      <w:autoSpaceDN/>
      <w:adjustRightInd/>
      <w:spacing w:before="100" w:beforeAutospacing="1" w:after="100" w:afterAutospacing="1"/>
      <w:jc w:val="center"/>
    </w:pPr>
    <w:rPr>
      <w:b/>
      <w:bCs/>
      <w:u w:val="single"/>
    </w:rPr>
  </w:style>
  <w:style w:type="paragraph" w:customStyle="1" w:styleId="xl33">
    <w:name w:val="xl33"/>
    <w:basedOn w:val="Normal"/>
    <w:rsid w:val="0038705C"/>
    <w:pPr>
      <w:widowControl/>
      <w:autoSpaceDE/>
      <w:autoSpaceDN/>
      <w:adjustRightInd/>
      <w:spacing w:before="100" w:beforeAutospacing="1" w:after="100" w:afterAutospacing="1"/>
    </w:pPr>
    <w:rPr>
      <w:rFonts w:ascii="Times New Roman" w:hAnsi="Times New Roman" w:cs="Times New Roman"/>
      <w:b/>
      <w:bCs/>
    </w:rPr>
  </w:style>
  <w:style w:type="paragraph" w:customStyle="1" w:styleId="xl34">
    <w:name w:val="xl34"/>
    <w:basedOn w:val="Normal"/>
    <w:rsid w:val="0038705C"/>
    <w:pPr>
      <w:widowControl/>
      <w:autoSpaceDE/>
      <w:autoSpaceDN/>
      <w:adjustRightInd/>
      <w:spacing w:before="100" w:beforeAutospacing="1" w:after="100" w:afterAutospacing="1"/>
    </w:pPr>
    <w:rPr>
      <w:b/>
      <w:bCs/>
    </w:rPr>
  </w:style>
  <w:style w:type="paragraph" w:customStyle="1" w:styleId="xl35">
    <w:name w:val="xl35"/>
    <w:basedOn w:val="Normal"/>
    <w:rsid w:val="0038705C"/>
    <w:pPr>
      <w:widowControl/>
      <w:pBdr>
        <w:bottom w:val="single" w:sz="4" w:space="0" w:color="auto"/>
      </w:pBdr>
      <w:autoSpaceDE/>
      <w:autoSpaceDN/>
      <w:adjustRightInd/>
      <w:spacing w:before="100" w:beforeAutospacing="1" w:after="100" w:afterAutospacing="1"/>
    </w:pPr>
    <w:rPr>
      <w:rFonts w:ascii="Times New Roman" w:hAnsi="Times New Roman" w:cs="Times New Roman"/>
      <w:b/>
      <w:bCs/>
    </w:rPr>
  </w:style>
  <w:style w:type="paragraph" w:customStyle="1" w:styleId="xl36">
    <w:name w:val="xl36"/>
    <w:basedOn w:val="Normal"/>
    <w:rsid w:val="0038705C"/>
    <w:pPr>
      <w:widowControl/>
      <w:pBdr>
        <w:bottom w:val="single" w:sz="4" w:space="0" w:color="auto"/>
      </w:pBdr>
      <w:autoSpaceDE/>
      <w:autoSpaceDN/>
      <w:adjustRightInd/>
      <w:spacing w:before="100" w:beforeAutospacing="1" w:after="100" w:afterAutospacing="1"/>
    </w:pPr>
    <w:rPr>
      <w:rFonts w:ascii="Times New Roman" w:hAnsi="Times New Roman" w:cs="Times New Roman"/>
    </w:rPr>
  </w:style>
  <w:style w:type="paragraph" w:customStyle="1" w:styleId="xl37">
    <w:name w:val="xl37"/>
    <w:basedOn w:val="Normal"/>
    <w:rsid w:val="0038705C"/>
    <w:pPr>
      <w:widowControl/>
      <w:pBdr>
        <w:bottom w:val="single" w:sz="4" w:space="0" w:color="auto"/>
      </w:pBdr>
      <w:autoSpaceDE/>
      <w:autoSpaceDN/>
      <w:adjustRightInd/>
      <w:spacing w:before="100" w:beforeAutospacing="1" w:after="100" w:afterAutospacing="1"/>
      <w:jc w:val="center"/>
    </w:pPr>
    <w:rPr>
      <w:rFonts w:ascii="Times New Roman" w:hAnsi="Times New Roman" w:cs="Times New Roman"/>
    </w:rPr>
  </w:style>
  <w:style w:type="paragraph" w:customStyle="1" w:styleId="xl38">
    <w:name w:val="xl38"/>
    <w:basedOn w:val="Normal"/>
    <w:rsid w:val="0038705C"/>
    <w:pPr>
      <w:widowControl/>
      <w:pBdr>
        <w:bottom w:val="single" w:sz="4" w:space="0" w:color="auto"/>
      </w:pBdr>
      <w:autoSpaceDE/>
      <w:autoSpaceDN/>
      <w:adjustRightInd/>
      <w:spacing w:before="100" w:beforeAutospacing="1" w:after="100" w:afterAutospacing="1"/>
      <w:jc w:val="center"/>
    </w:pPr>
    <w:rPr>
      <w:rFonts w:ascii="Times New Roman" w:hAnsi="Times New Roman" w:cs="Times New Roman"/>
      <w:b/>
      <w:bCs/>
    </w:rPr>
  </w:style>
  <w:style w:type="paragraph" w:customStyle="1" w:styleId="xl39">
    <w:name w:val="xl39"/>
    <w:basedOn w:val="Normal"/>
    <w:rsid w:val="0038705C"/>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hAnsi="Times New Roman" w:cs="Times New Roman"/>
      <w:b/>
      <w:bCs/>
    </w:rPr>
  </w:style>
  <w:style w:type="paragraph" w:customStyle="1" w:styleId="xl40">
    <w:name w:val="xl40"/>
    <w:basedOn w:val="Normal"/>
    <w:rsid w:val="0038705C"/>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hAnsi="Times New Roman" w:cs="Times New Roman"/>
    </w:rPr>
  </w:style>
  <w:style w:type="paragraph" w:customStyle="1" w:styleId="xl41">
    <w:name w:val="xl41"/>
    <w:basedOn w:val="Normal"/>
    <w:rsid w:val="0038705C"/>
    <w:pPr>
      <w:widowControl/>
      <w:pBdr>
        <w:left w:val="single" w:sz="4" w:space="0" w:color="auto"/>
        <w:bottom w:val="single" w:sz="4" w:space="0" w:color="auto"/>
      </w:pBdr>
      <w:autoSpaceDE/>
      <w:autoSpaceDN/>
      <w:adjustRightInd/>
      <w:spacing w:before="100" w:beforeAutospacing="1" w:after="100" w:afterAutospacing="1"/>
      <w:jc w:val="center"/>
    </w:pPr>
    <w:rPr>
      <w:rFonts w:ascii="Times New Roman" w:hAnsi="Times New Roman" w:cs="Times New Roman"/>
      <w:b/>
      <w:bCs/>
    </w:rPr>
  </w:style>
  <w:style w:type="paragraph" w:customStyle="1" w:styleId="xl42">
    <w:name w:val="xl42"/>
    <w:basedOn w:val="Normal"/>
    <w:rsid w:val="0038705C"/>
    <w:pPr>
      <w:widowControl/>
      <w:pBdr>
        <w:left w:val="single" w:sz="4" w:space="0" w:color="auto"/>
        <w:bottom w:val="single" w:sz="4" w:space="0" w:color="auto"/>
      </w:pBdr>
      <w:autoSpaceDE/>
      <w:autoSpaceDN/>
      <w:adjustRightInd/>
      <w:spacing w:before="100" w:beforeAutospacing="1" w:after="100" w:afterAutospacing="1"/>
      <w:jc w:val="center"/>
    </w:pPr>
    <w:rPr>
      <w:rFonts w:ascii="Times New Roman" w:hAnsi="Times New Roman" w:cs="Times New Roman"/>
    </w:rPr>
  </w:style>
  <w:style w:type="paragraph" w:customStyle="1" w:styleId="xl43">
    <w:name w:val="xl43"/>
    <w:basedOn w:val="Normal"/>
    <w:rsid w:val="0038705C"/>
    <w:pPr>
      <w:widowControl/>
      <w:pBdr>
        <w:left w:val="single" w:sz="4" w:space="0" w:color="auto"/>
        <w:right w:val="single" w:sz="4" w:space="0" w:color="auto"/>
      </w:pBdr>
      <w:autoSpaceDE/>
      <w:autoSpaceDN/>
      <w:adjustRightInd/>
      <w:spacing w:before="100" w:beforeAutospacing="1" w:after="100" w:afterAutospacing="1"/>
      <w:jc w:val="center"/>
    </w:pPr>
    <w:rPr>
      <w:rFonts w:ascii="Times New Roman" w:hAnsi="Times New Roman" w:cs="Times New Roman"/>
    </w:rPr>
  </w:style>
  <w:style w:type="paragraph" w:customStyle="1" w:styleId="xl44">
    <w:name w:val="xl44"/>
    <w:basedOn w:val="Normal"/>
    <w:rsid w:val="0038705C"/>
    <w:pPr>
      <w:widowControl/>
      <w:autoSpaceDE/>
      <w:autoSpaceDN/>
      <w:adjustRightInd/>
      <w:spacing w:before="100" w:beforeAutospacing="1" w:after="100" w:afterAutospacing="1"/>
      <w:jc w:val="center"/>
    </w:pPr>
    <w:rPr>
      <w:rFonts w:ascii="Times New Roman" w:hAnsi="Times New Roman" w:cs="Times New Roman"/>
    </w:rPr>
  </w:style>
  <w:style w:type="paragraph" w:customStyle="1" w:styleId="xl45">
    <w:name w:val="xl45"/>
    <w:basedOn w:val="Normal"/>
    <w:rsid w:val="0038705C"/>
    <w:pPr>
      <w:widowControl/>
      <w:pBdr>
        <w:left w:val="single" w:sz="4" w:space="0" w:color="auto"/>
      </w:pBdr>
      <w:autoSpaceDE/>
      <w:autoSpaceDN/>
      <w:adjustRightInd/>
      <w:spacing w:before="100" w:beforeAutospacing="1" w:after="100" w:afterAutospacing="1"/>
      <w:jc w:val="center"/>
    </w:pPr>
    <w:rPr>
      <w:rFonts w:ascii="Times New Roman" w:hAnsi="Times New Roman" w:cs="Times New Roman"/>
    </w:rPr>
  </w:style>
  <w:style w:type="paragraph" w:styleId="Ttulo">
    <w:name w:val="Title"/>
    <w:basedOn w:val="Normal"/>
    <w:link w:val="TtuloCar"/>
    <w:qFormat/>
    <w:rsid w:val="0038705C"/>
    <w:pPr>
      <w:widowControl/>
      <w:autoSpaceDE/>
      <w:autoSpaceDN/>
      <w:adjustRightInd/>
      <w:jc w:val="center"/>
    </w:pPr>
    <w:rPr>
      <w:rFonts w:ascii="Times New Roman" w:hAnsi="Times New Roman" w:cs="Times New Roman"/>
      <w:b/>
      <w:bCs/>
    </w:rPr>
  </w:style>
  <w:style w:type="paragraph" w:customStyle="1" w:styleId="Ttulo-base">
    <w:name w:val="Título - base"/>
    <w:basedOn w:val="Normal"/>
    <w:next w:val="Textoindependiente"/>
    <w:rsid w:val="0038705C"/>
    <w:pPr>
      <w:keepNext/>
      <w:keepLines/>
      <w:widowControl/>
      <w:autoSpaceDE/>
      <w:autoSpaceDN/>
      <w:adjustRightInd/>
      <w:spacing w:before="140" w:line="220" w:lineRule="atLeast"/>
      <w:ind w:left="1080"/>
    </w:pPr>
    <w:rPr>
      <w:spacing w:val="-4"/>
      <w:kern w:val="28"/>
      <w:sz w:val="22"/>
      <w:szCs w:val="22"/>
      <w:lang w:eastAsia="en-US"/>
    </w:rPr>
  </w:style>
  <w:style w:type="paragraph" w:styleId="Cita">
    <w:name w:val="Quote"/>
    <w:basedOn w:val="Normal"/>
    <w:link w:val="CitaCar"/>
    <w:qFormat/>
    <w:rsid w:val="0038705C"/>
    <w:pPr>
      <w:widowControl/>
      <w:pBdr>
        <w:top w:val="single" w:sz="12" w:space="12" w:color="FFFFFF"/>
        <w:left w:val="single" w:sz="6" w:space="12" w:color="FFFFFF"/>
        <w:bottom w:val="single" w:sz="6" w:space="12" w:color="FFFFFF"/>
        <w:right w:val="single" w:sz="6" w:space="12" w:color="FFFFFF"/>
      </w:pBdr>
      <w:shd w:val="pct5" w:color="auto" w:fill="auto"/>
      <w:autoSpaceDE/>
      <w:autoSpaceDN/>
      <w:adjustRightInd/>
      <w:spacing w:after="240" w:line="220" w:lineRule="atLeast"/>
      <w:ind w:left="1368" w:right="240"/>
      <w:jc w:val="both"/>
    </w:pPr>
    <w:rPr>
      <w:rFonts w:ascii="Arial Narrow" w:hAnsi="Arial Narrow" w:cs="Arial Narrow"/>
      <w:spacing w:val="-5"/>
      <w:sz w:val="20"/>
      <w:szCs w:val="20"/>
      <w:lang w:eastAsia="en-US"/>
    </w:rPr>
  </w:style>
  <w:style w:type="paragraph" w:customStyle="1" w:styleId="Tindependientemantenido">
    <w:name w:val="T. independiente mantenido"/>
    <w:basedOn w:val="Textoindependiente"/>
    <w:rsid w:val="0038705C"/>
    <w:pPr>
      <w:keepNext/>
      <w:widowControl/>
      <w:autoSpaceDE/>
      <w:autoSpaceDN/>
      <w:adjustRightInd/>
      <w:spacing w:after="240" w:line="240" w:lineRule="atLeast"/>
      <w:ind w:left="1080"/>
      <w:jc w:val="both"/>
    </w:pPr>
    <w:rPr>
      <w:rFonts w:ascii="Arial" w:hAnsi="Arial" w:cs="Arial"/>
      <w:spacing w:val="-5"/>
      <w:sz w:val="20"/>
      <w:szCs w:val="20"/>
      <w:lang w:eastAsia="en-US"/>
    </w:rPr>
  </w:style>
  <w:style w:type="paragraph" w:customStyle="1" w:styleId="Imagen">
    <w:name w:val="Imagen"/>
    <w:basedOn w:val="Normal"/>
    <w:next w:val="Epgrafe"/>
    <w:rsid w:val="0038705C"/>
    <w:pPr>
      <w:keepNext/>
      <w:widowControl/>
      <w:autoSpaceDE/>
      <w:autoSpaceDN/>
      <w:adjustRightInd/>
      <w:ind w:left="1080"/>
    </w:pPr>
    <w:rPr>
      <w:spacing w:val="-5"/>
      <w:sz w:val="20"/>
      <w:szCs w:val="20"/>
      <w:lang w:eastAsia="en-US"/>
    </w:rPr>
  </w:style>
  <w:style w:type="paragraph" w:customStyle="1" w:styleId="Rtulodeparte">
    <w:name w:val="Rótulo de parte"/>
    <w:basedOn w:val="Normal"/>
    <w:rsid w:val="0038705C"/>
    <w:pPr>
      <w:widowControl/>
      <w:shd w:val="solid" w:color="auto" w:fill="auto"/>
      <w:autoSpaceDE/>
      <w:autoSpaceDN/>
      <w:adjustRightInd/>
      <w:spacing w:line="360" w:lineRule="exact"/>
      <w:jc w:val="center"/>
    </w:pPr>
    <w:rPr>
      <w:color w:val="FFFFFF"/>
      <w:spacing w:val="-16"/>
      <w:sz w:val="26"/>
      <w:szCs w:val="26"/>
      <w:lang w:eastAsia="en-US"/>
    </w:rPr>
  </w:style>
  <w:style w:type="paragraph" w:customStyle="1" w:styleId="Ttulodeparte">
    <w:name w:val="Título de parte"/>
    <w:basedOn w:val="Normal"/>
    <w:rsid w:val="0038705C"/>
    <w:pPr>
      <w:widowControl/>
      <w:shd w:val="solid" w:color="auto" w:fill="auto"/>
      <w:autoSpaceDE/>
      <w:autoSpaceDN/>
      <w:adjustRightInd/>
      <w:spacing w:line="660" w:lineRule="exact"/>
      <w:jc w:val="center"/>
    </w:pPr>
    <w:rPr>
      <w:rFonts w:ascii="Arial Black" w:hAnsi="Arial Black" w:cs="Arial Black"/>
      <w:color w:val="FFFFFF"/>
      <w:spacing w:val="-40"/>
      <w:sz w:val="84"/>
      <w:szCs w:val="84"/>
      <w:lang w:eastAsia="en-US"/>
    </w:rPr>
  </w:style>
  <w:style w:type="paragraph" w:customStyle="1" w:styleId="Subttulodecaptulo">
    <w:name w:val="Subtítulo de capítulo"/>
    <w:basedOn w:val="Subttulo"/>
    <w:rsid w:val="0038705C"/>
    <w:pPr>
      <w:keepNext/>
      <w:keepLines/>
      <w:suppressAutoHyphens w:val="0"/>
      <w:spacing w:before="60" w:after="120" w:line="340" w:lineRule="atLeast"/>
      <w:jc w:val="left"/>
    </w:pPr>
    <w:rPr>
      <w:rFonts w:ascii="Arial" w:hAnsi="Arial" w:cs="Arial"/>
      <w:spacing w:val="-16"/>
      <w:kern w:val="28"/>
      <w:sz w:val="32"/>
      <w:szCs w:val="32"/>
      <w:lang w:val="es-ES" w:eastAsia="en-US"/>
    </w:rPr>
  </w:style>
  <w:style w:type="paragraph" w:customStyle="1" w:styleId="Organizacin">
    <w:name w:val="Organización"/>
    <w:basedOn w:val="Normal"/>
    <w:rsid w:val="0038705C"/>
    <w:pPr>
      <w:keepNext/>
      <w:keepLines/>
      <w:widowControl/>
      <w:autoSpaceDE/>
      <w:autoSpaceDN/>
      <w:adjustRightInd/>
      <w:spacing w:line="220" w:lineRule="atLeast"/>
    </w:pPr>
    <w:rPr>
      <w:rFonts w:ascii="Arial Black" w:hAnsi="Arial Black" w:cs="Arial Black"/>
      <w:spacing w:val="-25"/>
      <w:kern w:val="28"/>
      <w:sz w:val="32"/>
      <w:szCs w:val="32"/>
      <w:lang w:eastAsia="en-US"/>
    </w:rPr>
  </w:style>
  <w:style w:type="paragraph" w:customStyle="1" w:styleId="Ttulodecaptulo">
    <w:name w:val="Título de capítulo"/>
    <w:basedOn w:val="Normal"/>
    <w:rsid w:val="0038705C"/>
    <w:pPr>
      <w:widowControl/>
      <w:autoSpaceDE/>
      <w:autoSpaceDN/>
      <w:adjustRightInd/>
      <w:spacing w:before="120" w:line="660" w:lineRule="exact"/>
      <w:jc w:val="center"/>
    </w:pPr>
    <w:rPr>
      <w:rFonts w:ascii="Arial Black" w:hAnsi="Arial Black" w:cs="Arial Black"/>
      <w:color w:val="FFFFFF"/>
      <w:spacing w:val="-40"/>
      <w:sz w:val="84"/>
      <w:szCs w:val="84"/>
      <w:lang w:eastAsia="en-US"/>
    </w:rPr>
  </w:style>
  <w:style w:type="paragraph" w:customStyle="1" w:styleId="Notaalpie-base">
    <w:name w:val="Nota al pie - base"/>
    <w:basedOn w:val="Normal"/>
    <w:rsid w:val="0038705C"/>
    <w:pPr>
      <w:keepLines/>
      <w:widowControl/>
      <w:autoSpaceDE/>
      <w:autoSpaceDN/>
      <w:adjustRightInd/>
      <w:spacing w:line="200" w:lineRule="atLeast"/>
      <w:ind w:left="1080"/>
    </w:pPr>
    <w:rPr>
      <w:spacing w:val="-5"/>
      <w:sz w:val="16"/>
      <w:szCs w:val="16"/>
      <w:lang w:eastAsia="en-US"/>
    </w:rPr>
  </w:style>
  <w:style w:type="paragraph" w:customStyle="1" w:styleId="Textodetabla">
    <w:name w:val="Texto de tabla"/>
    <w:basedOn w:val="Normal"/>
    <w:rsid w:val="0038705C"/>
    <w:pPr>
      <w:widowControl/>
      <w:autoSpaceDE/>
      <w:autoSpaceDN/>
      <w:adjustRightInd/>
      <w:spacing w:before="60"/>
    </w:pPr>
    <w:rPr>
      <w:spacing w:val="-5"/>
      <w:sz w:val="16"/>
      <w:szCs w:val="16"/>
      <w:lang w:eastAsia="en-US"/>
    </w:rPr>
  </w:style>
  <w:style w:type="paragraph" w:customStyle="1" w:styleId="Ttulodecubierta">
    <w:name w:val="Título de cubierta"/>
    <w:basedOn w:val="Ttulo-base"/>
    <w:next w:val="Normal"/>
    <w:rsid w:val="0038705C"/>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Ttulodeldocumento">
    <w:name w:val="Título del documento"/>
    <w:basedOn w:val="Ttulodecubierta"/>
    <w:rsid w:val="0038705C"/>
  </w:style>
  <w:style w:type="character" w:styleId="Refdenotaalfinal">
    <w:name w:val="endnote reference"/>
    <w:basedOn w:val="Fuentedeprrafopredeter"/>
    <w:semiHidden/>
    <w:rsid w:val="0038705C"/>
    <w:rPr>
      <w:vertAlign w:val="superscript"/>
    </w:rPr>
  </w:style>
  <w:style w:type="paragraph" w:customStyle="1" w:styleId="Encabezado-base">
    <w:name w:val="Encabezado - base"/>
    <w:basedOn w:val="Normal"/>
    <w:rsid w:val="0038705C"/>
    <w:pPr>
      <w:keepLines/>
      <w:widowControl/>
      <w:tabs>
        <w:tab w:val="center" w:pos="4320"/>
        <w:tab w:val="right" w:pos="8640"/>
      </w:tabs>
      <w:autoSpaceDE/>
      <w:autoSpaceDN/>
      <w:adjustRightInd/>
      <w:spacing w:line="190" w:lineRule="atLeast"/>
      <w:ind w:left="1080"/>
    </w:pPr>
    <w:rPr>
      <w:caps/>
      <w:spacing w:val="-5"/>
      <w:sz w:val="15"/>
      <w:szCs w:val="15"/>
      <w:lang w:eastAsia="en-US"/>
    </w:rPr>
  </w:style>
  <w:style w:type="paragraph" w:customStyle="1" w:styleId="Piedepginapar">
    <w:name w:val="Pie de página par"/>
    <w:basedOn w:val="Piedepgina"/>
    <w:rsid w:val="0038705C"/>
    <w:pPr>
      <w:keepLines/>
      <w:widowControl/>
      <w:pBdr>
        <w:top w:val="single" w:sz="6" w:space="2" w:color="auto"/>
      </w:pBdr>
      <w:tabs>
        <w:tab w:val="clear" w:pos="4252"/>
        <w:tab w:val="clear" w:pos="8504"/>
        <w:tab w:val="center" w:pos="4320"/>
        <w:tab w:val="right" w:pos="8640"/>
      </w:tabs>
      <w:autoSpaceDE/>
      <w:autoSpaceDN/>
      <w:adjustRightInd/>
      <w:spacing w:before="600" w:line="190" w:lineRule="atLeast"/>
      <w:ind w:left="1080"/>
    </w:pPr>
    <w:rPr>
      <w:caps/>
      <w:spacing w:val="-5"/>
      <w:sz w:val="15"/>
      <w:szCs w:val="15"/>
      <w:lang w:eastAsia="en-US"/>
    </w:rPr>
  </w:style>
  <w:style w:type="paragraph" w:customStyle="1" w:styleId="Piedepginaprimera">
    <w:name w:val="Pie de página primera"/>
    <w:basedOn w:val="Piedepgina"/>
    <w:rsid w:val="0038705C"/>
    <w:pPr>
      <w:keepLines/>
      <w:widowControl/>
      <w:pBdr>
        <w:top w:val="single" w:sz="6" w:space="2" w:color="auto"/>
      </w:pBdr>
      <w:tabs>
        <w:tab w:val="clear" w:pos="4252"/>
        <w:tab w:val="clear" w:pos="8504"/>
        <w:tab w:val="center" w:pos="4320"/>
        <w:tab w:val="right" w:pos="8640"/>
      </w:tabs>
      <w:autoSpaceDE/>
      <w:autoSpaceDN/>
      <w:adjustRightInd/>
      <w:spacing w:before="600" w:line="190" w:lineRule="atLeast"/>
      <w:ind w:left="1080"/>
    </w:pPr>
    <w:rPr>
      <w:caps/>
      <w:spacing w:val="-5"/>
      <w:sz w:val="15"/>
      <w:szCs w:val="15"/>
      <w:lang w:eastAsia="en-US"/>
    </w:rPr>
  </w:style>
  <w:style w:type="paragraph" w:customStyle="1" w:styleId="Piedepginaimpar">
    <w:name w:val="Pie de página impar"/>
    <w:basedOn w:val="Piedepgina"/>
    <w:rsid w:val="0038705C"/>
    <w:pPr>
      <w:keepLines/>
      <w:widowControl/>
      <w:pBdr>
        <w:top w:val="single" w:sz="6" w:space="2" w:color="auto"/>
      </w:pBdr>
      <w:tabs>
        <w:tab w:val="clear" w:pos="4252"/>
        <w:tab w:val="clear" w:pos="8504"/>
        <w:tab w:val="center" w:pos="4320"/>
        <w:tab w:val="right" w:pos="8640"/>
      </w:tabs>
      <w:autoSpaceDE/>
      <w:autoSpaceDN/>
      <w:adjustRightInd/>
      <w:spacing w:before="600" w:line="190" w:lineRule="atLeast"/>
      <w:ind w:left="1080"/>
    </w:pPr>
    <w:rPr>
      <w:caps/>
      <w:spacing w:val="-5"/>
      <w:sz w:val="15"/>
      <w:szCs w:val="15"/>
      <w:lang w:eastAsia="en-US"/>
    </w:rPr>
  </w:style>
  <w:style w:type="paragraph" w:customStyle="1" w:styleId="Encabezadopar">
    <w:name w:val="Encabezado par"/>
    <w:basedOn w:val="Encabezado"/>
    <w:rsid w:val="0038705C"/>
    <w:pPr>
      <w:keepLines/>
      <w:widowControl/>
      <w:pBdr>
        <w:bottom w:val="single" w:sz="6" w:space="1" w:color="auto"/>
      </w:pBdr>
      <w:tabs>
        <w:tab w:val="clear" w:pos="4252"/>
        <w:tab w:val="clear" w:pos="8504"/>
        <w:tab w:val="center" w:pos="4320"/>
        <w:tab w:val="right" w:pos="8640"/>
      </w:tabs>
      <w:autoSpaceDE/>
      <w:autoSpaceDN/>
      <w:adjustRightInd/>
      <w:spacing w:after="600" w:line="190" w:lineRule="atLeast"/>
      <w:ind w:left="1080"/>
    </w:pPr>
    <w:rPr>
      <w:rFonts w:cs="Arial"/>
      <w:caps/>
      <w:spacing w:val="-5"/>
      <w:sz w:val="15"/>
      <w:szCs w:val="15"/>
      <w:lang w:eastAsia="en-US"/>
    </w:rPr>
  </w:style>
  <w:style w:type="paragraph" w:customStyle="1" w:styleId="Encabezadoprimero">
    <w:name w:val="Encabezado primero"/>
    <w:basedOn w:val="Encabezado"/>
    <w:rsid w:val="0038705C"/>
    <w:pPr>
      <w:keepLines/>
      <w:widowControl/>
      <w:pBdr>
        <w:top w:val="single" w:sz="6" w:space="2" w:color="auto"/>
      </w:pBdr>
      <w:tabs>
        <w:tab w:val="clear" w:pos="4252"/>
        <w:tab w:val="clear" w:pos="8504"/>
        <w:tab w:val="center" w:pos="4320"/>
        <w:tab w:val="right" w:pos="8640"/>
      </w:tabs>
      <w:autoSpaceDE/>
      <w:autoSpaceDN/>
      <w:adjustRightInd/>
      <w:spacing w:line="190" w:lineRule="atLeast"/>
      <w:ind w:left="1080"/>
      <w:jc w:val="right"/>
    </w:pPr>
    <w:rPr>
      <w:rFonts w:cs="Arial"/>
      <w:caps/>
      <w:spacing w:val="-5"/>
      <w:sz w:val="15"/>
      <w:szCs w:val="15"/>
      <w:lang w:eastAsia="en-US"/>
    </w:rPr>
  </w:style>
  <w:style w:type="paragraph" w:customStyle="1" w:styleId="Encabezadoimpar">
    <w:name w:val="Encabezado impar"/>
    <w:basedOn w:val="Encabezado"/>
    <w:rsid w:val="0038705C"/>
    <w:pPr>
      <w:keepLines/>
      <w:widowControl/>
      <w:pBdr>
        <w:bottom w:val="single" w:sz="6" w:space="1" w:color="auto"/>
      </w:pBdr>
      <w:tabs>
        <w:tab w:val="clear" w:pos="4252"/>
        <w:tab w:val="clear" w:pos="8504"/>
        <w:tab w:val="center" w:pos="4320"/>
        <w:tab w:val="right" w:pos="8640"/>
      </w:tabs>
      <w:autoSpaceDE/>
      <w:autoSpaceDN/>
      <w:adjustRightInd/>
      <w:spacing w:after="600" w:line="190" w:lineRule="atLeast"/>
      <w:ind w:left="1080"/>
    </w:pPr>
    <w:rPr>
      <w:rFonts w:cs="Arial"/>
      <w:caps/>
      <w:spacing w:val="-5"/>
      <w:sz w:val="15"/>
      <w:szCs w:val="15"/>
      <w:lang w:eastAsia="en-US"/>
    </w:rPr>
  </w:style>
  <w:style w:type="paragraph" w:customStyle="1" w:styleId="ndice-base">
    <w:name w:val="Índice - base"/>
    <w:basedOn w:val="Normal"/>
    <w:rsid w:val="0038705C"/>
    <w:pPr>
      <w:widowControl/>
      <w:autoSpaceDE/>
      <w:autoSpaceDN/>
      <w:adjustRightInd/>
      <w:spacing w:line="240" w:lineRule="atLeast"/>
      <w:ind w:left="360" w:hanging="360"/>
    </w:pPr>
    <w:rPr>
      <w:spacing w:val="-5"/>
      <w:sz w:val="18"/>
      <w:szCs w:val="18"/>
      <w:lang w:eastAsia="en-US"/>
    </w:rPr>
  </w:style>
  <w:style w:type="paragraph" w:styleId="ndice1">
    <w:name w:val="index 1"/>
    <w:basedOn w:val="ndice-base"/>
    <w:autoRedefine/>
    <w:semiHidden/>
    <w:rsid w:val="0038705C"/>
    <w:pPr>
      <w:spacing w:line="240" w:lineRule="auto"/>
      <w:ind w:left="200" w:hanging="200"/>
    </w:pPr>
    <w:rPr>
      <w:rFonts w:ascii="Times New Roman" w:hAnsi="Times New Roman" w:cs="Times New Roman"/>
      <w:sz w:val="20"/>
      <w:szCs w:val="20"/>
    </w:rPr>
  </w:style>
  <w:style w:type="paragraph" w:styleId="ndice2">
    <w:name w:val="index 2"/>
    <w:basedOn w:val="ndice-base"/>
    <w:autoRedefine/>
    <w:semiHidden/>
    <w:rsid w:val="0038705C"/>
    <w:pPr>
      <w:spacing w:line="240" w:lineRule="auto"/>
      <w:ind w:left="400" w:hanging="200"/>
    </w:pPr>
    <w:rPr>
      <w:rFonts w:ascii="Times New Roman" w:hAnsi="Times New Roman" w:cs="Times New Roman"/>
      <w:sz w:val="20"/>
      <w:szCs w:val="20"/>
    </w:rPr>
  </w:style>
  <w:style w:type="paragraph" w:styleId="ndice3">
    <w:name w:val="index 3"/>
    <w:basedOn w:val="ndice-base"/>
    <w:autoRedefine/>
    <w:semiHidden/>
    <w:rsid w:val="0038705C"/>
    <w:pPr>
      <w:spacing w:line="240" w:lineRule="auto"/>
      <w:ind w:left="600" w:hanging="200"/>
    </w:pPr>
    <w:rPr>
      <w:rFonts w:ascii="Times New Roman" w:hAnsi="Times New Roman" w:cs="Times New Roman"/>
      <w:sz w:val="20"/>
      <w:szCs w:val="20"/>
    </w:rPr>
  </w:style>
  <w:style w:type="paragraph" w:styleId="ndice4">
    <w:name w:val="index 4"/>
    <w:basedOn w:val="ndice-base"/>
    <w:autoRedefine/>
    <w:semiHidden/>
    <w:rsid w:val="0038705C"/>
    <w:pPr>
      <w:spacing w:line="240" w:lineRule="auto"/>
      <w:ind w:left="800" w:hanging="200"/>
    </w:pPr>
    <w:rPr>
      <w:rFonts w:ascii="Times New Roman" w:hAnsi="Times New Roman" w:cs="Times New Roman"/>
      <w:sz w:val="20"/>
      <w:szCs w:val="20"/>
    </w:rPr>
  </w:style>
  <w:style w:type="paragraph" w:styleId="ndice5">
    <w:name w:val="index 5"/>
    <w:basedOn w:val="ndice-base"/>
    <w:autoRedefine/>
    <w:semiHidden/>
    <w:rsid w:val="0038705C"/>
    <w:pPr>
      <w:spacing w:line="240" w:lineRule="auto"/>
      <w:ind w:left="1000" w:hanging="200"/>
    </w:pPr>
    <w:rPr>
      <w:rFonts w:ascii="Times New Roman" w:hAnsi="Times New Roman" w:cs="Times New Roman"/>
      <w:sz w:val="20"/>
      <w:szCs w:val="20"/>
    </w:rPr>
  </w:style>
  <w:style w:type="paragraph" w:styleId="Ttulodendice">
    <w:name w:val="index heading"/>
    <w:basedOn w:val="Ttulo-base"/>
    <w:next w:val="ndice1"/>
    <w:semiHidden/>
    <w:rsid w:val="0038705C"/>
    <w:pPr>
      <w:keepNext w:val="0"/>
      <w:keepLines w:val="0"/>
      <w:spacing w:before="120" w:after="120" w:line="240" w:lineRule="auto"/>
    </w:pPr>
    <w:rPr>
      <w:rFonts w:ascii="Times New Roman" w:hAnsi="Times New Roman" w:cs="Times New Roman"/>
      <w:b/>
      <w:bCs/>
      <w:i/>
      <w:iCs/>
      <w:spacing w:val="-5"/>
      <w:kern w:val="0"/>
      <w:sz w:val="20"/>
      <w:szCs w:val="20"/>
    </w:rPr>
  </w:style>
  <w:style w:type="character" w:customStyle="1" w:styleId="Rtuloconnfasis">
    <w:name w:val="Rótulo con énfasis"/>
    <w:rsid w:val="0038705C"/>
    <w:rPr>
      <w:rFonts w:ascii="Arial Black" w:hAnsi="Arial Black" w:cs="Arial Black"/>
      <w:spacing w:val="-4"/>
      <w:sz w:val="18"/>
      <w:szCs w:val="18"/>
    </w:rPr>
  </w:style>
  <w:style w:type="character" w:styleId="Nmerodelnea">
    <w:name w:val="line number"/>
    <w:basedOn w:val="Fuentedeprrafopredeter"/>
    <w:rsid w:val="0038705C"/>
    <w:rPr>
      <w:sz w:val="18"/>
      <w:szCs w:val="18"/>
    </w:rPr>
  </w:style>
  <w:style w:type="paragraph" w:styleId="Lista2">
    <w:name w:val="List 2"/>
    <w:basedOn w:val="Lista"/>
    <w:rsid w:val="0038705C"/>
    <w:pPr>
      <w:suppressAutoHyphens w:val="0"/>
      <w:spacing w:after="240" w:line="240" w:lineRule="atLeast"/>
      <w:ind w:left="1800" w:hanging="360"/>
      <w:jc w:val="both"/>
    </w:pPr>
    <w:rPr>
      <w:spacing w:val="-5"/>
      <w:sz w:val="20"/>
      <w:szCs w:val="20"/>
      <w:lang w:val="es-ES" w:eastAsia="en-US"/>
    </w:rPr>
  </w:style>
  <w:style w:type="paragraph" w:styleId="Lista3">
    <w:name w:val="List 3"/>
    <w:basedOn w:val="Lista"/>
    <w:rsid w:val="0038705C"/>
    <w:pPr>
      <w:suppressAutoHyphens w:val="0"/>
      <w:spacing w:after="240" w:line="240" w:lineRule="atLeast"/>
      <w:ind w:left="2160" w:hanging="360"/>
      <w:jc w:val="both"/>
    </w:pPr>
    <w:rPr>
      <w:spacing w:val="-5"/>
      <w:sz w:val="20"/>
      <w:szCs w:val="20"/>
      <w:lang w:val="es-ES" w:eastAsia="en-US"/>
    </w:rPr>
  </w:style>
  <w:style w:type="paragraph" w:styleId="Lista4">
    <w:name w:val="List 4"/>
    <w:basedOn w:val="Lista"/>
    <w:rsid w:val="0038705C"/>
    <w:pPr>
      <w:suppressAutoHyphens w:val="0"/>
      <w:spacing w:after="240" w:line="240" w:lineRule="atLeast"/>
      <w:ind w:left="2520" w:hanging="360"/>
      <w:jc w:val="both"/>
    </w:pPr>
    <w:rPr>
      <w:spacing w:val="-5"/>
      <w:sz w:val="20"/>
      <w:szCs w:val="20"/>
      <w:lang w:val="es-ES" w:eastAsia="en-US"/>
    </w:rPr>
  </w:style>
  <w:style w:type="paragraph" w:styleId="Lista5">
    <w:name w:val="List 5"/>
    <w:basedOn w:val="Lista"/>
    <w:rsid w:val="0038705C"/>
    <w:pPr>
      <w:suppressAutoHyphens w:val="0"/>
      <w:spacing w:after="240" w:line="240" w:lineRule="atLeast"/>
      <w:ind w:left="2880" w:hanging="360"/>
      <w:jc w:val="both"/>
    </w:pPr>
    <w:rPr>
      <w:spacing w:val="-5"/>
      <w:sz w:val="20"/>
      <w:szCs w:val="20"/>
      <w:lang w:val="es-ES" w:eastAsia="en-US"/>
    </w:rPr>
  </w:style>
  <w:style w:type="paragraph" w:styleId="Listaconvietas">
    <w:name w:val="List Bullet"/>
    <w:basedOn w:val="Lista"/>
    <w:autoRedefine/>
    <w:rsid w:val="0038705C"/>
    <w:pPr>
      <w:numPr>
        <w:numId w:val="2"/>
      </w:numPr>
      <w:tabs>
        <w:tab w:val="clear" w:pos="1440"/>
      </w:tabs>
      <w:suppressAutoHyphens w:val="0"/>
      <w:spacing w:after="240" w:line="240" w:lineRule="atLeast"/>
      <w:jc w:val="both"/>
    </w:pPr>
    <w:rPr>
      <w:spacing w:val="-5"/>
      <w:sz w:val="20"/>
      <w:szCs w:val="20"/>
      <w:lang w:val="es-ES" w:eastAsia="en-US"/>
    </w:rPr>
  </w:style>
  <w:style w:type="paragraph" w:styleId="Listaconvietas2">
    <w:name w:val="List Bullet 2"/>
    <w:basedOn w:val="Listaconvietas"/>
    <w:autoRedefine/>
    <w:rsid w:val="0038705C"/>
    <w:pPr>
      <w:ind w:left="1800"/>
    </w:pPr>
  </w:style>
  <w:style w:type="paragraph" w:styleId="Listaconvietas3">
    <w:name w:val="List Bullet 3"/>
    <w:basedOn w:val="Listaconvietas"/>
    <w:autoRedefine/>
    <w:rsid w:val="0038705C"/>
    <w:pPr>
      <w:ind w:left="2160"/>
    </w:pPr>
  </w:style>
  <w:style w:type="paragraph" w:styleId="Listaconvietas4">
    <w:name w:val="List Bullet 4"/>
    <w:basedOn w:val="Listaconvietas"/>
    <w:autoRedefine/>
    <w:rsid w:val="0038705C"/>
    <w:pPr>
      <w:ind w:left="2520"/>
    </w:pPr>
  </w:style>
  <w:style w:type="paragraph" w:styleId="Listaconvietas5">
    <w:name w:val="List Bullet 5"/>
    <w:basedOn w:val="Listaconvietas"/>
    <w:autoRedefine/>
    <w:rsid w:val="0038705C"/>
    <w:pPr>
      <w:ind w:left="2880"/>
    </w:pPr>
  </w:style>
  <w:style w:type="paragraph" w:styleId="Continuarlista">
    <w:name w:val="List Continue"/>
    <w:basedOn w:val="Lista"/>
    <w:rsid w:val="0038705C"/>
    <w:pPr>
      <w:suppressAutoHyphens w:val="0"/>
      <w:spacing w:after="240" w:line="240" w:lineRule="atLeast"/>
      <w:ind w:left="1440" w:firstLine="0"/>
      <w:jc w:val="both"/>
    </w:pPr>
    <w:rPr>
      <w:spacing w:val="-5"/>
      <w:sz w:val="20"/>
      <w:szCs w:val="20"/>
      <w:lang w:val="es-ES" w:eastAsia="en-US"/>
    </w:rPr>
  </w:style>
  <w:style w:type="paragraph" w:styleId="Continuarlista2">
    <w:name w:val="List Continue 2"/>
    <w:basedOn w:val="Continuarlista"/>
    <w:rsid w:val="0038705C"/>
    <w:pPr>
      <w:ind w:left="2160"/>
    </w:pPr>
  </w:style>
  <w:style w:type="paragraph" w:styleId="Continuarlista3">
    <w:name w:val="List Continue 3"/>
    <w:basedOn w:val="Continuarlista"/>
    <w:rsid w:val="0038705C"/>
    <w:pPr>
      <w:ind w:left="2520"/>
    </w:pPr>
  </w:style>
  <w:style w:type="paragraph" w:styleId="Continuarlista4">
    <w:name w:val="List Continue 4"/>
    <w:basedOn w:val="Continuarlista"/>
    <w:rsid w:val="0038705C"/>
    <w:pPr>
      <w:ind w:left="2880"/>
    </w:pPr>
  </w:style>
  <w:style w:type="paragraph" w:styleId="Continuarlista5">
    <w:name w:val="List Continue 5"/>
    <w:basedOn w:val="Continuarlista"/>
    <w:rsid w:val="0038705C"/>
    <w:pPr>
      <w:ind w:left="3240"/>
    </w:pPr>
  </w:style>
  <w:style w:type="paragraph" w:styleId="Listaconnmeros">
    <w:name w:val="List Number"/>
    <w:basedOn w:val="Lista"/>
    <w:rsid w:val="0038705C"/>
    <w:pPr>
      <w:numPr>
        <w:numId w:val="3"/>
      </w:numPr>
      <w:suppressAutoHyphens w:val="0"/>
      <w:spacing w:after="240" w:line="240" w:lineRule="atLeast"/>
      <w:jc w:val="both"/>
    </w:pPr>
    <w:rPr>
      <w:spacing w:val="-5"/>
      <w:sz w:val="20"/>
      <w:szCs w:val="20"/>
      <w:lang w:val="es-ES" w:eastAsia="en-US"/>
    </w:rPr>
  </w:style>
  <w:style w:type="paragraph" w:styleId="Listaconnmeros2">
    <w:name w:val="List Number 2"/>
    <w:basedOn w:val="Listaconnmeros"/>
    <w:rsid w:val="0038705C"/>
    <w:pPr>
      <w:ind w:left="1800"/>
    </w:pPr>
  </w:style>
  <w:style w:type="paragraph" w:styleId="Listaconnmeros3">
    <w:name w:val="List Number 3"/>
    <w:basedOn w:val="Listaconnmeros"/>
    <w:rsid w:val="0038705C"/>
    <w:pPr>
      <w:ind w:left="2160"/>
    </w:pPr>
  </w:style>
  <w:style w:type="paragraph" w:styleId="Listaconnmeros4">
    <w:name w:val="List Number 4"/>
    <w:basedOn w:val="Listaconnmeros"/>
    <w:rsid w:val="0038705C"/>
    <w:pPr>
      <w:ind w:left="2520"/>
    </w:pPr>
  </w:style>
  <w:style w:type="paragraph" w:styleId="Listaconnmeros5">
    <w:name w:val="List Number 5"/>
    <w:basedOn w:val="Listaconnmeros"/>
    <w:rsid w:val="0038705C"/>
    <w:pPr>
      <w:ind w:left="2880"/>
    </w:pPr>
  </w:style>
  <w:style w:type="paragraph" w:customStyle="1" w:styleId="Encabezadodetabla">
    <w:name w:val="Encabezado de tabla"/>
    <w:basedOn w:val="Normal"/>
    <w:rsid w:val="0038705C"/>
    <w:pPr>
      <w:widowControl/>
      <w:autoSpaceDE/>
      <w:autoSpaceDN/>
      <w:adjustRightInd/>
      <w:spacing w:before="60"/>
      <w:jc w:val="center"/>
    </w:pPr>
    <w:rPr>
      <w:rFonts w:ascii="Arial Black" w:hAnsi="Arial Black" w:cs="Arial Black"/>
      <w:spacing w:val="-5"/>
      <w:sz w:val="16"/>
      <w:szCs w:val="16"/>
      <w:lang w:eastAsia="en-US"/>
    </w:rPr>
  </w:style>
  <w:style w:type="paragraph" w:styleId="Encabezadodemensaje">
    <w:name w:val="Message Header"/>
    <w:basedOn w:val="Textoindependiente"/>
    <w:link w:val="EncabezadodemensajeCar"/>
    <w:rsid w:val="0038705C"/>
    <w:pPr>
      <w:keepLines/>
      <w:widowControl/>
      <w:tabs>
        <w:tab w:val="left" w:pos="3600"/>
        <w:tab w:val="left" w:pos="4680"/>
      </w:tabs>
      <w:autoSpaceDE/>
      <w:autoSpaceDN/>
      <w:adjustRightInd/>
      <w:spacing w:after="120" w:line="280" w:lineRule="exact"/>
      <w:ind w:left="1080" w:right="2160" w:hanging="1080"/>
    </w:pPr>
    <w:rPr>
      <w:rFonts w:ascii="Arial" w:hAnsi="Arial" w:cs="Arial"/>
      <w:lang w:eastAsia="en-US"/>
    </w:rPr>
  </w:style>
  <w:style w:type="paragraph" w:styleId="Sangranormal">
    <w:name w:val="Normal Indent"/>
    <w:basedOn w:val="Normal"/>
    <w:rsid w:val="0038705C"/>
    <w:pPr>
      <w:widowControl/>
      <w:autoSpaceDE/>
      <w:autoSpaceDN/>
      <w:adjustRightInd/>
      <w:ind w:left="1440"/>
    </w:pPr>
    <w:rPr>
      <w:spacing w:val="-5"/>
      <w:sz w:val="20"/>
      <w:szCs w:val="20"/>
      <w:lang w:eastAsia="en-US"/>
    </w:rPr>
  </w:style>
  <w:style w:type="paragraph" w:customStyle="1" w:styleId="Subttulodeparte">
    <w:name w:val="Subtítulo de parte"/>
    <w:basedOn w:val="Normal"/>
    <w:next w:val="Textoindependiente"/>
    <w:rsid w:val="0038705C"/>
    <w:pPr>
      <w:keepNext/>
      <w:widowControl/>
      <w:autoSpaceDE/>
      <w:autoSpaceDN/>
      <w:adjustRightInd/>
      <w:spacing w:before="360" w:after="120"/>
      <w:ind w:left="1080"/>
    </w:pPr>
    <w:rPr>
      <w:i/>
      <w:iCs/>
      <w:spacing w:val="-5"/>
      <w:kern w:val="28"/>
      <w:sz w:val="26"/>
      <w:szCs w:val="26"/>
      <w:lang w:eastAsia="en-US"/>
    </w:rPr>
  </w:style>
  <w:style w:type="paragraph" w:customStyle="1" w:styleId="Remite">
    <w:name w:val="Remite"/>
    <w:basedOn w:val="Normal"/>
    <w:rsid w:val="0038705C"/>
    <w:pPr>
      <w:keepLines/>
      <w:framePr w:w="5160" w:h="840" w:wrap="notBeside" w:vAnchor="page" w:hAnchor="page" w:x="6121" w:y="915" w:anchorLock="1"/>
      <w:widowControl/>
      <w:tabs>
        <w:tab w:val="left" w:pos="2160"/>
      </w:tabs>
      <w:autoSpaceDE/>
      <w:autoSpaceDN/>
      <w:adjustRightInd/>
      <w:spacing w:line="160" w:lineRule="atLeast"/>
    </w:pPr>
    <w:rPr>
      <w:sz w:val="14"/>
      <w:szCs w:val="14"/>
      <w:lang w:eastAsia="en-US"/>
    </w:rPr>
  </w:style>
  <w:style w:type="paragraph" w:customStyle="1" w:styleId="Encabezadodeseccin">
    <w:name w:val="Encabezado de sección"/>
    <w:basedOn w:val="Ttulo1"/>
    <w:rsid w:val="0038705C"/>
    <w:pPr>
      <w:keepLines/>
      <w:widowControl/>
      <w:pBdr>
        <w:top w:val="single" w:sz="48" w:space="3" w:color="FFFFFF"/>
        <w:left w:val="single" w:sz="6" w:space="3" w:color="FFFFFF"/>
        <w:bottom w:val="single" w:sz="6" w:space="3" w:color="FFFFFF"/>
      </w:pBdr>
      <w:shd w:val="solid" w:color="auto" w:fill="auto"/>
      <w:tabs>
        <w:tab w:val="clear" w:pos="4680"/>
      </w:tabs>
      <w:autoSpaceDE/>
      <w:autoSpaceDN/>
      <w:adjustRightInd/>
      <w:spacing w:after="240" w:line="240" w:lineRule="atLeast"/>
      <w:ind w:left="120"/>
      <w:jc w:val="left"/>
    </w:pPr>
    <w:rPr>
      <w:rFonts w:ascii="Arial Black" w:hAnsi="Arial Black" w:cs="Arial Black"/>
      <w:b w:val="0"/>
      <w:bCs w:val="0"/>
      <w:i w:val="0"/>
      <w:iCs w:val="0"/>
      <w:color w:val="FFFFFF"/>
      <w:spacing w:val="-10"/>
      <w:kern w:val="20"/>
      <w:lang w:eastAsia="en-US"/>
    </w:rPr>
  </w:style>
  <w:style w:type="paragraph" w:customStyle="1" w:styleId="Rtulodeseccin">
    <w:name w:val="Rótulo de sección"/>
    <w:basedOn w:val="Ttulo-base"/>
    <w:next w:val="Textoindependiente"/>
    <w:rsid w:val="0038705C"/>
    <w:pPr>
      <w:pBdr>
        <w:bottom w:val="single" w:sz="6" w:space="2" w:color="auto"/>
      </w:pBdr>
      <w:spacing w:before="360" w:after="960"/>
      <w:ind w:left="0"/>
    </w:pPr>
    <w:rPr>
      <w:rFonts w:ascii="Arial Black" w:hAnsi="Arial Black" w:cs="Arial Black"/>
      <w:spacing w:val="-35"/>
      <w:sz w:val="54"/>
      <w:szCs w:val="54"/>
    </w:rPr>
  </w:style>
  <w:style w:type="character" w:customStyle="1" w:styleId="Eslogan">
    <w:name w:val="Eslogan"/>
    <w:basedOn w:val="Fuentedeprrafopredeter"/>
    <w:rsid w:val="0038705C"/>
    <w:rPr>
      <w:i/>
      <w:iCs/>
      <w:spacing w:val="-6"/>
      <w:sz w:val="24"/>
      <w:szCs w:val="24"/>
      <w:lang w:val="es-ES"/>
    </w:rPr>
  </w:style>
  <w:style w:type="paragraph" w:customStyle="1" w:styleId="Subttulodecubierta">
    <w:name w:val="Subtítulo de cubierta"/>
    <w:basedOn w:val="Ttulodecubierta"/>
    <w:next w:val="Textoindependiente"/>
    <w:rsid w:val="0038705C"/>
    <w:pPr>
      <w:pBdr>
        <w:top w:val="single" w:sz="6" w:space="24" w:color="auto"/>
      </w:pBdr>
      <w:tabs>
        <w:tab w:val="clear" w:pos="0"/>
      </w:tabs>
      <w:spacing w:before="0" w:after="0" w:line="480" w:lineRule="atLeast"/>
      <w:ind w:left="835" w:right="835"/>
    </w:pPr>
    <w:rPr>
      <w:rFonts w:ascii="Arial" w:hAnsi="Arial" w:cs="Arial"/>
      <w:b w:val="0"/>
      <w:bCs w:val="0"/>
      <w:spacing w:val="-30"/>
      <w:sz w:val="48"/>
      <w:szCs w:val="48"/>
    </w:rPr>
  </w:style>
  <w:style w:type="character" w:customStyle="1" w:styleId="Superndice">
    <w:name w:val="Superíndice"/>
    <w:rsid w:val="0038705C"/>
    <w:rPr>
      <w:b/>
      <w:bCs/>
      <w:vertAlign w:val="superscript"/>
    </w:rPr>
  </w:style>
  <w:style w:type="paragraph" w:styleId="Textoconsangra">
    <w:name w:val="table of authorities"/>
    <w:basedOn w:val="Normal"/>
    <w:semiHidden/>
    <w:rsid w:val="0038705C"/>
    <w:pPr>
      <w:widowControl/>
      <w:tabs>
        <w:tab w:val="right" w:leader="dot" w:pos="7560"/>
      </w:tabs>
      <w:autoSpaceDE/>
      <w:autoSpaceDN/>
      <w:adjustRightInd/>
      <w:ind w:left="1440" w:hanging="360"/>
    </w:pPr>
    <w:rPr>
      <w:spacing w:val="-5"/>
      <w:sz w:val="20"/>
      <w:szCs w:val="20"/>
      <w:lang w:eastAsia="en-US"/>
    </w:rPr>
  </w:style>
  <w:style w:type="paragraph" w:customStyle="1" w:styleId="TDC-base">
    <w:name w:val="TDC - base"/>
    <w:basedOn w:val="Normal"/>
    <w:rsid w:val="0038705C"/>
    <w:pPr>
      <w:widowControl/>
      <w:tabs>
        <w:tab w:val="right" w:leader="dot" w:pos="6480"/>
      </w:tabs>
      <w:autoSpaceDE/>
      <w:autoSpaceDN/>
      <w:adjustRightInd/>
      <w:spacing w:after="240" w:line="240" w:lineRule="atLeast"/>
    </w:pPr>
    <w:rPr>
      <w:spacing w:val="-5"/>
      <w:sz w:val="20"/>
      <w:szCs w:val="20"/>
      <w:lang w:eastAsia="en-US"/>
    </w:rPr>
  </w:style>
  <w:style w:type="paragraph" w:styleId="Tabladeilustraciones">
    <w:name w:val="table of figures"/>
    <w:basedOn w:val="TDC-base"/>
    <w:semiHidden/>
    <w:rsid w:val="0038705C"/>
    <w:pPr>
      <w:ind w:left="1440" w:hanging="360"/>
    </w:pPr>
  </w:style>
  <w:style w:type="paragraph" w:styleId="Encabezadodelista">
    <w:name w:val="toa heading"/>
    <w:basedOn w:val="Normal"/>
    <w:next w:val="Textoconsangra"/>
    <w:semiHidden/>
    <w:rsid w:val="0038705C"/>
    <w:pPr>
      <w:keepNext/>
      <w:widowControl/>
      <w:autoSpaceDE/>
      <w:autoSpaceDN/>
      <w:adjustRightInd/>
      <w:spacing w:line="480" w:lineRule="atLeast"/>
      <w:ind w:left="1080"/>
    </w:pPr>
    <w:rPr>
      <w:rFonts w:ascii="Arial Black" w:hAnsi="Arial Black" w:cs="Arial Black"/>
      <w:b/>
      <w:bCs/>
      <w:spacing w:val="-10"/>
      <w:kern w:val="28"/>
      <w:sz w:val="20"/>
      <w:szCs w:val="20"/>
      <w:lang w:eastAsia="en-US"/>
    </w:rPr>
  </w:style>
  <w:style w:type="paragraph" w:styleId="TDC3">
    <w:name w:val="toc 3"/>
    <w:basedOn w:val="TDC-base"/>
    <w:autoRedefine/>
    <w:semiHidden/>
    <w:rsid w:val="0038705C"/>
    <w:pPr>
      <w:tabs>
        <w:tab w:val="clear" w:pos="6480"/>
      </w:tabs>
      <w:spacing w:after="0" w:line="240" w:lineRule="auto"/>
      <w:ind w:left="480"/>
    </w:pPr>
    <w:rPr>
      <w:rFonts w:ascii="Times New Roman" w:hAnsi="Times New Roman" w:cs="Times New Roman"/>
      <w:spacing w:val="0"/>
      <w:sz w:val="24"/>
      <w:szCs w:val="24"/>
      <w:lang w:val="es-CR" w:eastAsia="es-ES"/>
    </w:rPr>
  </w:style>
  <w:style w:type="paragraph" w:styleId="TDC4">
    <w:name w:val="toc 4"/>
    <w:basedOn w:val="TDC-base"/>
    <w:autoRedefine/>
    <w:semiHidden/>
    <w:rsid w:val="0038705C"/>
    <w:pPr>
      <w:tabs>
        <w:tab w:val="clear" w:pos="6480"/>
      </w:tabs>
      <w:spacing w:after="0" w:line="240" w:lineRule="auto"/>
      <w:ind w:left="720"/>
    </w:pPr>
    <w:rPr>
      <w:rFonts w:ascii="Times New Roman" w:hAnsi="Times New Roman" w:cs="Times New Roman"/>
      <w:spacing w:val="0"/>
      <w:sz w:val="24"/>
      <w:szCs w:val="24"/>
      <w:lang w:val="es-CR" w:eastAsia="es-ES"/>
    </w:rPr>
  </w:style>
  <w:style w:type="paragraph" w:styleId="TDC5">
    <w:name w:val="toc 5"/>
    <w:basedOn w:val="TDC-base"/>
    <w:autoRedefine/>
    <w:semiHidden/>
    <w:rsid w:val="0038705C"/>
    <w:pPr>
      <w:tabs>
        <w:tab w:val="clear" w:pos="6480"/>
      </w:tabs>
      <w:spacing w:after="0" w:line="240" w:lineRule="auto"/>
      <w:ind w:left="960"/>
    </w:pPr>
    <w:rPr>
      <w:rFonts w:ascii="Times New Roman" w:hAnsi="Times New Roman" w:cs="Times New Roman"/>
      <w:spacing w:val="0"/>
      <w:sz w:val="24"/>
      <w:szCs w:val="24"/>
      <w:lang w:val="es-CR" w:eastAsia="es-ES"/>
    </w:rPr>
  </w:style>
  <w:style w:type="character" w:styleId="AcrnimoHTML">
    <w:name w:val="HTML Acronym"/>
    <w:basedOn w:val="Fuentedeprrafopredeter"/>
    <w:rsid w:val="0038705C"/>
    <w:rPr>
      <w:lang w:val="es-ES"/>
    </w:rPr>
  </w:style>
  <w:style w:type="paragraph" w:styleId="Cierre">
    <w:name w:val="Closing"/>
    <w:basedOn w:val="Normal"/>
    <w:link w:val="CierreCar"/>
    <w:rsid w:val="0038705C"/>
    <w:pPr>
      <w:widowControl/>
      <w:autoSpaceDE/>
      <w:autoSpaceDN/>
      <w:adjustRightInd/>
      <w:ind w:left="4252"/>
    </w:pPr>
    <w:rPr>
      <w:spacing w:val="-5"/>
      <w:sz w:val="20"/>
      <w:szCs w:val="20"/>
      <w:lang w:eastAsia="en-US"/>
    </w:rPr>
  </w:style>
  <w:style w:type="character" w:styleId="CitaHTML">
    <w:name w:val="HTML Cite"/>
    <w:basedOn w:val="Fuentedeprrafopredeter"/>
    <w:rsid w:val="0038705C"/>
    <w:rPr>
      <w:i/>
      <w:iCs/>
      <w:lang w:val="es-ES"/>
    </w:rPr>
  </w:style>
  <w:style w:type="character" w:styleId="CdigoHTML">
    <w:name w:val="HTML Code"/>
    <w:basedOn w:val="Fuentedeprrafopredeter"/>
    <w:rsid w:val="0038705C"/>
    <w:rPr>
      <w:rFonts w:ascii="Courier New" w:hAnsi="Courier New" w:cs="Courier New"/>
      <w:sz w:val="20"/>
      <w:szCs w:val="20"/>
      <w:lang w:val="es-ES"/>
    </w:rPr>
  </w:style>
  <w:style w:type="character" w:styleId="DefinicinHTML">
    <w:name w:val="HTML Definition"/>
    <w:basedOn w:val="Fuentedeprrafopredeter"/>
    <w:rsid w:val="0038705C"/>
    <w:rPr>
      <w:i/>
      <w:iCs/>
      <w:lang w:val="es-ES"/>
    </w:rPr>
  </w:style>
  <w:style w:type="paragraph" w:styleId="DireccinHTML">
    <w:name w:val="HTML Address"/>
    <w:basedOn w:val="Normal"/>
    <w:link w:val="DireccinHTMLCar"/>
    <w:rsid w:val="0038705C"/>
    <w:pPr>
      <w:widowControl/>
      <w:autoSpaceDE/>
      <w:autoSpaceDN/>
      <w:adjustRightInd/>
      <w:ind w:left="1080"/>
    </w:pPr>
    <w:rPr>
      <w:i/>
      <w:iCs/>
      <w:spacing w:val="-5"/>
      <w:sz w:val="20"/>
      <w:szCs w:val="20"/>
      <w:lang w:eastAsia="en-US"/>
    </w:rPr>
  </w:style>
  <w:style w:type="paragraph" w:styleId="Direccinsobre">
    <w:name w:val="envelope address"/>
    <w:basedOn w:val="Normal"/>
    <w:rsid w:val="0038705C"/>
    <w:pPr>
      <w:framePr w:w="7920" w:h="1980" w:hRule="exact" w:hSpace="141" w:wrap="auto" w:hAnchor="page" w:xAlign="center" w:yAlign="bottom"/>
      <w:widowControl/>
      <w:autoSpaceDE/>
      <w:autoSpaceDN/>
      <w:adjustRightInd/>
      <w:ind w:left="2880"/>
    </w:pPr>
    <w:rPr>
      <w:spacing w:val="-5"/>
      <w:lang w:eastAsia="en-US"/>
    </w:rPr>
  </w:style>
  <w:style w:type="character" w:styleId="EjemplodeHTML">
    <w:name w:val="HTML Sample"/>
    <w:basedOn w:val="Fuentedeprrafopredeter"/>
    <w:rsid w:val="0038705C"/>
    <w:rPr>
      <w:rFonts w:ascii="Courier New" w:hAnsi="Courier New" w:cs="Courier New"/>
      <w:lang w:val="es-ES"/>
    </w:rPr>
  </w:style>
  <w:style w:type="paragraph" w:styleId="Encabezadodenota">
    <w:name w:val="Note Heading"/>
    <w:basedOn w:val="Normal"/>
    <w:next w:val="Normal"/>
    <w:link w:val="EncabezadodenotaCar"/>
    <w:rsid w:val="0038705C"/>
    <w:pPr>
      <w:widowControl/>
      <w:autoSpaceDE/>
      <w:autoSpaceDN/>
      <w:adjustRightInd/>
      <w:ind w:left="1080"/>
    </w:pPr>
    <w:rPr>
      <w:spacing w:val="-5"/>
      <w:sz w:val="20"/>
      <w:szCs w:val="20"/>
      <w:lang w:eastAsia="en-US"/>
    </w:rPr>
  </w:style>
  <w:style w:type="paragraph" w:styleId="Fecha">
    <w:name w:val="Date"/>
    <w:basedOn w:val="Normal"/>
    <w:next w:val="Normal"/>
    <w:link w:val="FechaCar"/>
    <w:rsid w:val="0038705C"/>
    <w:pPr>
      <w:widowControl/>
      <w:autoSpaceDE/>
      <w:autoSpaceDN/>
      <w:adjustRightInd/>
      <w:ind w:left="1080"/>
    </w:pPr>
    <w:rPr>
      <w:spacing w:val="-5"/>
      <w:sz w:val="20"/>
      <w:szCs w:val="20"/>
      <w:lang w:eastAsia="en-US"/>
    </w:rPr>
  </w:style>
  <w:style w:type="paragraph" w:styleId="Firma">
    <w:name w:val="Signature"/>
    <w:basedOn w:val="Normal"/>
    <w:link w:val="FirmaCar"/>
    <w:rsid w:val="0038705C"/>
    <w:pPr>
      <w:widowControl/>
      <w:autoSpaceDE/>
      <w:autoSpaceDN/>
      <w:adjustRightInd/>
      <w:ind w:left="4252"/>
    </w:pPr>
    <w:rPr>
      <w:spacing w:val="-5"/>
      <w:sz w:val="20"/>
      <w:szCs w:val="20"/>
      <w:lang w:eastAsia="en-US"/>
    </w:rPr>
  </w:style>
  <w:style w:type="paragraph" w:styleId="Firmadecorreoelectrnico">
    <w:name w:val="E-mail Signature"/>
    <w:basedOn w:val="Normal"/>
    <w:link w:val="FirmadecorreoelectrnicoCar"/>
    <w:rsid w:val="0038705C"/>
    <w:pPr>
      <w:widowControl/>
      <w:autoSpaceDE/>
      <w:autoSpaceDN/>
      <w:adjustRightInd/>
      <w:ind w:left="1080"/>
    </w:pPr>
    <w:rPr>
      <w:spacing w:val="-5"/>
      <w:sz w:val="20"/>
      <w:szCs w:val="20"/>
      <w:lang w:eastAsia="en-US"/>
    </w:rPr>
  </w:style>
  <w:style w:type="paragraph" w:styleId="HTMLconformatoprevio">
    <w:name w:val="HTML Preformatted"/>
    <w:basedOn w:val="Normal"/>
    <w:link w:val="HTMLconformatoprevioCar"/>
    <w:rsid w:val="0038705C"/>
    <w:pPr>
      <w:widowControl/>
      <w:autoSpaceDE/>
      <w:autoSpaceDN/>
      <w:adjustRightInd/>
      <w:ind w:left="1080"/>
    </w:pPr>
    <w:rPr>
      <w:rFonts w:ascii="Courier New" w:hAnsi="Courier New" w:cs="Courier New"/>
      <w:spacing w:val="-5"/>
      <w:sz w:val="20"/>
      <w:szCs w:val="20"/>
      <w:lang w:eastAsia="en-US"/>
    </w:rPr>
  </w:style>
  <w:style w:type="paragraph" w:styleId="ndice6">
    <w:name w:val="index 6"/>
    <w:basedOn w:val="Normal"/>
    <w:next w:val="Normal"/>
    <w:autoRedefine/>
    <w:semiHidden/>
    <w:rsid w:val="0038705C"/>
    <w:pPr>
      <w:widowControl/>
      <w:autoSpaceDE/>
      <w:autoSpaceDN/>
      <w:adjustRightInd/>
      <w:ind w:left="1200" w:hanging="200"/>
    </w:pPr>
    <w:rPr>
      <w:rFonts w:ascii="Times New Roman" w:hAnsi="Times New Roman" w:cs="Times New Roman"/>
      <w:spacing w:val="-5"/>
      <w:sz w:val="20"/>
      <w:szCs w:val="20"/>
      <w:lang w:eastAsia="en-US"/>
    </w:rPr>
  </w:style>
  <w:style w:type="paragraph" w:styleId="ndice7">
    <w:name w:val="index 7"/>
    <w:basedOn w:val="Normal"/>
    <w:next w:val="Normal"/>
    <w:autoRedefine/>
    <w:semiHidden/>
    <w:rsid w:val="0038705C"/>
    <w:pPr>
      <w:widowControl/>
      <w:autoSpaceDE/>
      <w:autoSpaceDN/>
      <w:adjustRightInd/>
      <w:ind w:left="1400" w:hanging="200"/>
    </w:pPr>
    <w:rPr>
      <w:rFonts w:ascii="Times New Roman" w:hAnsi="Times New Roman" w:cs="Times New Roman"/>
      <w:spacing w:val="-5"/>
      <w:sz w:val="20"/>
      <w:szCs w:val="20"/>
      <w:lang w:eastAsia="en-US"/>
    </w:rPr>
  </w:style>
  <w:style w:type="paragraph" w:styleId="ndice8">
    <w:name w:val="index 8"/>
    <w:basedOn w:val="Normal"/>
    <w:next w:val="Normal"/>
    <w:autoRedefine/>
    <w:semiHidden/>
    <w:rsid w:val="0038705C"/>
    <w:pPr>
      <w:widowControl/>
      <w:autoSpaceDE/>
      <w:autoSpaceDN/>
      <w:adjustRightInd/>
      <w:ind w:left="1600" w:hanging="200"/>
    </w:pPr>
    <w:rPr>
      <w:rFonts w:ascii="Times New Roman" w:hAnsi="Times New Roman" w:cs="Times New Roman"/>
      <w:spacing w:val="-5"/>
      <w:sz w:val="20"/>
      <w:szCs w:val="20"/>
      <w:lang w:eastAsia="en-US"/>
    </w:rPr>
  </w:style>
  <w:style w:type="paragraph" w:styleId="ndice9">
    <w:name w:val="index 9"/>
    <w:basedOn w:val="Normal"/>
    <w:next w:val="Normal"/>
    <w:autoRedefine/>
    <w:semiHidden/>
    <w:rsid w:val="0038705C"/>
    <w:pPr>
      <w:widowControl/>
      <w:autoSpaceDE/>
      <w:autoSpaceDN/>
      <w:adjustRightInd/>
      <w:ind w:left="1800" w:hanging="200"/>
    </w:pPr>
    <w:rPr>
      <w:rFonts w:ascii="Times New Roman" w:hAnsi="Times New Roman" w:cs="Times New Roman"/>
      <w:spacing w:val="-5"/>
      <w:sz w:val="20"/>
      <w:szCs w:val="20"/>
      <w:lang w:eastAsia="en-US"/>
    </w:rPr>
  </w:style>
  <w:style w:type="character" w:styleId="MquinadeescribirHTML">
    <w:name w:val="HTML Typewriter"/>
    <w:basedOn w:val="Fuentedeprrafopredeter"/>
    <w:rsid w:val="0038705C"/>
    <w:rPr>
      <w:rFonts w:ascii="Courier New" w:hAnsi="Courier New" w:cs="Courier New"/>
      <w:sz w:val="20"/>
      <w:szCs w:val="20"/>
      <w:lang w:val="es-ES"/>
    </w:rPr>
  </w:style>
  <w:style w:type="paragraph" w:styleId="Remitedesobre">
    <w:name w:val="envelope return"/>
    <w:basedOn w:val="Normal"/>
    <w:rsid w:val="0038705C"/>
    <w:pPr>
      <w:widowControl/>
      <w:autoSpaceDE/>
      <w:autoSpaceDN/>
      <w:adjustRightInd/>
      <w:ind w:left="1080"/>
    </w:pPr>
    <w:rPr>
      <w:spacing w:val="-5"/>
      <w:sz w:val="20"/>
      <w:szCs w:val="20"/>
      <w:lang w:eastAsia="en-US"/>
    </w:rPr>
  </w:style>
  <w:style w:type="paragraph" w:styleId="Saludo">
    <w:name w:val="Salutation"/>
    <w:basedOn w:val="Normal"/>
    <w:next w:val="Normal"/>
    <w:link w:val="SaludoCar"/>
    <w:rsid w:val="0038705C"/>
    <w:pPr>
      <w:widowControl/>
      <w:autoSpaceDE/>
      <w:autoSpaceDN/>
      <w:adjustRightInd/>
      <w:ind w:left="1080"/>
    </w:pPr>
    <w:rPr>
      <w:spacing w:val="-5"/>
      <w:sz w:val="20"/>
      <w:szCs w:val="20"/>
      <w:lang w:eastAsia="en-US"/>
    </w:rPr>
  </w:style>
  <w:style w:type="paragraph" w:styleId="Sangra3detindependiente">
    <w:name w:val="Body Text Indent 3"/>
    <w:basedOn w:val="Normal"/>
    <w:link w:val="Sangra3detindependienteCar"/>
    <w:rsid w:val="0038705C"/>
    <w:pPr>
      <w:widowControl/>
      <w:autoSpaceDE/>
      <w:autoSpaceDN/>
      <w:adjustRightInd/>
      <w:spacing w:after="120"/>
      <w:ind w:left="283"/>
    </w:pPr>
    <w:rPr>
      <w:spacing w:val="-5"/>
      <w:sz w:val="16"/>
      <w:szCs w:val="16"/>
      <w:lang w:eastAsia="en-US"/>
    </w:rPr>
  </w:style>
  <w:style w:type="paragraph" w:styleId="TDC6">
    <w:name w:val="toc 6"/>
    <w:basedOn w:val="Normal"/>
    <w:next w:val="Normal"/>
    <w:autoRedefine/>
    <w:semiHidden/>
    <w:rsid w:val="0038705C"/>
    <w:pPr>
      <w:widowControl/>
      <w:autoSpaceDE/>
      <w:autoSpaceDN/>
      <w:adjustRightInd/>
      <w:ind w:left="1200"/>
    </w:pPr>
    <w:rPr>
      <w:rFonts w:ascii="Times New Roman" w:hAnsi="Times New Roman" w:cs="Times New Roman"/>
      <w:lang w:val="es-CR"/>
    </w:rPr>
  </w:style>
  <w:style w:type="paragraph" w:styleId="TDC7">
    <w:name w:val="toc 7"/>
    <w:basedOn w:val="Normal"/>
    <w:next w:val="Normal"/>
    <w:autoRedefine/>
    <w:semiHidden/>
    <w:rsid w:val="0038705C"/>
    <w:pPr>
      <w:widowControl/>
      <w:autoSpaceDE/>
      <w:autoSpaceDN/>
      <w:adjustRightInd/>
      <w:ind w:left="1440"/>
    </w:pPr>
    <w:rPr>
      <w:rFonts w:ascii="Times New Roman" w:hAnsi="Times New Roman" w:cs="Times New Roman"/>
      <w:lang w:val="es-CR"/>
    </w:rPr>
  </w:style>
  <w:style w:type="paragraph" w:styleId="TDC8">
    <w:name w:val="toc 8"/>
    <w:basedOn w:val="Normal"/>
    <w:next w:val="Normal"/>
    <w:autoRedefine/>
    <w:semiHidden/>
    <w:rsid w:val="0038705C"/>
    <w:pPr>
      <w:widowControl/>
      <w:autoSpaceDE/>
      <w:autoSpaceDN/>
      <w:adjustRightInd/>
      <w:ind w:left="1680"/>
    </w:pPr>
    <w:rPr>
      <w:rFonts w:ascii="Times New Roman" w:hAnsi="Times New Roman" w:cs="Times New Roman"/>
      <w:lang w:val="es-CR"/>
    </w:rPr>
  </w:style>
  <w:style w:type="paragraph" w:styleId="TDC9">
    <w:name w:val="toc 9"/>
    <w:basedOn w:val="Normal"/>
    <w:next w:val="Normal"/>
    <w:autoRedefine/>
    <w:semiHidden/>
    <w:rsid w:val="0038705C"/>
    <w:pPr>
      <w:widowControl/>
      <w:autoSpaceDE/>
      <w:autoSpaceDN/>
      <w:adjustRightInd/>
      <w:ind w:left="1920"/>
    </w:pPr>
    <w:rPr>
      <w:rFonts w:ascii="Times New Roman" w:hAnsi="Times New Roman" w:cs="Times New Roman"/>
      <w:lang w:val="es-CR"/>
    </w:rPr>
  </w:style>
  <w:style w:type="character" w:styleId="TecladoHTML">
    <w:name w:val="HTML Keyboard"/>
    <w:basedOn w:val="Fuentedeprrafopredeter"/>
    <w:rsid w:val="0038705C"/>
    <w:rPr>
      <w:rFonts w:ascii="Courier New" w:hAnsi="Courier New" w:cs="Courier New"/>
      <w:sz w:val="20"/>
      <w:szCs w:val="20"/>
      <w:lang w:val="es-ES"/>
    </w:rPr>
  </w:style>
  <w:style w:type="paragraph" w:styleId="Textoindependienteprimerasangra">
    <w:name w:val="Body Text First Indent"/>
    <w:basedOn w:val="Textoindependiente"/>
    <w:link w:val="TextoindependienteprimerasangraCar"/>
    <w:rsid w:val="0038705C"/>
    <w:pPr>
      <w:widowControl/>
      <w:autoSpaceDE/>
      <w:autoSpaceDN/>
      <w:adjustRightInd/>
      <w:spacing w:after="120"/>
      <w:ind w:left="1080" w:firstLine="210"/>
    </w:pPr>
    <w:rPr>
      <w:rFonts w:ascii="Arial" w:hAnsi="Arial" w:cs="Arial"/>
      <w:spacing w:val="-5"/>
      <w:sz w:val="20"/>
      <w:szCs w:val="20"/>
      <w:lang w:eastAsia="en-US"/>
    </w:rPr>
  </w:style>
  <w:style w:type="paragraph" w:styleId="Textoindependienteprimerasangra2">
    <w:name w:val="Body Text First Indent 2"/>
    <w:basedOn w:val="Sangradetextonormal"/>
    <w:link w:val="Textoindependienteprimerasangra2Car"/>
    <w:rsid w:val="0038705C"/>
    <w:pPr>
      <w:widowControl/>
      <w:autoSpaceDE/>
      <w:autoSpaceDN/>
      <w:adjustRightInd/>
      <w:ind w:firstLine="210"/>
    </w:pPr>
    <w:rPr>
      <w:spacing w:val="-5"/>
      <w:sz w:val="20"/>
      <w:szCs w:val="20"/>
      <w:lang w:eastAsia="en-US"/>
    </w:rPr>
  </w:style>
  <w:style w:type="paragraph" w:styleId="Textomacro">
    <w:name w:val="macro"/>
    <w:link w:val="TextomacroCar"/>
    <w:semiHidden/>
    <w:rsid w:val="0038705C"/>
    <w:pPr>
      <w:tabs>
        <w:tab w:val="left" w:pos="480"/>
        <w:tab w:val="left" w:pos="960"/>
        <w:tab w:val="left" w:pos="1440"/>
        <w:tab w:val="left" w:pos="1920"/>
        <w:tab w:val="left" w:pos="2400"/>
        <w:tab w:val="left" w:pos="2880"/>
        <w:tab w:val="left" w:pos="3360"/>
        <w:tab w:val="left" w:pos="3840"/>
        <w:tab w:val="left" w:pos="4320"/>
      </w:tabs>
      <w:ind w:left="1080"/>
    </w:pPr>
    <w:rPr>
      <w:rFonts w:ascii="Courier New" w:hAnsi="Courier New" w:cs="Courier New"/>
      <w:spacing w:val="-5"/>
      <w:lang w:val="es-ES" w:eastAsia="en-US"/>
    </w:rPr>
  </w:style>
  <w:style w:type="paragraph" w:styleId="Textosinformato">
    <w:name w:val="Plain Text"/>
    <w:basedOn w:val="Normal"/>
    <w:link w:val="TextosinformatoCar"/>
    <w:rsid w:val="0038705C"/>
    <w:pPr>
      <w:widowControl/>
      <w:autoSpaceDE/>
      <w:autoSpaceDN/>
      <w:adjustRightInd/>
      <w:ind w:left="1080"/>
    </w:pPr>
    <w:rPr>
      <w:rFonts w:ascii="Courier New" w:hAnsi="Courier New" w:cs="Courier New"/>
      <w:spacing w:val="-5"/>
      <w:sz w:val="20"/>
      <w:szCs w:val="20"/>
      <w:lang w:eastAsia="en-US"/>
    </w:rPr>
  </w:style>
  <w:style w:type="character" w:styleId="VariableHTML">
    <w:name w:val="HTML Variable"/>
    <w:basedOn w:val="Fuentedeprrafopredeter"/>
    <w:rsid w:val="0038705C"/>
    <w:rPr>
      <w:i/>
      <w:iCs/>
      <w:lang w:val="es-ES"/>
    </w:rPr>
  </w:style>
  <w:style w:type="character" w:customStyle="1" w:styleId="Smbolodenotaalpie">
    <w:name w:val="Símbolo de nota al pie"/>
    <w:basedOn w:val="Fuentedeprrafopredeter"/>
    <w:rsid w:val="0038705C"/>
    <w:rPr>
      <w:vertAlign w:val="superscript"/>
    </w:rPr>
  </w:style>
  <w:style w:type="paragraph" w:customStyle="1" w:styleId="Estilo20">
    <w:name w:val="Estilo2"/>
    <w:basedOn w:val="Normal"/>
    <w:rsid w:val="0038705C"/>
    <w:pPr>
      <w:widowControl/>
      <w:autoSpaceDE/>
      <w:autoSpaceDN/>
      <w:adjustRightInd/>
    </w:pPr>
    <w:rPr>
      <w:rFonts w:ascii="Times New Roman" w:hAnsi="Times New Roman" w:cs="Times New Roman"/>
      <w:lang w:val="es-CR"/>
    </w:rPr>
  </w:style>
  <w:style w:type="paragraph" w:customStyle="1" w:styleId="EstiloTtulo114ptCentradoInterlineadoMnimo24ptoDis">
    <w:name w:val="Estilo Título 1 + 14 pt Centrado Interlineado:  Mínimo 24 pto Dis..."/>
    <w:basedOn w:val="Normal"/>
    <w:rsid w:val="0038705C"/>
    <w:pPr>
      <w:widowControl/>
      <w:numPr>
        <w:numId w:val="5"/>
      </w:numPr>
      <w:autoSpaceDE/>
      <w:autoSpaceDN/>
      <w:adjustRightInd/>
    </w:pPr>
    <w:rPr>
      <w:rFonts w:ascii="Times New Roman" w:hAnsi="Times New Roman" w:cs="Times New Roman"/>
      <w:lang w:val="es-CR"/>
    </w:rPr>
  </w:style>
  <w:style w:type="paragraph" w:customStyle="1" w:styleId="Textoindependiente31">
    <w:name w:val="Texto independiente 31"/>
    <w:basedOn w:val="Normal"/>
    <w:rsid w:val="0038705C"/>
    <w:pPr>
      <w:widowControl/>
      <w:suppressAutoHyphens/>
      <w:autoSpaceDE/>
      <w:autoSpaceDN/>
      <w:adjustRightInd/>
      <w:spacing w:line="360" w:lineRule="auto"/>
      <w:ind w:right="46"/>
      <w:jc w:val="both"/>
    </w:pPr>
    <w:rPr>
      <w:rFonts w:ascii="Times New Roman" w:hAnsi="Times New Roman" w:cs="Times New Roman"/>
      <w:lang w:val="es-CR" w:eastAsia="ar-SA"/>
    </w:rPr>
  </w:style>
  <w:style w:type="table" w:styleId="Tablaconcuadrcula">
    <w:name w:val="Table Grid"/>
    <w:basedOn w:val="Tablanormal"/>
    <w:rsid w:val="003870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basedOn w:val="Normal"/>
    <w:next w:val="Ttulo"/>
    <w:qFormat/>
    <w:rsid w:val="007D737B"/>
    <w:pPr>
      <w:widowControl/>
      <w:autoSpaceDE/>
      <w:autoSpaceDN/>
      <w:adjustRightInd/>
      <w:jc w:val="center"/>
    </w:pPr>
    <w:rPr>
      <w:rFonts w:ascii="Times New Roman" w:hAnsi="Times New Roman" w:cs="Times New Roman"/>
      <w:b/>
      <w:bCs/>
    </w:rPr>
  </w:style>
  <w:style w:type="character" w:customStyle="1" w:styleId="CarCar">
    <w:name w:val="Car Car"/>
    <w:semiHidden/>
    <w:locked/>
    <w:rsid w:val="007D737B"/>
    <w:rPr>
      <w:lang w:val="es-CR" w:eastAsia="es-ES" w:bidi="ar-SA"/>
    </w:rPr>
  </w:style>
  <w:style w:type="character" w:customStyle="1" w:styleId="PiedepginaCar">
    <w:name w:val="Pie de página Car"/>
    <w:link w:val="Piedepgina"/>
    <w:uiPriority w:val="99"/>
    <w:rsid w:val="007D737B"/>
    <w:rPr>
      <w:rFonts w:ascii="Arial" w:hAnsi="Arial" w:cs="Arial"/>
      <w:lang w:val="es-ES" w:eastAsia="es-ES"/>
    </w:rPr>
  </w:style>
  <w:style w:type="character" w:customStyle="1" w:styleId="Ttulo1Car">
    <w:name w:val="Título 1 Car"/>
    <w:aliases w:val="Título Principal Car"/>
    <w:basedOn w:val="Fuentedeprrafopredeter"/>
    <w:link w:val="Ttulo1"/>
    <w:rsid w:val="00BC1BC9"/>
    <w:rPr>
      <w:rFonts w:ascii="Arial" w:hAnsi="Arial" w:cs="Arial"/>
      <w:b/>
      <w:bCs/>
      <w:i/>
      <w:iCs/>
      <w:color w:val="000000"/>
      <w:spacing w:val="-3"/>
      <w:sz w:val="24"/>
      <w:szCs w:val="24"/>
      <w:u w:color="000000"/>
      <w:lang w:val="es-ES" w:eastAsia="es-ES"/>
    </w:rPr>
  </w:style>
  <w:style w:type="character" w:customStyle="1" w:styleId="Ttulo2Car">
    <w:name w:val="Título 2 Car"/>
    <w:basedOn w:val="Fuentedeprrafopredeter"/>
    <w:link w:val="Ttulo2"/>
    <w:rsid w:val="00BC1BC9"/>
    <w:rPr>
      <w:rFonts w:ascii="Arial" w:hAnsi="Arial" w:cs="Arial"/>
      <w:b/>
      <w:bCs/>
      <w:i/>
      <w:iCs/>
      <w:sz w:val="28"/>
      <w:szCs w:val="28"/>
      <w:lang w:val="es-ES" w:eastAsia="es-ES"/>
    </w:rPr>
  </w:style>
  <w:style w:type="character" w:customStyle="1" w:styleId="TextoindependienteCar">
    <w:name w:val="Texto independiente Car"/>
    <w:basedOn w:val="Fuentedeprrafopredeter"/>
    <w:link w:val="Textoindependiente"/>
    <w:rsid w:val="00BC1BC9"/>
    <w:rPr>
      <w:rFonts w:ascii="Book Antiqua" w:hAnsi="Book Antiqua" w:cs="Book Antiqua"/>
      <w:sz w:val="22"/>
      <w:szCs w:val="22"/>
      <w:lang w:val="es-ES" w:eastAsia="es-ES"/>
    </w:rPr>
  </w:style>
  <w:style w:type="paragraph" w:customStyle="1" w:styleId="a0">
    <w:basedOn w:val="Normal"/>
    <w:next w:val="Ttulo"/>
    <w:qFormat/>
    <w:rsid w:val="001F09BD"/>
    <w:pPr>
      <w:widowControl/>
      <w:autoSpaceDE/>
      <w:autoSpaceDN/>
      <w:adjustRightInd/>
      <w:jc w:val="center"/>
    </w:pPr>
    <w:rPr>
      <w:rFonts w:ascii="Times New Roman" w:hAnsi="Times New Roman" w:cs="Times New Roman"/>
      <w:b/>
      <w:bCs/>
    </w:rPr>
  </w:style>
  <w:style w:type="character" w:customStyle="1" w:styleId="Ttulo3Car">
    <w:name w:val="Título 3 Car"/>
    <w:basedOn w:val="Fuentedeprrafopredeter"/>
    <w:link w:val="Ttulo3"/>
    <w:rsid w:val="00E0512C"/>
    <w:rPr>
      <w:rFonts w:ascii="Arial" w:hAnsi="Arial" w:cs="Arial"/>
      <w:b/>
      <w:bCs/>
      <w:sz w:val="26"/>
      <w:szCs w:val="26"/>
      <w:lang w:val="es-ES" w:eastAsia="es-ES"/>
    </w:rPr>
  </w:style>
  <w:style w:type="character" w:customStyle="1" w:styleId="Ttulo4Car">
    <w:name w:val="Título 4 Car"/>
    <w:basedOn w:val="Fuentedeprrafopredeter"/>
    <w:link w:val="Ttulo4"/>
    <w:rsid w:val="00E0512C"/>
    <w:rPr>
      <w:rFonts w:ascii="Book Antiqua" w:hAnsi="Book Antiqua" w:cs="Book Antiqua"/>
      <w:b/>
      <w:bCs/>
      <w:sz w:val="24"/>
      <w:szCs w:val="24"/>
      <w:u w:color="000000"/>
      <w:lang w:val="es-ES" w:eastAsia="es-ES"/>
    </w:rPr>
  </w:style>
  <w:style w:type="character" w:customStyle="1" w:styleId="Ttulo5Car">
    <w:name w:val="Título 5 Car"/>
    <w:basedOn w:val="Fuentedeprrafopredeter"/>
    <w:link w:val="Ttulo5"/>
    <w:rsid w:val="00E0512C"/>
    <w:rPr>
      <w:rFonts w:ascii="Arial" w:hAnsi="Arial" w:cs="Arial"/>
      <w:b/>
      <w:bCs/>
      <w:i/>
      <w:iCs/>
      <w:color w:val="000000"/>
      <w:sz w:val="24"/>
      <w:szCs w:val="24"/>
      <w:u w:color="000000"/>
      <w:lang w:val="es-ES" w:eastAsia="es-ES"/>
    </w:rPr>
  </w:style>
  <w:style w:type="character" w:customStyle="1" w:styleId="Ttulo6Car">
    <w:name w:val="Título 6 Car"/>
    <w:basedOn w:val="Fuentedeprrafopredeter"/>
    <w:link w:val="Ttulo6"/>
    <w:rsid w:val="00E0512C"/>
    <w:rPr>
      <w:rFonts w:ascii="Book Antiqua" w:hAnsi="Book Antiqua" w:cs="Book Antiqua"/>
      <w:b/>
      <w:bCs/>
      <w:sz w:val="22"/>
      <w:szCs w:val="22"/>
      <w:lang w:eastAsia="zh-CN"/>
    </w:rPr>
  </w:style>
  <w:style w:type="character" w:customStyle="1" w:styleId="Ttulo7Car">
    <w:name w:val="Título 7 Car"/>
    <w:basedOn w:val="Fuentedeprrafopredeter"/>
    <w:link w:val="Ttulo7"/>
    <w:rsid w:val="00E0512C"/>
    <w:rPr>
      <w:rFonts w:ascii="Arial" w:hAnsi="Arial" w:cs="Arial"/>
      <w:sz w:val="24"/>
      <w:szCs w:val="24"/>
      <w:lang w:val="es-ES" w:eastAsia="es-ES"/>
    </w:rPr>
  </w:style>
  <w:style w:type="character" w:customStyle="1" w:styleId="Ttulo8Car">
    <w:name w:val="Título 8 Car"/>
    <w:basedOn w:val="Fuentedeprrafopredeter"/>
    <w:link w:val="Ttulo8"/>
    <w:rsid w:val="00E0512C"/>
    <w:rPr>
      <w:rFonts w:ascii="Book Antiqua" w:hAnsi="Book Antiqua" w:cs="Book Antiqua"/>
      <w:sz w:val="24"/>
      <w:szCs w:val="24"/>
      <w:lang w:val="es-ES" w:eastAsia="es-ES"/>
    </w:rPr>
  </w:style>
  <w:style w:type="character" w:customStyle="1" w:styleId="Ttulo9Car">
    <w:name w:val="Título 9 Car"/>
    <w:basedOn w:val="Fuentedeprrafopredeter"/>
    <w:link w:val="Ttulo9"/>
    <w:rsid w:val="00E0512C"/>
    <w:rPr>
      <w:rFonts w:ascii="Arial" w:hAnsi="Arial" w:cs="Arial"/>
      <w:b/>
      <w:bCs/>
      <w:sz w:val="28"/>
      <w:szCs w:val="28"/>
      <w:lang w:eastAsia="zh-CN"/>
    </w:rPr>
  </w:style>
  <w:style w:type="character" w:customStyle="1" w:styleId="TtuloCar">
    <w:name w:val="Título Car"/>
    <w:basedOn w:val="Fuentedeprrafopredeter"/>
    <w:link w:val="Ttulo"/>
    <w:rsid w:val="00E0512C"/>
    <w:rPr>
      <w:b/>
      <w:bCs/>
      <w:sz w:val="24"/>
      <w:szCs w:val="24"/>
      <w:lang w:val="es-ES" w:eastAsia="es-ES"/>
    </w:rPr>
  </w:style>
  <w:style w:type="character" w:customStyle="1" w:styleId="SubttuloCar">
    <w:name w:val="Subtítulo Car"/>
    <w:basedOn w:val="Fuentedeprrafopredeter"/>
    <w:link w:val="Subttulo"/>
    <w:rsid w:val="00E0512C"/>
    <w:rPr>
      <w:rFonts w:ascii="Cambria" w:hAnsi="Cambria" w:cs="Cambria"/>
      <w:sz w:val="24"/>
      <w:szCs w:val="24"/>
      <w:lang w:eastAsia="zh-CN"/>
    </w:rPr>
  </w:style>
  <w:style w:type="paragraph" w:customStyle="1" w:styleId="ListParagraph1">
    <w:name w:val="List Paragraph1"/>
    <w:basedOn w:val="Normal"/>
    <w:qFormat/>
    <w:rsid w:val="00E0512C"/>
    <w:pPr>
      <w:widowControl/>
      <w:autoSpaceDE/>
      <w:autoSpaceDN/>
      <w:adjustRightInd/>
      <w:ind w:left="720"/>
    </w:pPr>
    <w:rPr>
      <w:rFonts w:ascii="Times New Roman" w:hAnsi="Times New Roman" w:cs="Times New Roman"/>
    </w:rPr>
  </w:style>
  <w:style w:type="character" w:customStyle="1" w:styleId="TextodegloboCar">
    <w:name w:val="Texto de globo Car"/>
    <w:basedOn w:val="Fuentedeprrafopredeter"/>
    <w:link w:val="Textodeglobo"/>
    <w:semiHidden/>
    <w:rsid w:val="00E0512C"/>
    <w:rPr>
      <w:rFonts w:ascii="Tahoma" w:hAnsi="Tahoma" w:cs="Tahoma"/>
      <w:sz w:val="16"/>
      <w:szCs w:val="16"/>
      <w:lang w:val="es-ES" w:eastAsia="es-ES"/>
    </w:rPr>
  </w:style>
  <w:style w:type="character" w:customStyle="1" w:styleId="Textoindependiente3Car">
    <w:name w:val="Texto independiente 3 Car"/>
    <w:basedOn w:val="Fuentedeprrafopredeter"/>
    <w:link w:val="Textoindependiente3"/>
    <w:rsid w:val="00E0512C"/>
    <w:rPr>
      <w:rFonts w:ascii="Book Antiqua" w:hAnsi="Book Antiqua" w:cs="Book Antiqua"/>
      <w:sz w:val="24"/>
      <w:szCs w:val="24"/>
      <w:lang w:val="es-ES" w:eastAsia="es-ES"/>
    </w:rPr>
  </w:style>
  <w:style w:type="character" w:customStyle="1" w:styleId="Textoindependiente2Car">
    <w:name w:val="Texto independiente 2 Car"/>
    <w:basedOn w:val="Fuentedeprrafopredeter"/>
    <w:link w:val="Textoindependiente2"/>
    <w:rsid w:val="00E0512C"/>
    <w:rPr>
      <w:rFonts w:ascii="Book Antiqua" w:hAnsi="Book Antiqua" w:cs="Book Antiqua"/>
      <w:sz w:val="24"/>
      <w:szCs w:val="24"/>
      <w:lang w:val="es-ES" w:eastAsia="es-ES"/>
    </w:rPr>
  </w:style>
  <w:style w:type="character" w:customStyle="1" w:styleId="Sangra2detindependienteCar">
    <w:name w:val="Sangría 2 de t. independiente Car"/>
    <w:basedOn w:val="Fuentedeprrafopredeter"/>
    <w:link w:val="Sangra2detindependiente"/>
    <w:rsid w:val="00E0512C"/>
    <w:rPr>
      <w:rFonts w:ascii="Arial" w:hAnsi="Arial" w:cs="Arial"/>
      <w:color w:val="000000"/>
      <w:spacing w:val="-10"/>
      <w:sz w:val="28"/>
      <w:szCs w:val="28"/>
      <w:u w:color="000000"/>
      <w:lang w:val="es-ES" w:eastAsia="es-ES"/>
    </w:rPr>
  </w:style>
  <w:style w:type="character" w:customStyle="1" w:styleId="MapadeldocumentoCar">
    <w:name w:val="Mapa del documento Car"/>
    <w:basedOn w:val="Fuentedeprrafopredeter"/>
    <w:link w:val="Mapadeldocumento"/>
    <w:semiHidden/>
    <w:rsid w:val="00E0512C"/>
    <w:rPr>
      <w:rFonts w:ascii="Tahoma" w:hAnsi="Tahoma" w:cs="Tahoma"/>
      <w:color w:val="000000"/>
      <w:u w:color="000000"/>
      <w:shd w:val="clear" w:color="auto" w:fill="000080"/>
      <w:lang w:val="es-ES" w:eastAsia="es-ES"/>
    </w:rPr>
  </w:style>
  <w:style w:type="character" w:customStyle="1" w:styleId="SangradetextonormalCar">
    <w:name w:val="Sangría de texto normal Car"/>
    <w:basedOn w:val="Fuentedeprrafopredeter"/>
    <w:link w:val="Sangradetextonormal"/>
    <w:rsid w:val="00E0512C"/>
    <w:rPr>
      <w:rFonts w:ascii="Arial" w:hAnsi="Arial" w:cs="Arial"/>
      <w:sz w:val="24"/>
      <w:szCs w:val="24"/>
      <w:lang w:val="es-ES" w:eastAsia="es-ES"/>
    </w:rPr>
  </w:style>
  <w:style w:type="character" w:customStyle="1" w:styleId="TextonotaalfinalCar">
    <w:name w:val="Texto nota al final Car"/>
    <w:basedOn w:val="Fuentedeprrafopredeter"/>
    <w:link w:val="Textonotaalfinal"/>
    <w:semiHidden/>
    <w:rsid w:val="00E0512C"/>
    <w:rPr>
      <w:rFonts w:ascii="Book Antiqua" w:hAnsi="Book Antiqua" w:cs="Book Antiqua"/>
      <w:lang w:eastAsia="zh-CN"/>
    </w:rPr>
  </w:style>
  <w:style w:type="character" w:customStyle="1" w:styleId="CitaCar">
    <w:name w:val="Cita Car"/>
    <w:basedOn w:val="Fuentedeprrafopredeter"/>
    <w:link w:val="Cita"/>
    <w:rsid w:val="00E0512C"/>
    <w:rPr>
      <w:rFonts w:ascii="Arial Narrow" w:hAnsi="Arial Narrow" w:cs="Arial Narrow"/>
      <w:spacing w:val="-5"/>
      <w:shd w:val="pct5" w:color="auto" w:fill="auto"/>
      <w:lang w:val="es-ES" w:eastAsia="en-US"/>
    </w:rPr>
  </w:style>
  <w:style w:type="character" w:customStyle="1" w:styleId="EncabezadodemensajeCar">
    <w:name w:val="Encabezado de mensaje Car"/>
    <w:basedOn w:val="Fuentedeprrafopredeter"/>
    <w:link w:val="Encabezadodemensaje"/>
    <w:rsid w:val="00E0512C"/>
    <w:rPr>
      <w:rFonts w:ascii="Arial" w:hAnsi="Arial" w:cs="Arial"/>
      <w:sz w:val="22"/>
      <w:szCs w:val="22"/>
      <w:lang w:val="es-ES" w:eastAsia="en-US"/>
    </w:rPr>
  </w:style>
  <w:style w:type="character" w:customStyle="1" w:styleId="CierreCar">
    <w:name w:val="Cierre Car"/>
    <w:basedOn w:val="Fuentedeprrafopredeter"/>
    <w:link w:val="Cierre"/>
    <w:rsid w:val="00E0512C"/>
    <w:rPr>
      <w:rFonts w:ascii="Arial" w:hAnsi="Arial" w:cs="Arial"/>
      <w:spacing w:val="-5"/>
      <w:lang w:val="es-ES" w:eastAsia="en-US"/>
    </w:rPr>
  </w:style>
  <w:style w:type="character" w:customStyle="1" w:styleId="DireccinHTMLCar">
    <w:name w:val="Dirección HTML Car"/>
    <w:basedOn w:val="Fuentedeprrafopredeter"/>
    <w:link w:val="DireccinHTML"/>
    <w:rsid w:val="00E0512C"/>
    <w:rPr>
      <w:rFonts w:ascii="Arial" w:hAnsi="Arial" w:cs="Arial"/>
      <w:i/>
      <w:iCs/>
      <w:spacing w:val="-5"/>
      <w:lang w:val="es-ES" w:eastAsia="en-US"/>
    </w:rPr>
  </w:style>
  <w:style w:type="character" w:customStyle="1" w:styleId="EncabezadodenotaCar">
    <w:name w:val="Encabezado de nota Car"/>
    <w:basedOn w:val="Fuentedeprrafopredeter"/>
    <w:link w:val="Encabezadodenota"/>
    <w:rsid w:val="00E0512C"/>
    <w:rPr>
      <w:rFonts w:ascii="Arial" w:hAnsi="Arial" w:cs="Arial"/>
      <w:spacing w:val="-5"/>
      <w:lang w:val="es-ES" w:eastAsia="en-US"/>
    </w:rPr>
  </w:style>
  <w:style w:type="character" w:customStyle="1" w:styleId="FechaCar">
    <w:name w:val="Fecha Car"/>
    <w:basedOn w:val="Fuentedeprrafopredeter"/>
    <w:link w:val="Fecha"/>
    <w:rsid w:val="00E0512C"/>
    <w:rPr>
      <w:rFonts w:ascii="Arial" w:hAnsi="Arial" w:cs="Arial"/>
      <w:spacing w:val="-5"/>
      <w:lang w:val="es-ES" w:eastAsia="en-US"/>
    </w:rPr>
  </w:style>
  <w:style w:type="character" w:customStyle="1" w:styleId="FirmaCar">
    <w:name w:val="Firma Car"/>
    <w:basedOn w:val="Fuentedeprrafopredeter"/>
    <w:link w:val="Firma"/>
    <w:rsid w:val="00E0512C"/>
    <w:rPr>
      <w:rFonts w:ascii="Arial" w:hAnsi="Arial" w:cs="Arial"/>
      <w:spacing w:val="-5"/>
      <w:lang w:val="es-ES" w:eastAsia="en-US"/>
    </w:rPr>
  </w:style>
  <w:style w:type="character" w:customStyle="1" w:styleId="FirmadecorreoelectrnicoCar">
    <w:name w:val="Firma de correo electrónico Car"/>
    <w:basedOn w:val="Fuentedeprrafopredeter"/>
    <w:link w:val="Firmadecorreoelectrnico"/>
    <w:rsid w:val="00E0512C"/>
    <w:rPr>
      <w:rFonts w:ascii="Arial" w:hAnsi="Arial" w:cs="Arial"/>
      <w:spacing w:val="-5"/>
      <w:lang w:val="es-ES" w:eastAsia="en-US"/>
    </w:rPr>
  </w:style>
  <w:style w:type="character" w:customStyle="1" w:styleId="HTMLconformatoprevioCar">
    <w:name w:val="HTML con formato previo Car"/>
    <w:basedOn w:val="Fuentedeprrafopredeter"/>
    <w:link w:val="HTMLconformatoprevio"/>
    <w:rsid w:val="00E0512C"/>
    <w:rPr>
      <w:rFonts w:ascii="Courier New" w:hAnsi="Courier New" w:cs="Courier New"/>
      <w:spacing w:val="-5"/>
      <w:lang w:val="es-ES" w:eastAsia="en-US"/>
    </w:rPr>
  </w:style>
  <w:style w:type="character" w:customStyle="1" w:styleId="SaludoCar">
    <w:name w:val="Saludo Car"/>
    <w:basedOn w:val="Fuentedeprrafopredeter"/>
    <w:link w:val="Saludo"/>
    <w:rsid w:val="00E0512C"/>
    <w:rPr>
      <w:rFonts w:ascii="Arial" w:hAnsi="Arial" w:cs="Arial"/>
      <w:spacing w:val="-5"/>
      <w:lang w:val="es-ES" w:eastAsia="en-US"/>
    </w:rPr>
  </w:style>
  <w:style w:type="character" w:customStyle="1" w:styleId="Sangra3detindependienteCar">
    <w:name w:val="Sangría 3 de t. independiente Car"/>
    <w:basedOn w:val="Fuentedeprrafopredeter"/>
    <w:link w:val="Sangra3detindependiente"/>
    <w:rsid w:val="00E0512C"/>
    <w:rPr>
      <w:rFonts w:ascii="Arial" w:hAnsi="Arial" w:cs="Arial"/>
      <w:spacing w:val="-5"/>
      <w:sz w:val="16"/>
      <w:szCs w:val="16"/>
      <w:lang w:val="es-ES" w:eastAsia="en-US"/>
    </w:rPr>
  </w:style>
  <w:style w:type="character" w:customStyle="1" w:styleId="TextoindependienteprimerasangraCar">
    <w:name w:val="Texto independiente primera sangría Car"/>
    <w:basedOn w:val="TextoindependienteCar"/>
    <w:link w:val="Textoindependienteprimerasangra"/>
    <w:rsid w:val="00E0512C"/>
    <w:rPr>
      <w:rFonts w:ascii="Arial" w:hAnsi="Arial" w:cs="Arial"/>
      <w:spacing w:val="-5"/>
      <w:sz w:val="22"/>
      <w:szCs w:val="22"/>
      <w:lang w:val="es-ES" w:eastAsia="en-US"/>
    </w:rPr>
  </w:style>
  <w:style w:type="character" w:customStyle="1" w:styleId="Textoindependienteprimerasangra2Car">
    <w:name w:val="Texto independiente primera sangría 2 Car"/>
    <w:basedOn w:val="SangradetextonormalCar"/>
    <w:link w:val="Textoindependienteprimerasangra2"/>
    <w:rsid w:val="00E0512C"/>
    <w:rPr>
      <w:rFonts w:ascii="Arial" w:hAnsi="Arial" w:cs="Arial"/>
      <w:spacing w:val="-5"/>
      <w:sz w:val="24"/>
      <w:szCs w:val="24"/>
      <w:lang w:val="es-ES" w:eastAsia="en-US"/>
    </w:rPr>
  </w:style>
  <w:style w:type="character" w:customStyle="1" w:styleId="TextomacroCar">
    <w:name w:val="Texto macro Car"/>
    <w:basedOn w:val="Fuentedeprrafopredeter"/>
    <w:link w:val="Textomacro"/>
    <w:semiHidden/>
    <w:rsid w:val="00E0512C"/>
    <w:rPr>
      <w:rFonts w:ascii="Courier New" w:hAnsi="Courier New" w:cs="Courier New"/>
      <w:spacing w:val="-5"/>
      <w:lang w:val="es-ES" w:eastAsia="en-US"/>
    </w:rPr>
  </w:style>
  <w:style w:type="character" w:customStyle="1" w:styleId="TextosinformatoCar">
    <w:name w:val="Texto sin formato Car"/>
    <w:basedOn w:val="Fuentedeprrafopredeter"/>
    <w:link w:val="Textosinformato"/>
    <w:rsid w:val="00E0512C"/>
    <w:rPr>
      <w:rFonts w:ascii="Courier New" w:hAnsi="Courier New" w:cs="Courier New"/>
      <w:spacing w:val="-5"/>
      <w:lang w:val="es-ES" w:eastAsia="en-US"/>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434444507">
      <w:bodyDiv w:val="1"/>
      <w:marLeft w:val="0"/>
      <w:marRight w:val="0"/>
      <w:marTop w:val="0"/>
      <w:marBottom w:val="0"/>
      <w:divBdr>
        <w:top w:val="none" w:sz="0" w:space="0" w:color="auto"/>
        <w:left w:val="none" w:sz="0" w:space="0" w:color="auto"/>
        <w:bottom w:val="none" w:sz="0" w:space="0" w:color="auto"/>
        <w:right w:val="none" w:sz="0" w:space="0" w:color="auto"/>
      </w:divBdr>
    </w:div>
    <w:div w:id="816609654">
      <w:bodyDiv w:val="1"/>
      <w:marLeft w:val="0"/>
      <w:marRight w:val="0"/>
      <w:marTop w:val="0"/>
      <w:marBottom w:val="0"/>
      <w:divBdr>
        <w:top w:val="none" w:sz="0" w:space="0" w:color="auto"/>
        <w:left w:val="none" w:sz="0" w:space="0" w:color="auto"/>
        <w:bottom w:val="none" w:sz="0" w:space="0" w:color="auto"/>
        <w:right w:val="none" w:sz="0" w:space="0" w:color="auto"/>
      </w:divBdr>
    </w:div>
    <w:div w:id="855926424">
      <w:bodyDiv w:val="1"/>
      <w:marLeft w:val="0"/>
      <w:marRight w:val="0"/>
      <w:marTop w:val="0"/>
      <w:marBottom w:val="0"/>
      <w:divBdr>
        <w:top w:val="none" w:sz="0" w:space="0" w:color="auto"/>
        <w:left w:val="none" w:sz="0" w:space="0" w:color="auto"/>
        <w:bottom w:val="none" w:sz="0" w:space="0" w:color="auto"/>
        <w:right w:val="none" w:sz="0" w:space="0" w:color="auto"/>
      </w:divBdr>
    </w:div>
    <w:div w:id="1049263918">
      <w:bodyDiv w:val="1"/>
      <w:marLeft w:val="0"/>
      <w:marRight w:val="0"/>
      <w:marTop w:val="0"/>
      <w:marBottom w:val="0"/>
      <w:divBdr>
        <w:top w:val="none" w:sz="0" w:space="0" w:color="auto"/>
        <w:left w:val="none" w:sz="0" w:space="0" w:color="auto"/>
        <w:bottom w:val="none" w:sz="0" w:space="0" w:color="auto"/>
        <w:right w:val="none" w:sz="0" w:space="0" w:color="auto"/>
      </w:divBdr>
    </w:div>
    <w:div w:id="117534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0.xml"/><Relationship Id="rId21" Type="http://schemas.openxmlformats.org/officeDocument/2006/relationships/chart" Target="charts/chart5.xml"/><Relationship Id="rId34" Type="http://schemas.openxmlformats.org/officeDocument/2006/relationships/chart" Target="charts/chart18.xml"/><Relationship Id="rId42" Type="http://schemas.openxmlformats.org/officeDocument/2006/relationships/chart" Target="charts/chart26.xml"/><Relationship Id="rId47" Type="http://schemas.openxmlformats.org/officeDocument/2006/relationships/hyperlink" Target="http://www.monografias.com/trabajos33/responsabilidad/responsabilidad.shtml" TargetMode="External"/><Relationship Id="rId50" Type="http://schemas.openxmlformats.org/officeDocument/2006/relationships/chart" Target="charts/chart31.xml"/><Relationship Id="rId55" Type="http://schemas.openxmlformats.org/officeDocument/2006/relationships/chart" Target="charts/chart36.xml"/><Relationship Id="rId63" Type="http://schemas.openxmlformats.org/officeDocument/2006/relationships/chart" Target="charts/chart44.xml"/><Relationship Id="rId68" Type="http://schemas.openxmlformats.org/officeDocument/2006/relationships/chart" Target="charts/chart49.xml"/><Relationship Id="rId76" Type="http://schemas.openxmlformats.org/officeDocument/2006/relationships/chart" Target="charts/chart57.xml"/><Relationship Id="rId84" Type="http://schemas.openxmlformats.org/officeDocument/2006/relationships/chart" Target="charts/chart65.xml"/><Relationship Id="rId89" Type="http://schemas.openxmlformats.org/officeDocument/2006/relationships/header" Target="header5.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52.xml"/><Relationship Id="rId92"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chart" Target="charts/chart13.xml"/><Relationship Id="rId11" Type="http://schemas.openxmlformats.org/officeDocument/2006/relationships/footer" Target="footer2.xml"/><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hyperlink" Target="http://www.monografias.com/trabajos13/mapro/mapro.shtml" TargetMode="External"/><Relationship Id="rId53" Type="http://schemas.openxmlformats.org/officeDocument/2006/relationships/chart" Target="charts/chart34.xml"/><Relationship Id="rId58" Type="http://schemas.openxmlformats.org/officeDocument/2006/relationships/chart" Target="charts/chart39.xml"/><Relationship Id="rId66" Type="http://schemas.openxmlformats.org/officeDocument/2006/relationships/chart" Target="charts/chart47.xml"/><Relationship Id="rId74" Type="http://schemas.openxmlformats.org/officeDocument/2006/relationships/chart" Target="charts/chart55.xml"/><Relationship Id="rId79" Type="http://schemas.openxmlformats.org/officeDocument/2006/relationships/chart" Target="charts/chart60.xml"/><Relationship Id="rId87" Type="http://schemas.openxmlformats.org/officeDocument/2006/relationships/chart" Target="charts/chart68.xml"/><Relationship Id="rId5" Type="http://schemas.openxmlformats.org/officeDocument/2006/relationships/webSettings" Target="webSettings.xml"/><Relationship Id="rId61" Type="http://schemas.openxmlformats.org/officeDocument/2006/relationships/chart" Target="charts/chart42.xml"/><Relationship Id="rId82" Type="http://schemas.openxmlformats.org/officeDocument/2006/relationships/chart" Target="charts/chart63.xml"/><Relationship Id="rId90" Type="http://schemas.openxmlformats.org/officeDocument/2006/relationships/footer" Target="footer5.xml"/><Relationship Id="rId95" Type="http://schemas.openxmlformats.org/officeDocument/2006/relationships/header" Target="header7.xml"/><Relationship Id="rId19" Type="http://schemas.openxmlformats.org/officeDocument/2006/relationships/chart" Target="charts/chart3.xml"/><Relationship Id="rId14" Type="http://schemas.openxmlformats.org/officeDocument/2006/relationships/footer" Target="footer3.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chart" Target="charts/chart29.xml"/><Relationship Id="rId56" Type="http://schemas.openxmlformats.org/officeDocument/2006/relationships/chart" Target="charts/chart37.xml"/><Relationship Id="rId64" Type="http://schemas.openxmlformats.org/officeDocument/2006/relationships/chart" Target="charts/chart45.xml"/><Relationship Id="rId69" Type="http://schemas.openxmlformats.org/officeDocument/2006/relationships/chart" Target="charts/chart50.xml"/><Relationship Id="rId77" Type="http://schemas.openxmlformats.org/officeDocument/2006/relationships/chart" Target="charts/chart58.xml"/><Relationship Id="rId8" Type="http://schemas.openxmlformats.org/officeDocument/2006/relationships/image" Target="media/image1.jpeg"/><Relationship Id="rId51" Type="http://schemas.openxmlformats.org/officeDocument/2006/relationships/chart" Target="charts/chart32.xml"/><Relationship Id="rId72" Type="http://schemas.openxmlformats.org/officeDocument/2006/relationships/chart" Target="charts/chart53.xml"/><Relationship Id="rId80" Type="http://schemas.openxmlformats.org/officeDocument/2006/relationships/chart" Target="charts/chart61.xml"/><Relationship Id="rId85" Type="http://schemas.openxmlformats.org/officeDocument/2006/relationships/chart" Target="charts/chart66.xml"/><Relationship Id="rId93" Type="http://schemas.openxmlformats.org/officeDocument/2006/relationships/hyperlink" Target="http://es.wikipedia.org/wiki/Ideol%C3%B3gica"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hyperlink" Target="http://www.monografias.com/trabajos12/elorigest/elorigest.shtml" TargetMode="External"/><Relationship Id="rId59" Type="http://schemas.openxmlformats.org/officeDocument/2006/relationships/chart" Target="charts/chart40.xml"/><Relationship Id="rId67" Type="http://schemas.openxmlformats.org/officeDocument/2006/relationships/chart" Target="charts/chart48.xml"/><Relationship Id="rId20" Type="http://schemas.openxmlformats.org/officeDocument/2006/relationships/chart" Target="charts/chart4.xml"/><Relationship Id="rId41" Type="http://schemas.openxmlformats.org/officeDocument/2006/relationships/chart" Target="charts/chart25.xml"/><Relationship Id="rId54" Type="http://schemas.openxmlformats.org/officeDocument/2006/relationships/chart" Target="charts/chart35.xml"/><Relationship Id="rId62" Type="http://schemas.openxmlformats.org/officeDocument/2006/relationships/chart" Target="charts/chart43.xml"/><Relationship Id="rId70" Type="http://schemas.openxmlformats.org/officeDocument/2006/relationships/chart" Target="charts/chart51.xml"/><Relationship Id="rId75" Type="http://schemas.openxmlformats.org/officeDocument/2006/relationships/chart" Target="charts/chart56.xml"/><Relationship Id="rId83" Type="http://schemas.openxmlformats.org/officeDocument/2006/relationships/chart" Target="charts/chart64.xml"/><Relationship Id="rId88" Type="http://schemas.openxmlformats.org/officeDocument/2006/relationships/chart" Target="charts/chart69.xml"/><Relationship Id="rId91" Type="http://schemas.openxmlformats.org/officeDocument/2006/relationships/header" Target="header6.xml"/><Relationship Id="rId9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chart" Target="charts/chart30.xml"/><Relationship Id="rId57" Type="http://schemas.openxmlformats.org/officeDocument/2006/relationships/chart" Target="charts/chart38.xml"/><Relationship Id="rId10" Type="http://schemas.openxmlformats.org/officeDocument/2006/relationships/footer" Target="footer1.xml"/><Relationship Id="rId31" Type="http://schemas.openxmlformats.org/officeDocument/2006/relationships/chart" Target="charts/chart15.xml"/><Relationship Id="rId44" Type="http://schemas.openxmlformats.org/officeDocument/2006/relationships/chart" Target="charts/chart28.xml"/><Relationship Id="rId52" Type="http://schemas.openxmlformats.org/officeDocument/2006/relationships/chart" Target="charts/chart33.xml"/><Relationship Id="rId60" Type="http://schemas.openxmlformats.org/officeDocument/2006/relationships/chart" Target="charts/chart41.xml"/><Relationship Id="rId65" Type="http://schemas.openxmlformats.org/officeDocument/2006/relationships/chart" Target="charts/chart46.xml"/><Relationship Id="rId73" Type="http://schemas.openxmlformats.org/officeDocument/2006/relationships/chart" Target="charts/chart54.xml"/><Relationship Id="rId78" Type="http://schemas.openxmlformats.org/officeDocument/2006/relationships/chart" Target="charts/chart59.xml"/><Relationship Id="rId81" Type="http://schemas.openxmlformats.org/officeDocument/2006/relationships/chart" Target="charts/chart62.xml"/><Relationship Id="rId86" Type="http://schemas.openxmlformats.org/officeDocument/2006/relationships/chart" Target="charts/chart67.xml"/><Relationship Id="rId94" Type="http://schemas.openxmlformats.org/officeDocument/2006/relationships/hyperlink" Target="http://es.wikipedia.org/wiki/Femenino"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chart" Target="charts/chart2.xml"/><Relationship Id="rId39" Type="http://schemas.openxmlformats.org/officeDocument/2006/relationships/chart" Target="charts/chart23.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hyperlink" Target="mailto:dir_planificacion@poder-judicial.go.cr" TargetMode="External"/><Relationship Id="rId2" Type="http://schemas.openxmlformats.org/officeDocument/2006/relationships/oleObject" Target="embeddings/oleObject2.bin"/><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3" Type="http://schemas.openxmlformats.org/officeDocument/2006/relationships/hyperlink" Target="mailto:dir_planificacion@poder-judicial.go.cr" TargetMode="External"/><Relationship Id="rId2" Type="http://schemas.openxmlformats.org/officeDocument/2006/relationships/oleObject" Target="embeddings/oleObject4.bin"/><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Hoja_de_c_lculo_de_Microsoft_Office_Excel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Hoja_de_c_lculo_de_Microsoft_Office_Excel13.xlsx"/><Relationship Id="rId1" Type="http://schemas.openxmlformats.org/officeDocument/2006/relationships/themeOverride" Target="../theme/themeOverride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Hoja_de_c_lculo_de_Microsoft_Office_Excel14.xlsx"/><Relationship Id="rId1" Type="http://schemas.openxmlformats.org/officeDocument/2006/relationships/themeOverride" Target="../theme/themeOverride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Hoja_de_c_lculo_de_Microsoft_Office_Excel15.xlsx"/><Relationship Id="rId1" Type="http://schemas.openxmlformats.org/officeDocument/2006/relationships/themeOverride" Target="../theme/themeOverride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Hoja_de_c_lculo_de_Microsoft_Office_Excel16.xlsx"/><Relationship Id="rId1" Type="http://schemas.openxmlformats.org/officeDocument/2006/relationships/themeOverride" Target="../theme/themeOverride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Hoja_de_c_lculo_de_Microsoft_Office_Excel17.xlsx"/><Relationship Id="rId1" Type="http://schemas.openxmlformats.org/officeDocument/2006/relationships/themeOverride" Target="../theme/themeOverride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Hoja_de_c_lculo_de_Microsoft_Office_Excel18.xlsx"/><Relationship Id="rId1" Type="http://schemas.openxmlformats.org/officeDocument/2006/relationships/themeOverride" Target="../theme/themeOverride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Hoja_de_c_lculo_de_Microsoft_Office_Excel19.xlsx"/><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Hoja_de_c_lculo_de_Microsoft_Office_Excel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Hoja_de_c_lculo_de_Microsoft_Office_Excel20.xlsx"/><Relationship Id="rId1" Type="http://schemas.openxmlformats.org/officeDocument/2006/relationships/themeOverride" Target="../theme/themeOverride8.xml"/></Relationships>
</file>

<file path=word/charts/_rels/chart21.xml.rels><?xml version="1.0" encoding="UTF-8" standalone="yes"?>
<Relationships xmlns="http://schemas.openxmlformats.org/package/2006/relationships"><Relationship Id="rId2" Type="http://schemas.openxmlformats.org/officeDocument/2006/relationships/package" Target="../embeddings/Hoja_de_c_lculo_de_Microsoft_Office_Excel21.xlsx"/><Relationship Id="rId1" Type="http://schemas.openxmlformats.org/officeDocument/2006/relationships/themeOverride" Target="../theme/themeOverride9.xml"/></Relationships>
</file>

<file path=word/charts/_rels/chart22.xml.rels><?xml version="1.0" encoding="UTF-8" standalone="yes"?>
<Relationships xmlns="http://schemas.openxmlformats.org/package/2006/relationships"><Relationship Id="rId2" Type="http://schemas.openxmlformats.org/officeDocument/2006/relationships/package" Target="../embeddings/Hoja_de_c_lculo_de_Microsoft_Office_Excel22.xlsx"/><Relationship Id="rId1" Type="http://schemas.openxmlformats.org/officeDocument/2006/relationships/themeOverride" Target="../theme/themeOverride10.xml"/></Relationships>
</file>

<file path=word/charts/_rels/chart23.xml.rels><?xml version="1.0" encoding="UTF-8" standalone="yes"?>
<Relationships xmlns="http://schemas.openxmlformats.org/package/2006/relationships"><Relationship Id="rId2" Type="http://schemas.openxmlformats.org/officeDocument/2006/relationships/package" Target="../embeddings/Hoja_de_c_lculo_de_Microsoft_Office_Excel23.xlsx"/><Relationship Id="rId1" Type="http://schemas.openxmlformats.org/officeDocument/2006/relationships/themeOverride" Target="../theme/themeOverride11.xml"/></Relationships>
</file>

<file path=word/charts/_rels/chart24.xml.rels><?xml version="1.0" encoding="UTF-8" standalone="yes"?>
<Relationships xmlns="http://schemas.openxmlformats.org/package/2006/relationships"><Relationship Id="rId2" Type="http://schemas.openxmlformats.org/officeDocument/2006/relationships/package" Target="../embeddings/Hoja_de_c_lculo_de_Microsoft_Office_Excel24.xlsx"/><Relationship Id="rId1" Type="http://schemas.openxmlformats.org/officeDocument/2006/relationships/themeOverride" Target="../theme/themeOverride12.xml"/></Relationships>
</file>

<file path=word/charts/_rels/chart25.xml.rels><?xml version="1.0" encoding="UTF-8" standalone="yes"?>
<Relationships xmlns="http://schemas.openxmlformats.org/package/2006/relationships"><Relationship Id="rId2" Type="http://schemas.openxmlformats.org/officeDocument/2006/relationships/package" Target="../embeddings/Hoja_de_c_lculo_de_Microsoft_Office_Excel25.xlsx"/><Relationship Id="rId1" Type="http://schemas.openxmlformats.org/officeDocument/2006/relationships/themeOverride" Target="../theme/themeOverride13.xml"/></Relationships>
</file>

<file path=word/charts/_rels/chart26.xml.rels><?xml version="1.0" encoding="UTF-8" standalone="yes"?>
<Relationships xmlns="http://schemas.openxmlformats.org/package/2006/relationships"><Relationship Id="rId2" Type="http://schemas.openxmlformats.org/officeDocument/2006/relationships/package" Target="../embeddings/Hoja_de_c_lculo_de_Microsoft_Office_Excel26.xlsx"/><Relationship Id="rId1" Type="http://schemas.openxmlformats.org/officeDocument/2006/relationships/themeOverride" Target="../theme/themeOverride14.xml"/></Relationships>
</file>

<file path=word/charts/_rels/chart27.xml.rels><?xml version="1.0" encoding="UTF-8" standalone="yes"?>
<Relationships xmlns="http://schemas.openxmlformats.org/package/2006/relationships"><Relationship Id="rId2" Type="http://schemas.openxmlformats.org/officeDocument/2006/relationships/package" Target="../embeddings/Hoja_de_c_lculo_de_Microsoft_Office_Excel27.xlsx"/><Relationship Id="rId1" Type="http://schemas.openxmlformats.org/officeDocument/2006/relationships/themeOverride" Target="../theme/themeOverride15.xml"/></Relationships>
</file>

<file path=word/charts/_rels/chart28.xml.rels><?xml version="1.0" encoding="UTF-8" standalone="yes"?>
<Relationships xmlns="http://schemas.openxmlformats.org/package/2006/relationships"><Relationship Id="rId2" Type="http://schemas.openxmlformats.org/officeDocument/2006/relationships/package" Target="../embeddings/Hoja_de_c_lculo_de_Microsoft_Office_Excel28.xlsx"/><Relationship Id="rId1" Type="http://schemas.openxmlformats.org/officeDocument/2006/relationships/themeOverride" Target="../theme/themeOverride16.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Hoja_de_c_lculo_de_Microsoft_Office_Excel29.xlsx"/><Relationship Id="rId1" Type="http://schemas.openxmlformats.org/officeDocument/2006/relationships/themeOverride" Target="../theme/themeOverride17.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Hoja_de_c_lculo_de_Microsoft_Office_Excel3.xlsx"/></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Hoja_de_c_lculo_de_Microsoft_Office_Excel30.xlsx"/><Relationship Id="rId1" Type="http://schemas.openxmlformats.org/officeDocument/2006/relationships/themeOverride" Target="../theme/themeOverride18.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Hoja_de_c_lculo_de_Microsoft_Office_Excel31.xlsx"/><Relationship Id="rId1" Type="http://schemas.openxmlformats.org/officeDocument/2006/relationships/themeOverride" Target="../theme/themeOverride19.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Hoja_de_c_lculo_de_Microsoft_Office_Excel32.xlsx"/><Relationship Id="rId1" Type="http://schemas.openxmlformats.org/officeDocument/2006/relationships/themeOverride" Target="../theme/themeOverride20.xm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package" Target="../embeddings/Hoja_de_c_lculo_de_Microsoft_Office_Excel33.xlsx"/><Relationship Id="rId1" Type="http://schemas.openxmlformats.org/officeDocument/2006/relationships/themeOverride" Target="../theme/themeOverride21.xml"/></Relationships>
</file>

<file path=word/charts/_rels/chart34.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package" Target="../embeddings/Hoja_de_c_lculo_de_Microsoft_Office_Excel34.xlsx"/><Relationship Id="rId1" Type="http://schemas.openxmlformats.org/officeDocument/2006/relationships/themeOverride" Target="../theme/themeOverride22.xml"/></Relationships>
</file>

<file path=word/charts/_rels/chart35.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package" Target="../embeddings/Hoja_de_c_lculo_de_Microsoft_Office_Excel35.xlsx"/><Relationship Id="rId1" Type="http://schemas.openxmlformats.org/officeDocument/2006/relationships/themeOverride" Target="../theme/themeOverride23.xml"/></Relationships>
</file>

<file path=word/charts/_rels/chart36.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package" Target="../embeddings/Hoja_de_c_lculo_de_Microsoft_Office_Excel36.xlsx"/><Relationship Id="rId1" Type="http://schemas.openxmlformats.org/officeDocument/2006/relationships/themeOverride" Target="../theme/themeOverride24.xml"/></Relationships>
</file>

<file path=word/charts/_rels/chart37.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package" Target="../embeddings/Hoja_de_c_lculo_de_Microsoft_Office_Excel37.xlsx"/><Relationship Id="rId1" Type="http://schemas.openxmlformats.org/officeDocument/2006/relationships/themeOverride" Target="../theme/themeOverride25.xml"/></Relationships>
</file>

<file path=word/charts/_rels/chart38.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package" Target="../embeddings/Hoja_de_c_lculo_de_Microsoft_Office_Excel38.xlsx"/><Relationship Id="rId1" Type="http://schemas.openxmlformats.org/officeDocument/2006/relationships/themeOverride" Target="../theme/themeOverride26.xml"/></Relationships>
</file>

<file path=word/charts/_rels/chart39.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package" Target="../embeddings/Hoja_de_c_lculo_de_Microsoft_Office_Excel39.xlsx"/><Relationship Id="rId1" Type="http://schemas.openxmlformats.org/officeDocument/2006/relationships/themeOverride" Target="../theme/themeOverride27.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Hoja_de_c_lculo_de_Microsoft_Office_Excel4.xlsx"/></Relationships>
</file>

<file path=word/charts/_rels/chart40.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package" Target="../embeddings/Hoja_de_c_lculo_de_Microsoft_Office_Excel40.xlsx"/><Relationship Id="rId1" Type="http://schemas.openxmlformats.org/officeDocument/2006/relationships/themeOverride" Target="../theme/themeOverride28.xml"/></Relationships>
</file>

<file path=word/charts/_rels/chart41.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package" Target="../embeddings/Hoja_de_c_lculo_de_Microsoft_Office_Excel41.xlsx"/><Relationship Id="rId1" Type="http://schemas.openxmlformats.org/officeDocument/2006/relationships/themeOverride" Target="../theme/themeOverride29.xml"/></Relationships>
</file>

<file path=word/charts/_rels/chart42.xml.rels><?xml version="1.0" encoding="UTF-8" standalone="yes"?>
<Relationships xmlns="http://schemas.openxmlformats.org/package/2006/relationships"><Relationship Id="rId3" Type="http://schemas.openxmlformats.org/officeDocument/2006/relationships/chartUserShapes" Target="../drawings/drawing26.xml"/><Relationship Id="rId2" Type="http://schemas.openxmlformats.org/officeDocument/2006/relationships/package" Target="../embeddings/Hoja_de_c_lculo_de_Microsoft_Office_Excel42.xlsx"/><Relationship Id="rId1" Type="http://schemas.openxmlformats.org/officeDocument/2006/relationships/themeOverride" Target="../theme/themeOverride30.xml"/></Relationships>
</file>

<file path=word/charts/_rels/chart43.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package" Target="../embeddings/Hoja_de_c_lculo_de_Microsoft_Office_Excel43.xlsx"/></Relationships>
</file>

<file path=word/charts/_rels/chart44.xml.rels><?xml version="1.0" encoding="UTF-8" standalone="yes"?>
<Relationships xmlns="http://schemas.openxmlformats.org/package/2006/relationships"><Relationship Id="rId3" Type="http://schemas.openxmlformats.org/officeDocument/2006/relationships/chartUserShapes" Target="../drawings/drawing28.xml"/><Relationship Id="rId2" Type="http://schemas.openxmlformats.org/officeDocument/2006/relationships/package" Target="../embeddings/Hoja_de_c_lculo_de_Microsoft_Office_Excel44.xlsx"/><Relationship Id="rId1" Type="http://schemas.openxmlformats.org/officeDocument/2006/relationships/themeOverride" Target="../theme/themeOverride31.xml"/></Relationships>
</file>

<file path=word/charts/_rels/chart45.xml.rels><?xml version="1.0" encoding="UTF-8" standalone="yes"?>
<Relationships xmlns="http://schemas.openxmlformats.org/package/2006/relationships"><Relationship Id="rId3" Type="http://schemas.openxmlformats.org/officeDocument/2006/relationships/chartUserShapes" Target="../drawings/drawing29.xml"/><Relationship Id="rId2" Type="http://schemas.openxmlformats.org/officeDocument/2006/relationships/package" Target="../embeddings/Hoja_de_c_lculo_de_Microsoft_Office_Excel45.xlsx"/><Relationship Id="rId1" Type="http://schemas.openxmlformats.org/officeDocument/2006/relationships/themeOverride" Target="../theme/themeOverride32.xml"/></Relationships>
</file>

<file path=word/charts/_rels/chart46.xml.rels><?xml version="1.0" encoding="UTF-8" standalone="yes"?>
<Relationships xmlns="http://schemas.openxmlformats.org/package/2006/relationships"><Relationship Id="rId3" Type="http://schemas.openxmlformats.org/officeDocument/2006/relationships/chartUserShapes" Target="../drawings/drawing30.xml"/><Relationship Id="rId2" Type="http://schemas.openxmlformats.org/officeDocument/2006/relationships/package" Target="../embeddings/Hoja_de_c_lculo_de_Microsoft_Office_Excel46.xlsx"/><Relationship Id="rId1" Type="http://schemas.openxmlformats.org/officeDocument/2006/relationships/themeOverride" Target="../theme/themeOverride33.xml"/></Relationships>
</file>

<file path=word/charts/_rels/chart47.xml.rels><?xml version="1.0" encoding="UTF-8" standalone="yes"?>
<Relationships xmlns="http://schemas.openxmlformats.org/package/2006/relationships"><Relationship Id="rId3" Type="http://schemas.openxmlformats.org/officeDocument/2006/relationships/chartUserShapes" Target="../drawings/drawing31.xml"/><Relationship Id="rId2" Type="http://schemas.openxmlformats.org/officeDocument/2006/relationships/package" Target="../embeddings/Hoja_de_c_lculo_de_Microsoft_Office_Excel47.xlsx"/><Relationship Id="rId1" Type="http://schemas.openxmlformats.org/officeDocument/2006/relationships/themeOverride" Target="../theme/themeOverride34.xml"/></Relationships>
</file>

<file path=word/charts/_rels/chart48.xml.rels><?xml version="1.0" encoding="UTF-8" standalone="yes"?>
<Relationships xmlns="http://schemas.openxmlformats.org/package/2006/relationships"><Relationship Id="rId2" Type="http://schemas.openxmlformats.org/officeDocument/2006/relationships/package" Target="../embeddings/Hoja_de_c_lculo_de_Microsoft_Office_Excel48.xlsx"/><Relationship Id="rId1" Type="http://schemas.openxmlformats.org/officeDocument/2006/relationships/themeOverride" Target="../theme/themeOverride35.xml"/></Relationships>
</file>

<file path=word/charts/_rels/chart49.xml.rels><?xml version="1.0" encoding="UTF-8" standalone="yes"?>
<Relationships xmlns="http://schemas.openxmlformats.org/package/2006/relationships"><Relationship Id="rId2" Type="http://schemas.openxmlformats.org/officeDocument/2006/relationships/package" Target="../embeddings/Hoja_de_c_lculo_de_Microsoft_Office_Excel49.xlsx"/><Relationship Id="rId1" Type="http://schemas.openxmlformats.org/officeDocument/2006/relationships/themeOverride" Target="../theme/themeOverride36.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Hoja_de_c_lculo_de_Microsoft_Office_Excel5.xlsx"/></Relationships>
</file>

<file path=word/charts/_rels/chart50.xml.rels><?xml version="1.0" encoding="UTF-8" standalone="yes"?>
<Relationships xmlns="http://schemas.openxmlformats.org/package/2006/relationships"><Relationship Id="rId2" Type="http://schemas.openxmlformats.org/officeDocument/2006/relationships/package" Target="../embeddings/Hoja_de_c_lculo_de_Microsoft_Office_Excel50.xlsx"/><Relationship Id="rId1" Type="http://schemas.openxmlformats.org/officeDocument/2006/relationships/themeOverride" Target="../theme/themeOverride37.xml"/></Relationships>
</file>

<file path=word/charts/_rels/chart51.xml.rels><?xml version="1.0" encoding="UTF-8" standalone="yes"?>
<Relationships xmlns="http://schemas.openxmlformats.org/package/2006/relationships"><Relationship Id="rId2" Type="http://schemas.openxmlformats.org/officeDocument/2006/relationships/package" Target="../embeddings/Hoja_de_c_lculo_de_Microsoft_Office_Excel51.xlsx"/><Relationship Id="rId1" Type="http://schemas.openxmlformats.org/officeDocument/2006/relationships/themeOverride" Target="../theme/themeOverride38.xml"/></Relationships>
</file>

<file path=word/charts/_rels/chart52.xml.rels><?xml version="1.0" encoding="UTF-8" standalone="yes"?>
<Relationships xmlns="http://schemas.openxmlformats.org/package/2006/relationships"><Relationship Id="rId3" Type="http://schemas.openxmlformats.org/officeDocument/2006/relationships/chartUserShapes" Target="../drawings/drawing32.xml"/><Relationship Id="rId2" Type="http://schemas.openxmlformats.org/officeDocument/2006/relationships/package" Target="../embeddings/Hoja_de_c_lculo_de_Microsoft_Office_Excel52.xlsx"/><Relationship Id="rId1" Type="http://schemas.openxmlformats.org/officeDocument/2006/relationships/themeOverride" Target="../theme/themeOverride39.xml"/></Relationships>
</file>

<file path=word/charts/_rels/chart53.xml.rels><?xml version="1.0" encoding="UTF-8" standalone="yes"?>
<Relationships xmlns="http://schemas.openxmlformats.org/package/2006/relationships"><Relationship Id="rId3" Type="http://schemas.openxmlformats.org/officeDocument/2006/relationships/chartUserShapes" Target="../drawings/drawing33.xml"/><Relationship Id="rId2" Type="http://schemas.openxmlformats.org/officeDocument/2006/relationships/package" Target="../embeddings/Hoja_de_c_lculo_de_Microsoft_Office_Excel53.xlsx"/><Relationship Id="rId1" Type="http://schemas.openxmlformats.org/officeDocument/2006/relationships/themeOverride" Target="../theme/themeOverride40.xml"/></Relationships>
</file>

<file path=word/charts/_rels/chart54.xml.rels><?xml version="1.0" encoding="UTF-8" standalone="yes"?>
<Relationships xmlns="http://schemas.openxmlformats.org/package/2006/relationships"><Relationship Id="rId2" Type="http://schemas.openxmlformats.org/officeDocument/2006/relationships/package" Target="../embeddings/Hoja_de_c_lculo_de_Microsoft_Office_Excel54.xlsx"/><Relationship Id="rId1" Type="http://schemas.openxmlformats.org/officeDocument/2006/relationships/themeOverride" Target="../theme/themeOverride41.xml"/></Relationships>
</file>

<file path=word/charts/_rels/chart55.xml.rels><?xml version="1.0" encoding="UTF-8" standalone="yes"?>
<Relationships xmlns="http://schemas.openxmlformats.org/package/2006/relationships"><Relationship Id="rId2" Type="http://schemas.openxmlformats.org/officeDocument/2006/relationships/package" Target="../embeddings/Hoja_de_c_lculo_de_Microsoft_Office_Excel55.xlsx"/><Relationship Id="rId1" Type="http://schemas.openxmlformats.org/officeDocument/2006/relationships/themeOverride" Target="../theme/themeOverride42.xml"/></Relationships>
</file>

<file path=word/charts/_rels/chart56.xml.rels><?xml version="1.0" encoding="UTF-8" standalone="yes"?>
<Relationships xmlns="http://schemas.openxmlformats.org/package/2006/relationships"><Relationship Id="rId2" Type="http://schemas.openxmlformats.org/officeDocument/2006/relationships/chartUserShapes" Target="../drawings/drawing34.xml"/><Relationship Id="rId1" Type="http://schemas.openxmlformats.org/officeDocument/2006/relationships/package" Target="../embeddings/Hoja_de_c_lculo_de_Microsoft_Office_Excel56.xlsx"/></Relationships>
</file>

<file path=word/charts/_rels/chart57.xml.rels><?xml version="1.0" encoding="UTF-8" standalone="yes"?>
<Relationships xmlns="http://schemas.openxmlformats.org/package/2006/relationships"><Relationship Id="rId2" Type="http://schemas.openxmlformats.org/officeDocument/2006/relationships/chartUserShapes" Target="../drawings/drawing35.xml"/><Relationship Id="rId1" Type="http://schemas.openxmlformats.org/officeDocument/2006/relationships/package" Target="../embeddings/Hoja_de_c_lculo_de_Microsoft_Office_Excel57.xlsx"/></Relationships>
</file>

<file path=word/charts/_rels/chart58.xml.rels><?xml version="1.0" encoding="UTF-8" standalone="yes"?>
<Relationships xmlns="http://schemas.openxmlformats.org/package/2006/relationships"><Relationship Id="rId2" Type="http://schemas.openxmlformats.org/officeDocument/2006/relationships/chartUserShapes" Target="../drawings/drawing36.xml"/><Relationship Id="rId1" Type="http://schemas.openxmlformats.org/officeDocument/2006/relationships/package" Target="../embeddings/Hoja_de_c_lculo_de_Microsoft_Office_Excel58.xlsx"/></Relationships>
</file>

<file path=word/charts/_rels/chart59.xml.rels><?xml version="1.0" encoding="UTF-8" standalone="yes"?>
<Relationships xmlns="http://schemas.openxmlformats.org/package/2006/relationships"><Relationship Id="rId2" Type="http://schemas.openxmlformats.org/officeDocument/2006/relationships/chartUserShapes" Target="../drawings/drawing37.xml"/><Relationship Id="rId1" Type="http://schemas.openxmlformats.org/officeDocument/2006/relationships/package" Target="../embeddings/Hoja_de_c_lculo_de_Microsoft_Office_Excel59.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Hoja_de_c_lculo_de_Microsoft_Office_Excel6.xlsx"/></Relationships>
</file>

<file path=word/charts/_rels/chart60.xml.rels><?xml version="1.0" encoding="UTF-8" standalone="yes"?>
<Relationships xmlns="http://schemas.openxmlformats.org/package/2006/relationships"><Relationship Id="rId2" Type="http://schemas.openxmlformats.org/officeDocument/2006/relationships/chartUserShapes" Target="../drawings/drawing38.xml"/><Relationship Id="rId1" Type="http://schemas.openxmlformats.org/officeDocument/2006/relationships/package" Target="../embeddings/Hoja_de_c_lculo_de_Microsoft_Office_Excel60.xlsx"/></Relationships>
</file>

<file path=word/charts/_rels/chart61.xml.rels><?xml version="1.0" encoding="UTF-8" standalone="yes"?>
<Relationships xmlns="http://schemas.openxmlformats.org/package/2006/relationships"><Relationship Id="rId2" Type="http://schemas.openxmlformats.org/officeDocument/2006/relationships/chartUserShapes" Target="../drawings/drawing39.xml"/><Relationship Id="rId1" Type="http://schemas.openxmlformats.org/officeDocument/2006/relationships/package" Target="../embeddings/Hoja_de_c_lculo_de_Microsoft_Office_Excel61.xlsx"/></Relationships>
</file>

<file path=word/charts/_rels/chart62.xml.rels><?xml version="1.0" encoding="UTF-8" standalone="yes"?>
<Relationships xmlns="http://schemas.openxmlformats.org/package/2006/relationships"><Relationship Id="rId2" Type="http://schemas.openxmlformats.org/officeDocument/2006/relationships/chartUserShapes" Target="../drawings/drawing40.xml"/><Relationship Id="rId1" Type="http://schemas.openxmlformats.org/officeDocument/2006/relationships/package" Target="../embeddings/Hoja_de_c_lculo_de_Microsoft_Office_Excel62.xlsx"/></Relationships>
</file>

<file path=word/charts/_rels/chart63.xml.rels><?xml version="1.0" encoding="UTF-8" standalone="yes"?>
<Relationships xmlns="http://schemas.openxmlformats.org/package/2006/relationships"><Relationship Id="rId2" Type="http://schemas.openxmlformats.org/officeDocument/2006/relationships/chartUserShapes" Target="../drawings/drawing41.xml"/><Relationship Id="rId1" Type="http://schemas.openxmlformats.org/officeDocument/2006/relationships/package" Target="../embeddings/Hoja_de_c_lculo_de_Microsoft_Office_Excel63.xlsx"/></Relationships>
</file>

<file path=word/charts/_rels/chart64.xml.rels><?xml version="1.0" encoding="UTF-8" standalone="yes"?>
<Relationships xmlns="http://schemas.openxmlformats.org/package/2006/relationships"><Relationship Id="rId2" Type="http://schemas.openxmlformats.org/officeDocument/2006/relationships/chartUserShapes" Target="../drawings/drawing42.xml"/><Relationship Id="rId1" Type="http://schemas.openxmlformats.org/officeDocument/2006/relationships/package" Target="../embeddings/Hoja_de_c_lculo_de_Microsoft_Office_Excel64.xlsx"/></Relationships>
</file>

<file path=word/charts/_rels/chart65.xml.rels><?xml version="1.0" encoding="UTF-8" standalone="yes"?>
<Relationships xmlns="http://schemas.openxmlformats.org/package/2006/relationships"><Relationship Id="rId2" Type="http://schemas.openxmlformats.org/officeDocument/2006/relationships/chartUserShapes" Target="../drawings/drawing43.xml"/><Relationship Id="rId1" Type="http://schemas.openxmlformats.org/officeDocument/2006/relationships/package" Target="../embeddings/Hoja_de_c_lculo_de_Microsoft_Office_Excel65.xlsx"/></Relationships>
</file>

<file path=word/charts/_rels/chart66.xml.rels><?xml version="1.0" encoding="UTF-8" standalone="yes"?>
<Relationships xmlns="http://schemas.openxmlformats.org/package/2006/relationships"><Relationship Id="rId2" Type="http://schemas.openxmlformats.org/officeDocument/2006/relationships/chartUserShapes" Target="../drawings/drawing44.xml"/><Relationship Id="rId1" Type="http://schemas.openxmlformats.org/officeDocument/2006/relationships/package" Target="../embeddings/Hoja_de_c_lculo_de_Microsoft_Office_Excel66.xlsx"/></Relationships>
</file>

<file path=word/charts/_rels/chart67.xml.rels><?xml version="1.0" encoding="UTF-8" standalone="yes"?>
<Relationships xmlns="http://schemas.openxmlformats.org/package/2006/relationships"><Relationship Id="rId2" Type="http://schemas.openxmlformats.org/officeDocument/2006/relationships/chartUserShapes" Target="../drawings/drawing45.xml"/><Relationship Id="rId1" Type="http://schemas.openxmlformats.org/officeDocument/2006/relationships/package" Target="../embeddings/Hoja_de_c_lculo_de_Microsoft_Office_Excel67.xlsx"/></Relationships>
</file>

<file path=word/charts/_rels/chart68.xml.rels><?xml version="1.0" encoding="UTF-8" standalone="yes"?>
<Relationships xmlns="http://schemas.openxmlformats.org/package/2006/relationships"><Relationship Id="rId2" Type="http://schemas.openxmlformats.org/officeDocument/2006/relationships/chartUserShapes" Target="../drawings/drawing46.xml"/><Relationship Id="rId1" Type="http://schemas.openxmlformats.org/officeDocument/2006/relationships/package" Target="../embeddings/Hoja_de_c_lculo_de_Microsoft_Office_Excel68.xlsx"/></Relationships>
</file>

<file path=word/charts/_rels/chart69.xml.rels><?xml version="1.0" encoding="UTF-8" standalone="yes"?>
<Relationships xmlns="http://schemas.openxmlformats.org/package/2006/relationships"><Relationship Id="rId2" Type="http://schemas.openxmlformats.org/officeDocument/2006/relationships/chartUserShapes" Target="../drawings/drawing47.xml"/><Relationship Id="rId1" Type="http://schemas.openxmlformats.org/officeDocument/2006/relationships/package" Target="../embeddings/Hoja_de_c_lculo_de_Microsoft_Office_Excel69.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R"/>
  <c:chart>
    <c:title>
      <c:tx>
        <c:rich>
          <a:bodyPr/>
          <a:lstStyle/>
          <a:p>
            <a:pPr>
              <a:defRPr lang="es-ES" sz="925" b="1" i="0" u="none" strike="noStrike" baseline="0">
                <a:solidFill>
                  <a:srgbClr val="000000"/>
                </a:solidFill>
                <a:latin typeface="Times New Roman"/>
                <a:ea typeface="Times New Roman"/>
                <a:cs typeface="Times New Roman"/>
              </a:defRPr>
            </a:pPr>
            <a:r>
              <a:rPr lang="es-CR"/>
              <a:t>Gráfico Nº 1
Relación porcentual entre el gasto en justicia y el gasto público (gasto del Gobierno Central) para el período  2011 - 2015
</a:t>
            </a:r>
          </a:p>
        </c:rich>
      </c:tx>
      <c:layout>
        <c:manualLayout>
          <c:xMode val="edge"/>
          <c:yMode val="edge"/>
          <c:x val="0.17081850533807827"/>
          <c:y val="1.9553072625698345E-2"/>
        </c:manualLayout>
      </c:layout>
      <c:spPr>
        <a:noFill/>
        <a:ln w="25401">
          <a:noFill/>
        </a:ln>
      </c:spPr>
    </c:title>
    <c:plotArea>
      <c:layout>
        <c:manualLayout>
          <c:layoutTarget val="inner"/>
          <c:xMode val="edge"/>
          <c:yMode val="edge"/>
          <c:x val="0.13879003558718914"/>
          <c:y val="0.23323262733869488"/>
          <c:w val="0.82740213523131656"/>
          <c:h val="0.49302426768846519"/>
        </c:manualLayout>
      </c:layout>
      <c:lineChart>
        <c:grouping val="standard"/>
        <c:ser>
          <c:idx val="0"/>
          <c:order val="0"/>
          <c:tx>
            <c:strRef>
              <c:f>Sheet1!$A$2</c:f>
              <c:strCache>
                <c:ptCount val="1"/>
                <c:pt idx="0">
                  <c:v>n</c:v>
                </c:pt>
              </c:strCache>
            </c:strRef>
          </c:tx>
          <c:spPr>
            <a:ln w="25401">
              <a:solidFill>
                <a:srgbClr val="000000"/>
              </a:solidFill>
              <a:prstDash val="solid"/>
            </a:ln>
          </c:spPr>
          <c:marker>
            <c:symbol val="diamond"/>
            <c:size val="7"/>
            <c:spPr>
              <a:solidFill>
                <a:srgbClr val="000000"/>
              </a:solidFill>
              <a:ln>
                <a:solidFill>
                  <a:srgbClr val="000000"/>
                </a:solidFill>
                <a:prstDash val="solid"/>
              </a:ln>
            </c:spPr>
          </c:marker>
          <c:dLbls>
            <c:dLbl>
              <c:idx val="0"/>
              <c:layout>
                <c:manualLayout>
                  <c:x val="-3.9205431958089836E-2"/>
                  <c:y val="-4.51663886582934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EE6-4010-A68B-BC4694D1F98F}"/>
                </c:ext>
              </c:extLst>
            </c:dLbl>
            <c:dLbl>
              <c:idx val="1"/>
              <c:layout>
                <c:manualLayout>
                  <c:x val="-4.8102144271210623E-2"/>
                  <c:y val="-5.195423890434516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EE6-4010-A68B-BC4694D1F98F}"/>
                </c:ext>
              </c:extLst>
            </c:dLbl>
            <c:dLbl>
              <c:idx val="2"/>
              <c:layout>
                <c:manualLayout>
                  <c:x val="-3.7426129895420171E-2"/>
                  <c:y val="-5.3155146079658419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EE6-4010-A68B-BC4694D1F98F}"/>
                </c:ext>
              </c:extLst>
            </c:dLbl>
            <c:dLbl>
              <c:idx val="3"/>
              <c:layout>
                <c:manualLayout>
                  <c:x val="-4.2764123347331207E-2"/>
                  <c:y val="-6.592071935127233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EE6-4010-A68B-BC4694D1F98F}"/>
                </c:ext>
              </c:extLst>
            </c:dLbl>
            <c:dLbl>
              <c:idx val="4"/>
              <c:layout>
                <c:manualLayout>
                  <c:x val="-3.3867241354401861E-2"/>
                  <c:y val="-5.3155146079658419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EE6-4010-A68B-BC4694D1F98F}"/>
                </c:ext>
              </c:extLst>
            </c:dLbl>
            <c:dLbl>
              <c:idx val="5"/>
              <c:layout>
                <c:manualLayout>
                  <c:xMode val="edge"/>
                  <c:yMode val="edge"/>
                  <c:x val="0.88790035587188632"/>
                  <c:y val="0.38268156424581118"/>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EE6-4010-A68B-BC4694D1F98F}"/>
                </c:ext>
              </c:extLst>
            </c:dLbl>
            <c:dLbl>
              <c:idx val="6"/>
              <c:layout>
                <c:manualLayout>
                  <c:xMode val="edge"/>
                  <c:yMode val="edge"/>
                  <c:x val="0.66014234875444833"/>
                  <c:y val="0.29050279329609008"/>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EE6-4010-A68B-BC4694D1F98F}"/>
                </c:ext>
              </c:extLst>
            </c:dLbl>
            <c:dLbl>
              <c:idx val="7"/>
              <c:layout>
                <c:manualLayout>
                  <c:xMode val="edge"/>
                  <c:yMode val="edge"/>
                  <c:x val="0.67437722419928958"/>
                  <c:y val="0.26536312849162003"/>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EE6-4010-A68B-BC4694D1F98F}"/>
                </c:ext>
              </c:extLst>
            </c:dLbl>
            <c:dLbl>
              <c:idx val="8"/>
              <c:layout>
                <c:manualLayout>
                  <c:xMode val="edge"/>
                  <c:yMode val="edge"/>
                  <c:x val="0.67081850533807985"/>
                  <c:y val="0.28770949720670386"/>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EE6-4010-A68B-BC4694D1F98F}"/>
                </c:ext>
              </c:extLst>
            </c:dLbl>
            <c:dLbl>
              <c:idx val="9"/>
              <c:layout>
                <c:manualLayout>
                  <c:xMode val="edge"/>
                  <c:yMode val="edge"/>
                  <c:x val="0.6779359430605002"/>
                  <c:y val="0.29050279329609008"/>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EE6-4010-A68B-BC4694D1F98F}"/>
                </c:ext>
              </c:extLst>
            </c:dLbl>
            <c:numFmt formatCode="0.0" sourceLinked="0"/>
            <c:spPr>
              <a:noFill/>
              <a:ln w="25401">
                <a:noFill/>
              </a:ln>
            </c:spPr>
            <c:txPr>
              <a:bodyPr/>
              <a:lstStyle/>
              <a:p>
                <a:pPr>
                  <a:defRPr lang="es-ES" sz="925"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Sheet1!$B$1:$Q$1</c:f>
              <c:numCache>
                <c:formatCode>General</c:formatCode>
                <c:ptCount val="5"/>
                <c:pt idx="0">
                  <c:v>2011</c:v>
                </c:pt>
                <c:pt idx="1">
                  <c:v>2012</c:v>
                </c:pt>
                <c:pt idx="2">
                  <c:v>2013</c:v>
                </c:pt>
                <c:pt idx="3">
                  <c:v>2014</c:v>
                </c:pt>
                <c:pt idx="4">
                  <c:v>2015</c:v>
                </c:pt>
              </c:numCache>
            </c:numRef>
          </c:cat>
          <c:val>
            <c:numRef>
              <c:f>Sheet1!$B$2:$Q$2</c:f>
              <c:numCache>
                <c:formatCode>General</c:formatCode>
                <c:ptCount val="5"/>
                <c:pt idx="0">
                  <c:v>6.5</c:v>
                </c:pt>
                <c:pt idx="1">
                  <c:v>6.4</c:v>
                </c:pt>
                <c:pt idx="2">
                  <c:v>6.3</c:v>
                </c:pt>
                <c:pt idx="3">
                  <c:v>6.4</c:v>
                </c:pt>
                <c:pt idx="4">
                  <c:v>6.3</c:v>
                </c:pt>
              </c:numCache>
            </c:numRef>
          </c:val>
          <c:smooth val="1"/>
          <c:extLst xmlns:c16r2="http://schemas.microsoft.com/office/drawing/2015/06/chart">
            <c:ext xmlns:c16="http://schemas.microsoft.com/office/drawing/2014/chart" uri="{C3380CC4-5D6E-409C-BE32-E72D297353CC}">
              <c16:uniqueId val="{0000000A-9EE6-4010-A68B-BC4694D1F98F}"/>
            </c:ext>
          </c:extLst>
        </c:ser>
        <c:dLbls>
          <c:showVal val="1"/>
        </c:dLbls>
        <c:marker val="1"/>
        <c:axId val="85941632"/>
        <c:axId val="39187968"/>
      </c:lineChart>
      <c:catAx>
        <c:axId val="85941632"/>
        <c:scaling>
          <c:orientation val="minMax"/>
        </c:scaling>
        <c:axPos val="b"/>
        <c:title>
          <c:tx>
            <c:rich>
              <a:bodyPr/>
              <a:lstStyle/>
              <a:p>
                <a:pPr>
                  <a:defRPr lang="es-ES" sz="875"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52669039145907603"/>
              <c:y val="0.8324022346368728"/>
            </c:manualLayout>
          </c:layout>
          <c:spPr>
            <a:noFill/>
            <a:ln w="25401">
              <a:noFill/>
            </a:ln>
          </c:spPr>
        </c:title>
        <c:numFmt formatCode="General" sourceLinked="1"/>
        <c:tickLblPos val="nextTo"/>
        <c:spPr>
          <a:ln w="3175">
            <a:solidFill>
              <a:srgbClr val="000000"/>
            </a:solidFill>
            <a:prstDash val="solid"/>
          </a:ln>
        </c:spPr>
        <c:txPr>
          <a:bodyPr rot="0" vert="horz"/>
          <a:lstStyle/>
          <a:p>
            <a:pPr>
              <a:defRPr lang="es-ES" sz="925" b="1" i="0" u="none" strike="noStrike" baseline="0">
                <a:solidFill>
                  <a:srgbClr val="000000"/>
                </a:solidFill>
                <a:latin typeface="Times New Roman"/>
                <a:ea typeface="Times New Roman"/>
                <a:cs typeface="Times New Roman"/>
              </a:defRPr>
            </a:pPr>
            <a:endParaRPr lang="es-CR"/>
          </a:p>
        </c:txPr>
        <c:crossAx val="39187968"/>
        <c:crosses val="autoZero"/>
        <c:auto val="1"/>
        <c:lblAlgn val="ctr"/>
        <c:lblOffset val="100"/>
        <c:tickLblSkip val="1"/>
        <c:tickMarkSkip val="1"/>
      </c:catAx>
      <c:valAx>
        <c:axId val="39187968"/>
        <c:scaling>
          <c:orientation val="minMax"/>
          <c:max val="10"/>
        </c:scaling>
        <c:axPos val="l"/>
        <c:majorGridlines>
          <c:spPr>
            <a:ln w="3175">
              <a:solidFill>
                <a:srgbClr val="000000"/>
              </a:solidFill>
              <a:prstDash val="solid"/>
            </a:ln>
          </c:spPr>
        </c:majorGridlines>
        <c:title>
          <c:tx>
            <c:rich>
              <a:bodyPr rot="0" vert="wordArtVert"/>
              <a:lstStyle/>
              <a:p>
                <a:pPr algn="ctr">
                  <a:defRPr lang="es-ES" sz="625" b="1" i="0" u="none" strike="noStrike" baseline="0">
                    <a:solidFill>
                      <a:srgbClr val="000000"/>
                    </a:solidFill>
                    <a:latin typeface="Arial"/>
                    <a:ea typeface="Arial"/>
                    <a:cs typeface="Arial"/>
                  </a:defRPr>
                </a:pPr>
                <a:r>
                  <a:rPr lang="es-CR"/>
                  <a:t>PORCENTAJE</a:t>
                </a:r>
              </a:p>
            </c:rich>
          </c:tx>
          <c:layout>
            <c:manualLayout>
              <c:xMode val="edge"/>
              <c:yMode val="edge"/>
              <c:x val="4.0925266903914577E-2"/>
              <c:y val="0.34916201117318452"/>
            </c:manualLayout>
          </c:layout>
          <c:spPr>
            <a:noFill/>
            <a:ln w="25401">
              <a:noFill/>
            </a:ln>
          </c:spPr>
        </c:title>
        <c:numFmt formatCode="General" sourceLinked="1"/>
        <c:tickLblPos val="nextTo"/>
        <c:spPr>
          <a:ln w="3175">
            <a:solidFill>
              <a:srgbClr val="000000"/>
            </a:solidFill>
            <a:prstDash val="solid"/>
          </a:ln>
        </c:spPr>
        <c:txPr>
          <a:bodyPr rot="0" vert="horz"/>
          <a:lstStyle/>
          <a:p>
            <a:pPr>
              <a:defRPr lang="es-ES" sz="925" b="1" i="0" u="none" strike="noStrike" baseline="0">
                <a:solidFill>
                  <a:srgbClr val="000000"/>
                </a:solidFill>
                <a:latin typeface="Times New Roman"/>
                <a:ea typeface="Times New Roman"/>
                <a:cs typeface="Times New Roman"/>
              </a:defRPr>
            </a:pPr>
            <a:endParaRPr lang="es-CR"/>
          </a:p>
        </c:txPr>
        <c:crossAx val="85941632"/>
        <c:crosses val="autoZero"/>
        <c:crossBetween val="between"/>
        <c:majorUnit val="2"/>
        <c:minorUnit val="2"/>
      </c:valAx>
      <c:spPr>
        <a:gradFill rotWithShape="0">
          <a:gsLst>
            <a:gs pos="0">
              <a:srgbClr val="FFFFCC">
                <a:gamma/>
                <a:shade val="63529"/>
                <a:invGamma/>
              </a:srgbClr>
            </a:gs>
            <a:gs pos="50000">
              <a:srgbClr val="FFFFCC"/>
            </a:gs>
            <a:gs pos="100000">
              <a:srgbClr val="FFFFCC">
                <a:gamma/>
                <a:shade val="63529"/>
                <a:invGamma/>
              </a:srgbClr>
            </a:gs>
          </a:gsLst>
          <a:lin ang="5400000" scaled="1"/>
        </a:gradFill>
        <a:ln w="12700">
          <a:solidFill>
            <a:srgbClr val="808080"/>
          </a:solidFill>
          <a:prstDash val="solid"/>
        </a:ln>
      </c:spPr>
    </c:plotArea>
    <c:plotVisOnly val="1"/>
    <c:dispBlanksAs val="gap"/>
  </c:chart>
  <c:spPr>
    <a:gradFill rotWithShape="0">
      <a:gsLst>
        <a:gs pos="0">
          <a:srgbClr val="CCFFFF">
            <a:gamma/>
            <a:shade val="76078"/>
            <a:invGamma/>
          </a:srgbClr>
        </a:gs>
        <a:gs pos="50000">
          <a:srgbClr val="CCFFFF"/>
        </a:gs>
        <a:gs pos="100000">
          <a:srgbClr val="CCFFFF">
            <a:gamma/>
            <a:shade val="76078"/>
            <a:invGamma/>
          </a:srgbClr>
        </a:gs>
      </a:gsLst>
      <a:lin ang="5400000" scaled="1"/>
    </a:gradFill>
    <a:ln w="3175">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CR"/>
  <c:chart>
    <c:title>
      <c:tx>
        <c:rich>
          <a:bodyPr/>
          <a:lstStyle/>
          <a:p>
            <a:pPr>
              <a:defRPr lang="es-ES" sz="975" b="1" i="0" u="none" strike="noStrike" baseline="0">
                <a:solidFill>
                  <a:srgbClr val="000000"/>
                </a:solidFill>
                <a:latin typeface="Times New Roman"/>
                <a:ea typeface="Times New Roman"/>
                <a:cs typeface="Times New Roman"/>
              </a:defRPr>
            </a:pPr>
            <a:r>
              <a:rPr lang="es-CR"/>
              <a:t>Gráfico Nº 10
Cobertura en kilómetros cuadrados por Juez según año 
2011 - 2015</a:t>
            </a:r>
          </a:p>
        </c:rich>
      </c:tx>
      <c:layout>
        <c:manualLayout>
          <c:xMode val="edge"/>
          <c:yMode val="edge"/>
          <c:x val="0.18959731543624214"/>
          <c:y val="2.1052631578947382E-2"/>
        </c:manualLayout>
      </c:layout>
      <c:spPr>
        <a:noFill/>
        <a:ln w="25400">
          <a:noFill/>
        </a:ln>
      </c:spPr>
    </c:title>
    <c:plotArea>
      <c:layout>
        <c:manualLayout>
          <c:layoutTarget val="inner"/>
          <c:xMode val="edge"/>
          <c:yMode val="edge"/>
          <c:x val="0.13758389261744974"/>
          <c:y val="0.23157894736842133"/>
          <c:w val="0.79362416107382561"/>
          <c:h val="0.50263157894736721"/>
        </c:manualLayout>
      </c:layout>
      <c:areaChart>
        <c:grouping val="standard"/>
        <c:ser>
          <c:idx val="0"/>
          <c:order val="0"/>
          <c:spPr>
            <a:pattFill prst="ltVert">
              <a:fgClr>
                <a:srgbClr val="9999FF"/>
              </a:fgClr>
              <a:bgClr>
                <a:srgbClr val="FFFFFF"/>
              </a:bgClr>
            </a:pattFill>
            <a:ln w="25400">
              <a:solidFill>
                <a:srgbClr val="000000"/>
              </a:solidFill>
              <a:prstDash val="solid"/>
            </a:ln>
          </c:spPr>
          <c:dLbls>
            <c:dLbl>
              <c:idx val="0"/>
              <c:layout>
                <c:manualLayout>
                  <c:x val="3.8710369002598236E-2"/>
                  <c:y val="-0.2060997459049677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48E-474D-8DD1-C34076BB57A1}"/>
                </c:ext>
              </c:extLst>
            </c:dLbl>
            <c:dLbl>
              <c:idx val="1"/>
              <c:layout>
                <c:manualLayout>
                  <c:x val="4.1465530471673393E-3"/>
                  <c:y val="-0.1987220945467943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48E-474D-8DD1-C34076BB57A1}"/>
                </c:ext>
              </c:extLst>
            </c:dLbl>
            <c:dLbl>
              <c:idx val="2"/>
              <c:layout>
                <c:manualLayout>
                  <c:x val="-1.531659176732408E-2"/>
                  <c:y val="-0.1947152663532689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48E-474D-8DD1-C34076BB57A1}"/>
                </c:ext>
              </c:extLst>
            </c:dLbl>
            <c:dLbl>
              <c:idx val="3"/>
              <c:layout>
                <c:manualLayout>
                  <c:x val="4.5537718102356428E-4"/>
                  <c:y val="-0.1809510703107884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48E-474D-8DD1-C34076BB57A1}"/>
                </c:ext>
              </c:extLst>
            </c:dLbl>
            <c:dLbl>
              <c:idx val="4"/>
              <c:layout>
                <c:manualLayout>
                  <c:x val="-2.9074881727427292E-2"/>
                  <c:y val="-0.1827244854959323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48E-474D-8DD1-C34076BB57A1}"/>
                </c:ext>
              </c:extLst>
            </c:dLbl>
            <c:dLbl>
              <c:idx val="5"/>
              <c:layout>
                <c:manualLayout>
                  <c:x val="-2.6725946005005791E-2"/>
                  <c:y val="-0.1577983000330704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48E-474D-8DD1-C34076BB57A1}"/>
                </c:ext>
              </c:extLst>
            </c:dLbl>
            <c:dLbl>
              <c:idx val="6"/>
              <c:layout>
                <c:manualLayout>
                  <c:xMode val="edge"/>
                  <c:yMode val="edge"/>
                  <c:x val="0.61577181208054022"/>
                  <c:y val="0.29210526315789553"/>
                </c:manualLayout>
              </c:layout>
              <c:spPr>
                <a:noFill/>
                <a:ln w="25400">
                  <a:noFill/>
                </a:ln>
              </c:spPr>
              <c:txPr>
                <a:bodyPr/>
                <a:lstStyle/>
                <a:p>
                  <a:pPr>
                    <a:defRPr lang="es-ES" sz="8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48E-474D-8DD1-C34076BB57A1}"/>
                </c:ext>
              </c:extLst>
            </c:dLbl>
            <c:dLbl>
              <c:idx val="7"/>
              <c:layout>
                <c:manualLayout>
                  <c:xMode val="edge"/>
                  <c:yMode val="edge"/>
                  <c:x val="0.62416107382550456"/>
                  <c:y val="0.29210526315789553"/>
                </c:manualLayout>
              </c:layout>
              <c:spPr>
                <a:noFill/>
                <a:ln w="25400">
                  <a:noFill/>
                </a:ln>
              </c:spPr>
              <c:txPr>
                <a:bodyPr/>
                <a:lstStyle/>
                <a:p>
                  <a:pPr>
                    <a:defRPr lang="es-ES" sz="8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48E-474D-8DD1-C34076BB57A1}"/>
                </c:ext>
              </c:extLst>
            </c:dLbl>
            <c:dLbl>
              <c:idx val="8"/>
              <c:layout>
                <c:manualLayout>
                  <c:xMode val="edge"/>
                  <c:yMode val="edge"/>
                  <c:x val="0.62751677852349064"/>
                  <c:y val="0.28157894736842204"/>
                </c:manualLayout>
              </c:layout>
              <c:spPr>
                <a:noFill/>
                <a:ln w="25400">
                  <a:noFill/>
                </a:ln>
              </c:spPr>
              <c:txPr>
                <a:bodyPr/>
                <a:lstStyle/>
                <a:p>
                  <a:pPr>
                    <a:defRPr lang="es-ES" sz="8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48E-474D-8DD1-C34076BB57A1}"/>
                </c:ext>
              </c:extLst>
            </c:dLbl>
            <c:dLbl>
              <c:idx val="9"/>
              <c:layout>
                <c:manualLayout>
                  <c:xMode val="edge"/>
                  <c:yMode val="edge"/>
                  <c:x val="0.63255033557046969"/>
                  <c:y val="0.27894736842105261"/>
                </c:manualLayout>
              </c:layout>
              <c:spPr>
                <a:noFill/>
                <a:ln w="25400">
                  <a:noFill/>
                </a:ln>
              </c:spPr>
              <c:txPr>
                <a:bodyPr/>
                <a:lstStyle/>
                <a:p>
                  <a:pPr>
                    <a:defRPr lang="es-ES" sz="8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48E-474D-8DD1-C34076BB57A1}"/>
                </c:ext>
              </c:extLst>
            </c:dLbl>
            <c:spPr>
              <a:noFill/>
              <a:ln w="25400">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Sheet1!$M$1:$Q$1</c:f>
              <c:numCache>
                <c:formatCode>General</c:formatCode>
                <c:ptCount val="5"/>
                <c:pt idx="0">
                  <c:v>2011</c:v>
                </c:pt>
                <c:pt idx="1">
                  <c:v>2012</c:v>
                </c:pt>
                <c:pt idx="2">
                  <c:v>2013</c:v>
                </c:pt>
                <c:pt idx="3">
                  <c:v>2014</c:v>
                </c:pt>
                <c:pt idx="4">
                  <c:v>2015</c:v>
                </c:pt>
              </c:numCache>
            </c:numRef>
          </c:cat>
          <c:val>
            <c:numRef>
              <c:f>Sheet1!$M$1:$Q$1</c:f>
              <c:numCache>
                <c:formatCode>General</c:formatCode>
                <c:ptCount val="5"/>
                <c:pt idx="0">
                  <c:v>2011</c:v>
                </c:pt>
                <c:pt idx="1">
                  <c:v>2012</c:v>
                </c:pt>
                <c:pt idx="2">
                  <c:v>2013</c:v>
                </c:pt>
                <c:pt idx="3">
                  <c:v>2014</c:v>
                </c:pt>
                <c:pt idx="4">
                  <c:v>2015</c:v>
                </c:pt>
              </c:numCache>
            </c:numRef>
          </c:val>
          <c:extLst xmlns:c16r2="http://schemas.microsoft.com/office/drawing/2015/06/chart">
            <c:ext xmlns:c16="http://schemas.microsoft.com/office/drawing/2014/chart" uri="{C3380CC4-5D6E-409C-BE32-E72D297353CC}">
              <c16:uniqueId val="{0000000A-448E-474D-8DD1-C34076BB57A1}"/>
            </c:ext>
          </c:extLst>
        </c:ser>
        <c:ser>
          <c:idx val="1"/>
          <c:order val="1"/>
          <c:dLbls>
            <c:dLbl>
              <c:idx val="0"/>
              <c:layout>
                <c:manualLayout>
                  <c:x val="4.9019607843137483E-2"/>
                  <c:y val="-0.16414141414141445"/>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48E-474D-8DD1-C34076BB57A1}"/>
                </c:ext>
              </c:extLst>
            </c:dLbl>
            <c:dLbl>
              <c:idx val="1"/>
              <c:layout>
                <c:manualLayout>
                  <c:x val="2.7233115468409752E-3"/>
                  <c:y val="-0.16414141414141445"/>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448E-474D-8DD1-C34076BB57A1}"/>
                </c:ext>
              </c:extLst>
            </c:dLbl>
            <c:dLbl>
              <c:idx val="2"/>
              <c:layout>
                <c:manualLayout>
                  <c:x val="0"/>
                  <c:y val="-0.1557239057239057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48E-474D-8DD1-C34076BB57A1}"/>
                </c:ext>
              </c:extLst>
            </c:dLbl>
            <c:dLbl>
              <c:idx val="3"/>
              <c:layout>
                <c:manualLayout>
                  <c:x val="-1.0893246187363832E-2"/>
                  <c:y val="-0.15151515151515199"/>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448E-474D-8DD1-C34076BB57A1}"/>
                </c:ext>
              </c:extLst>
            </c:dLbl>
            <c:dLbl>
              <c:idx val="4"/>
              <c:layout>
                <c:manualLayout>
                  <c:x val="-3.8126361655773551E-2"/>
                  <c:y val="-0.14309764309764336"/>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448E-474D-8DD1-C34076BB57A1}"/>
                </c:ext>
              </c:extLst>
            </c:dLbl>
            <c:spPr>
              <a:noFill/>
              <a:ln>
                <a:noFill/>
              </a:ln>
              <a:effectLst/>
            </c:spPr>
            <c:txPr>
              <a:bodyPr/>
              <a:lstStyle/>
              <a:p>
                <a:pPr>
                  <a:defRPr lang="es-ES" sz="1000" b="0" baseline="0"/>
                </a:pPr>
                <a:endParaRPr lang="es-CR"/>
              </a:p>
            </c:txPr>
            <c:showVal val="1"/>
            <c:extLst xmlns:c16r2="http://schemas.microsoft.com/office/drawing/2015/06/chart">
              <c:ext xmlns:c15="http://schemas.microsoft.com/office/drawing/2012/chart" uri="{CE6537A1-D6FC-4f65-9D91-7224C49458BB}">
                <c15:showLeaderLines val="0"/>
              </c:ext>
            </c:extLst>
          </c:dLbls>
          <c:cat>
            <c:numRef>
              <c:f>Sheet1!$M$1:$Q$1</c:f>
              <c:numCache>
                <c:formatCode>General</c:formatCode>
                <c:ptCount val="5"/>
                <c:pt idx="0">
                  <c:v>2011</c:v>
                </c:pt>
                <c:pt idx="1">
                  <c:v>2012</c:v>
                </c:pt>
                <c:pt idx="2">
                  <c:v>2013</c:v>
                </c:pt>
                <c:pt idx="3">
                  <c:v>2014</c:v>
                </c:pt>
                <c:pt idx="4">
                  <c:v>2015</c:v>
                </c:pt>
              </c:numCache>
            </c:numRef>
          </c:cat>
          <c:val>
            <c:numRef>
              <c:f>Sheet1!$M$2:$Q$2</c:f>
              <c:numCache>
                <c:formatCode>General</c:formatCode>
                <c:ptCount val="5"/>
                <c:pt idx="0">
                  <c:v>49.1</c:v>
                </c:pt>
                <c:pt idx="1">
                  <c:v>48.6</c:v>
                </c:pt>
                <c:pt idx="2">
                  <c:v>45.7</c:v>
                </c:pt>
                <c:pt idx="3">
                  <c:v>42.9</c:v>
                </c:pt>
                <c:pt idx="4">
                  <c:v>41.3</c:v>
                </c:pt>
              </c:numCache>
            </c:numRef>
          </c:val>
          <c:extLst xmlns:c16r2="http://schemas.microsoft.com/office/drawing/2015/06/chart">
            <c:ext xmlns:c16="http://schemas.microsoft.com/office/drawing/2014/chart" uri="{C3380CC4-5D6E-409C-BE32-E72D297353CC}">
              <c16:uniqueId val="{00000010-448E-474D-8DD1-C34076BB57A1}"/>
            </c:ext>
          </c:extLst>
        </c:ser>
        <c:dLbls>
          <c:showVal val="1"/>
        </c:dLbls>
        <c:axId val="102753024"/>
        <c:axId val="102754944"/>
      </c:areaChart>
      <c:catAx>
        <c:axId val="102753024"/>
        <c:scaling>
          <c:orientation val="minMax"/>
        </c:scaling>
        <c:axPos val="b"/>
        <c:title>
          <c:tx>
            <c:rich>
              <a:bodyPr/>
              <a:lstStyle/>
              <a:p>
                <a:pPr>
                  <a:defRPr lang="es-ES" sz="800"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50778245243854458"/>
              <c:y val="0.80211763302314565"/>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s-ES" sz="900" b="1" i="0" u="none" strike="noStrike" baseline="0">
                <a:solidFill>
                  <a:srgbClr val="000000"/>
                </a:solidFill>
                <a:latin typeface="Times New Roman"/>
                <a:ea typeface="Times New Roman"/>
                <a:cs typeface="Times New Roman"/>
              </a:defRPr>
            </a:pPr>
            <a:endParaRPr lang="es-CR"/>
          </a:p>
        </c:txPr>
        <c:crossAx val="102754944"/>
        <c:crosses val="autoZero"/>
        <c:auto val="1"/>
        <c:lblAlgn val="ctr"/>
        <c:lblOffset val="100"/>
        <c:tickLblSkip val="1"/>
        <c:tickMarkSkip val="1"/>
      </c:catAx>
      <c:valAx>
        <c:axId val="102754944"/>
        <c:scaling>
          <c:orientation val="minMax"/>
          <c:max val="100"/>
          <c:min val="0"/>
        </c:scaling>
        <c:axPos val="l"/>
        <c:majorGridlines>
          <c:spPr>
            <a:ln w="3175">
              <a:solidFill>
                <a:srgbClr val="000000"/>
              </a:solidFill>
              <a:prstDash val="solid"/>
            </a:ln>
          </c:spPr>
        </c:majorGridlines>
        <c:title>
          <c:tx>
            <c:rich>
              <a:bodyPr rot="0" vert="wordArtVert"/>
              <a:lstStyle/>
              <a:p>
                <a:pPr algn="ctr">
                  <a:defRPr lang="es-ES" sz="800" b="1" i="0" u="none" strike="noStrike" baseline="0">
                    <a:solidFill>
                      <a:srgbClr val="000000"/>
                    </a:solidFill>
                    <a:latin typeface="Times New Roman"/>
                    <a:ea typeface="Times New Roman"/>
                    <a:cs typeface="Times New Roman"/>
                  </a:defRPr>
                </a:pPr>
                <a:r>
                  <a:rPr lang="es-CR"/>
                  <a:t>KM CUADRADOS</a:t>
                </a:r>
              </a:p>
            </c:rich>
          </c:tx>
          <c:layout>
            <c:manualLayout>
              <c:xMode val="edge"/>
              <c:yMode val="edge"/>
              <c:x val="1.3422818791946331E-2"/>
              <c:y val="0.20789473684210574"/>
            </c:manualLayout>
          </c:layout>
          <c:spPr>
            <a:noFill/>
            <a:ln w="25400">
              <a:noFill/>
            </a:ln>
          </c:spPr>
        </c:title>
        <c:numFmt formatCode="0" sourceLinked="0"/>
        <c:tickLblPos val="nextTo"/>
        <c:spPr>
          <a:ln w="3175">
            <a:solidFill>
              <a:srgbClr val="000000"/>
            </a:solidFill>
            <a:prstDash val="solid"/>
          </a:ln>
        </c:spPr>
        <c:txPr>
          <a:bodyPr rot="0" vert="horz"/>
          <a:lstStyle/>
          <a:p>
            <a:pPr>
              <a:defRPr lang="es-ES" sz="800" b="1" i="0" u="none" strike="noStrike" baseline="0">
                <a:solidFill>
                  <a:srgbClr val="000000"/>
                </a:solidFill>
                <a:latin typeface="Times New Roman"/>
                <a:ea typeface="Times New Roman"/>
                <a:cs typeface="Times New Roman"/>
              </a:defRPr>
            </a:pPr>
            <a:endParaRPr lang="es-CR"/>
          </a:p>
        </c:txPr>
        <c:crossAx val="102753024"/>
        <c:crosses val="autoZero"/>
        <c:crossBetween val="midCat"/>
        <c:majorUnit val="25"/>
        <c:minorUnit val="20"/>
      </c:valAx>
      <c:spPr>
        <a:solidFill>
          <a:srgbClr val="FFFFCC"/>
        </a:solidFill>
        <a:ln w="12700">
          <a:solidFill>
            <a:srgbClr val="808080"/>
          </a:solidFill>
          <a:prstDash val="solid"/>
        </a:ln>
      </c:spPr>
    </c:plotArea>
    <c:plotVisOnly val="1"/>
    <c:dispBlanksAs val="zero"/>
  </c:chart>
  <c:spPr>
    <a:gradFill rotWithShape="0">
      <a:gsLst>
        <a:gs pos="0">
          <a:srgbClr val="CCFFFF">
            <a:gamma/>
            <a:shade val="63529"/>
            <a:invGamma/>
          </a:srgbClr>
        </a:gs>
        <a:gs pos="50000">
          <a:srgbClr val="CCFFFF"/>
        </a:gs>
        <a:gs pos="100000">
          <a:srgbClr val="CCFFFF">
            <a:gamma/>
            <a:shade val="63529"/>
            <a:invGamma/>
          </a:srgbClr>
        </a:gs>
      </a:gsLst>
      <a:lin ang="2700000" scaled="1"/>
    </a:gradFill>
    <a:ln w="3175">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CR"/>
  <c:chart>
    <c:title>
      <c:tx>
        <c:rich>
          <a:bodyPr/>
          <a:lstStyle/>
          <a:p>
            <a:pPr>
              <a:defRPr lang="es-ES" sz="923" b="1" i="0" u="none" strike="noStrike" baseline="0">
                <a:solidFill>
                  <a:srgbClr val="000000"/>
                </a:solidFill>
                <a:latin typeface="Times New Roman"/>
                <a:ea typeface="Times New Roman"/>
                <a:cs typeface="Times New Roman"/>
              </a:defRPr>
            </a:pPr>
            <a:r>
              <a:rPr lang="es-CR"/>
              <a:t>Gráfico N° 11
Juezas/ Jueces, Auxiliares, Fiscales/Fiscalas, y Defeonsoras/Defensores por 100 mil habitantes durante el período 2011 - 2015</a:t>
            </a:r>
          </a:p>
        </c:rich>
      </c:tx>
      <c:layout>
        <c:manualLayout>
          <c:xMode val="edge"/>
          <c:yMode val="edge"/>
          <c:x val="0.1262975778546713"/>
          <c:y val="2.6041666666666743E-3"/>
        </c:manualLayout>
      </c:layout>
      <c:spPr>
        <a:noFill/>
        <a:ln w="25335">
          <a:noFill/>
        </a:ln>
      </c:spPr>
    </c:title>
    <c:plotArea>
      <c:layout>
        <c:manualLayout>
          <c:layoutTarget val="inner"/>
          <c:xMode val="edge"/>
          <c:yMode val="edge"/>
          <c:x val="0.14186851211072671"/>
          <c:y val="0.25781250000000056"/>
          <c:w val="0.83910034602076133"/>
          <c:h val="0.5546875"/>
        </c:manualLayout>
      </c:layout>
      <c:lineChart>
        <c:grouping val="standard"/>
        <c:ser>
          <c:idx val="0"/>
          <c:order val="0"/>
          <c:tx>
            <c:strRef>
              <c:f>Sheet1!$A$2</c:f>
              <c:strCache>
                <c:ptCount val="1"/>
                <c:pt idx="0">
                  <c:v>Jueces</c:v>
                </c:pt>
              </c:strCache>
            </c:strRef>
          </c:tx>
          <c:spPr>
            <a:ln w="12668">
              <a:solidFill>
                <a:srgbClr val="0000FF"/>
              </a:solidFill>
              <a:prstDash val="solid"/>
            </a:ln>
          </c:spPr>
          <c:marker>
            <c:symbol val="diamond"/>
            <c:size val="5"/>
            <c:spPr>
              <a:solidFill>
                <a:srgbClr val="0000FF"/>
              </a:solidFill>
              <a:ln>
                <a:solidFill>
                  <a:srgbClr val="0000FF"/>
                </a:solidFill>
                <a:prstDash val="solid"/>
              </a:ln>
            </c:spPr>
          </c:marker>
          <c:dLbls>
            <c:dLbl>
              <c:idx val="0"/>
              <c:layout>
                <c:manualLayout>
                  <c:x val="-5.6141883086121253E-2"/>
                  <c:y val="-4.9774452587318323E-2"/>
                </c:manualLayout>
              </c:layout>
              <c:spPr>
                <a:noFill/>
                <a:ln w="25335">
                  <a:noFill/>
                </a:ln>
              </c:spPr>
              <c:txPr>
                <a:bodyPr/>
                <a:lstStyle/>
                <a:p>
                  <a:pPr>
                    <a:defRPr lang="es-ES" sz="798"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E24-400C-8659-1D13DC47C331}"/>
                </c:ext>
              </c:extLst>
            </c:dLbl>
            <c:dLbl>
              <c:idx val="1"/>
              <c:layout>
                <c:manualLayout>
                  <c:x val="-4.5761250277059497E-2"/>
                  <c:y val="-4.5358479276992096E-2"/>
                </c:manualLayout>
              </c:layout>
              <c:spPr>
                <a:noFill/>
                <a:ln w="25335">
                  <a:noFill/>
                </a:ln>
              </c:spPr>
              <c:txPr>
                <a:bodyPr/>
                <a:lstStyle/>
                <a:p>
                  <a:pPr>
                    <a:defRPr lang="es-ES" sz="798"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E24-400C-8659-1D13DC47C331}"/>
                </c:ext>
              </c:extLst>
            </c:dLbl>
            <c:dLbl>
              <c:idx val="2"/>
              <c:layout>
                <c:manualLayout>
                  <c:x val="-4.4031136499139811E-2"/>
                  <c:y val="-3.143385512736608E-2"/>
                </c:manualLayout>
              </c:layout>
              <c:spPr>
                <a:noFill/>
                <a:ln w="25335">
                  <a:noFill/>
                </a:ln>
              </c:spPr>
              <c:txPr>
                <a:bodyPr/>
                <a:lstStyle/>
                <a:p>
                  <a:pPr>
                    <a:defRPr lang="es-ES" sz="798"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E24-400C-8659-1D13DC47C331}"/>
                </c:ext>
              </c:extLst>
            </c:dLbl>
            <c:dLbl>
              <c:idx val="3"/>
              <c:layout>
                <c:manualLayout>
                  <c:x val="-4.2301022721219925E-2"/>
                  <c:y val="-3.9361680368511835E-2"/>
                </c:manualLayout>
              </c:layout>
              <c:spPr>
                <a:noFill/>
                <a:ln w="25335">
                  <a:noFill/>
                </a:ln>
              </c:spPr>
              <c:txPr>
                <a:bodyPr/>
                <a:lstStyle/>
                <a:p>
                  <a:pPr>
                    <a:defRPr lang="es-ES" sz="798"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E24-400C-8659-1D13DC47C331}"/>
                </c:ext>
              </c:extLst>
            </c:dLbl>
            <c:dLbl>
              <c:idx val="4"/>
              <c:layout>
                <c:manualLayout>
                  <c:x val="-4.2301012749528584E-2"/>
                  <c:y val="-4.2419689667254956E-2"/>
                </c:manualLayout>
              </c:layout>
              <c:spPr>
                <a:noFill/>
                <a:ln w="25335">
                  <a:noFill/>
                </a:ln>
              </c:spPr>
              <c:txPr>
                <a:bodyPr/>
                <a:lstStyle/>
                <a:p>
                  <a:pPr>
                    <a:defRPr lang="es-ES" sz="798"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E24-400C-8659-1D13DC47C331}"/>
                </c:ext>
              </c:extLst>
            </c:dLbl>
            <c:dLbl>
              <c:idx val="5"/>
              <c:layout>
                <c:manualLayout>
                  <c:xMode val="edge"/>
                  <c:yMode val="edge"/>
                  <c:x val="0.90311418685120937"/>
                  <c:y val="0.54166666666666652"/>
                </c:manualLayout>
              </c:layout>
              <c:numFmt formatCode="#.#00" sourceLinked="0"/>
              <c:spPr>
                <a:noFill/>
                <a:ln w="25335">
                  <a:noFill/>
                </a:ln>
              </c:spPr>
              <c:txPr>
                <a:bodyPr/>
                <a:lstStyle/>
                <a:p>
                  <a:pPr>
                    <a:defRPr lang="es-ES" sz="798"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E24-400C-8659-1D13DC47C331}"/>
                </c:ext>
              </c:extLst>
            </c:dLbl>
            <c:spPr>
              <a:noFill/>
              <a:ln w="25335">
                <a:noFill/>
              </a:ln>
            </c:spPr>
            <c:txPr>
              <a:bodyPr wrap="square" lIns="38100" tIns="19050" rIns="38100" bIns="19050" anchor="ctr">
                <a:spAutoFit/>
              </a:bodyPr>
              <a:lstStyle/>
              <a:p>
                <a:pPr>
                  <a:defRPr lang="es-ES" sz="798"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Sheet1!$B$1:$Q$1</c:f>
              <c:numCache>
                <c:formatCode>General</c:formatCode>
                <c:ptCount val="5"/>
                <c:pt idx="0">
                  <c:v>2011</c:v>
                </c:pt>
                <c:pt idx="1">
                  <c:v>2012</c:v>
                </c:pt>
                <c:pt idx="2">
                  <c:v>2013</c:v>
                </c:pt>
                <c:pt idx="3">
                  <c:v>2014</c:v>
                </c:pt>
                <c:pt idx="4">
                  <c:v>2015</c:v>
                </c:pt>
              </c:numCache>
            </c:numRef>
          </c:cat>
          <c:val>
            <c:numRef>
              <c:f>Sheet1!$B$2:$Q$2</c:f>
              <c:numCache>
                <c:formatCode>General</c:formatCode>
                <c:ptCount val="5"/>
                <c:pt idx="0">
                  <c:v>22.7</c:v>
                </c:pt>
                <c:pt idx="1">
                  <c:v>22.6</c:v>
                </c:pt>
                <c:pt idx="2">
                  <c:v>23.7</c:v>
                </c:pt>
                <c:pt idx="3">
                  <c:v>25</c:v>
                </c:pt>
                <c:pt idx="4">
                  <c:v>25.6</c:v>
                </c:pt>
              </c:numCache>
            </c:numRef>
          </c:val>
          <c:smooth val="1"/>
          <c:extLst xmlns:c16r2="http://schemas.microsoft.com/office/drawing/2015/06/chart">
            <c:ext xmlns:c16="http://schemas.microsoft.com/office/drawing/2014/chart" uri="{C3380CC4-5D6E-409C-BE32-E72D297353CC}">
              <c16:uniqueId val="{00000006-DE24-400C-8659-1D13DC47C331}"/>
            </c:ext>
          </c:extLst>
        </c:ser>
        <c:ser>
          <c:idx val="1"/>
          <c:order val="1"/>
          <c:tx>
            <c:strRef>
              <c:f>Sheet1!$A$3</c:f>
              <c:strCache>
                <c:ptCount val="1"/>
                <c:pt idx="0">
                  <c:v>Personal Auxiliar</c:v>
                </c:pt>
              </c:strCache>
            </c:strRef>
          </c:tx>
          <c:spPr>
            <a:ln w="12668">
              <a:solidFill>
                <a:srgbClr val="FF00FF"/>
              </a:solidFill>
              <a:prstDash val="solid"/>
            </a:ln>
          </c:spPr>
          <c:marker>
            <c:symbol val="square"/>
            <c:size val="5"/>
            <c:spPr>
              <a:solidFill>
                <a:srgbClr val="FF00FF"/>
              </a:solidFill>
              <a:ln>
                <a:solidFill>
                  <a:srgbClr val="FF00FF"/>
                </a:solidFill>
                <a:prstDash val="solid"/>
              </a:ln>
            </c:spPr>
          </c:marker>
          <c:dLbls>
            <c:dLbl>
              <c:idx val="0"/>
              <c:layout>
                <c:manualLayout>
                  <c:x val="-8.0363336373318495E-2"/>
                  <c:y val="1.9804909855411681E-2"/>
                </c:manualLayout>
              </c:layout>
              <c:spPr>
                <a:noFill/>
                <a:ln w="25335">
                  <a:noFill/>
                </a:ln>
              </c:spPr>
              <c:txPr>
                <a:bodyPr/>
                <a:lstStyle/>
                <a:p>
                  <a:pPr>
                    <a:defRPr lang="es-ES" sz="798" b="0" i="0" u="none" strike="noStrike" baseline="0">
                      <a:solidFill>
                        <a:srgbClr val="000000"/>
                      </a:solidFill>
                      <a:latin typeface="Arial"/>
                      <a:ea typeface="Arial"/>
                      <a:cs typeface="Arial"/>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E24-400C-8659-1D13DC47C331}"/>
                </c:ext>
              </c:extLst>
            </c:dLbl>
            <c:dLbl>
              <c:idx val="1"/>
              <c:layout>
                <c:manualLayout>
                  <c:x val="-4.5761250277059497E-2"/>
                  <c:y val="-4.0883283500928951E-2"/>
                </c:manualLayout>
              </c:layout>
              <c:spPr>
                <a:noFill/>
                <a:ln w="25335">
                  <a:noFill/>
                </a:ln>
              </c:spPr>
              <c:txPr>
                <a:bodyPr/>
                <a:lstStyle/>
                <a:p>
                  <a:pPr>
                    <a:defRPr lang="es-ES" sz="798" b="0" i="0" u="none" strike="noStrike" baseline="0">
                      <a:solidFill>
                        <a:srgbClr val="000000"/>
                      </a:solidFill>
                      <a:latin typeface="Arial"/>
                      <a:ea typeface="Arial"/>
                      <a:cs typeface="Arial"/>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E24-400C-8659-1D13DC47C331}"/>
                </c:ext>
              </c:extLst>
            </c:dLbl>
            <c:dLbl>
              <c:idx val="2"/>
              <c:layout>
                <c:manualLayout>
                  <c:x val="-5.2681655530281701E-2"/>
                  <c:y val="-4.8130179512353155E-2"/>
                </c:manualLayout>
              </c:layout>
              <c:spPr>
                <a:noFill/>
                <a:ln w="25335">
                  <a:noFill/>
                </a:ln>
              </c:spPr>
              <c:txPr>
                <a:bodyPr/>
                <a:lstStyle/>
                <a:p>
                  <a:pPr>
                    <a:defRPr lang="es-ES" sz="798" b="0" i="0" u="none" strike="noStrike" baseline="0">
                      <a:solidFill>
                        <a:srgbClr val="000000"/>
                      </a:solidFill>
                      <a:latin typeface="Arial"/>
                      <a:ea typeface="Arial"/>
                      <a:cs typeface="Arial"/>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E24-400C-8659-1D13DC47C331}"/>
                </c:ext>
              </c:extLst>
            </c:dLbl>
            <c:dLbl>
              <c:idx val="3"/>
              <c:layout>
                <c:manualLayout>
                  <c:x val="-4.5761230333676822E-2"/>
                  <c:y val="-4.9145731685145091E-2"/>
                </c:manualLayout>
              </c:layout>
              <c:spPr>
                <a:noFill/>
                <a:ln w="25335">
                  <a:noFill/>
                </a:ln>
              </c:spPr>
              <c:txPr>
                <a:bodyPr/>
                <a:lstStyle/>
                <a:p>
                  <a:pPr>
                    <a:defRPr lang="es-ES" sz="798" b="0" i="0" u="none" strike="noStrike" baseline="0">
                      <a:solidFill>
                        <a:srgbClr val="000000"/>
                      </a:solidFill>
                      <a:latin typeface="Arial"/>
                      <a:ea typeface="Arial"/>
                      <a:cs typeface="Arial"/>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E24-400C-8659-1D13DC47C331}"/>
                </c:ext>
              </c:extLst>
            </c:dLbl>
            <c:dLbl>
              <c:idx val="4"/>
              <c:layout>
                <c:manualLayout>
                  <c:x val="-2.8460182299701375E-2"/>
                  <c:y val="-5.0846107535518992E-2"/>
                </c:manualLayout>
              </c:layout>
              <c:spPr>
                <a:noFill/>
                <a:ln w="25335">
                  <a:noFill/>
                </a:ln>
              </c:spPr>
              <c:txPr>
                <a:bodyPr/>
                <a:lstStyle/>
                <a:p>
                  <a:pPr>
                    <a:defRPr lang="es-ES" sz="798" b="0" i="0" u="none" strike="noStrike" baseline="0">
                      <a:solidFill>
                        <a:srgbClr val="000000"/>
                      </a:solidFill>
                      <a:latin typeface="Arial"/>
                      <a:ea typeface="Arial"/>
                      <a:cs typeface="Arial"/>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E24-400C-8659-1D13DC47C331}"/>
                </c:ext>
              </c:extLst>
            </c:dLbl>
            <c:dLbl>
              <c:idx val="5"/>
              <c:layout>
                <c:manualLayout>
                  <c:xMode val="edge"/>
                  <c:yMode val="edge"/>
                  <c:x val="0.88235294117647056"/>
                  <c:y val="0.30208333333333331"/>
                </c:manualLayout>
              </c:layout>
              <c:spPr>
                <a:noFill/>
                <a:ln w="25335">
                  <a:noFill/>
                </a:ln>
              </c:spPr>
              <c:txPr>
                <a:bodyPr/>
                <a:lstStyle/>
                <a:p>
                  <a:pPr>
                    <a:defRPr lang="es-ES" sz="798" b="0" i="0" u="none" strike="noStrike" baseline="0">
                      <a:solidFill>
                        <a:srgbClr val="000000"/>
                      </a:solidFill>
                      <a:latin typeface="Arial"/>
                      <a:ea typeface="Arial"/>
                      <a:cs typeface="Arial"/>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E24-400C-8659-1D13DC47C331}"/>
                </c:ext>
              </c:extLst>
            </c:dLbl>
            <c:spPr>
              <a:noFill/>
              <a:ln w="25335">
                <a:noFill/>
              </a:ln>
            </c:spPr>
            <c:txPr>
              <a:bodyPr wrap="square" lIns="38100" tIns="19050" rIns="38100" bIns="19050" anchor="ctr">
                <a:spAutoFit/>
              </a:bodyPr>
              <a:lstStyle/>
              <a:p>
                <a:pPr>
                  <a:defRPr lang="es-ES" sz="798" b="0" i="0" u="none" strike="noStrike" baseline="0">
                    <a:solidFill>
                      <a:srgbClr val="000000"/>
                    </a:solidFill>
                    <a:latin typeface="Arial"/>
                    <a:ea typeface="Arial"/>
                    <a:cs typeface="Arial"/>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Sheet1!$B$1:$Q$1</c:f>
              <c:numCache>
                <c:formatCode>General</c:formatCode>
                <c:ptCount val="5"/>
                <c:pt idx="0">
                  <c:v>2011</c:v>
                </c:pt>
                <c:pt idx="1">
                  <c:v>2012</c:v>
                </c:pt>
                <c:pt idx="2">
                  <c:v>2013</c:v>
                </c:pt>
                <c:pt idx="3">
                  <c:v>2014</c:v>
                </c:pt>
                <c:pt idx="4">
                  <c:v>2015</c:v>
                </c:pt>
              </c:numCache>
            </c:numRef>
          </c:cat>
          <c:val>
            <c:numRef>
              <c:f>Sheet1!$B$3:$Q$3</c:f>
              <c:numCache>
                <c:formatCode>General</c:formatCode>
                <c:ptCount val="5"/>
                <c:pt idx="0">
                  <c:v>55.8</c:v>
                </c:pt>
                <c:pt idx="1">
                  <c:v>55.7</c:v>
                </c:pt>
                <c:pt idx="2">
                  <c:v>56.1</c:v>
                </c:pt>
                <c:pt idx="3">
                  <c:v>54</c:v>
                </c:pt>
                <c:pt idx="4">
                  <c:v>55.1</c:v>
                </c:pt>
              </c:numCache>
            </c:numRef>
          </c:val>
          <c:smooth val="1"/>
          <c:extLst xmlns:c16r2="http://schemas.microsoft.com/office/drawing/2015/06/chart">
            <c:ext xmlns:c16="http://schemas.microsoft.com/office/drawing/2014/chart" uri="{C3380CC4-5D6E-409C-BE32-E72D297353CC}">
              <c16:uniqueId val="{0000000D-DE24-400C-8659-1D13DC47C331}"/>
            </c:ext>
          </c:extLst>
        </c:ser>
        <c:ser>
          <c:idx val="2"/>
          <c:order val="2"/>
          <c:tx>
            <c:strRef>
              <c:f>Sheet1!$A$4</c:f>
              <c:strCache>
                <c:ptCount val="1"/>
                <c:pt idx="0">
                  <c:v>Fiscales</c:v>
                </c:pt>
              </c:strCache>
            </c:strRef>
          </c:tx>
          <c:spPr>
            <a:ln w="12668">
              <a:solidFill>
                <a:srgbClr val="FF0000"/>
              </a:solidFill>
              <a:prstDash val="solid"/>
            </a:ln>
          </c:spPr>
          <c:marker>
            <c:symbol val="triangle"/>
            <c:size val="5"/>
            <c:spPr>
              <a:solidFill>
                <a:srgbClr val="FF0000"/>
              </a:solidFill>
              <a:ln>
                <a:solidFill>
                  <a:srgbClr val="FF0000"/>
                </a:solidFill>
                <a:prstDash val="solid"/>
              </a:ln>
            </c:spPr>
          </c:marker>
          <c:dLbls>
            <c:dLbl>
              <c:idx val="0"/>
              <c:layout>
                <c:manualLayout>
                  <c:x val="-4.9221467861207784E-2"/>
                  <c:y val="-2.982676008383079E-2"/>
                </c:manualLayout>
              </c:layout>
              <c:numFmt formatCode="#.#00" sourceLinked="0"/>
              <c:spPr>
                <a:noFill/>
                <a:ln w="25335">
                  <a:noFill/>
                </a:ln>
              </c:spPr>
              <c:txPr>
                <a:bodyPr/>
                <a:lstStyle/>
                <a:p>
                  <a:pPr>
                    <a:defRPr lang="es-ES" sz="798"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DE24-400C-8659-1D13DC47C331}"/>
                </c:ext>
              </c:extLst>
            </c:dLbl>
            <c:dLbl>
              <c:idx val="1"/>
              <c:layout>
                <c:manualLayout>
                  <c:x val="-4.2301042664602766E-2"/>
                  <c:y val="-3.0280602715907552E-2"/>
                </c:manualLayout>
              </c:layout>
              <c:numFmt formatCode="#.#00" sourceLinked="0"/>
              <c:spPr>
                <a:noFill/>
                <a:ln w="25335">
                  <a:noFill/>
                </a:ln>
              </c:spPr>
              <c:txPr>
                <a:bodyPr/>
                <a:lstStyle/>
                <a:p>
                  <a:pPr>
                    <a:defRPr lang="es-ES" sz="798"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DE24-400C-8659-1D13DC47C331}"/>
                </c:ext>
              </c:extLst>
            </c:dLbl>
            <c:dLbl>
              <c:idx val="2"/>
              <c:layout>
                <c:manualLayout>
                  <c:x val="-4.2301032692911397E-2"/>
                  <c:y val="-3.0507358750338942E-2"/>
                </c:manualLayout>
              </c:layout>
              <c:numFmt formatCode="#.#00" sourceLinked="0"/>
              <c:spPr>
                <a:noFill/>
                <a:ln w="25335">
                  <a:noFill/>
                </a:ln>
              </c:spPr>
              <c:txPr>
                <a:bodyPr/>
                <a:lstStyle/>
                <a:p>
                  <a:pPr>
                    <a:defRPr lang="es-ES" sz="798"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DE24-400C-8659-1D13DC47C331}"/>
                </c:ext>
              </c:extLst>
            </c:dLbl>
            <c:dLbl>
              <c:idx val="3"/>
              <c:layout>
                <c:manualLayout>
                  <c:x val="-3.7110711302534745E-2"/>
                  <c:y val="-2.9714998727331746E-2"/>
                </c:manualLayout>
              </c:layout>
              <c:numFmt formatCode="#.#00" sourceLinked="0"/>
              <c:spPr>
                <a:noFill/>
                <a:ln w="25335">
                  <a:noFill/>
                </a:ln>
              </c:spPr>
              <c:txPr>
                <a:bodyPr/>
                <a:lstStyle/>
                <a:p>
                  <a:pPr>
                    <a:defRPr lang="es-ES" sz="798"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DE24-400C-8659-1D13DC47C331}"/>
                </c:ext>
              </c:extLst>
            </c:dLbl>
            <c:dLbl>
              <c:idx val="4"/>
              <c:layout>
                <c:manualLayout>
                  <c:x val="-3.7110701330843154E-2"/>
                  <c:y val="-3.5942778681317303E-2"/>
                </c:manualLayout>
              </c:layout>
              <c:numFmt formatCode="#.#00" sourceLinked="0"/>
              <c:spPr>
                <a:noFill/>
                <a:ln w="25335">
                  <a:noFill/>
                </a:ln>
              </c:spPr>
              <c:txPr>
                <a:bodyPr/>
                <a:lstStyle/>
                <a:p>
                  <a:pPr>
                    <a:defRPr lang="es-ES" sz="798"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DE24-400C-8659-1D13DC47C331}"/>
                </c:ext>
              </c:extLst>
            </c:dLbl>
            <c:dLbl>
              <c:idx val="5"/>
              <c:layout>
                <c:manualLayout>
                  <c:xMode val="edge"/>
                  <c:yMode val="edge"/>
                  <c:x val="0.90830449826989756"/>
                  <c:y val="0.66145833333333492"/>
                </c:manualLayout>
              </c:layout>
              <c:numFmt formatCode="#.#00" sourceLinked="0"/>
              <c:spPr>
                <a:noFill/>
                <a:ln w="25335">
                  <a:noFill/>
                </a:ln>
              </c:spPr>
              <c:txPr>
                <a:bodyPr/>
                <a:lstStyle/>
                <a:p>
                  <a:pPr>
                    <a:defRPr lang="es-ES" sz="798"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DE24-400C-8659-1D13DC47C331}"/>
                </c:ext>
              </c:extLst>
            </c:dLbl>
            <c:numFmt formatCode="#.#00" sourceLinked="0"/>
            <c:spPr>
              <a:noFill/>
              <a:ln w="25335">
                <a:noFill/>
              </a:ln>
            </c:spPr>
            <c:txPr>
              <a:bodyPr wrap="square" lIns="38100" tIns="19050" rIns="38100" bIns="19050" anchor="ctr">
                <a:spAutoFit/>
              </a:bodyPr>
              <a:lstStyle/>
              <a:p>
                <a:pPr>
                  <a:defRPr lang="es-ES" sz="798"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Sheet1!$B$1:$Q$1</c:f>
              <c:numCache>
                <c:formatCode>General</c:formatCode>
                <c:ptCount val="5"/>
                <c:pt idx="0">
                  <c:v>2011</c:v>
                </c:pt>
                <c:pt idx="1">
                  <c:v>2012</c:v>
                </c:pt>
                <c:pt idx="2">
                  <c:v>2013</c:v>
                </c:pt>
                <c:pt idx="3">
                  <c:v>2014</c:v>
                </c:pt>
                <c:pt idx="4">
                  <c:v>2015</c:v>
                </c:pt>
              </c:numCache>
            </c:numRef>
          </c:cat>
          <c:val>
            <c:numRef>
              <c:f>Sheet1!$B$4:$Q$4</c:f>
              <c:numCache>
                <c:formatCode>General</c:formatCode>
                <c:ptCount val="5"/>
                <c:pt idx="0">
                  <c:v>10.1</c:v>
                </c:pt>
                <c:pt idx="1">
                  <c:v>10.7</c:v>
                </c:pt>
                <c:pt idx="2">
                  <c:v>11</c:v>
                </c:pt>
                <c:pt idx="3">
                  <c:v>11.1</c:v>
                </c:pt>
                <c:pt idx="4">
                  <c:v>11.3</c:v>
                </c:pt>
              </c:numCache>
            </c:numRef>
          </c:val>
          <c:smooth val="1"/>
          <c:extLst xmlns:c16r2="http://schemas.microsoft.com/office/drawing/2015/06/chart">
            <c:ext xmlns:c16="http://schemas.microsoft.com/office/drawing/2014/chart" uri="{C3380CC4-5D6E-409C-BE32-E72D297353CC}">
              <c16:uniqueId val="{00000014-DE24-400C-8659-1D13DC47C331}"/>
            </c:ext>
          </c:extLst>
        </c:ser>
        <c:ser>
          <c:idx val="3"/>
          <c:order val="3"/>
          <c:tx>
            <c:strRef>
              <c:f>Sheet1!$A$5</c:f>
              <c:strCache>
                <c:ptCount val="1"/>
                <c:pt idx="0">
                  <c:v>Defensores Públicos</c:v>
                </c:pt>
              </c:strCache>
            </c:strRef>
          </c:tx>
          <c:spPr>
            <a:ln w="12668">
              <a:solidFill>
                <a:srgbClr val="000000"/>
              </a:solidFill>
              <a:prstDash val="solid"/>
            </a:ln>
          </c:spPr>
          <c:marker>
            <c:symbol val="x"/>
            <c:size val="4"/>
            <c:spPr>
              <a:solidFill>
                <a:srgbClr val="000000"/>
              </a:solidFill>
              <a:ln>
                <a:solidFill>
                  <a:srgbClr val="000000"/>
                </a:solidFill>
                <a:prstDash val="solid"/>
              </a:ln>
            </c:spPr>
          </c:marker>
          <c:dLbls>
            <c:dLbl>
              <c:idx val="0"/>
              <c:layout>
                <c:manualLayout>
                  <c:x val="-2.8782668335037963E-2"/>
                  <c:y val="2.486463436402931E-2"/>
                </c:manualLayout>
              </c:layout>
              <c:numFmt formatCode="#.#00" sourceLinked="0"/>
              <c:spPr>
                <a:noFill/>
                <a:ln w="25335">
                  <a:noFill/>
                </a:ln>
              </c:spPr>
              <c:txPr>
                <a:bodyPr/>
                <a:lstStyle/>
                <a:p>
                  <a:pPr>
                    <a:defRPr lang="es-ES" sz="798"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DE24-400C-8659-1D13DC47C331}"/>
                </c:ext>
              </c:extLst>
            </c:dLbl>
            <c:dLbl>
              <c:idx val="1"/>
              <c:layout>
                <c:manualLayout>
                  <c:x val="-2.7052554557118136E-2"/>
                  <c:y val="1.9202458398619737E-2"/>
                </c:manualLayout>
              </c:layout>
              <c:numFmt formatCode="#.#00" sourceLinked="0"/>
              <c:spPr>
                <a:noFill/>
                <a:ln w="25335">
                  <a:noFill/>
                </a:ln>
              </c:spPr>
              <c:txPr>
                <a:bodyPr/>
                <a:lstStyle/>
                <a:p>
                  <a:pPr>
                    <a:defRPr lang="es-ES" sz="798"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DE24-400C-8659-1D13DC47C331}"/>
                </c:ext>
              </c:extLst>
            </c:dLbl>
            <c:dLbl>
              <c:idx val="2"/>
              <c:layout>
                <c:manualLayout>
                  <c:x val="-3.7433167422797044E-2"/>
                  <c:y val="2.4976065157315139E-2"/>
                </c:manualLayout>
              </c:layout>
              <c:numFmt formatCode="#.#00" sourceLinked="0"/>
              <c:spPr>
                <a:noFill/>
                <a:ln w="25335">
                  <a:noFill/>
                </a:ln>
              </c:spPr>
              <c:txPr>
                <a:bodyPr/>
                <a:lstStyle/>
                <a:p>
                  <a:pPr>
                    <a:defRPr lang="es-ES" sz="798"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DE24-400C-8659-1D13DC47C331}"/>
                </c:ext>
              </c:extLst>
            </c:dLbl>
            <c:dLbl>
              <c:idx val="3"/>
              <c:layout>
                <c:manualLayout>
                  <c:x val="-3.7433157451105668E-2"/>
                  <c:y val="2.6561115766543159E-2"/>
                </c:manualLayout>
              </c:layout>
              <c:numFmt formatCode="#.#00" sourceLinked="0"/>
              <c:spPr>
                <a:noFill/>
                <a:ln w="25335">
                  <a:noFill/>
                </a:ln>
              </c:spPr>
              <c:txPr>
                <a:bodyPr/>
                <a:lstStyle/>
                <a:p>
                  <a:pPr>
                    <a:defRPr lang="es-ES" sz="798"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DE24-400C-8659-1D13DC47C331}"/>
                </c:ext>
              </c:extLst>
            </c:dLbl>
            <c:dLbl>
              <c:idx val="4"/>
              <c:layout>
                <c:manualLayout>
                  <c:x val="-2.8782628448272181E-2"/>
                  <c:y val="2.7919079778126101E-2"/>
                </c:manualLayout>
              </c:layout>
              <c:numFmt formatCode="#.#00" sourceLinked="0"/>
              <c:spPr>
                <a:noFill/>
                <a:ln w="25335">
                  <a:noFill/>
                </a:ln>
              </c:spPr>
              <c:txPr>
                <a:bodyPr/>
                <a:lstStyle/>
                <a:p>
                  <a:pPr>
                    <a:defRPr lang="es-ES" sz="798"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DE24-400C-8659-1D13DC47C331}"/>
                </c:ext>
              </c:extLst>
            </c:dLbl>
            <c:dLbl>
              <c:idx val="5"/>
              <c:layout>
                <c:manualLayout>
                  <c:xMode val="edge"/>
                  <c:yMode val="edge"/>
                  <c:x val="0.89792387543252661"/>
                  <c:y val="0.73177083333333592"/>
                </c:manualLayout>
              </c:layout>
              <c:numFmt formatCode="#.#00" sourceLinked="0"/>
              <c:spPr>
                <a:noFill/>
                <a:ln w="25335">
                  <a:noFill/>
                </a:ln>
              </c:spPr>
              <c:txPr>
                <a:bodyPr/>
                <a:lstStyle/>
                <a:p>
                  <a:pPr>
                    <a:defRPr lang="es-ES" sz="798"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DE24-400C-8659-1D13DC47C331}"/>
                </c:ext>
              </c:extLst>
            </c:dLbl>
            <c:numFmt formatCode="#.#00" sourceLinked="0"/>
            <c:spPr>
              <a:noFill/>
              <a:ln w="25335">
                <a:noFill/>
              </a:ln>
            </c:spPr>
            <c:txPr>
              <a:bodyPr wrap="square" lIns="38100" tIns="19050" rIns="38100" bIns="19050" anchor="ctr">
                <a:spAutoFit/>
              </a:bodyPr>
              <a:lstStyle/>
              <a:p>
                <a:pPr>
                  <a:defRPr lang="es-ES" sz="798"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Sheet1!$B$1:$Q$1</c:f>
              <c:numCache>
                <c:formatCode>General</c:formatCode>
                <c:ptCount val="5"/>
                <c:pt idx="0">
                  <c:v>2011</c:v>
                </c:pt>
                <c:pt idx="1">
                  <c:v>2012</c:v>
                </c:pt>
                <c:pt idx="2">
                  <c:v>2013</c:v>
                </c:pt>
                <c:pt idx="3">
                  <c:v>2014</c:v>
                </c:pt>
                <c:pt idx="4">
                  <c:v>2015</c:v>
                </c:pt>
              </c:numCache>
            </c:numRef>
          </c:cat>
          <c:val>
            <c:numRef>
              <c:f>Sheet1!$B$5:$Q$5</c:f>
              <c:numCache>
                <c:formatCode>General</c:formatCode>
                <c:ptCount val="5"/>
                <c:pt idx="0">
                  <c:v>7.8</c:v>
                </c:pt>
                <c:pt idx="1">
                  <c:v>8.4</c:v>
                </c:pt>
                <c:pt idx="2">
                  <c:v>8.8000000000000007</c:v>
                </c:pt>
                <c:pt idx="3">
                  <c:v>9</c:v>
                </c:pt>
                <c:pt idx="4">
                  <c:v>9.5</c:v>
                </c:pt>
              </c:numCache>
            </c:numRef>
          </c:val>
          <c:smooth val="1"/>
          <c:extLst xmlns:c16r2="http://schemas.microsoft.com/office/drawing/2015/06/chart">
            <c:ext xmlns:c16="http://schemas.microsoft.com/office/drawing/2014/chart" uri="{C3380CC4-5D6E-409C-BE32-E72D297353CC}">
              <c16:uniqueId val="{0000001B-DE24-400C-8659-1D13DC47C331}"/>
            </c:ext>
          </c:extLst>
        </c:ser>
        <c:dLbls>
          <c:showVal val="1"/>
        </c:dLbls>
        <c:marker val="1"/>
        <c:axId val="102936576"/>
        <c:axId val="102938496"/>
      </c:lineChart>
      <c:catAx>
        <c:axId val="102936576"/>
        <c:scaling>
          <c:orientation val="minMax"/>
        </c:scaling>
        <c:axPos val="b"/>
        <c:title>
          <c:tx>
            <c:rich>
              <a:bodyPr/>
              <a:lstStyle/>
              <a:p>
                <a:pPr>
                  <a:defRPr lang="es-ES" sz="923"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58477508650519194"/>
              <c:y val="0.8958333333333337"/>
            </c:manualLayout>
          </c:layout>
          <c:spPr>
            <a:noFill/>
            <a:ln w="25335">
              <a:noFill/>
            </a:ln>
          </c:spPr>
        </c:title>
        <c:numFmt formatCode="General" sourceLinked="1"/>
        <c:tickLblPos val="nextTo"/>
        <c:spPr>
          <a:ln w="3167">
            <a:solidFill>
              <a:srgbClr val="000000"/>
            </a:solidFill>
            <a:prstDash val="solid"/>
          </a:ln>
        </c:spPr>
        <c:txPr>
          <a:bodyPr rot="0" vert="horz"/>
          <a:lstStyle/>
          <a:p>
            <a:pPr>
              <a:defRPr lang="es-ES" sz="923" b="1" i="0" u="none" strike="noStrike" baseline="0">
                <a:solidFill>
                  <a:srgbClr val="000000"/>
                </a:solidFill>
                <a:latin typeface="Times New Roman"/>
                <a:ea typeface="Times New Roman"/>
                <a:cs typeface="Times New Roman"/>
              </a:defRPr>
            </a:pPr>
            <a:endParaRPr lang="es-CR"/>
          </a:p>
        </c:txPr>
        <c:crossAx val="102938496"/>
        <c:crosses val="autoZero"/>
        <c:auto val="1"/>
        <c:lblAlgn val="ctr"/>
        <c:lblOffset val="100"/>
        <c:tickLblSkip val="1"/>
        <c:tickMarkSkip val="1"/>
      </c:catAx>
      <c:valAx>
        <c:axId val="102938496"/>
        <c:scaling>
          <c:orientation val="minMax"/>
          <c:max val="70"/>
        </c:scaling>
        <c:axPos val="l"/>
        <c:majorGridlines>
          <c:spPr>
            <a:ln w="3167">
              <a:solidFill>
                <a:srgbClr val="000000"/>
              </a:solidFill>
              <a:prstDash val="solid"/>
            </a:ln>
          </c:spPr>
        </c:majorGridlines>
        <c:title>
          <c:tx>
            <c:rich>
              <a:bodyPr rot="0" vert="wordArtVert"/>
              <a:lstStyle/>
              <a:p>
                <a:pPr algn="ctr">
                  <a:defRPr lang="es-ES" sz="923" b="1" i="0" u="none" strike="noStrike" baseline="0">
                    <a:solidFill>
                      <a:srgbClr val="000000"/>
                    </a:solidFill>
                    <a:latin typeface="Times New Roman"/>
                    <a:ea typeface="Times New Roman"/>
                    <a:cs typeface="Times New Roman"/>
                  </a:defRPr>
                </a:pPr>
                <a:r>
                  <a:rPr lang="es-CR"/>
                  <a:t>TOTAL</a:t>
                </a:r>
              </a:p>
            </c:rich>
          </c:tx>
          <c:layout>
            <c:manualLayout>
              <c:xMode val="edge"/>
              <c:yMode val="edge"/>
              <c:x val="1.7301038062283745E-2"/>
              <c:y val="0.38541666666666791"/>
            </c:manualLayout>
          </c:layout>
          <c:spPr>
            <a:noFill/>
            <a:ln w="25335">
              <a:noFill/>
            </a:ln>
          </c:spPr>
        </c:title>
        <c:numFmt formatCode="General" sourceLinked="1"/>
        <c:tickLblPos val="nextTo"/>
        <c:spPr>
          <a:ln w="3167">
            <a:solidFill>
              <a:srgbClr val="000000"/>
            </a:solidFill>
            <a:prstDash val="solid"/>
          </a:ln>
        </c:spPr>
        <c:txPr>
          <a:bodyPr rot="0" vert="horz"/>
          <a:lstStyle/>
          <a:p>
            <a:pPr>
              <a:defRPr lang="es-ES" sz="923" b="1" i="0" u="none" strike="noStrike" baseline="0">
                <a:solidFill>
                  <a:srgbClr val="000000"/>
                </a:solidFill>
                <a:latin typeface="Times New Roman"/>
                <a:ea typeface="Times New Roman"/>
                <a:cs typeface="Times New Roman"/>
              </a:defRPr>
            </a:pPr>
            <a:endParaRPr lang="es-CR"/>
          </a:p>
        </c:txPr>
        <c:crossAx val="102936576"/>
        <c:crosses val="autoZero"/>
        <c:crossBetween val="between"/>
      </c:valAx>
      <c:spPr>
        <a:noFill/>
        <a:ln w="25400">
          <a:noFill/>
        </a:ln>
      </c:spPr>
    </c:plotArea>
    <c:legend>
      <c:legendPos val="r"/>
      <c:layout>
        <c:manualLayout>
          <c:xMode val="edge"/>
          <c:yMode val="edge"/>
          <c:x val="0.34083044982698962"/>
          <c:y val="0.41406250000000056"/>
          <c:w val="0.55017301038062283"/>
          <c:h val="8.8541666666666949E-2"/>
        </c:manualLayout>
      </c:layout>
      <c:spPr>
        <a:solidFill>
          <a:srgbClr val="FFFFFF"/>
        </a:solidFill>
        <a:ln w="3167">
          <a:solidFill>
            <a:srgbClr val="000000"/>
          </a:solidFill>
          <a:prstDash val="solid"/>
        </a:ln>
        <a:effectLst>
          <a:outerShdw dist="35921" dir="2700000" algn="br">
            <a:srgbClr val="000000"/>
          </a:outerShdw>
        </a:effectLst>
      </c:spPr>
      <c:txPr>
        <a:bodyPr/>
        <a:lstStyle/>
        <a:p>
          <a:pPr>
            <a:defRPr lang="es-ES" sz="733" b="0" i="0" u="none" strike="noStrike" baseline="0">
              <a:solidFill>
                <a:srgbClr val="000000"/>
              </a:solidFill>
              <a:latin typeface="Times New Roman"/>
              <a:ea typeface="Times New Roman"/>
              <a:cs typeface="Times New Roman"/>
            </a:defRPr>
          </a:pPr>
          <a:endParaRPr lang="es-CR"/>
        </a:p>
      </c:txPr>
    </c:legend>
    <c:plotVisOnly val="1"/>
    <c:dispBlanksAs val="gap"/>
  </c:chart>
  <c:spPr>
    <a:gradFill rotWithShape="0">
      <a:gsLst>
        <a:gs pos="0">
          <a:srgbClr val="020202">
            <a:gamma/>
            <a:shade val="79216"/>
            <a:invGamma/>
          </a:srgbClr>
        </a:gs>
        <a:gs pos="50000">
          <a:srgbClr val="CCFFFF"/>
        </a:gs>
        <a:gs pos="100000">
          <a:srgbClr val="020202">
            <a:gamma/>
            <a:shade val="79216"/>
            <a:invGamma/>
          </a:srgbClr>
        </a:gs>
      </a:gsLst>
      <a:lin ang="5400000" scaled="1"/>
    </a:gradFill>
    <a:ln w="12668">
      <a:solidFill>
        <a:srgbClr val="000000"/>
      </a:solidFill>
      <a:prstDash val="solid"/>
    </a:ln>
  </c:spPr>
  <c:txPr>
    <a:bodyPr/>
    <a:lstStyle/>
    <a:p>
      <a:pPr>
        <a:defRPr sz="1197" b="1" i="0" u="none" strike="noStrike" baseline="0">
          <a:solidFill>
            <a:srgbClr val="000000"/>
          </a:solidFill>
          <a:latin typeface="Arial"/>
          <a:ea typeface="Arial"/>
          <a:cs typeface="Arial"/>
        </a:defRPr>
      </a:pPr>
      <a:endParaRPr lang="es-CR"/>
    </a:p>
  </c:tx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CR"/>
  <c:chart>
    <c:title>
      <c:tx>
        <c:rich>
          <a:bodyPr/>
          <a:lstStyle/>
          <a:p>
            <a:pPr>
              <a:defRPr lang="es-ES" sz="923" b="1" i="0" u="none" strike="noStrike" baseline="0">
                <a:solidFill>
                  <a:srgbClr val="000000"/>
                </a:solidFill>
                <a:latin typeface="Times New Roman"/>
                <a:ea typeface="Times New Roman"/>
                <a:cs typeface="Times New Roman"/>
              </a:defRPr>
            </a:pPr>
            <a:r>
              <a:rPr lang="es-CR"/>
              <a:t>Gráfico N° 11
Juezas/ Jueces, Auxiliares, Fiscales/Fiscalas, y Defeonsoras/Defensores por 100 mil habitantes durante el período 2011 - 2015</a:t>
            </a:r>
          </a:p>
        </c:rich>
      </c:tx>
      <c:layout>
        <c:manualLayout>
          <c:xMode val="edge"/>
          <c:yMode val="edge"/>
          <c:x val="0.1262975778546713"/>
          <c:y val="2.6041666666666743E-3"/>
        </c:manualLayout>
      </c:layout>
      <c:spPr>
        <a:noFill/>
        <a:ln w="25335">
          <a:noFill/>
        </a:ln>
      </c:spPr>
    </c:title>
    <c:plotArea>
      <c:layout>
        <c:manualLayout>
          <c:layoutTarget val="inner"/>
          <c:xMode val="edge"/>
          <c:yMode val="edge"/>
          <c:x val="0.14013840830449856"/>
          <c:y val="0.25520833333333326"/>
          <c:w val="0.83910034602076133"/>
          <c:h val="0.5546875"/>
        </c:manualLayout>
      </c:layout>
      <c:lineChart>
        <c:grouping val="standard"/>
        <c:ser>
          <c:idx val="0"/>
          <c:order val="0"/>
          <c:tx>
            <c:strRef>
              <c:f>Sheet1!$A$2</c:f>
              <c:strCache>
                <c:ptCount val="1"/>
                <c:pt idx="0">
                  <c:v>Jueces</c:v>
                </c:pt>
              </c:strCache>
            </c:strRef>
          </c:tx>
          <c:spPr>
            <a:ln w="12668">
              <a:solidFill>
                <a:srgbClr val="0000FF"/>
              </a:solidFill>
              <a:prstDash val="solid"/>
            </a:ln>
          </c:spPr>
          <c:marker>
            <c:symbol val="diamond"/>
            <c:size val="5"/>
            <c:spPr>
              <a:solidFill>
                <a:srgbClr val="0000FF"/>
              </a:solidFill>
              <a:ln>
                <a:solidFill>
                  <a:srgbClr val="0000FF"/>
                </a:solidFill>
                <a:prstDash val="solid"/>
              </a:ln>
            </c:spPr>
          </c:marker>
          <c:dLbls>
            <c:dLbl>
              <c:idx val="0"/>
              <c:layout>
                <c:manualLayout>
                  <c:x val="-5.4411683398244509E-2"/>
                  <c:y val="-4.717027559055117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1DB-46DA-9394-9A4E68A8D111}"/>
                </c:ext>
              </c:extLst>
            </c:dLbl>
            <c:dLbl>
              <c:idx val="1"/>
              <c:layout>
                <c:manualLayout>
                  <c:x val="-4.4031050589182497E-2"/>
                  <c:y val="-4.275430228022502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1DB-46DA-9394-9A4E68A8D111}"/>
                </c:ext>
              </c:extLst>
            </c:dLbl>
            <c:dLbl>
              <c:idx val="2"/>
              <c:layout>
                <c:manualLayout>
                  <c:x val="-4.2300936811262839E-2"/>
                  <c:y val="-2.882967813059863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1DB-46DA-9394-9A4E68A8D111}"/>
                </c:ext>
              </c:extLst>
            </c:dLbl>
            <c:dLbl>
              <c:idx val="3"/>
              <c:layout>
                <c:manualLayout>
                  <c:x val="-4.0570823033343174E-2"/>
                  <c:y val="-3.675750337174491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1DB-46DA-9394-9A4E68A8D111}"/>
                </c:ext>
              </c:extLst>
            </c:dLbl>
            <c:dLbl>
              <c:idx val="4"/>
              <c:layout>
                <c:manualLayout>
                  <c:x val="-4.0570813061651466E-2"/>
                  <c:y val="-3.981551267048805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1DB-46DA-9394-9A4E68A8D111}"/>
                </c:ext>
              </c:extLst>
            </c:dLbl>
            <c:dLbl>
              <c:idx val="5"/>
              <c:layout>
                <c:manualLayout>
                  <c:xMode val="edge"/>
                  <c:yMode val="edge"/>
                  <c:x val="0.90311418685120937"/>
                  <c:y val="0.54166666666666652"/>
                </c:manualLayout>
              </c:layout>
              <c:numFmt formatCode="0.0" sourceLinked="0"/>
              <c:spPr>
                <a:noFill/>
                <a:ln w="25335">
                  <a:noFill/>
                </a:ln>
              </c:spPr>
              <c:txPr>
                <a:bodyPr/>
                <a:lstStyle/>
                <a:p>
                  <a:pPr>
                    <a:defRPr lang="es-ES" sz="798"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1DB-46DA-9394-9A4E68A8D111}"/>
                </c:ext>
              </c:extLst>
            </c:dLbl>
            <c:spPr>
              <a:noFill/>
              <a:ln w="25335">
                <a:noFill/>
              </a:ln>
            </c:spPr>
            <c:txPr>
              <a:bodyPr/>
              <a:lstStyle/>
              <a:p>
                <a:pPr>
                  <a:defRPr lang="es-ES" sz="798"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Sheet1!$B$1:$Q$1</c:f>
              <c:numCache>
                <c:formatCode>General</c:formatCode>
                <c:ptCount val="5"/>
                <c:pt idx="0">
                  <c:v>2011</c:v>
                </c:pt>
                <c:pt idx="1">
                  <c:v>2012</c:v>
                </c:pt>
                <c:pt idx="2">
                  <c:v>2013</c:v>
                </c:pt>
                <c:pt idx="3">
                  <c:v>2014</c:v>
                </c:pt>
                <c:pt idx="4">
                  <c:v>2015</c:v>
                </c:pt>
              </c:numCache>
            </c:numRef>
          </c:cat>
          <c:val>
            <c:numRef>
              <c:f>Sheet1!$B$2:$Q$2</c:f>
              <c:numCache>
                <c:formatCode>General</c:formatCode>
                <c:ptCount val="5"/>
                <c:pt idx="0">
                  <c:v>22.7</c:v>
                </c:pt>
                <c:pt idx="1">
                  <c:v>22.6</c:v>
                </c:pt>
                <c:pt idx="2">
                  <c:v>23.7</c:v>
                </c:pt>
                <c:pt idx="3">
                  <c:v>25</c:v>
                </c:pt>
                <c:pt idx="4">
                  <c:v>25.6</c:v>
                </c:pt>
              </c:numCache>
            </c:numRef>
          </c:val>
          <c:smooth val="1"/>
          <c:extLst xmlns:c16r2="http://schemas.microsoft.com/office/drawing/2015/06/chart">
            <c:ext xmlns:c16="http://schemas.microsoft.com/office/drawing/2014/chart" uri="{C3380CC4-5D6E-409C-BE32-E72D297353CC}">
              <c16:uniqueId val="{00000006-11DB-46DA-9394-9A4E68A8D111}"/>
            </c:ext>
          </c:extLst>
        </c:ser>
        <c:ser>
          <c:idx val="1"/>
          <c:order val="1"/>
          <c:tx>
            <c:strRef>
              <c:f>Sheet1!$A$3</c:f>
              <c:strCache>
                <c:ptCount val="1"/>
                <c:pt idx="0">
                  <c:v>Personal Auxiliar</c:v>
                </c:pt>
              </c:strCache>
            </c:strRef>
          </c:tx>
          <c:spPr>
            <a:ln w="12668">
              <a:solidFill>
                <a:srgbClr val="FF00FF"/>
              </a:solidFill>
              <a:prstDash val="solid"/>
            </a:ln>
          </c:spPr>
          <c:marker>
            <c:symbol val="square"/>
            <c:size val="5"/>
            <c:spPr>
              <a:solidFill>
                <a:srgbClr val="FF00FF"/>
              </a:solidFill>
              <a:ln>
                <a:solidFill>
                  <a:srgbClr val="FF00FF"/>
                </a:solidFill>
                <a:prstDash val="solid"/>
              </a:ln>
            </c:spPr>
          </c:marker>
          <c:dLbls>
            <c:dLbl>
              <c:idx val="0"/>
              <c:layout>
                <c:manualLayout>
                  <c:x val="-7.8633136685441724E-2"/>
                  <c:y val="2.240908685217874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1DB-46DA-9394-9A4E68A8D111}"/>
                </c:ext>
              </c:extLst>
            </c:dLbl>
            <c:dLbl>
              <c:idx val="1"/>
              <c:layout>
                <c:manualLayout>
                  <c:x val="-4.4031050589182497E-2"/>
                  <c:y val="-3.827910650416179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1DB-46DA-9394-9A4E68A8D111}"/>
                </c:ext>
              </c:extLst>
            </c:dLbl>
            <c:dLbl>
              <c:idx val="2"/>
              <c:layout>
                <c:manualLayout>
                  <c:x val="-5.0951455842404604E-2"/>
                  <c:y val="-4.552600251558606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1DB-46DA-9394-9A4E68A8D111}"/>
                </c:ext>
              </c:extLst>
            </c:dLbl>
            <c:dLbl>
              <c:idx val="3"/>
              <c:layout>
                <c:manualLayout>
                  <c:x val="-4.4031030645799912E-2"/>
                  <c:y val="-4.654155468837784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1DB-46DA-9394-9A4E68A8D111}"/>
                </c:ext>
              </c:extLst>
            </c:dLbl>
            <c:dLbl>
              <c:idx val="4"/>
              <c:layout>
                <c:manualLayout>
                  <c:x val="-2.6729982611824694E-2"/>
                  <c:y val="-4.824193053875178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1DB-46DA-9394-9A4E68A8D111}"/>
                </c:ext>
              </c:extLst>
            </c:dLbl>
            <c:dLbl>
              <c:idx val="5"/>
              <c:layout>
                <c:manualLayout>
                  <c:xMode val="edge"/>
                  <c:yMode val="edge"/>
                  <c:x val="0.88235294117647056"/>
                  <c:y val="0.30208333333333331"/>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1DB-46DA-9394-9A4E68A8D111}"/>
                </c:ext>
              </c:extLst>
            </c:dLbl>
            <c:spPr>
              <a:noFill/>
              <a:ln w="25335">
                <a:noFill/>
              </a:ln>
            </c:spPr>
            <c:txPr>
              <a:bodyPr/>
              <a:lstStyle/>
              <a:p>
                <a:pPr>
                  <a:defRPr lang="es-ES" sz="798" b="0" i="0" u="none" strike="noStrike" baseline="0">
                    <a:solidFill>
                      <a:srgbClr val="000000"/>
                    </a:solidFill>
                    <a:latin typeface="Arial"/>
                    <a:ea typeface="Arial"/>
                    <a:cs typeface="Arial"/>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Sheet1!$B$1:$Q$1</c:f>
              <c:numCache>
                <c:formatCode>General</c:formatCode>
                <c:ptCount val="5"/>
                <c:pt idx="0">
                  <c:v>2011</c:v>
                </c:pt>
                <c:pt idx="1">
                  <c:v>2012</c:v>
                </c:pt>
                <c:pt idx="2">
                  <c:v>2013</c:v>
                </c:pt>
                <c:pt idx="3">
                  <c:v>2014</c:v>
                </c:pt>
                <c:pt idx="4">
                  <c:v>2015</c:v>
                </c:pt>
              </c:numCache>
            </c:numRef>
          </c:cat>
          <c:val>
            <c:numRef>
              <c:f>Sheet1!$B$3:$Q$3</c:f>
              <c:numCache>
                <c:formatCode>General</c:formatCode>
                <c:ptCount val="5"/>
                <c:pt idx="0">
                  <c:v>55.8</c:v>
                </c:pt>
                <c:pt idx="1">
                  <c:v>55.7</c:v>
                </c:pt>
                <c:pt idx="2">
                  <c:v>56.1</c:v>
                </c:pt>
                <c:pt idx="3">
                  <c:v>54</c:v>
                </c:pt>
                <c:pt idx="4">
                  <c:v>55.1</c:v>
                </c:pt>
              </c:numCache>
            </c:numRef>
          </c:val>
          <c:smooth val="1"/>
          <c:extLst xmlns:c16r2="http://schemas.microsoft.com/office/drawing/2015/06/chart">
            <c:ext xmlns:c16="http://schemas.microsoft.com/office/drawing/2014/chart" uri="{C3380CC4-5D6E-409C-BE32-E72D297353CC}">
              <c16:uniqueId val="{0000000D-11DB-46DA-9394-9A4E68A8D111}"/>
            </c:ext>
          </c:extLst>
        </c:ser>
        <c:ser>
          <c:idx val="2"/>
          <c:order val="2"/>
          <c:tx>
            <c:strRef>
              <c:f>Sheet1!$A$4</c:f>
              <c:strCache>
                <c:ptCount val="1"/>
                <c:pt idx="0">
                  <c:v>Fiscales</c:v>
                </c:pt>
              </c:strCache>
            </c:strRef>
          </c:tx>
          <c:spPr>
            <a:ln w="12668">
              <a:solidFill>
                <a:srgbClr val="FF0000"/>
              </a:solidFill>
              <a:prstDash val="solid"/>
            </a:ln>
          </c:spPr>
          <c:marker>
            <c:symbol val="triangle"/>
            <c:size val="5"/>
            <c:spPr>
              <a:solidFill>
                <a:srgbClr val="FF0000"/>
              </a:solidFill>
              <a:ln>
                <a:solidFill>
                  <a:srgbClr val="FF0000"/>
                </a:solidFill>
                <a:prstDash val="solid"/>
              </a:ln>
            </c:spPr>
          </c:marker>
          <c:dLbls>
            <c:dLbl>
              <c:idx val="0"/>
              <c:layout>
                <c:manualLayout>
                  <c:x val="-4.7491268173330894E-2"/>
                  <c:y val="-2.722258308706351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1DB-46DA-9394-9A4E68A8D111}"/>
                </c:ext>
              </c:extLst>
            </c:dLbl>
            <c:dLbl>
              <c:idx val="1"/>
              <c:layout>
                <c:manualLayout>
                  <c:x val="-4.0570842976725856E-2"/>
                  <c:y val="-2.767642571914029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1DB-46DA-9394-9A4E68A8D111}"/>
                </c:ext>
              </c:extLst>
            </c:dLbl>
            <c:dLbl>
              <c:idx val="2"/>
              <c:layout>
                <c:manualLayout>
                  <c:x val="-4.0570833005034307E-2"/>
                  <c:y val="-2.790318175357148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11DB-46DA-9394-9A4E68A8D111}"/>
                </c:ext>
              </c:extLst>
            </c:dLbl>
            <c:dLbl>
              <c:idx val="3"/>
              <c:layout>
                <c:manualLayout>
                  <c:x val="-3.5380511614657995E-2"/>
                  <c:y val="-2.711082173056426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11DB-46DA-9394-9A4E68A8D111}"/>
                </c:ext>
              </c:extLst>
            </c:dLbl>
            <c:dLbl>
              <c:idx val="4"/>
              <c:layout>
                <c:manualLayout>
                  <c:x val="-3.5380501642966536E-2"/>
                  <c:y val="-3.333860168454987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11DB-46DA-9394-9A4E68A8D111}"/>
                </c:ext>
              </c:extLst>
            </c:dLbl>
            <c:dLbl>
              <c:idx val="5"/>
              <c:layout>
                <c:manualLayout>
                  <c:xMode val="edge"/>
                  <c:yMode val="edge"/>
                  <c:x val="0.90830449826989756"/>
                  <c:y val="0.6614583333333349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11DB-46DA-9394-9A4E68A8D111}"/>
                </c:ext>
              </c:extLst>
            </c:dLbl>
            <c:numFmt formatCode="0.0" sourceLinked="0"/>
            <c:spPr>
              <a:noFill/>
              <a:ln w="25335">
                <a:noFill/>
              </a:ln>
            </c:spPr>
            <c:txPr>
              <a:bodyPr/>
              <a:lstStyle/>
              <a:p>
                <a:pPr>
                  <a:defRPr lang="es-ES" sz="798"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Sheet1!$B$1:$Q$1</c:f>
              <c:numCache>
                <c:formatCode>General</c:formatCode>
                <c:ptCount val="5"/>
                <c:pt idx="0">
                  <c:v>2011</c:v>
                </c:pt>
                <c:pt idx="1">
                  <c:v>2012</c:v>
                </c:pt>
                <c:pt idx="2">
                  <c:v>2013</c:v>
                </c:pt>
                <c:pt idx="3">
                  <c:v>2014</c:v>
                </c:pt>
                <c:pt idx="4">
                  <c:v>2015</c:v>
                </c:pt>
              </c:numCache>
            </c:numRef>
          </c:cat>
          <c:val>
            <c:numRef>
              <c:f>Sheet1!$B$4:$Q$4</c:f>
              <c:numCache>
                <c:formatCode>General</c:formatCode>
                <c:ptCount val="5"/>
                <c:pt idx="0">
                  <c:v>10.1</c:v>
                </c:pt>
                <c:pt idx="1">
                  <c:v>10.7</c:v>
                </c:pt>
                <c:pt idx="2">
                  <c:v>11</c:v>
                </c:pt>
                <c:pt idx="3">
                  <c:v>11.1</c:v>
                </c:pt>
                <c:pt idx="4">
                  <c:v>11.3</c:v>
                </c:pt>
              </c:numCache>
            </c:numRef>
          </c:val>
          <c:smooth val="1"/>
          <c:extLst xmlns:c16r2="http://schemas.microsoft.com/office/drawing/2015/06/chart">
            <c:ext xmlns:c16="http://schemas.microsoft.com/office/drawing/2014/chart" uri="{C3380CC4-5D6E-409C-BE32-E72D297353CC}">
              <c16:uniqueId val="{00000014-11DB-46DA-9394-9A4E68A8D111}"/>
            </c:ext>
          </c:extLst>
        </c:ser>
        <c:ser>
          <c:idx val="3"/>
          <c:order val="3"/>
          <c:tx>
            <c:strRef>
              <c:f>Sheet1!$A$5</c:f>
              <c:strCache>
                <c:ptCount val="1"/>
                <c:pt idx="0">
                  <c:v>Defensores Públicos</c:v>
                </c:pt>
              </c:strCache>
            </c:strRef>
          </c:tx>
          <c:spPr>
            <a:ln w="12668">
              <a:solidFill>
                <a:srgbClr val="000000"/>
              </a:solidFill>
              <a:prstDash val="solid"/>
            </a:ln>
          </c:spPr>
          <c:marker>
            <c:symbol val="x"/>
            <c:size val="4"/>
            <c:spPr>
              <a:solidFill>
                <a:srgbClr val="000000"/>
              </a:solidFill>
              <a:ln>
                <a:solidFill>
                  <a:srgbClr val="000000"/>
                </a:solidFill>
                <a:prstDash val="solid"/>
              </a:ln>
            </c:spPr>
          </c:marker>
          <c:dLbls>
            <c:dLbl>
              <c:idx val="0"/>
              <c:layout>
                <c:manualLayout>
                  <c:x val="-2.7052468647161206E-2"/>
                  <c:y val="2.746881136079654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11DB-46DA-9394-9A4E68A8D111}"/>
                </c:ext>
              </c:extLst>
            </c:dLbl>
            <c:dLbl>
              <c:idx val="1"/>
              <c:layout>
                <c:manualLayout>
                  <c:x val="-2.5322354869241143E-2"/>
                  <c:y val="2.180663539538680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11DB-46DA-9394-9A4E68A8D111}"/>
                </c:ext>
              </c:extLst>
            </c:dLbl>
            <c:dLbl>
              <c:idx val="2"/>
              <c:layout>
                <c:manualLayout>
                  <c:x val="-3.5702967734920092E-2"/>
                  <c:y val="2.758024215408218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11DB-46DA-9394-9A4E68A8D111}"/>
                </c:ext>
              </c:extLst>
            </c:dLbl>
            <c:dLbl>
              <c:idx val="3"/>
              <c:layout>
                <c:manualLayout>
                  <c:x val="-3.5702957763228585E-2"/>
                  <c:y val="2.916529276331019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11DB-46DA-9394-9A4E68A8D111}"/>
                </c:ext>
              </c:extLst>
            </c:dLbl>
            <c:dLbl>
              <c:idx val="4"/>
              <c:layout>
                <c:manualLayout>
                  <c:x val="-2.7052428760395396E-2"/>
                  <c:y val="3.052325677489324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11DB-46DA-9394-9A4E68A8D111}"/>
                </c:ext>
              </c:extLst>
            </c:dLbl>
            <c:dLbl>
              <c:idx val="5"/>
              <c:layout>
                <c:manualLayout>
                  <c:xMode val="edge"/>
                  <c:yMode val="edge"/>
                  <c:x val="0.89792387543252661"/>
                  <c:y val="0.7317708333333359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11DB-46DA-9394-9A4E68A8D111}"/>
                </c:ext>
              </c:extLst>
            </c:dLbl>
            <c:numFmt formatCode="0.0" sourceLinked="0"/>
            <c:spPr>
              <a:noFill/>
              <a:ln w="25335">
                <a:noFill/>
              </a:ln>
            </c:spPr>
            <c:txPr>
              <a:bodyPr/>
              <a:lstStyle/>
              <a:p>
                <a:pPr>
                  <a:defRPr lang="es-ES" sz="798"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Sheet1!$B$1:$Q$1</c:f>
              <c:numCache>
                <c:formatCode>General</c:formatCode>
                <c:ptCount val="5"/>
                <c:pt idx="0">
                  <c:v>2011</c:v>
                </c:pt>
                <c:pt idx="1">
                  <c:v>2012</c:v>
                </c:pt>
                <c:pt idx="2">
                  <c:v>2013</c:v>
                </c:pt>
                <c:pt idx="3">
                  <c:v>2014</c:v>
                </c:pt>
                <c:pt idx="4">
                  <c:v>2015</c:v>
                </c:pt>
              </c:numCache>
            </c:numRef>
          </c:cat>
          <c:val>
            <c:numRef>
              <c:f>Sheet1!$B$5:$Q$5</c:f>
              <c:numCache>
                <c:formatCode>General</c:formatCode>
                <c:ptCount val="5"/>
                <c:pt idx="0">
                  <c:v>7.8</c:v>
                </c:pt>
                <c:pt idx="1">
                  <c:v>8.4</c:v>
                </c:pt>
                <c:pt idx="2">
                  <c:v>8.8000000000000007</c:v>
                </c:pt>
                <c:pt idx="3">
                  <c:v>9</c:v>
                </c:pt>
                <c:pt idx="4">
                  <c:v>9.5</c:v>
                </c:pt>
              </c:numCache>
            </c:numRef>
          </c:val>
          <c:smooth val="1"/>
          <c:extLst xmlns:c16r2="http://schemas.microsoft.com/office/drawing/2015/06/chart">
            <c:ext xmlns:c16="http://schemas.microsoft.com/office/drawing/2014/chart" uri="{C3380CC4-5D6E-409C-BE32-E72D297353CC}">
              <c16:uniqueId val="{0000001B-11DB-46DA-9394-9A4E68A8D111}"/>
            </c:ext>
          </c:extLst>
        </c:ser>
        <c:dLbls>
          <c:showVal val="1"/>
        </c:dLbls>
        <c:marker val="1"/>
        <c:axId val="103783040"/>
        <c:axId val="105382656"/>
      </c:lineChart>
      <c:catAx>
        <c:axId val="103783040"/>
        <c:scaling>
          <c:orientation val="minMax"/>
        </c:scaling>
        <c:axPos val="b"/>
        <c:title>
          <c:tx>
            <c:rich>
              <a:bodyPr/>
              <a:lstStyle/>
              <a:p>
                <a:pPr>
                  <a:defRPr lang="es-ES" sz="923"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58477508650519194"/>
              <c:y val="0.8958333333333337"/>
            </c:manualLayout>
          </c:layout>
          <c:spPr>
            <a:noFill/>
            <a:ln w="25335">
              <a:noFill/>
            </a:ln>
          </c:spPr>
        </c:title>
        <c:numFmt formatCode="General" sourceLinked="1"/>
        <c:tickLblPos val="nextTo"/>
        <c:spPr>
          <a:ln w="3167">
            <a:solidFill>
              <a:srgbClr val="000000"/>
            </a:solidFill>
            <a:prstDash val="solid"/>
          </a:ln>
        </c:spPr>
        <c:txPr>
          <a:bodyPr rot="0" vert="horz"/>
          <a:lstStyle/>
          <a:p>
            <a:pPr>
              <a:defRPr lang="es-ES" sz="923" b="1" i="0" u="none" strike="noStrike" baseline="0">
                <a:solidFill>
                  <a:srgbClr val="000000"/>
                </a:solidFill>
                <a:latin typeface="Times New Roman"/>
                <a:ea typeface="Times New Roman"/>
                <a:cs typeface="Times New Roman"/>
              </a:defRPr>
            </a:pPr>
            <a:endParaRPr lang="es-CR"/>
          </a:p>
        </c:txPr>
        <c:crossAx val="105382656"/>
        <c:crosses val="autoZero"/>
        <c:auto val="1"/>
        <c:lblAlgn val="ctr"/>
        <c:lblOffset val="100"/>
        <c:tickLblSkip val="1"/>
        <c:tickMarkSkip val="1"/>
      </c:catAx>
      <c:valAx>
        <c:axId val="105382656"/>
        <c:scaling>
          <c:orientation val="minMax"/>
          <c:max val="70"/>
        </c:scaling>
        <c:axPos val="l"/>
        <c:majorGridlines>
          <c:spPr>
            <a:ln w="3167">
              <a:solidFill>
                <a:srgbClr val="000000"/>
              </a:solidFill>
              <a:prstDash val="solid"/>
            </a:ln>
          </c:spPr>
        </c:majorGridlines>
        <c:title>
          <c:tx>
            <c:rich>
              <a:bodyPr rot="0" vert="wordArtVert"/>
              <a:lstStyle/>
              <a:p>
                <a:pPr algn="ctr">
                  <a:defRPr lang="es-ES" sz="923" b="1" i="0" u="none" strike="noStrike" baseline="0">
                    <a:solidFill>
                      <a:srgbClr val="000000"/>
                    </a:solidFill>
                    <a:latin typeface="Times New Roman"/>
                    <a:ea typeface="Times New Roman"/>
                    <a:cs typeface="Times New Roman"/>
                  </a:defRPr>
                </a:pPr>
                <a:r>
                  <a:rPr lang="es-CR"/>
                  <a:t>TOTAL</a:t>
                </a:r>
              </a:p>
            </c:rich>
          </c:tx>
          <c:layout>
            <c:manualLayout>
              <c:xMode val="edge"/>
              <c:yMode val="edge"/>
              <c:x val="1.7301038062283745E-2"/>
              <c:y val="0.38541666666666791"/>
            </c:manualLayout>
          </c:layout>
          <c:spPr>
            <a:noFill/>
            <a:ln w="25335">
              <a:noFill/>
            </a:ln>
          </c:spPr>
        </c:title>
        <c:numFmt formatCode="General" sourceLinked="1"/>
        <c:tickLblPos val="nextTo"/>
        <c:spPr>
          <a:ln w="3167">
            <a:solidFill>
              <a:srgbClr val="000000"/>
            </a:solidFill>
            <a:prstDash val="solid"/>
          </a:ln>
        </c:spPr>
        <c:txPr>
          <a:bodyPr rot="0" vert="horz"/>
          <a:lstStyle/>
          <a:p>
            <a:pPr>
              <a:defRPr lang="es-ES" sz="923" b="1" i="0" u="none" strike="noStrike" baseline="0">
                <a:solidFill>
                  <a:srgbClr val="000000"/>
                </a:solidFill>
                <a:latin typeface="Times New Roman"/>
                <a:ea typeface="Times New Roman"/>
                <a:cs typeface="Times New Roman"/>
              </a:defRPr>
            </a:pPr>
            <a:endParaRPr lang="es-CR"/>
          </a:p>
        </c:txPr>
        <c:crossAx val="103783040"/>
        <c:crosses val="autoZero"/>
        <c:crossBetween val="between"/>
      </c:valAx>
      <c:spPr>
        <a:gradFill rotWithShape="0">
          <a:gsLst>
            <a:gs pos="0">
              <a:srgbClr val="FFFFCC">
                <a:gamma/>
                <a:shade val="69804"/>
                <a:invGamma/>
              </a:srgbClr>
            </a:gs>
            <a:gs pos="100000">
              <a:srgbClr val="FFFFCC"/>
            </a:gs>
          </a:gsLst>
          <a:path path="rect">
            <a:fillToRect l="50000" t="50000" r="50000" b="50000"/>
          </a:path>
        </a:gradFill>
        <a:ln w="12668">
          <a:solidFill>
            <a:srgbClr val="808080"/>
          </a:solidFill>
          <a:prstDash val="solid"/>
        </a:ln>
      </c:spPr>
    </c:plotArea>
    <c:legend>
      <c:legendPos val="r"/>
      <c:layout>
        <c:manualLayout>
          <c:xMode val="edge"/>
          <c:yMode val="edge"/>
          <c:x val="0.34083044982698962"/>
          <c:y val="0.41406250000000056"/>
          <c:w val="0.55017301038062283"/>
          <c:h val="8.8541666666666949E-2"/>
        </c:manualLayout>
      </c:layout>
      <c:spPr>
        <a:solidFill>
          <a:srgbClr val="FFFFFF"/>
        </a:solidFill>
        <a:ln w="3167">
          <a:solidFill>
            <a:srgbClr val="000000"/>
          </a:solidFill>
          <a:prstDash val="solid"/>
        </a:ln>
        <a:effectLst>
          <a:outerShdw dist="35921" dir="2700000" algn="br">
            <a:srgbClr val="000000"/>
          </a:outerShdw>
        </a:effectLst>
      </c:spPr>
      <c:txPr>
        <a:bodyPr/>
        <a:lstStyle/>
        <a:p>
          <a:pPr>
            <a:defRPr lang="es-ES" sz="733" b="0" i="0" u="none" strike="noStrike" baseline="0">
              <a:solidFill>
                <a:srgbClr val="000000"/>
              </a:solidFill>
              <a:latin typeface="Times New Roman"/>
              <a:ea typeface="Times New Roman"/>
              <a:cs typeface="Times New Roman"/>
            </a:defRPr>
          </a:pPr>
          <a:endParaRPr lang="es-CR"/>
        </a:p>
      </c:txPr>
    </c:legend>
    <c:plotVisOnly val="1"/>
    <c:dispBlanksAs val="gap"/>
  </c:chart>
  <c:spPr>
    <a:gradFill rotWithShape="0">
      <a:gsLst>
        <a:gs pos="0">
          <a:srgbClr val="CCFFFF">
            <a:gamma/>
            <a:shade val="79216"/>
            <a:invGamma/>
          </a:srgbClr>
        </a:gs>
        <a:gs pos="50000">
          <a:srgbClr val="CCFFFF"/>
        </a:gs>
        <a:gs pos="100000">
          <a:srgbClr val="CCFFFF">
            <a:gamma/>
            <a:shade val="79216"/>
            <a:invGamma/>
          </a:srgbClr>
        </a:gs>
      </a:gsLst>
      <a:lin ang="5400000" scaled="1"/>
    </a:gradFill>
    <a:ln w="12668">
      <a:solidFill>
        <a:srgbClr val="000000"/>
      </a:solidFill>
      <a:prstDash val="solid"/>
    </a:ln>
  </c:spPr>
  <c:txPr>
    <a:bodyPr/>
    <a:lstStyle/>
    <a:p>
      <a:pPr>
        <a:defRPr sz="1197" b="1" i="0" u="none" strike="noStrike" baseline="0">
          <a:solidFill>
            <a:srgbClr val="000000"/>
          </a:solidFill>
          <a:latin typeface="Arial"/>
          <a:ea typeface="Arial"/>
          <a:cs typeface="Arial"/>
        </a:defRPr>
      </a:pPr>
      <a:endParaRPr lang="es-CR"/>
    </a:p>
  </c:txPr>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title>
      <c:tx>
        <c:rich>
          <a:bodyPr/>
          <a:lstStyle/>
          <a:p>
            <a:pPr>
              <a:defRPr lang="es-CR" sz="948" b="1" i="0" u="none" strike="noStrike" baseline="0">
                <a:solidFill>
                  <a:srgbClr val="000000"/>
                </a:solidFill>
                <a:latin typeface="Times New Roman"/>
                <a:ea typeface="Times New Roman"/>
                <a:cs typeface="Times New Roman"/>
              </a:defRPr>
            </a:pPr>
            <a:r>
              <a:rPr lang="es-CR"/>
              <a:t>Gráfico Nº 12
Asuntos entrados por cada 100 mil habitantes 
por año 2011 - 2015</a:t>
            </a:r>
          </a:p>
        </c:rich>
      </c:tx>
      <c:layout>
        <c:manualLayout>
          <c:xMode val="edge"/>
          <c:yMode val="edge"/>
          <c:x val="0.22882115057506244"/>
          <c:y val="1.5584305981044974E-2"/>
        </c:manualLayout>
      </c:layout>
      <c:spPr>
        <a:noFill/>
        <a:ln w="25364">
          <a:noFill/>
        </a:ln>
      </c:spPr>
    </c:title>
    <c:plotArea>
      <c:layout>
        <c:manualLayout>
          <c:layoutTarget val="inner"/>
          <c:xMode val="edge"/>
          <c:yMode val="edge"/>
          <c:x val="0.17098445595854919"/>
          <c:y val="0.1994731020218484"/>
          <c:w val="0.78929188255613691"/>
          <c:h val="0.55377370222737365"/>
        </c:manualLayout>
      </c:layout>
      <c:lineChart>
        <c:grouping val="standard"/>
        <c:ser>
          <c:idx val="2"/>
          <c:order val="0"/>
          <c:tx>
            <c:strRef>
              <c:f>Sheet1!$A$2</c:f>
              <c:strCache>
                <c:ptCount val="1"/>
                <c:pt idx="0">
                  <c:v>Entrados / 100.000 Hab</c:v>
                </c:pt>
              </c:strCache>
            </c:strRef>
          </c:tx>
          <c:spPr>
            <a:ln w="25364">
              <a:solidFill>
                <a:srgbClr val="3366FF"/>
              </a:solidFill>
              <a:prstDash val="solid"/>
            </a:ln>
          </c:spPr>
          <c:marker>
            <c:symbol val="triangle"/>
            <c:size val="3"/>
            <c:spPr>
              <a:solidFill>
                <a:srgbClr val="3366FF"/>
              </a:solidFill>
              <a:ln>
                <a:solidFill>
                  <a:srgbClr val="3366FF"/>
                </a:solidFill>
                <a:prstDash val="solid"/>
              </a:ln>
            </c:spPr>
          </c:marker>
          <c:dLbls>
            <c:dLbl>
              <c:idx val="0"/>
              <c:layout>
                <c:manualLayout>
                  <c:x val="-6.875515560554929E-2"/>
                  <c:y val="-3.838108141719195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B66-4408-9296-847A0A6C6259}"/>
                </c:ext>
              </c:extLst>
            </c:dLbl>
            <c:dLbl>
              <c:idx val="1"/>
              <c:layout>
                <c:manualLayout>
                  <c:x val="-5.9083197882801447E-2"/>
                  <c:y val="-4.377960746291881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B66-4408-9296-847A0A6C6259}"/>
                </c:ext>
              </c:extLst>
            </c:dLbl>
            <c:dLbl>
              <c:idx val="2"/>
              <c:layout>
                <c:manualLayout>
                  <c:x val="-6.3228255032583155E-2"/>
                  <c:y val="-5.157353233815615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B66-4408-9296-847A0A6C6259}"/>
                </c:ext>
              </c:extLst>
            </c:dLbl>
            <c:dLbl>
              <c:idx val="3"/>
              <c:layout>
                <c:manualLayout>
                  <c:x val="-6.3919080748858992E-2"/>
                  <c:y val="-5.652648808833175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B66-4408-9296-847A0A6C6259}"/>
                </c:ext>
              </c:extLst>
            </c:dLbl>
            <c:dLbl>
              <c:idx val="4"/>
              <c:layout>
                <c:manualLayout>
                  <c:x val="-4.8412845453142013E-2"/>
                  <c:y val="-3.2838507406025959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B66-4408-9296-847A0A6C6259}"/>
                </c:ext>
              </c:extLst>
            </c:dLbl>
            <c:dLbl>
              <c:idx val="5"/>
              <c:layout>
                <c:manualLayout>
                  <c:x val="-5.4194843291647414E-2"/>
                  <c:y val="-3.6293452719906402E-2"/>
                </c:manualLayout>
              </c:layout>
              <c:numFmt formatCode="#,##0" sourceLinked="0"/>
              <c:spPr>
                <a:noFill/>
                <a:ln w="25364">
                  <a:noFill/>
                </a:ln>
              </c:spPr>
              <c:txPr>
                <a:bodyPr/>
                <a:lstStyle/>
                <a:p>
                  <a:pPr>
                    <a:defRPr lang="es-ES" sz="849"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B66-4408-9296-847A0A6C6259}"/>
                </c:ext>
              </c:extLst>
            </c:dLbl>
            <c:dLbl>
              <c:idx val="6"/>
              <c:layout>
                <c:manualLayout>
                  <c:xMode val="edge"/>
                  <c:yMode val="edge"/>
                  <c:x val="0.88946459412780199"/>
                  <c:y val="0.50129870129870135"/>
                </c:manualLayout>
              </c:layout>
              <c:numFmt formatCode="#,##0" sourceLinked="0"/>
              <c:spPr>
                <a:noFill/>
                <a:ln w="25364">
                  <a:noFill/>
                </a:ln>
              </c:spPr>
              <c:txPr>
                <a:bodyPr/>
                <a:lstStyle/>
                <a:p>
                  <a:pPr>
                    <a:defRPr lang="es-ES" sz="849"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B66-4408-9296-847A0A6C6259}"/>
                </c:ext>
              </c:extLst>
            </c:dLbl>
            <c:dLbl>
              <c:idx val="7"/>
              <c:layout>
                <c:manualLayout>
                  <c:xMode val="edge"/>
                  <c:yMode val="edge"/>
                  <c:x val="0.90328151986183058"/>
                  <c:y val="0.50129870129870135"/>
                </c:manualLayout>
              </c:layout>
              <c:numFmt formatCode="#,##0" sourceLinked="0"/>
              <c:spPr>
                <a:noFill/>
                <a:ln w="25364">
                  <a:noFill/>
                </a:ln>
              </c:spPr>
              <c:txPr>
                <a:bodyPr/>
                <a:lstStyle/>
                <a:p>
                  <a:pPr>
                    <a:defRPr lang="es-ES" sz="849"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B66-4408-9296-847A0A6C6259}"/>
                </c:ext>
              </c:extLst>
            </c:dLbl>
            <c:dLbl>
              <c:idx val="8"/>
              <c:layout>
                <c:manualLayout>
                  <c:xMode val="edge"/>
                  <c:yMode val="edge"/>
                  <c:x val="0.9015544041450777"/>
                  <c:y val="0.58961038961038958"/>
                </c:manualLayout>
              </c:layout>
              <c:numFmt formatCode="#,##0" sourceLinked="0"/>
              <c:spPr>
                <a:noFill/>
                <a:ln w="25364">
                  <a:noFill/>
                </a:ln>
              </c:spPr>
              <c:txPr>
                <a:bodyPr/>
                <a:lstStyle/>
                <a:p>
                  <a:pPr>
                    <a:defRPr lang="es-ES" sz="849"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B66-4408-9296-847A0A6C6259}"/>
                </c:ext>
              </c:extLst>
            </c:dLbl>
            <c:dLbl>
              <c:idx val="9"/>
              <c:layout>
                <c:manualLayout>
                  <c:xMode val="edge"/>
                  <c:yMode val="edge"/>
                  <c:x val="0.90673575129533668"/>
                  <c:y val="0.50129870129870135"/>
                </c:manualLayout>
              </c:layout>
              <c:numFmt formatCode="#,##0" sourceLinked="0"/>
              <c:spPr>
                <a:noFill/>
                <a:ln w="25364">
                  <a:noFill/>
                </a:ln>
              </c:spPr>
              <c:txPr>
                <a:bodyPr/>
                <a:lstStyle/>
                <a:p>
                  <a:pPr>
                    <a:defRPr lang="es-ES" sz="849"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B66-4408-9296-847A0A6C6259}"/>
                </c:ext>
              </c:extLst>
            </c:dLbl>
            <c:numFmt formatCode="#,##0" sourceLinked="0"/>
            <c:spPr>
              <a:noFill/>
              <a:ln w="25364">
                <a:noFill/>
              </a:ln>
            </c:spPr>
            <c:txPr>
              <a:bodyPr/>
              <a:lstStyle/>
              <a:p>
                <a:pPr>
                  <a:defRPr lang="es-ES" sz="949"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Sheet1!$B$1:$P$1</c:f>
              <c:numCache>
                <c:formatCode>General</c:formatCode>
                <c:ptCount val="5"/>
                <c:pt idx="0">
                  <c:v>2011</c:v>
                </c:pt>
                <c:pt idx="1">
                  <c:v>2012</c:v>
                </c:pt>
                <c:pt idx="2">
                  <c:v>2013</c:v>
                </c:pt>
                <c:pt idx="3">
                  <c:v>2014</c:v>
                </c:pt>
                <c:pt idx="4">
                  <c:v>2015</c:v>
                </c:pt>
              </c:numCache>
            </c:numRef>
          </c:cat>
          <c:val>
            <c:numRef>
              <c:f>Sheet1!$B$2:$P$2</c:f>
              <c:numCache>
                <c:formatCode>General</c:formatCode>
                <c:ptCount val="5"/>
                <c:pt idx="0">
                  <c:v>14518</c:v>
                </c:pt>
                <c:pt idx="1">
                  <c:v>12905</c:v>
                </c:pt>
                <c:pt idx="2">
                  <c:v>12920</c:v>
                </c:pt>
                <c:pt idx="3">
                  <c:v>13036</c:v>
                </c:pt>
                <c:pt idx="4">
                  <c:v>12631</c:v>
                </c:pt>
              </c:numCache>
            </c:numRef>
          </c:val>
          <c:smooth val="1"/>
          <c:extLst xmlns:c16r2="http://schemas.microsoft.com/office/drawing/2015/06/chart">
            <c:ext xmlns:c16="http://schemas.microsoft.com/office/drawing/2014/chart" uri="{C3380CC4-5D6E-409C-BE32-E72D297353CC}">
              <c16:uniqueId val="{0000000A-4B66-4408-9296-847A0A6C6259}"/>
            </c:ext>
          </c:extLst>
        </c:ser>
        <c:dLbls>
          <c:showVal val="1"/>
        </c:dLbls>
        <c:marker val="1"/>
        <c:axId val="105520128"/>
        <c:axId val="105559168"/>
      </c:lineChart>
      <c:catAx>
        <c:axId val="105520128"/>
        <c:scaling>
          <c:orientation val="minMax"/>
        </c:scaling>
        <c:axPos val="b"/>
        <c:title>
          <c:tx>
            <c:rich>
              <a:bodyPr/>
              <a:lstStyle/>
              <a:p>
                <a:pPr>
                  <a:defRPr lang="es-ES" sz="969" b="1" i="0" u="none" strike="noStrike" baseline="0">
                    <a:solidFill>
                      <a:srgbClr val="000000"/>
                    </a:solidFill>
                    <a:latin typeface="Times New Roman"/>
                    <a:ea typeface="Times New Roman"/>
                    <a:cs typeface="Times New Roman"/>
                  </a:defRPr>
                </a:pPr>
                <a:r>
                  <a:rPr lang="es-ES"/>
                  <a:t>AÑO</a:t>
                </a:r>
              </a:p>
            </c:rich>
          </c:tx>
          <c:layout>
            <c:manualLayout>
              <c:xMode val="edge"/>
              <c:yMode val="edge"/>
              <c:x val="0.54404154416320272"/>
              <c:y val="0.84675325552151892"/>
            </c:manualLayout>
          </c:layout>
          <c:spPr>
            <a:noFill/>
            <a:ln w="25364">
              <a:noFill/>
            </a:ln>
          </c:spPr>
        </c:title>
        <c:numFmt formatCode="General" sourceLinked="1"/>
        <c:tickLblPos val="nextTo"/>
        <c:spPr>
          <a:ln w="3170">
            <a:solidFill>
              <a:srgbClr val="000000"/>
            </a:solidFill>
            <a:prstDash val="solid"/>
          </a:ln>
        </c:spPr>
        <c:txPr>
          <a:bodyPr rot="0" vert="horz"/>
          <a:lstStyle/>
          <a:p>
            <a:pPr>
              <a:defRPr lang="es-ES" sz="974" b="1" i="0" u="none" strike="noStrike" baseline="0">
                <a:solidFill>
                  <a:srgbClr val="000000"/>
                </a:solidFill>
                <a:latin typeface="Times New Roman"/>
                <a:ea typeface="Times New Roman"/>
                <a:cs typeface="Times New Roman"/>
              </a:defRPr>
            </a:pPr>
            <a:endParaRPr lang="es-CR"/>
          </a:p>
        </c:txPr>
        <c:crossAx val="105559168"/>
        <c:crosses val="autoZero"/>
        <c:auto val="1"/>
        <c:lblAlgn val="ctr"/>
        <c:lblOffset val="100"/>
        <c:tickLblSkip val="1"/>
        <c:tickMarkSkip val="1"/>
      </c:catAx>
      <c:valAx>
        <c:axId val="105559168"/>
        <c:scaling>
          <c:orientation val="minMax"/>
          <c:max val="16000"/>
          <c:min val="12000"/>
        </c:scaling>
        <c:axPos val="l"/>
        <c:majorGridlines>
          <c:spPr>
            <a:ln w="3170">
              <a:solidFill>
                <a:srgbClr val="000000"/>
              </a:solidFill>
              <a:prstDash val="solid"/>
            </a:ln>
          </c:spPr>
        </c:majorGridlines>
        <c:title>
          <c:tx>
            <c:rich>
              <a:bodyPr rot="0" vert="wordArtVert"/>
              <a:lstStyle/>
              <a:p>
                <a:pPr algn="ctr">
                  <a:defRPr lang="es-ES" sz="869" b="1" i="0" u="none" strike="noStrike" baseline="0">
                    <a:solidFill>
                      <a:srgbClr val="000000"/>
                    </a:solidFill>
                    <a:latin typeface="Times New Roman"/>
                    <a:ea typeface="Times New Roman"/>
                    <a:cs typeface="Times New Roman"/>
                  </a:defRPr>
                </a:pPr>
                <a:r>
                  <a:rPr lang="es-ES"/>
                  <a:t>ASUNTOS</a:t>
                </a:r>
              </a:p>
            </c:rich>
          </c:tx>
          <c:layout>
            <c:manualLayout>
              <c:xMode val="edge"/>
              <c:yMode val="edge"/>
              <c:x val="1.8998344091108791E-2"/>
              <c:y val="0.32727278865061643"/>
            </c:manualLayout>
          </c:layout>
          <c:spPr>
            <a:noFill/>
            <a:ln w="25364">
              <a:noFill/>
            </a:ln>
          </c:spPr>
        </c:title>
        <c:numFmt formatCode="General" sourceLinked="1"/>
        <c:tickLblPos val="nextTo"/>
        <c:spPr>
          <a:ln w="3170">
            <a:solidFill>
              <a:srgbClr val="000000"/>
            </a:solidFill>
            <a:prstDash val="solid"/>
          </a:ln>
        </c:spPr>
        <c:txPr>
          <a:bodyPr rot="0" vert="horz"/>
          <a:lstStyle/>
          <a:p>
            <a:pPr>
              <a:defRPr lang="es-ES" sz="974" b="1" i="0" u="none" strike="noStrike" baseline="0">
                <a:solidFill>
                  <a:srgbClr val="000000"/>
                </a:solidFill>
                <a:latin typeface="Times New Roman"/>
                <a:ea typeface="Times New Roman"/>
                <a:cs typeface="Times New Roman"/>
              </a:defRPr>
            </a:pPr>
            <a:endParaRPr lang="es-CR"/>
          </a:p>
        </c:txPr>
        <c:crossAx val="105520128"/>
        <c:crosses val="autoZero"/>
        <c:crossBetween val="between"/>
        <c:majorUnit val="1000"/>
        <c:minorUnit val="1000"/>
      </c:valAx>
      <c:spPr>
        <a:gradFill rotWithShape="0">
          <a:gsLst>
            <a:gs pos="0">
              <a:srgbClr val="CCFFFF">
                <a:gamma/>
                <a:shade val="89020"/>
                <a:invGamma/>
              </a:srgbClr>
            </a:gs>
            <a:gs pos="50000">
              <a:srgbClr val="CCFFFF"/>
            </a:gs>
            <a:gs pos="100000">
              <a:srgbClr val="CCFFFF">
                <a:gamma/>
                <a:shade val="89020"/>
                <a:invGamma/>
              </a:srgbClr>
            </a:gs>
          </a:gsLst>
          <a:lin ang="5400000" scaled="1"/>
        </a:gradFill>
        <a:ln w="12681">
          <a:solidFill>
            <a:srgbClr val="808080"/>
          </a:solidFill>
          <a:prstDash val="solid"/>
        </a:ln>
      </c:spPr>
    </c:plotArea>
    <c:plotVisOnly val="1"/>
    <c:dispBlanksAs val="gap"/>
  </c:chart>
  <c:spPr>
    <a:gradFill rotWithShape="0">
      <a:gsLst>
        <a:gs pos="0">
          <a:srgbClr val="FFFFCC">
            <a:gamma/>
            <a:shade val="76078"/>
            <a:invGamma/>
          </a:srgbClr>
        </a:gs>
        <a:gs pos="50000">
          <a:srgbClr val="FFFFCC"/>
        </a:gs>
        <a:gs pos="100000">
          <a:srgbClr val="FFFFCC">
            <a:gamma/>
            <a:shade val="76078"/>
            <a:invGamma/>
          </a:srgbClr>
        </a:gs>
      </a:gsLst>
      <a:lin ang="5400000" scaled="1"/>
    </a:gradFill>
    <a:ln w="3170">
      <a:solidFill>
        <a:srgbClr val="000000"/>
      </a:solidFill>
      <a:prstDash val="solid"/>
    </a:ln>
    <a:effectLst>
      <a:outerShdw dist="35921" dir="2700000" algn="br">
        <a:srgbClr val="000000"/>
      </a:outerShdw>
    </a:effectLst>
  </c:spPr>
  <c:txPr>
    <a:bodyPr/>
    <a:lstStyle/>
    <a:p>
      <a:pPr>
        <a:defRPr sz="1199" b="1" i="0" u="none" strike="noStrike" baseline="0">
          <a:solidFill>
            <a:srgbClr val="000000"/>
          </a:solidFill>
          <a:latin typeface="Arial"/>
          <a:ea typeface="Arial"/>
          <a:cs typeface="Arial"/>
        </a:defRPr>
      </a:pPr>
      <a:endParaRPr lang="es-CR"/>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title>
      <c:tx>
        <c:rich>
          <a:bodyPr/>
          <a:lstStyle/>
          <a:p>
            <a:pPr>
              <a:defRPr lang="es-CR" sz="949" b="1" i="0" u="none" strike="noStrike" baseline="0">
                <a:solidFill>
                  <a:srgbClr val="000000"/>
                </a:solidFill>
                <a:latin typeface="Times New Roman"/>
                <a:ea typeface="Times New Roman"/>
                <a:cs typeface="Times New Roman"/>
              </a:defRPr>
            </a:pPr>
            <a:r>
              <a:rPr lang="es-CR"/>
              <a:t>Gráfico Nº 13
Asuntos entrados en primera instancia por Jueza o Juez 
por año 2011 - 2015
</a:t>
            </a:r>
          </a:p>
        </c:rich>
      </c:tx>
      <c:layout>
        <c:manualLayout>
          <c:xMode val="edge"/>
          <c:yMode val="edge"/>
          <c:x val="0.17452005609485918"/>
          <c:y val="1.8918923794319541E-2"/>
        </c:manualLayout>
      </c:layout>
      <c:spPr>
        <a:noFill/>
        <a:ln w="25381">
          <a:noFill/>
        </a:ln>
      </c:spPr>
    </c:title>
    <c:plotArea>
      <c:layout>
        <c:manualLayout>
          <c:layoutTarget val="inner"/>
          <c:xMode val="edge"/>
          <c:yMode val="edge"/>
          <c:x val="0.15183246073298559"/>
          <c:y val="0.20494335876409375"/>
          <c:w val="0.78534031413612571"/>
          <c:h val="0.54100267906926147"/>
        </c:manualLayout>
      </c:layout>
      <c:lineChart>
        <c:grouping val="standard"/>
        <c:ser>
          <c:idx val="0"/>
          <c:order val="0"/>
          <c:tx>
            <c:strRef>
              <c:f>Sheet1!$A$2</c:f>
              <c:strCache>
                <c:ptCount val="1"/>
                <c:pt idx="0">
                  <c:v>Con Tránsito</c:v>
                </c:pt>
              </c:strCache>
            </c:strRef>
          </c:tx>
          <c:spPr>
            <a:ln w="25381">
              <a:solidFill>
                <a:srgbClr val="000000"/>
              </a:solidFill>
              <a:prstDash val="solid"/>
            </a:ln>
          </c:spPr>
          <c:marker>
            <c:symbol val="diamond"/>
            <c:size val="3"/>
            <c:spPr>
              <a:solidFill>
                <a:srgbClr val="000000"/>
              </a:solidFill>
              <a:ln>
                <a:solidFill>
                  <a:srgbClr val="000000"/>
                </a:solidFill>
                <a:prstDash val="solid"/>
              </a:ln>
            </c:spPr>
          </c:marker>
          <c:dLbls>
            <c:dLbl>
              <c:idx val="0"/>
              <c:layout>
                <c:manualLayout>
                  <c:x val="-5.7117481755860622E-2"/>
                  <c:y val="-6.395612596807977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4AC-4D8E-9F44-F0E7C93ADBF5}"/>
                </c:ext>
              </c:extLst>
            </c:dLbl>
            <c:dLbl>
              <c:idx val="1"/>
              <c:layout>
                <c:manualLayout>
                  <c:x val="-3.9665533101618196E-2"/>
                  <c:y val="-6.605177451124140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4AC-4D8E-9F44-F0E7C93ADBF5}"/>
                </c:ext>
              </c:extLst>
            </c:dLbl>
            <c:dLbl>
              <c:idx val="2"/>
              <c:layout>
                <c:manualLayout>
                  <c:x val="-1.6977982353136155E-2"/>
                  <c:y val="-5.374550532744813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4AC-4D8E-9F44-F0E7C93ADBF5}"/>
                </c:ext>
              </c:extLst>
            </c:dLbl>
            <c:dLbl>
              <c:idx val="3"/>
              <c:layout>
                <c:manualLayout>
                  <c:x val="-4.1410627645357113E-2"/>
                  <c:y val="-6.306411976825261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4AC-4D8E-9F44-F0E7C93ADBF5}"/>
                </c:ext>
              </c:extLst>
            </c:dLbl>
            <c:dLbl>
              <c:idx val="4"/>
              <c:layout>
                <c:manualLayout>
                  <c:x val="-5.3102593924486421E-2"/>
                  <c:y val="-6.828090789169488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4AC-4D8E-9F44-F0E7C93ADBF5}"/>
                </c:ext>
              </c:extLst>
            </c:dLbl>
            <c:dLbl>
              <c:idx val="5"/>
              <c:layout>
                <c:manualLayout>
                  <c:xMode val="edge"/>
                  <c:yMode val="edge"/>
                  <c:x val="0.88481675392670156"/>
                  <c:y val="0.46486486486487155"/>
                </c:manualLayout>
              </c:layout>
              <c:spPr>
                <a:noFill/>
                <a:ln w="25381">
                  <a:noFill/>
                </a:ln>
              </c:spPr>
              <c:txPr>
                <a:bodyPr/>
                <a:lstStyle/>
                <a:p>
                  <a:pPr>
                    <a:defRPr lang="es-ES" sz="825"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4AC-4D8E-9F44-F0E7C93ADBF5}"/>
                </c:ext>
              </c:extLst>
            </c:dLbl>
            <c:dLbl>
              <c:idx val="6"/>
              <c:spPr>
                <a:noFill/>
                <a:ln w="25381">
                  <a:noFill/>
                </a:ln>
              </c:spPr>
              <c:txPr>
                <a:bodyPr/>
                <a:lstStyle/>
                <a:p>
                  <a:pPr>
                    <a:defRPr lang="es-ES" sz="825"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4AC-4D8E-9F44-F0E7C93ADBF5}"/>
                </c:ext>
              </c:extLst>
            </c:dLbl>
            <c:dLbl>
              <c:idx val="7"/>
              <c:spPr>
                <a:noFill/>
                <a:ln w="25381">
                  <a:noFill/>
                </a:ln>
              </c:spPr>
              <c:txPr>
                <a:bodyPr/>
                <a:lstStyle/>
                <a:p>
                  <a:pPr>
                    <a:defRPr lang="es-ES" sz="825"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4AC-4D8E-9F44-F0E7C93ADBF5}"/>
                </c:ext>
              </c:extLst>
            </c:dLbl>
            <c:dLbl>
              <c:idx val="8"/>
              <c:spPr>
                <a:noFill/>
                <a:ln w="25381">
                  <a:noFill/>
                </a:ln>
              </c:spPr>
              <c:txPr>
                <a:bodyPr/>
                <a:lstStyle/>
                <a:p>
                  <a:pPr>
                    <a:defRPr lang="es-ES" sz="825"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4AC-4D8E-9F44-F0E7C93ADBF5}"/>
                </c:ext>
              </c:extLst>
            </c:dLbl>
            <c:dLbl>
              <c:idx val="9"/>
              <c:spPr>
                <a:noFill/>
                <a:ln w="25381">
                  <a:noFill/>
                </a:ln>
              </c:spPr>
              <c:txPr>
                <a:bodyPr/>
                <a:lstStyle/>
                <a:p>
                  <a:pPr>
                    <a:defRPr lang="es-ES" sz="825"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4AC-4D8E-9F44-F0E7C93ADBF5}"/>
                </c:ext>
              </c:extLst>
            </c:dLbl>
            <c:spPr>
              <a:noFill/>
              <a:ln w="25381">
                <a:noFill/>
              </a:ln>
            </c:spPr>
            <c:txPr>
              <a:bodyPr/>
              <a:lstStyle/>
              <a:p>
                <a:pPr>
                  <a:defRPr lang="es-ES" sz="925"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Sheet1!$B$1:$P$1</c:f>
              <c:numCache>
                <c:formatCode>General</c:formatCode>
                <c:ptCount val="5"/>
                <c:pt idx="0">
                  <c:v>2011</c:v>
                </c:pt>
                <c:pt idx="1">
                  <c:v>2012</c:v>
                </c:pt>
                <c:pt idx="2">
                  <c:v>2013</c:v>
                </c:pt>
                <c:pt idx="3">
                  <c:v>2014</c:v>
                </c:pt>
                <c:pt idx="4">
                  <c:v>2015</c:v>
                </c:pt>
              </c:numCache>
            </c:numRef>
          </c:cat>
          <c:val>
            <c:numRef>
              <c:f>Sheet1!$B$2:$P$2</c:f>
              <c:numCache>
                <c:formatCode>General</c:formatCode>
                <c:ptCount val="5"/>
                <c:pt idx="0">
                  <c:v>710</c:v>
                </c:pt>
                <c:pt idx="1">
                  <c:v>640</c:v>
                </c:pt>
                <c:pt idx="2">
                  <c:v>628</c:v>
                </c:pt>
                <c:pt idx="3">
                  <c:v>602</c:v>
                </c:pt>
                <c:pt idx="4">
                  <c:v>571</c:v>
                </c:pt>
              </c:numCache>
            </c:numRef>
          </c:val>
          <c:smooth val="1"/>
          <c:extLst xmlns:c16r2="http://schemas.microsoft.com/office/drawing/2015/06/chart">
            <c:ext xmlns:c16="http://schemas.microsoft.com/office/drawing/2014/chart" uri="{C3380CC4-5D6E-409C-BE32-E72D297353CC}">
              <c16:uniqueId val="{0000000A-C4AC-4D8E-9F44-F0E7C93ADBF5}"/>
            </c:ext>
          </c:extLst>
        </c:ser>
        <c:dLbls>
          <c:showVal val="1"/>
        </c:dLbls>
        <c:marker val="1"/>
        <c:axId val="105577472"/>
        <c:axId val="107795584"/>
      </c:lineChart>
      <c:catAx>
        <c:axId val="105577472"/>
        <c:scaling>
          <c:orientation val="minMax"/>
        </c:scaling>
        <c:axPos val="b"/>
        <c:title>
          <c:tx>
            <c:rich>
              <a:bodyPr/>
              <a:lstStyle/>
              <a:p>
                <a:pPr>
                  <a:defRPr lang="es-ES" sz="945" b="1" i="0" u="none" strike="noStrike" baseline="0">
                    <a:solidFill>
                      <a:srgbClr val="000000"/>
                    </a:solidFill>
                    <a:latin typeface="Times New Roman"/>
                    <a:ea typeface="Times New Roman"/>
                    <a:cs typeface="Times New Roman"/>
                  </a:defRPr>
                </a:pPr>
                <a:r>
                  <a:rPr lang="es-ES"/>
                  <a:t>AÑO</a:t>
                </a:r>
              </a:p>
            </c:rich>
          </c:tx>
          <c:layout>
            <c:manualLayout>
              <c:xMode val="edge"/>
              <c:yMode val="edge"/>
              <c:x val="0.56195458935616416"/>
              <c:y val="0.84054044790792859"/>
            </c:manualLayout>
          </c:layout>
          <c:spPr>
            <a:noFill/>
            <a:ln w="25381">
              <a:noFill/>
            </a:ln>
          </c:spPr>
        </c:title>
        <c:numFmt formatCode="General" sourceLinked="1"/>
        <c:tickLblPos val="nextTo"/>
        <c:spPr>
          <a:ln w="3173">
            <a:solidFill>
              <a:srgbClr val="000000"/>
            </a:solidFill>
            <a:prstDash val="solid"/>
          </a:ln>
        </c:spPr>
        <c:txPr>
          <a:bodyPr rot="0" vert="horz"/>
          <a:lstStyle/>
          <a:p>
            <a:pPr>
              <a:defRPr lang="es-ES" sz="950" b="1" i="0" u="none" strike="noStrike" baseline="0">
                <a:solidFill>
                  <a:srgbClr val="000000"/>
                </a:solidFill>
                <a:latin typeface="Times New Roman"/>
                <a:ea typeface="Times New Roman"/>
                <a:cs typeface="Times New Roman"/>
              </a:defRPr>
            </a:pPr>
            <a:endParaRPr lang="es-CR"/>
          </a:p>
        </c:txPr>
        <c:crossAx val="107795584"/>
        <c:crosses val="autoZero"/>
        <c:auto val="1"/>
        <c:lblAlgn val="ctr"/>
        <c:lblOffset val="100"/>
        <c:tickLblSkip val="1"/>
        <c:tickMarkSkip val="1"/>
      </c:catAx>
      <c:valAx>
        <c:axId val="107795584"/>
        <c:scaling>
          <c:orientation val="minMax"/>
          <c:max val="800"/>
          <c:min val="500"/>
        </c:scaling>
        <c:axPos val="l"/>
        <c:majorGridlines>
          <c:spPr>
            <a:ln w="3173">
              <a:solidFill>
                <a:srgbClr val="000000"/>
              </a:solidFill>
              <a:prstDash val="solid"/>
            </a:ln>
          </c:spPr>
        </c:majorGridlines>
        <c:title>
          <c:tx>
            <c:rich>
              <a:bodyPr rot="0" vert="wordArtVert"/>
              <a:lstStyle/>
              <a:p>
                <a:pPr algn="ctr">
                  <a:defRPr lang="es-ES" sz="820" b="1" i="0" u="none" strike="noStrike" baseline="0">
                    <a:solidFill>
                      <a:srgbClr val="000000"/>
                    </a:solidFill>
                    <a:latin typeface="Times New Roman"/>
                    <a:ea typeface="Times New Roman"/>
                    <a:cs typeface="Times New Roman"/>
                  </a:defRPr>
                </a:pPr>
                <a:r>
                  <a:rPr lang="es-ES"/>
                  <a:t>ASUNTOS</a:t>
                </a:r>
              </a:p>
            </c:rich>
          </c:tx>
          <c:layout>
            <c:manualLayout>
              <c:xMode val="edge"/>
              <c:yMode val="edge"/>
              <c:x val="1.7452049263072887E-2"/>
              <c:y val="0.31081058166698428"/>
            </c:manualLayout>
          </c:layout>
          <c:spPr>
            <a:noFill/>
            <a:ln w="25381">
              <a:noFill/>
            </a:ln>
          </c:spPr>
        </c:title>
        <c:numFmt formatCode="General" sourceLinked="1"/>
        <c:tickLblPos val="nextTo"/>
        <c:spPr>
          <a:ln w="3173">
            <a:solidFill>
              <a:srgbClr val="000000"/>
            </a:solidFill>
            <a:prstDash val="solid"/>
          </a:ln>
        </c:spPr>
        <c:txPr>
          <a:bodyPr rot="0" vert="horz"/>
          <a:lstStyle/>
          <a:p>
            <a:pPr>
              <a:defRPr lang="es-ES" sz="950" b="1" i="0" u="none" strike="noStrike" baseline="0">
                <a:solidFill>
                  <a:srgbClr val="000000"/>
                </a:solidFill>
                <a:latin typeface="Times New Roman"/>
                <a:ea typeface="Times New Roman"/>
                <a:cs typeface="Times New Roman"/>
              </a:defRPr>
            </a:pPr>
            <a:endParaRPr lang="es-CR"/>
          </a:p>
        </c:txPr>
        <c:crossAx val="105577472"/>
        <c:crosses val="autoZero"/>
        <c:crossBetween val="between"/>
        <c:majorUnit val="100"/>
        <c:minorUnit val="100"/>
      </c:valAx>
      <c:spPr>
        <a:gradFill rotWithShape="0">
          <a:gsLst>
            <a:gs pos="0">
              <a:srgbClr val="CCFFFF">
                <a:gamma/>
                <a:shade val="85882"/>
                <a:invGamma/>
              </a:srgbClr>
            </a:gs>
            <a:gs pos="50000">
              <a:srgbClr val="CCFFFF"/>
            </a:gs>
            <a:gs pos="100000">
              <a:srgbClr val="CCFFFF">
                <a:gamma/>
                <a:shade val="85882"/>
                <a:invGamma/>
              </a:srgbClr>
            </a:gs>
          </a:gsLst>
          <a:lin ang="2700000" scaled="1"/>
        </a:gradFill>
        <a:ln w="12691">
          <a:solidFill>
            <a:srgbClr val="808080"/>
          </a:solidFill>
          <a:prstDash val="solid"/>
        </a:ln>
      </c:spPr>
    </c:plotArea>
    <c:plotVisOnly val="1"/>
    <c:dispBlanksAs val="gap"/>
  </c:chart>
  <c:spPr>
    <a:gradFill rotWithShape="0">
      <a:gsLst>
        <a:gs pos="0">
          <a:srgbClr val="FFFFCC">
            <a:gamma/>
            <a:shade val="79216"/>
            <a:invGamma/>
          </a:srgbClr>
        </a:gs>
        <a:gs pos="50000">
          <a:srgbClr val="FFFFCC"/>
        </a:gs>
        <a:gs pos="100000">
          <a:srgbClr val="FFFFCC">
            <a:gamma/>
            <a:shade val="79216"/>
            <a:invGamma/>
          </a:srgbClr>
        </a:gs>
      </a:gsLst>
      <a:lin ang="2700000" scaled="1"/>
    </a:gradFill>
    <a:ln w="3173">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title>
      <c:tx>
        <c:rich>
          <a:bodyPr/>
          <a:lstStyle/>
          <a:p>
            <a:pPr>
              <a:defRPr lang="es-CR" sz="948" b="1" i="0" u="none" strike="noStrike" baseline="0">
                <a:solidFill>
                  <a:srgbClr val="000000"/>
                </a:solidFill>
                <a:latin typeface="Times New Roman"/>
                <a:ea typeface="Times New Roman"/>
                <a:cs typeface="Times New Roman"/>
              </a:defRPr>
            </a:pPr>
            <a:r>
              <a:rPr lang="es-CR"/>
              <a:t>Gráfico Nº 14
Tasa de crecimiento de los asuntos registrados 
por año. 2011 - 2015</a:t>
            </a:r>
          </a:p>
        </c:rich>
      </c:tx>
      <c:layout>
        <c:manualLayout>
          <c:xMode val="edge"/>
          <c:yMode val="edge"/>
          <c:x val="0.22416820723496519"/>
          <c:y val="1.8867891513560869E-2"/>
        </c:manualLayout>
      </c:layout>
      <c:spPr>
        <a:noFill/>
        <a:ln w="25339">
          <a:noFill/>
        </a:ln>
      </c:spPr>
    </c:title>
    <c:view3D>
      <c:hPercent val="233"/>
      <c:depthPercent val="100"/>
      <c:rAngAx val="1"/>
    </c:view3D>
    <c:floor>
      <c:spPr>
        <a:solidFill>
          <a:srgbClr val="C0C0C0"/>
        </a:solidFill>
        <a:ln w="3175">
          <a:solidFill>
            <a:srgbClr val="000000"/>
          </a:solidFill>
          <a:prstDash val="solid"/>
        </a:ln>
      </c:spPr>
    </c:floor>
    <c:sideWall>
      <c:spPr>
        <a:gradFill rotWithShape="0">
          <a:gsLst>
            <a:gs pos="0">
              <a:srgbClr val="CCFFFF"/>
            </a:gs>
            <a:gs pos="100000">
              <a:srgbClr val="CCFFFF">
                <a:gamma/>
                <a:shade val="79216"/>
                <a:invGamma/>
              </a:srgbClr>
            </a:gs>
          </a:gsLst>
          <a:lin ang="2700000" scaled="1"/>
        </a:gradFill>
        <a:ln w="12700">
          <a:solidFill>
            <a:srgbClr val="808080"/>
          </a:solidFill>
          <a:prstDash val="solid"/>
        </a:ln>
      </c:spPr>
    </c:sideWall>
    <c:backWall>
      <c:spPr>
        <a:gradFill rotWithShape="0">
          <a:gsLst>
            <a:gs pos="0">
              <a:srgbClr val="CCFFFF"/>
            </a:gs>
            <a:gs pos="100000">
              <a:srgbClr val="CCFFFF">
                <a:gamma/>
                <a:shade val="79216"/>
                <a:invGamma/>
              </a:srgbClr>
            </a:gs>
          </a:gsLst>
          <a:lin ang="2700000" scaled="1"/>
        </a:gradFill>
        <a:ln w="12700">
          <a:solidFill>
            <a:srgbClr val="808080"/>
          </a:solidFill>
          <a:prstDash val="solid"/>
        </a:ln>
      </c:spPr>
    </c:backWall>
    <c:plotArea>
      <c:layout>
        <c:manualLayout>
          <c:layoutTarget val="inner"/>
          <c:xMode val="edge"/>
          <c:yMode val="edge"/>
          <c:x val="0.18907385299154472"/>
          <c:y val="0.12525449822648141"/>
          <c:w val="0.70198236506637657"/>
          <c:h val="0.705370743385759"/>
        </c:manualLayout>
      </c:layout>
      <c:bar3DChart>
        <c:barDir val="bar"/>
        <c:grouping val="clustered"/>
        <c:ser>
          <c:idx val="0"/>
          <c:order val="0"/>
          <c:dLbls>
            <c:dLbl>
              <c:idx val="0"/>
              <c:layout>
                <c:manualLayout>
                  <c:x val="0"/>
                  <c:y val="-4.3066322136090639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0B5-4A29-9876-356815A55043}"/>
                </c:ext>
              </c:extLst>
            </c:dLbl>
            <c:dLbl>
              <c:idx val="1"/>
              <c:layout>
                <c:manualLayout>
                  <c:x val="-5.6785917092561124E-3"/>
                  <c:y val="-8.613264427217916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0B5-4A29-9876-356815A55043}"/>
                </c:ext>
              </c:extLst>
            </c:dLbl>
            <c:dLbl>
              <c:idx val="2"/>
              <c:layout>
                <c:manualLayout>
                  <c:x val="-8.5178875638841564E-3"/>
                  <c:y val="-4.3066322136089581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0B5-4A29-9876-356815A55043}"/>
                </c:ext>
              </c:extLst>
            </c:dLbl>
            <c:dLbl>
              <c:idx val="3"/>
              <c:layout>
                <c:manualLayout>
                  <c:x val="-8.5178875638841564E-3"/>
                  <c:y val="-8.613264427217916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0B5-4A29-9876-356815A55043}"/>
                </c:ext>
              </c:extLst>
            </c:dLbl>
            <c:dLbl>
              <c:idx val="4"/>
              <c:layout>
                <c:manualLayout>
                  <c:x val="-2.8392958546280531E-3"/>
                  <c:y val="-8.613264427217916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0B5-4A29-9876-356815A55043}"/>
                </c:ext>
              </c:extLst>
            </c:dLbl>
            <c:spPr>
              <a:noFill/>
              <a:ln>
                <a:noFill/>
              </a:ln>
              <a:effectLst/>
            </c:spPr>
            <c:txPr>
              <a:bodyPr/>
              <a:lstStyle/>
              <a:p>
                <a:pPr>
                  <a:defRPr lang="es-ES" sz="899">
                    <a:latin typeface="Times New Roman" pitchFamily="18" charset="0"/>
                    <a:cs typeface="Times New Roman" pitchFamily="18" charset="0"/>
                  </a:defRPr>
                </a:pPr>
                <a:endParaRPr lang="es-CR"/>
              </a:p>
            </c:txPr>
            <c:showVal val="1"/>
            <c:extLst xmlns:c16r2="http://schemas.microsoft.com/office/drawing/2015/06/chart">
              <c:ext xmlns:c15="http://schemas.microsoft.com/office/drawing/2012/chart" uri="{CE6537A1-D6FC-4f65-9D91-7224C49458BB}">
                <c15:showLeaderLines val="0"/>
              </c:ext>
            </c:extLst>
          </c:dLbls>
          <c:cat>
            <c:strRef>
              <c:f>Sheet1!$K$1:$O$1</c:f>
              <c:strCache>
                <c:ptCount val="5"/>
                <c:pt idx="0">
                  <c:v>2011</c:v>
                </c:pt>
                <c:pt idx="1">
                  <c:v>2012</c:v>
                </c:pt>
                <c:pt idx="2">
                  <c:v>2013</c:v>
                </c:pt>
                <c:pt idx="3">
                  <c:v>2014</c:v>
                </c:pt>
                <c:pt idx="4">
                  <c:v>2015</c:v>
                </c:pt>
              </c:strCache>
            </c:strRef>
          </c:cat>
          <c:val>
            <c:numRef>
              <c:f>Sheet1!$K$2:$O$2</c:f>
              <c:numCache>
                <c:formatCode>General</c:formatCode>
                <c:ptCount val="5"/>
                <c:pt idx="0">
                  <c:v>8.7000000000000011</c:v>
                </c:pt>
                <c:pt idx="1">
                  <c:v>-3.6</c:v>
                </c:pt>
                <c:pt idx="2">
                  <c:v>6.4</c:v>
                </c:pt>
                <c:pt idx="3">
                  <c:v>6.6</c:v>
                </c:pt>
                <c:pt idx="4">
                  <c:v>1.6</c:v>
                </c:pt>
              </c:numCache>
            </c:numRef>
          </c:val>
          <c:extLst xmlns:c16r2="http://schemas.microsoft.com/office/drawing/2015/06/chart">
            <c:ext xmlns:c16="http://schemas.microsoft.com/office/drawing/2014/chart" uri="{C3380CC4-5D6E-409C-BE32-E72D297353CC}">
              <c16:uniqueId val="{00000005-00B5-4A29-9876-356815A55043}"/>
            </c:ext>
          </c:extLst>
        </c:ser>
        <c:dLbls>
          <c:showVal val="1"/>
        </c:dLbls>
        <c:shape val="cylinder"/>
        <c:axId val="107755008"/>
        <c:axId val="107756928"/>
        <c:axId val="0"/>
      </c:bar3DChart>
      <c:catAx>
        <c:axId val="107755008"/>
        <c:scaling>
          <c:orientation val="minMax"/>
        </c:scaling>
        <c:axPos val="l"/>
        <c:title>
          <c:tx>
            <c:rich>
              <a:bodyPr rot="0" vert="wordArtVert"/>
              <a:lstStyle/>
              <a:p>
                <a:pPr algn="ctr">
                  <a:defRPr lang="es-ES" sz="919" b="1" i="0" u="none" strike="noStrike" baseline="0">
                    <a:solidFill>
                      <a:srgbClr val="000000"/>
                    </a:solidFill>
                    <a:latin typeface="Times New Roman"/>
                    <a:ea typeface="Times New Roman"/>
                    <a:cs typeface="Times New Roman"/>
                  </a:defRPr>
                </a:pPr>
                <a:r>
                  <a:rPr lang="es-ES"/>
                  <a:t>AÑO</a:t>
                </a:r>
              </a:p>
            </c:rich>
          </c:tx>
          <c:layout>
            <c:manualLayout>
              <c:xMode val="edge"/>
              <c:yMode val="edge"/>
              <c:x val="2.0643843432614561E-2"/>
              <c:y val="0.40753525809273738"/>
            </c:manualLayout>
          </c:layout>
          <c:spPr>
            <a:noFill/>
            <a:ln w="25339">
              <a:noFill/>
            </a:ln>
          </c:spPr>
        </c:title>
        <c:numFmt formatCode="0" sourceLinked="0"/>
        <c:tickLblPos val="low"/>
        <c:spPr>
          <a:ln w="3167">
            <a:solidFill>
              <a:srgbClr val="000000"/>
            </a:solidFill>
            <a:prstDash val="solid"/>
          </a:ln>
        </c:spPr>
        <c:txPr>
          <a:bodyPr rot="0" vert="horz"/>
          <a:lstStyle/>
          <a:p>
            <a:pPr>
              <a:defRPr lang="es-ES" sz="899" b="1" i="0" u="none" strike="noStrike" baseline="0">
                <a:solidFill>
                  <a:srgbClr val="000000"/>
                </a:solidFill>
                <a:latin typeface="Times New Roman"/>
                <a:ea typeface="Times New Roman"/>
                <a:cs typeface="Times New Roman"/>
              </a:defRPr>
            </a:pPr>
            <a:endParaRPr lang="es-CR"/>
          </a:p>
        </c:txPr>
        <c:crossAx val="107756928"/>
        <c:crosses val="autoZero"/>
        <c:auto val="1"/>
        <c:lblAlgn val="ctr"/>
        <c:lblOffset val="100"/>
        <c:tickLblSkip val="1"/>
        <c:tickMarkSkip val="1"/>
      </c:catAx>
      <c:valAx>
        <c:axId val="107756928"/>
        <c:scaling>
          <c:orientation val="minMax"/>
          <c:max val="16"/>
          <c:min val="-12"/>
        </c:scaling>
        <c:axPos val="b"/>
        <c:majorGridlines>
          <c:spPr>
            <a:ln w="3167">
              <a:solidFill>
                <a:srgbClr val="000000"/>
              </a:solidFill>
              <a:prstDash val="solid"/>
            </a:ln>
          </c:spPr>
        </c:majorGridlines>
        <c:title>
          <c:tx>
            <c:rich>
              <a:bodyPr/>
              <a:lstStyle/>
              <a:p>
                <a:pPr>
                  <a:defRPr lang="es-ES" sz="869" b="1" i="0" u="none" strike="noStrike" baseline="0">
                    <a:solidFill>
                      <a:srgbClr val="000000"/>
                    </a:solidFill>
                    <a:latin typeface="Times New Roman"/>
                    <a:ea typeface="Times New Roman"/>
                    <a:cs typeface="Times New Roman"/>
                  </a:defRPr>
                </a:pPr>
                <a:r>
                  <a:rPr lang="es-ES"/>
                  <a:t>TASA</a:t>
                </a:r>
              </a:p>
            </c:rich>
          </c:tx>
          <c:layout>
            <c:manualLayout>
              <c:xMode val="edge"/>
              <c:yMode val="edge"/>
              <c:x val="0.48508615770854846"/>
              <c:y val="0.83719055118110264"/>
            </c:manualLayout>
          </c:layout>
          <c:spPr>
            <a:noFill/>
            <a:ln w="25339">
              <a:noFill/>
            </a:ln>
          </c:spPr>
        </c:title>
        <c:numFmt formatCode="General" sourceLinked="1"/>
        <c:tickLblPos val="nextTo"/>
        <c:spPr>
          <a:ln w="3167">
            <a:solidFill>
              <a:srgbClr val="000000"/>
            </a:solidFill>
            <a:prstDash val="solid"/>
          </a:ln>
        </c:spPr>
        <c:txPr>
          <a:bodyPr rot="0" vert="horz"/>
          <a:lstStyle/>
          <a:p>
            <a:pPr>
              <a:defRPr lang="es-ES" sz="874" b="1" i="0" u="none" strike="noStrike" baseline="0">
                <a:solidFill>
                  <a:srgbClr val="000000"/>
                </a:solidFill>
                <a:latin typeface="Times New Roman"/>
                <a:ea typeface="Times New Roman"/>
                <a:cs typeface="Times New Roman"/>
              </a:defRPr>
            </a:pPr>
            <a:endParaRPr lang="es-CR"/>
          </a:p>
        </c:txPr>
        <c:crossAx val="107755008"/>
        <c:crosses val="autoZero"/>
        <c:crossBetween val="between"/>
        <c:majorUnit val="4"/>
        <c:minorUnit val="2"/>
      </c:valAx>
      <c:spPr>
        <a:noFill/>
        <a:ln w="25372">
          <a:noFill/>
        </a:ln>
      </c:spPr>
    </c:plotArea>
    <c:plotVisOnly val="1"/>
    <c:dispBlanksAs val="gap"/>
  </c:chart>
  <c:spPr>
    <a:gradFill rotWithShape="0">
      <a:gsLst>
        <a:gs pos="0">
          <a:srgbClr val="FFFFCC">
            <a:gamma/>
            <a:shade val="69804"/>
            <a:invGamma/>
          </a:srgbClr>
        </a:gs>
        <a:gs pos="50000">
          <a:srgbClr val="FFFFCC"/>
        </a:gs>
        <a:gs pos="100000">
          <a:srgbClr val="FFFFCC">
            <a:gamma/>
            <a:shade val="69804"/>
            <a:invGamma/>
          </a:srgbClr>
        </a:gs>
      </a:gsLst>
      <a:lin ang="0" scaled="1"/>
    </a:gradFill>
    <a:ln w="3167">
      <a:solidFill>
        <a:srgbClr val="000000"/>
      </a:solidFill>
      <a:prstDash val="solid"/>
    </a:ln>
    <a:effectLst>
      <a:outerShdw dist="35921" dir="2700000" algn="br">
        <a:srgbClr val="000000"/>
      </a:outerShdw>
    </a:effectLst>
  </c:spPr>
  <c:txPr>
    <a:bodyPr/>
    <a:lstStyle/>
    <a:p>
      <a:pPr>
        <a:defRPr sz="1199" b="1" i="0" u="none" strike="noStrike" baseline="0">
          <a:solidFill>
            <a:srgbClr val="000000"/>
          </a:solidFill>
          <a:latin typeface="Arial"/>
          <a:ea typeface="Arial"/>
          <a:cs typeface="Arial"/>
        </a:defRPr>
      </a:pPr>
      <a:endParaRPr lang="es-CR"/>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title>
      <c:tx>
        <c:rich>
          <a:bodyPr/>
          <a:lstStyle/>
          <a:p>
            <a:pPr>
              <a:defRPr lang="es-CR" sz="949" b="1" i="0" u="none" strike="noStrike" baseline="0">
                <a:solidFill>
                  <a:srgbClr val="000000"/>
                </a:solidFill>
                <a:latin typeface="Times New Roman"/>
                <a:ea typeface="Times New Roman"/>
                <a:cs typeface="Times New Roman"/>
              </a:defRPr>
            </a:pPr>
            <a:r>
              <a:rPr lang="es-CR"/>
              <a:t>Gráfico Nº 15
Carga de trabajo por Jueza o Juez en primera instancia 
según año 2011 - 2015</a:t>
            </a:r>
          </a:p>
        </c:rich>
      </c:tx>
      <c:layout>
        <c:manualLayout>
          <c:xMode val="edge"/>
          <c:yMode val="edge"/>
          <c:x val="0.1765107839780897"/>
          <c:y val="1.6750440441520163E-2"/>
        </c:manualLayout>
      </c:layout>
      <c:spPr>
        <a:noFill/>
        <a:ln w="25379">
          <a:noFill/>
        </a:ln>
      </c:spPr>
    </c:title>
    <c:plotArea>
      <c:layout>
        <c:manualLayout>
          <c:layoutTarget val="inner"/>
          <c:xMode val="edge"/>
          <c:yMode val="edge"/>
          <c:x val="0.15236427320490364"/>
          <c:y val="0.18796871496590636"/>
          <c:w val="0.81611208406304658"/>
          <c:h val="0.56352029626433764"/>
        </c:manualLayout>
      </c:layout>
      <c:lineChart>
        <c:grouping val="standard"/>
        <c:ser>
          <c:idx val="1"/>
          <c:order val="0"/>
          <c:tx>
            <c:strRef>
              <c:f>Sheet1!$A$2</c:f>
              <c:strCache>
                <c:ptCount val="1"/>
                <c:pt idx="0">
                  <c:v>Primera Instancia</c:v>
                </c:pt>
              </c:strCache>
            </c:strRef>
          </c:tx>
          <c:spPr>
            <a:ln w="25379">
              <a:solidFill>
                <a:srgbClr val="993366"/>
              </a:solidFill>
              <a:prstDash val="solid"/>
            </a:ln>
          </c:spPr>
          <c:marker>
            <c:symbol val="square"/>
            <c:size val="3"/>
            <c:spPr>
              <a:solidFill>
                <a:srgbClr val="993366"/>
              </a:solidFill>
              <a:ln>
                <a:solidFill>
                  <a:srgbClr val="0000FF"/>
                </a:solidFill>
                <a:prstDash val="solid"/>
              </a:ln>
            </c:spPr>
          </c:marker>
          <c:dLbls>
            <c:dLbl>
              <c:idx val="0"/>
              <c:layout>
                <c:manualLayout>
                  <c:x val="-5.1693119998954866E-2"/>
                  <c:y val="-6.510526861679161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DC7-48E2-BE67-C46D83C0484C}"/>
                </c:ext>
              </c:extLst>
            </c:dLbl>
            <c:dLbl>
              <c:idx val="1"/>
              <c:layout>
                <c:manualLayout>
                  <c:x val="-5.5545992438656488E-2"/>
                  <c:y val="-5.533237603830408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DC7-48E2-BE67-C46D83C0484C}"/>
                </c:ext>
              </c:extLst>
            </c:dLbl>
            <c:dLbl>
              <c:idx val="2"/>
              <c:layout>
                <c:manualLayout>
                  <c:x val="-4.5388356997447324E-2"/>
                  <c:y val="-6.789755175404332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DC7-48E2-BE67-C46D83C0484C}"/>
                </c:ext>
              </c:extLst>
            </c:dLbl>
            <c:dLbl>
              <c:idx val="3"/>
              <c:layout>
                <c:manualLayout>
                  <c:x val="-6.3251737318059012E-2"/>
                  <c:y val="-6.26621102102555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DC7-48E2-BE67-C46D83C0484C}"/>
                </c:ext>
              </c:extLst>
            </c:dLbl>
            <c:dLbl>
              <c:idx val="4"/>
              <c:layout>
                <c:manualLayout>
                  <c:x val="-6.1187272800439979E-2"/>
                  <c:y val="-4.311946873474986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DC7-48E2-BE67-C46D83C0484C}"/>
                </c:ext>
              </c:extLst>
            </c:dLbl>
            <c:dLbl>
              <c:idx val="5"/>
              <c:layout>
                <c:manualLayout>
                  <c:xMode val="edge"/>
                  <c:yMode val="edge"/>
                  <c:x val="0.88791593695271442"/>
                  <c:y val="0.38481675392670633"/>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DC7-48E2-BE67-C46D83C0484C}"/>
                </c:ext>
              </c:extLst>
            </c:dLbl>
            <c:dLbl>
              <c:idx val="6"/>
              <c:layout>
                <c:manualLayout>
                  <c:xMode val="edge"/>
                  <c:yMode val="edge"/>
                  <c:x val="0.87915936952714568"/>
                  <c:y val="0.41623036649214656"/>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DC7-48E2-BE67-C46D83C0484C}"/>
                </c:ext>
              </c:extLst>
            </c:dLbl>
            <c:dLbl>
              <c:idx val="7"/>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DC7-48E2-BE67-C46D83C0484C}"/>
                </c:ext>
              </c:extLst>
            </c:dLbl>
            <c:dLbl>
              <c:idx val="8"/>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DC7-48E2-BE67-C46D83C0484C}"/>
                </c:ext>
              </c:extLst>
            </c:dLbl>
            <c:dLbl>
              <c:idx val="9"/>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DC7-48E2-BE67-C46D83C0484C}"/>
                </c:ext>
              </c:extLst>
            </c:dLbl>
            <c:numFmt formatCode="#,##0" sourceLinked="0"/>
            <c:spPr>
              <a:noFill/>
              <a:ln w="25379">
                <a:noFill/>
              </a:ln>
            </c:spPr>
            <c:txPr>
              <a:bodyPr/>
              <a:lstStyle/>
              <a:p>
                <a:pPr>
                  <a:defRPr lang="es-ES" sz="95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Sheet1!$B$1:$P$1</c:f>
              <c:numCache>
                <c:formatCode>General</c:formatCode>
                <c:ptCount val="5"/>
                <c:pt idx="0">
                  <c:v>2011</c:v>
                </c:pt>
                <c:pt idx="1">
                  <c:v>2012</c:v>
                </c:pt>
                <c:pt idx="2">
                  <c:v>2013</c:v>
                </c:pt>
                <c:pt idx="3">
                  <c:v>2014</c:v>
                </c:pt>
                <c:pt idx="4">
                  <c:v>2015</c:v>
                </c:pt>
              </c:numCache>
            </c:numRef>
          </c:cat>
          <c:val>
            <c:numRef>
              <c:f>Sheet1!$B$2:$P$2</c:f>
              <c:numCache>
                <c:formatCode>General</c:formatCode>
                <c:ptCount val="5"/>
                <c:pt idx="0">
                  <c:v>1646</c:v>
                </c:pt>
                <c:pt idx="1">
                  <c:v>1589</c:v>
                </c:pt>
                <c:pt idx="2">
                  <c:v>1634</c:v>
                </c:pt>
                <c:pt idx="3">
                  <c:v>1635</c:v>
                </c:pt>
                <c:pt idx="4">
                  <c:v>1608</c:v>
                </c:pt>
              </c:numCache>
            </c:numRef>
          </c:val>
          <c:smooth val="1"/>
          <c:extLst xmlns:c16r2="http://schemas.microsoft.com/office/drawing/2015/06/chart">
            <c:ext xmlns:c16="http://schemas.microsoft.com/office/drawing/2014/chart" uri="{C3380CC4-5D6E-409C-BE32-E72D297353CC}">
              <c16:uniqueId val="{0000000A-5DC7-48E2-BE67-C46D83C0484C}"/>
            </c:ext>
          </c:extLst>
        </c:ser>
        <c:dLbls>
          <c:showVal val="1"/>
        </c:dLbls>
        <c:marker val="1"/>
        <c:axId val="109006848"/>
        <c:axId val="109008768"/>
      </c:lineChart>
      <c:catAx>
        <c:axId val="109006848"/>
        <c:scaling>
          <c:orientation val="minMax"/>
        </c:scaling>
        <c:axPos val="b"/>
        <c:title>
          <c:tx>
            <c:rich>
              <a:bodyPr/>
              <a:lstStyle/>
              <a:p>
                <a:pPr>
                  <a:defRPr lang="es-ES" sz="945" b="1" i="0" u="none" strike="noStrike" baseline="0">
                    <a:solidFill>
                      <a:srgbClr val="000000"/>
                    </a:solidFill>
                    <a:latin typeface="Times New Roman"/>
                    <a:ea typeface="Times New Roman"/>
                    <a:cs typeface="Times New Roman"/>
                  </a:defRPr>
                </a:pPr>
                <a:r>
                  <a:rPr lang="es-ES"/>
                  <a:t>AÑO</a:t>
                </a:r>
              </a:p>
            </c:rich>
          </c:tx>
          <c:layout>
            <c:manualLayout>
              <c:xMode val="edge"/>
              <c:yMode val="edge"/>
              <c:x val="0.52104210886682556"/>
              <c:y val="0.84758566138136848"/>
            </c:manualLayout>
          </c:layout>
          <c:spPr>
            <a:noFill/>
            <a:ln w="25379">
              <a:noFill/>
            </a:ln>
          </c:spPr>
        </c:title>
        <c:numFmt formatCode="General" sourceLinked="1"/>
        <c:tickLblPos val="nextTo"/>
        <c:spPr>
          <a:ln w="3172">
            <a:solidFill>
              <a:srgbClr val="000000"/>
            </a:solidFill>
            <a:prstDash val="solid"/>
          </a:ln>
        </c:spPr>
        <c:txPr>
          <a:bodyPr rot="0" vert="horz"/>
          <a:lstStyle/>
          <a:p>
            <a:pPr>
              <a:defRPr lang="es-ES" sz="950" b="1" i="0" u="none" strike="noStrike" baseline="0">
                <a:solidFill>
                  <a:srgbClr val="000000"/>
                </a:solidFill>
                <a:latin typeface="Times New Roman"/>
                <a:ea typeface="Times New Roman"/>
                <a:cs typeface="Times New Roman"/>
              </a:defRPr>
            </a:pPr>
            <a:endParaRPr lang="es-CR"/>
          </a:p>
        </c:txPr>
        <c:crossAx val="109008768"/>
        <c:crosses val="autoZero"/>
        <c:auto val="1"/>
        <c:lblAlgn val="ctr"/>
        <c:lblOffset val="100"/>
        <c:tickLblSkip val="1"/>
        <c:tickMarkSkip val="1"/>
      </c:catAx>
      <c:valAx>
        <c:axId val="109008768"/>
        <c:scaling>
          <c:orientation val="minMax"/>
          <c:max val="1700"/>
          <c:min val="1500"/>
        </c:scaling>
        <c:axPos val="l"/>
        <c:majorGridlines>
          <c:spPr>
            <a:ln w="3172">
              <a:solidFill>
                <a:srgbClr val="000000"/>
              </a:solidFill>
              <a:prstDash val="solid"/>
            </a:ln>
          </c:spPr>
        </c:majorGridlines>
        <c:title>
          <c:tx>
            <c:rich>
              <a:bodyPr rot="0" vert="wordArtVert"/>
              <a:lstStyle/>
              <a:p>
                <a:pPr algn="ctr">
                  <a:defRPr lang="es-ES" sz="845" b="1" i="0" u="none" strike="noStrike" baseline="0">
                    <a:solidFill>
                      <a:srgbClr val="000000"/>
                    </a:solidFill>
                    <a:latin typeface="Times New Roman"/>
                    <a:ea typeface="Times New Roman"/>
                    <a:cs typeface="Times New Roman"/>
                  </a:defRPr>
                </a:pPr>
                <a:r>
                  <a:rPr lang="es-ES"/>
                  <a:t>ASUNTOS</a:t>
                </a:r>
              </a:p>
            </c:rich>
          </c:tx>
          <c:layout>
            <c:manualLayout>
              <c:xMode val="edge"/>
              <c:yMode val="edge"/>
              <c:x val="7.0053634600023146E-3"/>
              <c:y val="0.32460755761694182"/>
            </c:manualLayout>
          </c:layout>
          <c:spPr>
            <a:noFill/>
            <a:ln w="25379">
              <a:noFill/>
            </a:ln>
          </c:spPr>
        </c:title>
        <c:numFmt formatCode="General" sourceLinked="1"/>
        <c:tickLblPos val="nextTo"/>
        <c:spPr>
          <a:ln w="3172">
            <a:solidFill>
              <a:srgbClr val="000000"/>
            </a:solidFill>
            <a:prstDash val="solid"/>
          </a:ln>
        </c:spPr>
        <c:txPr>
          <a:bodyPr rot="0" vert="horz"/>
          <a:lstStyle/>
          <a:p>
            <a:pPr>
              <a:defRPr lang="es-ES" sz="950" b="1" i="0" u="none" strike="noStrike" baseline="0">
                <a:solidFill>
                  <a:srgbClr val="000000"/>
                </a:solidFill>
                <a:latin typeface="Times New Roman"/>
                <a:ea typeface="Times New Roman"/>
                <a:cs typeface="Times New Roman"/>
              </a:defRPr>
            </a:pPr>
            <a:endParaRPr lang="es-CR"/>
          </a:p>
        </c:txPr>
        <c:crossAx val="109006848"/>
        <c:crosses val="autoZero"/>
        <c:crossBetween val="between"/>
        <c:majorUnit val="50"/>
        <c:minorUnit val="50"/>
      </c:valAx>
      <c:spPr>
        <a:gradFill rotWithShape="0">
          <a:gsLst>
            <a:gs pos="0">
              <a:srgbClr val="CCFFFF"/>
            </a:gs>
            <a:gs pos="50000">
              <a:srgbClr val="CCFFFF">
                <a:gamma/>
                <a:shade val="79216"/>
                <a:invGamma/>
              </a:srgbClr>
            </a:gs>
            <a:gs pos="100000">
              <a:srgbClr val="CCFFFF"/>
            </a:gs>
          </a:gsLst>
          <a:lin ang="5400000" scaled="1"/>
        </a:gradFill>
        <a:ln w="12690">
          <a:solidFill>
            <a:srgbClr val="808080"/>
          </a:solidFill>
          <a:prstDash val="solid"/>
        </a:ln>
      </c:spPr>
    </c:plotArea>
    <c:plotVisOnly val="1"/>
    <c:dispBlanksAs val="gap"/>
  </c:chart>
  <c:spPr>
    <a:gradFill rotWithShape="0">
      <a:gsLst>
        <a:gs pos="0">
          <a:srgbClr val="FFFFCC">
            <a:gamma/>
            <a:shade val="69804"/>
            <a:invGamma/>
          </a:srgbClr>
        </a:gs>
        <a:gs pos="50000">
          <a:srgbClr val="FFFFCC"/>
        </a:gs>
        <a:gs pos="100000">
          <a:srgbClr val="FFFFCC">
            <a:gamma/>
            <a:shade val="69804"/>
            <a:invGamma/>
          </a:srgbClr>
        </a:gs>
      </a:gsLst>
      <a:lin ang="18900000" scaled="1"/>
    </a:gradFill>
    <a:ln w="3172">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title>
      <c:tx>
        <c:rich>
          <a:bodyPr/>
          <a:lstStyle/>
          <a:p>
            <a:pPr>
              <a:defRPr lang="es-CR" sz="949" b="1" i="0" u="none" strike="noStrike" baseline="0">
                <a:solidFill>
                  <a:srgbClr val="000000"/>
                </a:solidFill>
                <a:latin typeface="Times New Roman"/>
                <a:ea typeface="Times New Roman"/>
                <a:cs typeface="Times New Roman"/>
              </a:defRPr>
            </a:pPr>
            <a:r>
              <a:rPr lang="es-CR"/>
              <a:t>Gráfico Nº 16
Carga de trabajo por Jueza o Juez de instancia superior 
por año. 2011 - 2015</a:t>
            </a:r>
          </a:p>
        </c:rich>
      </c:tx>
      <c:layout>
        <c:manualLayout>
          <c:xMode val="edge"/>
          <c:yMode val="edge"/>
          <c:x val="0.17016889193198675"/>
          <c:y val="1.2953414268032603E-2"/>
        </c:manualLayout>
      </c:layout>
      <c:spPr>
        <a:noFill/>
        <a:ln w="25374">
          <a:noFill/>
        </a:ln>
      </c:spPr>
    </c:title>
    <c:plotArea>
      <c:layout>
        <c:manualLayout>
          <c:layoutTarget val="inner"/>
          <c:xMode val="edge"/>
          <c:yMode val="edge"/>
          <c:x val="0.14185639229422201"/>
          <c:y val="0.18549698774699971"/>
          <c:w val="0.80825743247171056"/>
          <c:h val="0.57129248092692775"/>
        </c:manualLayout>
      </c:layout>
      <c:lineChart>
        <c:grouping val="standard"/>
        <c:ser>
          <c:idx val="1"/>
          <c:order val="0"/>
          <c:tx>
            <c:strRef>
              <c:f>Sheet1!$A$2</c:f>
              <c:strCache>
                <c:ptCount val="1"/>
                <c:pt idx="0">
                  <c:v>Segunda Instancia</c:v>
                </c:pt>
              </c:strCache>
            </c:strRef>
          </c:tx>
          <c:spPr>
            <a:ln w="25374">
              <a:solidFill>
                <a:srgbClr val="3366FF"/>
              </a:solidFill>
              <a:prstDash val="solid"/>
            </a:ln>
          </c:spPr>
          <c:marker>
            <c:symbol val="square"/>
            <c:size val="2"/>
            <c:spPr>
              <a:solidFill>
                <a:srgbClr val="3366FF"/>
              </a:solidFill>
              <a:ln>
                <a:solidFill>
                  <a:srgbClr val="008000"/>
                </a:solidFill>
                <a:prstDash val="solid"/>
              </a:ln>
            </c:spPr>
          </c:marker>
          <c:dLbls>
            <c:dLbl>
              <c:idx val="0"/>
              <c:layout>
                <c:manualLayout>
                  <c:x val="-6.5722318204467556E-2"/>
                  <c:y val="-5.903757680408953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4A8-4563-9E82-A9D255E43636}"/>
                </c:ext>
              </c:extLst>
            </c:dLbl>
            <c:dLbl>
              <c:idx val="1"/>
              <c:layout>
                <c:manualLayout>
                  <c:x val="-4.5757236018918596E-2"/>
                  <c:y val="-5.826725709839380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4A8-4563-9E82-A9D255E43636}"/>
                </c:ext>
              </c:extLst>
            </c:dLbl>
            <c:dLbl>
              <c:idx val="2"/>
              <c:layout>
                <c:manualLayout>
                  <c:x val="-4.1554198765994942E-2"/>
                  <c:y val="-5.907334857194065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4A8-4563-9E82-A9D255E43636}"/>
                </c:ext>
              </c:extLst>
            </c:dLbl>
            <c:dLbl>
              <c:idx val="3"/>
              <c:layout>
                <c:manualLayout>
                  <c:x val="-3.7350937946468897E-2"/>
                  <c:y val="-6.383033210682011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4A8-4563-9E82-A9D255E43636}"/>
                </c:ext>
              </c:extLst>
            </c:dLbl>
            <c:dLbl>
              <c:idx val="4"/>
              <c:layout>
                <c:manualLayout>
                  <c:x val="-4.6017384539028344E-2"/>
                  <c:y val="-5.047631675574232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4A8-4563-9E82-A9D255E43636}"/>
                </c:ext>
              </c:extLst>
            </c:dLbl>
            <c:dLbl>
              <c:idx val="5"/>
              <c:layout>
                <c:manualLayout>
                  <c:xMode val="edge"/>
                  <c:yMode val="edge"/>
                  <c:x val="0.86865148861646735"/>
                  <c:y val="0.53243243243243243"/>
                </c:manualLayout>
              </c:layout>
              <c:spPr>
                <a:noFill/>
                <a:ln w="25374">
                  <a:noFill/>
                </a:ln>
              </c:spPr>
              <c:txPr>
                <a:bodyPr/>
                <a:lstStyle/>
                <a:p>
                  <a:pPr>
                    <a:defRPr lang="es-ES" sz="1175"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4A8-4563-9E82-A9D255E43636}"/>
                </c:ext>
              </c:extLst>
            </c:dLbl>
            <c:dLbl>
              <c:idx val="6"/>
              <c:layout>
                <c:manualLayout>
                  <c:xMode val="edge"/>
                  <c:yMode val="edge"/>
                  <c:x val="0.63747810858143594"/>
                  <c:y val="0.29729729729729731"/>
                </c:manualLayout>
              </c:layout>
              <c:spPr>
                <a:noFill/>
                <a:ln w="25374">
                  <a:noFill/>
                </a:ln>
              </c:spPr>
              <c:txPr>
                <a:bodyPr/>
                <a:lstStyle/>
                <a:p>
                  <a:pPr>
                    <a:defRPr lang="es-ES" sz="1175"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4A8-4563-9E82-A9D255E43636}"/>
                </c:ext>
              </c:extLst>
            </c:dLbl>
            <c:dLbl>
              <c:idx val="7"/>
              <c:layout>
                <c:manualLayout>
                  <c:xMode val="edge"/>
                  <c:yMode val="edge"/>
                  <c:x val="0.64448336252189165"/>
                  <c:y val="0.30540540540540789"/>
                </c:manualLayout>
              </c:layout>
              <c:spPr>
                <a:noFill/>
                <a:ln w="25374">
                  <a:noFill/>
                </a:ln>
              </c:spPr>
              <c:txPr>
                <a:bodyPr/>
                <a:lstStyle/>
                <a:p>
                  <a:pPr>
                    <a:defRPr lang="es-ES" sz="1175"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4A8-4563-9E82-A9D255E43636}"/>
                </c:ext>
              </c:extLst>
            </c:dLbl>
            <c:dLbl>
              <c:idx val="8"/>
              <c:layout>
                <c:manualLayout>
                  <c:xMode val="edge"/>
                  <c:yMode val="edge"/>
                  <c:x val="0.64623467600701023"/>
                  <c:y val="0.30540540540540789"/>
                </c:manualLayout>
              </c:layout>
              <c:spPr>
                <a:noFill/>
                <a:ln w="25374">
                  <a:noFill/>
                </a:ln>
              </c:spPr>
              <c:txPr>
                <a:bodyPr/>
                <a:lstStyle/>
                <a:p>
                  <a:pPr>
                    <a:defRPr lang="es-ES" sz="1175"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4A8-4563-9E82-A9D255E43636}"/>
                </c:ext>
              </c:extLst>
            </c:dLbl>
            <c:dLbl>
              <c:idx val="9"/>
              <c:layout>
                <c:manualLayout>
                  <c:xMode val="edge"/>
                  <c:yMode val="edge"/>
                  <c:x val="0.65499124343258752"/>
                  <c:y val="0.30540540540540789"/>
                </c:manualLayout>
              </c:layout>
              <c:spPr>
                <a:noFill/>
                <a:ln w="25374">
                  <a:noFill/>
                </a:ln>
              </c:spPr>
              <c:txPr>
                <a:bodyPr/>
                <a:lstStyle/>
                <a:p>
                  <a:pPr>
                    <a:defRPr lang="es-ES" sz="1175"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4A8-4563-9E82-A9D255E43636}"/>
                </c:ext>
              </c:extLst>
            </c:dLbl>
            <c:spPr>
              <a:noFill/>
              <a:ln w="25374">
                <a:noFill/>
              </a:ln>
            </c:spPr>
            <c:txPr>
              <a:bodyPr/>
              <a:lstStyle/>
              <a:p>
                <a:pPr>
                  <a:defRPr lang="es-ES" sz="975"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Sheet1!$B$1:$P$1</c:f>
              <c:numCache>
                <c:formatCode>General</c:formatCode>
                <c:ptCount val="5"/>
                <c:pt idx="0">
                  <c:v>2011</c:v>
                </c:pt>
                <c:pt idx="1">
                  <c:v>2012</c:v>
                </c:pt>
                <c:pt idx="2">
                  <c:v>2013</c:v>
                </c:pt>
                <c:pt idx="3">
                  <c:v>2014</c:v>
                </c:pt>
                <c:pt idx="4">
                  <c:v>2015</c:v>
                </c:pt>
              </c:numCache>
            </c:numRef>
          </c:cat>
          <c:val>
            <c:numRef>
              <c:f>Sheet1!$B$2:$P$2</c:f>
              <c:numCache>
                <c:formatCode>General</c:formatCode>
                <c:ptCount val="5"/>
                <c:pt idx="0">
                  <c:v>247</c:v>
                </c:pt>
                <c:pt idx="1">
                  <c:v>240</c:v>
                </c:pt>
                <c:pt idx="2">
                  <c:v>192</c:v>
                </c:pt>
                <c:pt idx="3">
                  <c:v>190</c:v>
                </c:pt>
                <c:pt idx="4">
                  <c:v>180</c:v>
                </c:pt>
              </c:numCache>
            </c:numRef>
          </c:val>
          <c:smooth val="1"/>
          <c:extLst xmlns:c16r2="http://schemas.microsoft.com/office/drawing/2015/06/chart">
            <c:ext xmlns:c16="http://schemas.microsoft.com/office/drawing/2014/chart" uri="{C3380CC4-5D6E-409C-BE32-E72D297353CC}">
              <c16:uniqueId val="{0000000A-B4A8-4563-9E82-A9D255E43636}"/>
            </c:ext>
          </c:extLst>
        </c:ser>
        <c:dLbls>
          <c:showVal val="1"/>
        </c:dLbls>
        <c:marker val="1"/>
        <c:axId val="108924928"/>
        <c:axId val="108926848"/>
      </c:lineChart>
      <c:catAx>
        <c:axId val="108924928"/>
        <c:scaling>
          <c:orientation val="minMax"/>
        </c:scaling>
        <c:axPos val="b"/>
        <c:title>
          <c:tx>
            <c:rich>
              <a:bodyPr/>
              <a:lstStyle/>
              <a:p>
                <a:pPr>
                  <a:defRPr lang="es-ES" sz="845" b="1" i="0" u="none" strike="noStrike" baseline="0">
                    <a:solidFill>
                      <a:srgbClr val="000000"/>
                    </a:solidFill>
                    <a:latin typeface="Times New Roman"/>
                    <a:ea typeface="Times New Roman"/>
                    <a:cs typeface="Times New Roman"/>
                  </a:defRPr>
                </a:pPr>
                <a:r>
                  <a:rPr lang="es-ES"/>
                  <a:t>AÑO</a:t>
                </a:r>
              </a:p>
            </c:rich>
          </c:tx>
          <c:layout>
            <c:manualLayout>
              <c:xMode val="edge"/>
              <c:yMode val="edge"/>
              <c:x val="0.51687618395526358"/>
              <c:y val="0.84759346553252768"/>
            </c:manualLayout>
          </c:layout>
          <c:spPr>
            <a:noFill/>
            <a:ln w="25374">
              <a:noFill/>
            </a:ln>
          </c:spPr>
        </c:title>
        <c:numFmt formatCode="General" sourceLinked="1"/>
        <c:tickLblPos val="nextTo"/>
        <c:spPr>
          <a:ln w="3171">
            <a:solidFill>
              <a:srgbClr val="000000"/>
            </a:solidFill>
            <a:prstDash val="solid"/>
          </a:ln>
        </c:spPr>
        <c:txPr>
          <a:bodyPr rot="0" vert="horz"/>
          <a:lstStyle/>
          <a:p>
            <a:pPr>
              <a:defRPr lang="es-ES" sz="850" b="1" i="0" u="none" strike="noStrike" baseline="0">
                <a:solidFill>
                  <a:srgbClr val="000000"/>
                </a:solidFill>
                <a:latin typeface="Times New Roman"/>
                <a:ea typeface="Times New Roman"/>
                <a:cs typeface="Times New Roman"/>
              </a:defRPr>
            </a:pPr>
            <a:endParaRPr lang="es-CR"/>
          </a:p>
        </c:txPr>
        <c:crossAx val="108926848"/>
        <c:crosses val="autoZero"/>
        <c:auto val="1"/>
        <c:lblAlgn val="ctr"/>
        <c:lblOffset val="100"/>
        <c:tickLblSkip val="1"/>
        <c:tickMarkSkip val="1"/>
      </c:catAx>
      <c:valAx>
        <c:axId val="108926848"/>
        <c:scaling>
          <c:orientation val="minMax"/>
          <c:max val="300"/>
          <c:min val="150"/>
        </c:scaling>
        <c:axPos val="l"/>
        <c:majorGridlines>
          <c:spPr>
            <a:ln w="3171">
              <a:solidFill>
                <a:srgbClr val="000000"/>
              </a:solidFill>
              <a:prstDash val="solid"/>
            </a:ln>
          </c:spPr>
        </c:majorGridlines>
        <c:title>
          <c:tx>
            <c:rich>
              <a:bodyPr rot="0" vert="wordArtVert"/>
              <a:lstStyle/>
              <a:p>
                <a:pPr algn="ctr">
                  <a:defRPr lang="es-ES" sz="820" b="1" i="0" u="none" strike="noStrike" baseline="0">
                    <a:solidFill>
                      <a:srgbClr val="000000"/>
                    </a:solidFill>
                    <a:latin typeface="Times New Roman"/>
                    <a:ea typeface="Times New Roman"/>
                    <a:cs typeface="Times New Roman"/>
                  </a:defRPr>
                </a:pPr>
                <a:r>
                  <a:rPr lang="es-ES"/>
                  <a:t>TOTAL</a:t>
                </a:r>
              </a:p>
            </c:rich>
          </c:tx>
          <c:layout>
            <c:manualLayout>
              <c:xMode val="edge"/>
              <c:yMode val="edge"/>
              <c:x val="2.1679105329225335E-2"/>
              <c:y val="0.37837832143891853"/>
            </c:manualLayout>
          </c:layout>
          <c:spPr>
            <a:noFill/>
            <a:ln w="25374">
              <a:noFill/>
            </a:ln>
          </c:spPr>
        </c:title>
        <c:numFmt formatCode="General" sourceLinked="1"/>
        <c:tickLblPos val="nextTo"/>
        <c:spPr>
          <a:ln w="3171">
            <a:solidFill>
              <a:srgbClr val="000000"/>
            </a:solidFill>
            <a:prstDash val="solid"/>
          </a:ln>
        </c:spPr>
        <c:txPr>
          <a:bodyPr rot="0" vert="horz"/>
          <a:lstStyle/>
          <a:p>
            <a:pPr>
              <a:defRPr lang="es-ES" sz="850" b="1" i="0" u="none" strike="noStrike" baseline="0">
                <a:solidFill>
                  <a:srgbClr val="000000"/>
                </a:solidFill>
                <a:latin typeface="Times New Roman"/>
                <a:ea typeface="Times New Roman"/>
                <a:cs typeface="Times New Roman"/>
              </a:defRPr>
            </a:pPr>
            <a:endParaRPr lang="es-CR"/>
          </a:p>
        </c:txPr>
        <c:crossAx val="108924928"/>
        <c:crosses val="autoZero"/>
        <c:crossBetween val="between"/>
        <c:majorUnit val="50"/>
        <c:minorUnit val="50"/>
      </c:valAx>
      <c:spPr>
        <a:gradFill rotWithShape="0">
          <a:gsLst>
            <a:gs pos="0">
              <a:srgbClr val="CCFFFF">
                <a:gamma/>
                <a:shade val="72941"/>
                <a:invGamma/>
              </a:srgbClr>
            </a:gs>
            <a:gs pos="100000">
              <a:srgbClr val="CCFFFF"/>
            </a:gs>
          </a:gsLst>
          <a:lin ang="5400000" scaled="1"/>
        </a:gradFill>
        <a:ln w="12687">
          <a:solidFill>
            <a:srgbClr val="808080"/>
          </a:solidFill>
          <a:prstDash val="solid"/>
        </a:ln>
      </c:spPr>
    </c:plotArea>
    <c:plotVisOnly val="1"/>
    <c:dispBlanksAs val="gap"/>
  </c:chart>
  <c:spPr>
    <a:gradFill rotWithShape="0">
      <a:gsLst>
        <a:gs pos="0">
          <a:srgbClr val="FFFFCC"/>
        </a:gs>
        <a:gs pos="100000">
          <a:srgbClr val="FFFFCC">
            <a:gamma/>
            <a:shade val="79216"/>
            <a:invGamma/>
          </a:srgbClr>
        </a:gs>
      </a:gsLst>
      <a:lin ang="5400000" scaled="1"/>
    </a:gradFill>
    <a:ln w="3171">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title>
      <c:tx>
        <c:rich>
          <a:bodyPr/>
          <a:lstStyle/>
          <a:p>
            <a:pPr>
              <a:defRPr lang="es-CR" sz="925" b="1" i="0" u="none" strike="noStrike" baseline="0">
                <a:solidFill>
                  <a:srgbClr val="000000"/>
                </a:solidFill>
                <a:latin typeface="Times New Roman"/>
                <a:ea typeface="Times New Roman"/>
                <a:cs typeface="Times New Roman"/>
              </a:defRPr>
            </a:pPr>
            <a:r>
              <a:rPr lang="es-CR"/>
              <a:t>Gráfico Nº 17
Razón de congestión en los despachos judiciales </a:t>
            </a:r>
          </a:p>
          <a:p>
            <a:pPr>
              <a:defRPr lang="es-CR" sz="925" b="1" i="0" u="none" strike="noStrike" baseline="0">
                <a:solidFill>
                  <a:srgbClr val="000000"/>
                </a:solidFill>
                <a:latin typeface="Times New Roman"/>
                <a:ea typeface="Times New Roman"/>
                <a:cs typeface="Times New Roman"/>
              </a:defRPr>
            </a:pPr>
            <a:r>
              <a:rPr lang="es-CR"/>
              <a:t>de primera instancia según año. 2011 - 2015</a:t>
            </a:r>
          </a:p>
        </c:rich>
      </c:tx>
      <c:layout>
        <c:manualLayout>
          <c:xMode val="edge"/>
          <c:yMode val="edge"/>
          <c:x val="0.21324842087046947"/>
          <c:y val="2.3361877745079928E-2"/>
        </c:manualLayout>
      </c:layout>
      <c:spPr>
        <a:noFill/>
        <a:ln w="25395">
          <a:noFill/>
        </a:ln>
      </c:spPr>
    </c:title>
    <c:plotArea>
      <c:layout>
        <c:manualLayout>
          <c:layoutTarget val="inner"/>
          <c:xMode val="edge"/>
          <c:yMode val="edge"/>
          <c:x val="0.14867256637168022"/>
          <c:y val="0.18810387959317584"/>
          <c:w val="0.79469026548672561"/>
          <c:h val="0.5483093421916011"/>
        </c:manualLayout>
      </c:layout>
      <c:areaChart>
        <c:grouping val="stacked"/>
        <c:ser>
          <c:idx val="0"/>
          <c:order val="0"/>
          <c:tx>
            <c:strRef>
              <c:f>Sheet1!$A$2</c:f>
              <c:strCache>
                <c:ptCount val="1"/>
                <c:pt idx="0">
                  <c:v>Razón Congestión</c:v>
                </c:pt>
              </c:strCache>
            </c:strRef>
          </c:tx>
          <c:spPr>
            <a:pattFill prst="wdUpDiag">
              <a:fgClr>
                <a:srgbClr val="FF9900"/>
              </a:fgClr>
              <a:bgClr>
                <a:srgbClr val="993366"/>
              </a:bgClr>
            </a:pattFill>
            <a:ln w="25395">
              <a:solidFill>
                <a:srgbClr val="000000"/>
              </a:solidFill>
              <a:prstDash val="solid"/>
            </a:ln>
          </c:spPr>
          <c:dLbls>
            <c:dLbl>
              <c:idx val="0"/>
              <c:layout>
                <c:manualLayout>
                  <c:x val="3.1827458154786673E-2"/>
                  <c:y val="-0.1716628895403030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296-47AD-8830-5629D9C7B4FB}"/>
                </c:ext>
              </c:extLst>
            </c:dLbl>
            <c:dLbl>
              <c:idx val="1"/>
              <c:layout>
                <c:manualLayout>
                  <c:x val="4.4088615429095524E-3"/>
                  <c:y val="-0.2133537018810149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296-47AD-8830-5629D9C7B4FB}"/>
                </c:ext>
              </c:extLst>
            </c:dLbl>
            <c:dLbl>
              <c:idx val="2"/>
              <c:layout>
                <c:manualLayout>
                  <c:x val="-1.153545565840421E-2"/>
                  <c:y val="-0.2118595527121616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296-47AD-8830-5629D9C7B4FB}"/>
                </c:ext>
              </c:extLst>
            </c:dLbl>
            <c:dLbl>
              <c:idx val="3"/>
              <c:layout>
                <c:manualLayout>
                  <c:x val="-5.9969913399379304E-3"/>
                  <c:y val="-0.2164981818678939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296-47AD-8830-5629D9C7B4FB}"/>
                </c:ext>
              </c:extLst>
            </c:dLbl>
            <c:dLbl>
              <c:idx val="4"/>
              <c:layout>
                <c:manualLayout>
                  <c:x val="-2.9875858891132586E-2"/>
                  <c:y val="-0.2157599928915145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296-47AD-8830-5629D9C7B4FB}"/>
                </c:ext>
              </c:extLst>
            </c:dLbl>
            <c:dLbl>
              <c:idx val="5"/>
              <c:layout>
                <c:manualLayout>
                  <c:xMode val="edge"/>
                  <c:yMode val="edge"/>
                  <c:x val="0.91504424778761051"/>
                  <c:y val="0.4456521739130460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296-47AD-8830-5629D9C7B4FB}"/>
                </c:ext>
              </c:extLst>
            </c:dLbl>
            <c:dLbl>
              <c:idx val="6"/>
              <c:layout>
                <c:manualLayout>
                  <c:xMode val="edge"/>
                  <c:yMode val="edge"/>
                  <c:x val="0.67964601769913002"/>
                  <c:y val="0.33152173913043798"/>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296-47AD-8830-5629D9C7B4FB}"/>
                </c:ext>
              </c:extLst>
            </c:dLbl>
            <c:dLbl>
              <c:idx val="7"/>
              <c:layout>
                <c:manualLayout>
                  <c:xMode val="edge"/>
                  <c:yMode val="edge"/>
                  <c:x val="0.67964601769913002"/>
                  <c:y val="0.3369565217391344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296-47AD-8830-5629D9C7B4FB}"/>
                </c:ext>
              </c:extLst>
            </c:dLbl>
            <c:dLbl>
              <c:idx val="8"/>
              <c:layout>
                <c:manualLayout>
                  <c:xMode val="edge"/>
                  <c:yMode val="edge"/>
                  <c:x val="0.66902654867256661"/>
                  <c:y val="0.3369565217391344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296-47AD-8830-5629D9C7B4FB}"/>
                </c:ext>
              </c:extLst>
            </c:dLbl>
            <c:dLbl>
              <c:idx val="9"/>
              <c:layout>
                <c:manualLayout>
                  <c:xMode val="edge"/>
                  <c:yMode val="edge"/>
                  <c:x val="0.6601769911504427"/>
                  <c:y val="0.33423913043478259"/>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296-47AD-8830-5629D9C7B4FB}"/>
                </c:ext>
              </c:extLst>
            </c:dLbl>
            <c:spPr>
              <a:noFill/>
              <a:ln w="25395">
                <a:noFill/>
              </a:ln>
            </c:spPr>
            <c:txPr>
              <a:bodyPr/>
              <a:lstStyle/>
              <a:p>
                <a:pPr>
                  <a:defRPr lang="es-ES" sz="925"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Sheet1!$B$1:$P$1</c:f>
              <c:numCache>
                <c:formatCode>General</c:formatCode>
                <c:ptCount val="5"/>
                <c:pt idx="0">
                  <c:v>2011</c:v>
                </c:pt>
                <c:pt idx="1">
                  <c:v>2012</c:v>
                </c:pt>
                <c:pt idx="2">
                  <c:v>2013</c:v>
                </c:pt>
                <c:pt idx="3">
                  <c:v>2014</c:v>
                </c:pt>
                <c:pt idx="4">
                  <c:v>2015</c:v>
                </c:pt>
              </c:numCache>
            </c:numRef>
          </c:cat>
          <c:val>
            <c:numRef>
              <c:f>Sheet1!$B$2:$P$2</c:f>
              <c:numCache>
                <c:formatCode>General</c:formatCode>
                <c:ptCount val="5"/>
                <c:pt idx="0">
                  <c:v>2.46</c:v>
                </c:pt>
                <c:pt idx="1">
                  <c:v>2.8899999999999997</c:v>
                </c:pt>
                <c:pt idx="2">
                  <c:v>2.94</c:v>
                </c:pt>
                <c:pt idx="3">
                  <c:v>2.88</c:v>
                </c:pt>
                <c:pt idx="4">
                  <c:v>2.9699999999999998</c:v>
                </c:pt>
              </c:numCache>
            </c:numRef>
          </c:val>
          <c:extLst xmlns:c16r2="http://schemas.microsoft.com/office/drawing/2015/06/chart">
            <c:ext xmlns:c16="http://schemas.microsoft.com/office/drawing/2014/chart" uri="{C3380CC4-5D6E-409C-BE32-E72D297353CC}">
              <c16:uniqueId val="{0000000A-9296-47AD-8830-5629D9C7B4FB}"/>
            </c:ext>
          </c:extLst>
        </c:ser>
        <c:dLbls>
          <c:showVal val="1"/>
        </c:dLbls>
        <c:axId val="110269568"/>
        <c:axId val="110271488"/>
      </c:areaChart>
      <c:catAx>
        <c:axId val="110269568"/>
        <c:scaling>
          <c:orientation val="minMax"/>
        </c:scaling>
        <c:axPos val="b"/>
        <c:title>
          <c:tx>
            <c:rich>
              <a:bodyPr/>
              <a:lstStyle/>
              <a:p>
                <a:pPr>
                  <a:defRPr lang="es-ES" sz="925" b="1" i="0" u="none" strike="noStrike" baseline="0">
                    <a:solidFill>
                      <a:srgbClr val="000000"/>
                    </a:solidFill>
                    <a:latin typeface="Times New Roman"/>
                    <a:ea typeface="Times New Roman"/>
                    <a:cs typeface="Times New Roman"/>
                  </a:defRPr>
                </a:pPr>
                <a:r>
                  <a:rPr lang="es-ES"/>
                  <a:t>AÑO</a:t>
                </a:r>
              </a:p>
            </c:rich>
          </c:tx>
          <c:layout>
            <c:manualLayout>
              <c:xMode val="edge"/>
              <c:yMode val="edge"/>
              <c:x val="0.50887969773009356"/>
              <c:y val="0.83152186784732707"/>
            </c:manualLayout>
          </c:layout>
          <c:spPr>
            <a:noFill/>
            <a:ln w="25395">
              <a:noFill/>
            </a:ln>
          </c:spPr>
        </c:title>
        <c:numFmt formatCode="General" sourceLinked="1"/>
        <c:tickLblPos val="nextTo"/>
        <c:spPr>
          <a:ln w="3175">
            <a:solidFill>
              <a:srgbClr val="000000"/>
            </a:solidFill>
            <a:prstDash val="solid"/>
          </a:ln>
        </c:spPr>
        <c:txPr>
          <a:bodyPr rot="0" vert="horz"/>
          <a:lstStyle/>
          <a:p>
            <a:pPr>
              <a:defRPr lang="es-ES" sz="925" b="1" i="0" u="none" strike="noStrike" baseline="0">
                <a:solidFill>
                  <a:srgbClr val="000000"/>
                </a:solidFill>
                <a:latin typeface="Times New Roman"/>
                <a:ea typeface="Times New Roman"/>
                <a:cs typeface="Times New Roman"/>
              </a:defRPr>
            </a:pPr>
            <a:endParaRPr lang="es-CR"/>
          </a:p>
        </c:txPr>
        <c:crossAx val="110271488"/>
        <c:crossesAt val="0"/>
        <c:auto val="1"/>
        <c:lblAlgn val="ctr"/>
        <c:lblOffset val="100"/>
        <c:tickLblSkip val="1"/>
        <c:tickMarkSkip val="1"/>
      </c:catAx>
      <c:valAx>
        <c:axId val="110271488"/>
        <c:scaling>
          <c:orientation val="minMax"/>
          <c:max val="4"/>
          <c:min val="1"/>
        </c:scaling>
        <c:axPos val="l"/>
        <c:majorGridlines>
          <c:spPr>
            <a:ln w="3175">
              <a:solidFill>
                <a:srgbClr val="000000"/>
              </a:solidFill>
              <a:prstDash val="solid"/>
            </a:ln>
          </c:spPr>
        </c:majorGridlines>
        <c:title>
          <c:tx>
            <c:rich>
              <a:bodyPr rot="0" vert="wordArtVert"/>
              <a:lstStyle/>
              <a:p>
                <a:pPr algn="ctr">
                  <a:defRPr lang="es-ES" sz="925" b="1" i="0" u="none" strike="noStrike" baseline="0">
                    <a:solidFill>
                      <a:srgbClr val="000000"/>
                    </a:solidFill>
                    <a:latin typeface="Times New Roman"/>
                    <a:ea typeface="Times New Roman"/>
                    <a:cs typeface="Times New Roman"/>
                  </a:defRPr>
                </a:pPr>
                <a:r>
                  <a:rPr lang="es-ES"/>
                  <a:t>RAZÓN</a:t>
                </a:r>
              </a:p>
            </c:rich>
          </c:tx>
          <c:layout>
            <c:manualLayout>
              <c:xMode val="edge"/>
              <c:yMode val="edge"/>
              <c:x val="2.4778748810244881E-2"/>
              <c:y val="0.33967390439831496"/>
            </c:manualLayout>
          </c:layout>
          <c:spPr>
            <a:noFill/>
            <a:ln w="25395">
              <a:noFill/>
            </a:ln>
          </c:spPr>
        </c:title>
        <c:numFmt formatCode="0.0" sourceLinked="0"/>
        <c:tickLblPos val="nextTo"/>
        <c:spPr>
          <a:ln w="3175">
            <a:solidFill>
              <a:srgbClr val="000000"/>
            </a:solidFill>
            <a:prstDash val="solid"/>
          </a:ln>
        </c:spPr>
        <c:txPr>
          <a:bodyPr rot="0" vert="horz"/>
          <a:lstStyle/>
          <a:p>
            <a:pPr>
              <a:defRPr lang="es-ES" sz="925" b="1" i="0" u="none" strike="noStrike" baseline="0">
                <a:solidFill>
                  <a:srgbClr val="000000"/>
                </a:solidFill>
                <a:latin typeface="Times New Roman"/>
                <a:ea typeface="Times New Roman"/>
                <a:cs typeface="Times New Roman"/>
              </a:defRPr>
            </a:pPr>
            <a:endParaRPr lang="es-CR"/>
          </a:p>
        </c:txPr>
        <c:crossAx val="110269568"/>
        <c:crosses val="autoZero"/>
        <c:crossBetween val="midCat"/>
        <c:majorUnit val="0.5"/>
        <c:minorUnit val="0.5"/>
      </c:valAx>
      <c:spPr>
        <a:solidFill>
          <a:srgbClr val="FFFFCC"/>
        </a:solidFill>
        <a:ln w="12698">
          <a:solidFill>
            <a:srgbClr val="808080"/>
          </a:solidFill>
          <a:prstDash val="solid"/>
        </a:ln>
      </c:spPr>
    </c:plotArea>
    <c:plotVisOnly val="1"/>
    <c:dispBlanksAs val="zero"/>
  </c:chart>
  <c:spPr>
    <a:gradFill rotWithShape="0">
      <a:gsLst>
        <a:gs pos="0">
          <a:srgbClr val="FFFFCC">
            <a:gamma/>
            <a:shade val="63529"/>
            <a:invGamma/>
          </a:srgbClr>
        </a:gs>
        <a:gs pos="50000">
          <a:srgbClr val="FFFFCC"/>
        </a:gs>
        <a:gs pos="100000">
          <a:srgbClr val="FFFFCC">
            <a:gamma/>
            <a:shade val="63529"/>
            <a:invGamma/>
          </a:srgbClr>
        </a:gs>
      </a:gsLst>
      <a:lin ang="0" scaled="1"/>
    </a:gradFill>
    <a:ln w="3175">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title>
      <c:tx>
        <c:rich>
          <a:bodyPr/>
          <a:lstStyle/>
          <a:p>
            <a:pPr>
              <a:defRPr lang="es-CR" sz="923" b="1" i="0" u="none" strike="noStrike" baseline="0">
                <a:solidFill>
                  <a:srgbClr val="000000"/>
                </a:solidFill>
                <a:latin typeface="Times New Roman"/>
                <a:ea typeface="Times New Roman"/>
                <a:cs typeface="Times New Roman"/>
              </a:defRPr>
            </a:pPr>
            <a:r>
              <a:rPr lang="es-CR"/>
              <a:t>Gráfico Nº 18
Tasa de apelación no penal por año. 2011 - 2015*</a:t>
            </a:r>
          </a:p>
        </c:rich>
      </c:tx>
      <c:layout>
        <c:manualLayout>
          <c:xMode val="edge"/>
          <c:yMode val="edge"/>
          <c:x val="0.24911039881076893"/>
          <c:y val="1.8867891513560869E-2"/>
        </c:manualLayout>
      </c:layout>
      <c:spPr>
        <a:noFill/>
        <a:ln w="25339">
          <a:noFill/>
        </a:ln>
      </c:spPr>
    </c:title>
    <c:plotArea>
      <c:layout>
        <c:manualLayout>
          <c:layoutTarget val="inner"/>
          <c:xMode val="edge"/>
          <c:yMode val="edge"/>
          <c:x val="0.13879003558719097"/>
          <c:y val="0.1380838538593529"/>
          <c:w val="0.82028469750890065"/>
          <c:h val="0.57081086763379785"/>
        </c:manualLayout>
      </c:layout>
      <c:lineChart>
        <c:grouping val="standard"/>
        <c:ser>
          <c:idx val="0"/>
          <c:order val="0"/>
          <c:tx>
            <c:strRef>
              <c:f>Sheet1!$A$2</c:f>
              <c:strCache>
                <c:ptCount val="1"/>
                <c:pt idx="0">
                  <c:v>Tasa Apelación</c:v>
                </c:pt>
              </c:strCache>
            </c:strRef>
          </c:tx>
          <c:spPr>
            <a:ln w="25339">
              <a:solidFill>
                <a:srgbClr val="000000"/>
              </a:solidFill>
              <a:prstDash val="solid"/>
            </a:ln>
          </c:spPr>
          <c:marker>
            <c:symbol val="diamond"/>
            <c:size val="3"/>
            <c:spPr>
              <a:solidFill>
                <a:srgbClr val="000000"/>
              </a:solidFill>
              <a:ln>
                <a:solidFill>
                  <a:srgbClr val="000000"/>
                </a:solidFill>
                <a:prstDash val="solid"/>
              </a:ln>
            </c:spPr>
          </c:marker>
          <c:dLbls>
            <c:dLbl>
              <c:idx val="0"/>
              <c:layout>
                <c:manualLayout>
                  <c:x val="-4.1960920542371813E-2"/>
                  <c:y val="-4.74390798049471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5C9-4477-B504-9C64D257F697}"/>
                </c:ext>
              </c:extLst>
            </c:dLbl>
            <c:dLbl>
              <c:idx val="1"/>
              <c:layout>
                <c:manualLayout>
                  <c:x val="-4.4525234118544171E-2"/>
                  <c:y val="-5.560394609880960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5C9-4477-B504-9C64D257F697}"/>
                </c:ext>
              </c:extLst>
            </c:dLbl>
            <c:dLbl>
              <c:idx val="2"/>
              <c:layout>
                <c:manualLayout>
                  <c:x val="-4.8439954953727965E-2"/>
                  <c:y val="-4.668185856612849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5C9-4477-B504-9C64D257F697}"/>
                </c:ext>
              </c:extLst>
            </c:dLbl>
            <c:dLbl>
              <c:idx val="3"/>
              <c:layout>
                <c:manualLayout>
                  <c:x val="-4.7874151976677673E-2"/>
                  <c:y val="-4.704741364693779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5C9-4477-B504-9C64D257F697}"/>
                </c:ext>
              </c:extLst>
            </c:dLbl>
            <c:dLbl>
              <c:idx val="4"/>
              <c:layout>
                <c:manualLayout>
                  <c:x val="-4.9826762571633564E-2"/>
                  <c:y val="-5.513438727135850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5C9-4477-B504-9C64D257F697}"/>
                </c:ext>
              </c:extLst>
            </c:dLbl>
            <c:dLbl>
              <c:idx val="5"/>
              <c:layout>
                <c:manualLayout>
                  <c:x val="-4.3249961886681322E-2"/>
                  <c:y val="7.480274377725729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5C9-4477-B504-9C64D257F697}"/>
                </c:ext>
              </c:extLst>
            </c:dLbl>
            <c:dLbl>
              <c:idx val="6"/>
              <c:layout>
                <c:manualLayout>
                  <c:xMode val="edge"/>
                  <c:yMode val="edge"/>
                  <c:x val="0.6583629893238433"/>
                  <c:y val="0.23450134770889491"/>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5C9-4477-B504-9C64D257F697}"/>
                </c:ext>
              </c:extLst>
            </c:dLbl>
            <c:dLbl>
              <c:idx val="7"/>
              <c:layout>
                <c:manualLayout>
                  <c:xMode val="edge"/>
                  <c:yMode val="edge"/>
                  <c:x val="0.66370106761566461"/>
                  <c:y val="0.23450134770889491"/>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5C9-4477-B504-9C64D257F697}"/>
                </c:ext>
              </c:extLst>
            </c:dLbl>
            <c:dLbl>
              <c:idx val="8"/>
              <c:layout>
                <c:manualLayout>
                  <c:xMode val="edge"/>
                  <c:yMode val="edge"/>
                  <c:x val="0.67081850533808485"/>
                  <c:y val="0.22641509433962398"/>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5C9-4477-B504-9C64D257F697}"/>
                </c:ext>
              </c:extLst>
            </c:dLbl>
            <c:dLbl>
              <c:idx val="9"/>
              <c:layout>
                <c:manualLayout>
                  <c:xMode val="edge"/>
                  <c:yMode val="edge"/>
                  <c:x val="0.67615658362989983"/>
                  <c:y val="0.22641509433962398"/>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5C9-4477-B504-9C64D257F697}"/>
                </c:ext>
              </c:extLst>
            </c:dLbl>
            <c:numFmt formatCode="0.0" sourceLinked="0"/>
            <c:spPr>
              <a:noFill/>
              <a:ln w="25339">
                <a:noFill/>
              </a:ln>
            </c:spPr>
            <c:txPr>
              <a:bodyPr/>
              <a:lstStyle/>
              <a:p>
                <a:pPr>
                  <a:defRPr lang="es-ES" sz="824"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Sheet1!$B$1:$O$1</c:f>
              <c:numCache>
                <c:formatCode>General</c:formatCode>
                <c:ptCount val="5"/>
                <c:pt idx="0">
                  <c:v>2011</c:v>
                </c:pt>
                <c:pt idx="1">
                  <c:v>2012</c:v>
                </c:pt>
                <c:pt idx="2">
                  <c:v>2013</c:v>
                </c:pt>
                <c:pt idx="3">
                  <c:v>2014</c:v>
                </c:pt>
                <c:pt idx="4">
                  <c:v>2015</c:v>
                </c:pt>
              </c:numCache>
            </c:numRef>
          </c:cat>
          <c:val>
            <c:numRef>
              <c:f>Sheet1!$B$2:$O$2</c:f>
              <c:numCache>
                <c:formatCode>General</c:formatCode>
                <c:ptCount val="5"/>
                <c:pt idx="0">
                  <c:v>9.5</c:v>
                </c:pt>
                <c:pt idx="1">
                  <c:v>11.8</c:v>
                </c:pt>
                <c:pt idx="2">
                  <c:v>10.4</c:v>
                </c:pt>
                <c:pt idx="3">
                  <c:v>13.5</c:v>
                </c:pt>
                <c:pt idx="4" formatCode="0.0">
                  <c:v>12</c:v>
                </c:pt>
              </c:numCache>
            </c:numRef>
          </c:val>
          <c:smooth val="1"/>
          <c:extLst xmlns:c16r2="http://schemas.microsoft.com/office/drawing/2015/06/chart">
            <c:ext xmlns:c16="http://schemas.microsoft.com/office/drawing/2014/chart" uri="{C3380CC4-5D6E-409C-BE32-E72D297353CC}">
              <c16:uniqueId val="{0000000A-95C9-4477-B504-9C64D257F697}"/>
            </c:ext>
          </c:extLst>
        </c:ser>
        <c:dLbls>
          <c:showVal val="1"/>
        </c:dLbls>
        <c:marker val="1"/>
        <c:axId val="109137280"/>
        <c:axId val="109168128"/>
      </c:lineChart>
      <c:catAx>
        <c:axId val="109137280"/>
        <c:scaling>
          <c:orientation val="minMax"/>
        </c:scaling>
        <c:axPos val="b"/>
        <c:title>
          <c:tx>
            <c:rich>
              <a:bodyPr/>
              <a:lstStyle/>
              <a:p>
                <a:pPr>
                  <a:defRPr lang="es-ES" sz="869" b="1" i="0" u="none" strike="noStrike" baseline="0">
                    <a:solidFill>
                      <a:srgbClr val="000000"/>
                    </a:solidFill>
                    <a:latin typeface="Times New Roman"/>
                    <a:ea typeface="Times New Roman"/>
                    <a:cs typeface="Times New Roman"/>
                  </a:defRPr>
                </a:pPr>
                <a:r>
                  <a:rPr lang="es-ES"/>
                  <a:t>AÑO</a:t>
                </a:r>
              </a:p>
            </c:rich>
          </c:tx>
          <c:layout>
            <c:manualLayout>
              <c:xMode val="edge"/>
              <c:yMode val="edge"/>
              <c:x val="0.52135228671637257"/>
              <c:y val="0.81940717410323716"/>
            </c:manualLayout>
          </c:layout>
          <c:spPr>
            <a:noFill/>
            <a:ln w="25339">
              <a:noFill/>
            </a:ln>
          </c:spPr>
        </c:title>
        <c:numFmt formatCode="General" sourceLinked="1"/>
        <c:tickLblPos val="nextTo"/>
        <c:spPr>
          <a:ln w="3167">
            <a:solidFill>
              <a:srgbClr val="000000"/>
            </a:solidFill>
            <a:prstDash val="solid"/>
          </a:ln>
        </c:spPr>
        <c:txPr>
          <a:bodyPr rot="0" vert="horz"/>
          <a:lstStyle/>
          <a:p>
            <a:pPr>
              <a:defRPr lang="es-ES" sz="874" b="1" i="0" u="none" strike="noStrike" baseline="0">
                <a:solidFill>
                  <a:srgbClr val="000000"/>
                </a:solidFill>
                <a:latin typeface="Times New Roman"/>
                <a:ea typeface="Times New Roman"/>
                <a:cs typeface="Times New Roman"/>
              </a:defRPr>
            </a:pPr>
            <a:endParaRPr lang="es-CR"/>
          </a:p>
        </c:txPr>
        <c:crossAx val="109168128"/>
        <c:crosses val="autoZero"/>
        <c:auto val="1"/>
        <c:lblAlgn val="ctr"/>
        <c:lblOffset val="100"/>
        <c:tickLblSkip val="1"/>
        <c:tickMarkSkip val="1"/>
      </c:catAx>
      <c:valAx>
        <c:axId val="109168128"/>
        <c:scaling>
          <c:orientation val="minMax"/>
          <c:max val="18"/>
          <c:min val="6"/>
        </c:scaling>
        <c:axPos val="l"/>
        <c:majorGridlines>
          <c:spPr>
            <a:ln w="3167">
              <a:solidFill>
                <a:srgbClr val="000000"/>
              </a:solidFill>
              <a:prstDash val="solid"/>
            </a:ln>
          </c:spPr>
        </c:majorGridlines>
        <c:title>
          <c:tx>
            <c:rich>
              <a:bodyPr rot="0" vert="wordArtVert"/>
              <a:lstStyle/>
              <a:p>
                <a:pPr algn="ctr">
                  <a:defRPr lang="es-ES" sz="944" b="1" i="0" u="none" strike="noStrike" baseline="0">
                    <a:solidFill>
                      <a:srgbClr val="000000"/>
                    </a:solidFill>
                    <a:latin typeface="Times New Roman"/>
                    <a:ea typeface="Times New Roman"/>
                    <a:cs typeface="Times New Roman"/>
                  </a:defRPr>
                </a:pPr>
                <a:r>
                  <a:rPr lang="es-ES"/>
                  <a:t>TASA</a:t>
                </a:r>
              </a:p>
            </c:rich>
          </c:tx>
          <c:layout>
            <c:manualLayout>
              <c:xMode val="edge"/>
              <c:yMode val="edge"/>
              <c:x val="2.3131721366687567E-2"/>
              <c:y val="0.32075485564304562"/>
            </c:manualLayout>
          </c:layout>
          <c:spPr>
            <a:noFill/>
            <a:ln w="25339">
              <a:noFill/>
            </a:ln>
          </c:spPr>
        </c:title>
        <c:numFmt formatCode="General" sourceLinked="1"/>
        <c:tickLblPos val="nextTo"/>
        <c:spPr>
          <a:ln w="3167">
            <a:solidFill>
              <a:srgbClr val="000000"/>
            </a:solidFill>
            <a:prstDash val="solid"/>
          </a:ln>
        </c:spPr>
        <c:txPr>
          <a:bodyPr rot="0" vert="horz"/>
          <a:lstStyle/>
          <a:p>
            <a:pPr>
              <a:defRPr lang="es-ES" sz="874" b="1" i="0" u="none" strike="noStrike" baseline="0">
                <a:solidFill>
                  <a:srgbClr val="000000"/>
                </a:solidFill>
                <a:latin typeface="Times New Roman"/>
                <a:ea typeface="Times New Roman"/>
                <a:cs typeface="Times New Roman"/>
              </a:defRPr>
            </a:pPr>
            <a:endParaRPr lang="es-CR"/>
          </a:p>
        </c:txPr>
        <c:crossAx val="109137280"/>
        <c:crosses val="autoZero"/>
        <c:crossBetween val="between"/>
        <c:majorUnit val="3"/>
        <c:minorUnit val="3"/>
      </c:valAx>
      <c:spPr>
        <a:gradFill rotWithShape="0">
          <a:gsLst>
            <a:gs pos="0">
              <a:srgbClr val="CCFFFF"/>
            </a:gs>
            <a:gs pos="100000">
              <a:srgbClr val="CCFFFF">
                <a:gamma/>
                <a:shade val="72941"/>
                <a:invGamma/>
              </a:srgbClr>
            </a:gs>
          </a:gsLst>
          <a:lin ang="0" scaled="1"/>
        </a:gradFill>
        <a:ln w="12670">
          <a:solidFill>
            <a:srgbClr val="808080"/>
          </a:solidFill>
          <a:prstDash val="solid"/>
        </a:ln>
      </c:spPr>
    </c:plotArea>
    <c:plotVisOnly val="1"/>
    <c:dispBlanksAs val="gap"/>
  </c:chart>
  <c:spPr>
    <a:gradFill rotWithShape="0">
      <a:gsLst>
        <a:gs pos="0">
          <a:srgbClr val="FFFFCC">
            <a:gamma/>
            <a:shade val="76078"/>
            <a:invGamma/>
          </a:srgbClr>
        </a:gs>
        <a:gs pos="50000">
          <a:srgbClr val="FFFFCC"/>
        </a:gs>
        <a:gs pos="100000">
          <a:srgbClr val="FFFFCC">
            <a:gamma/>
            <a:shade val="76078"/>
            <a:invGamma/>
          </a:srgbClr>
        </a:gs>
      </a:gsLst>
      <a:lin ang="2700000" scaled="1"/>
    </a:gradFill>
    <a:ln w="3167">
      <a:solidFill>
        <a:srgbClr val="000000"/>
      </a:solidFill>
      <a:prstDash val="solid"/>
    </a:ln>
    <a:effectLst>
      <a:outerShdw dist="35921" dir="2700000" algn="br">
        <a:srgbClr val="000000"/>
      </a:outerShdw>
    </a:effectLst>
  </c:spPr>
  <c:txPr>
    <a:bodyPr/>
    <a:lstStyle/>
    <a:p>
      <a:pPr>
        <a:defRPr sz="1199" b="1" i="0" u="none" strike="noStrike" baseline="0">
          <a:solidFill>
            <a:srgbClr val="000000"/>
          </a:solidFill>
          <a:latin typeface="Arial"/>
          <a:ea typeface="Arial"/>
          <a:cs typeface="Arial"/>
        </a:defRPr>
      </a:pPr>
      <a:endParaRPr lang="es-CR"/>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CR"/>
  <c:chart>
    <c:title>
      <c:tx>
        <c:rich>
          <a:bodyPr/>
          <a:lstStyle/>
          <a:p>
            <a:pPr>
              <a:defRPr lang="es-ES" sz="950" b="1" i="0" u="none" strike="noStrike" baseline="0">
                <a:solidFill>
                  <a:srgbClr val="000000"/>
                </a:solidFill>
                <a:latin typeface="Times New Roman"/>
                <a:ea typeface="Times New Roman"/>
                <a:cs typeface="Times New Roman"/>
              </a:defRPr>
            </a:pPr>
            <a:r>
              <a:rPr lang="es-CR"/>
              <a:t>Gráfico Nº 2
Porcentaje del gasto en justicia respecto del producto
 interno bruto (PIB) durante el período 2011 - 2015</a:t>
            </a:r>
          </a:p>
        </c:rich>
      </c:tx>
      <c:layout>
        <c:manualLayout>
          <c:xMode val="edge"/>
          <c:yMode val="edge"/>
          <c:x val="0.20140105078809142"/>
          <c:y val="2.6385224274406351E-2"/>
        </c:manualLayout>
      </c:layout>
      <c:spPr>
        <a:noFill/>
        <a:ln w="25399">
          <a:noFill/>
        </a:ln>
      </c:spPr>
    </c:title>
    <c:plotArea>
      <c:layout>
        <c:manualLayout>
          <c:layoutTarget val="inner"/>
          <c:xMode val="edge"/>
          <c:yMode val="edge"/>
          <c:x val="0.15061295971978983"/>
          <c:y val="0.26649076517150438"/>
          <c:w val="0.79859894921190766"/>
          <c:h val="0.48812664907651732"/>
        </c:manualLayout>
      </c:layout>
      <c:lineChart>
        <c:grouping val="standard"/>
        <c:ser>
          <c:idx val="0"/>
          <c:order val="0"/>
          <c:tx>
            <c:strRef>
              <c:f>Sheet1!$A$2</c:f>
              <c:strCache>
                <c:ptCount val="1"/>
                <c:pt idx="0">
                  <c:v>n</c:v>
                </c:pt>
              </c:strCache>
            </c:strRef>
          </c:tx>
          <c:spPr>
            <a:ln w="25399">
              <a:solidFill>
                <a:srgbClr val="000000"/>
              </a:solidFill>
              <a:prstDash val="solid"/>
            </a:ln>
          </c:spPr>
          <c:marker>
            <c:symbol val="diamond"/>
            <c:size val="6"/>
            <c:spPr>
              <a:solidFill>
                <a:srgbClr val="000000"/>
              </a:solidFill>
              <a:ln>
                <a:solidFill>
                  <a:srgbClr val="000000"/>
                </a:solidFill>
                <a:prstDash val="solid"/>
              </a:ln>
            </c:spPr>
          </c:marker>
          <c:dLbls>
            <c:dLbl>
              <c:idx val="0"/>
              <c:layout>
                <c:manualLayout>
                  <c:x val="-4.9610373527953874E-2"/>
                  <c:y val="-6.844568070486119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290-4921-8A50-575D01FA6ED4}"/>
                </c:ext>
              </c:extLst>
            </c:dLbl>
            <c:dLbl>
              <c:idx val="1"/>
              <c:layout>
                <c:manualLayout>
                  <c:x val="-3.9452747092054291E-2"/>
                  <c:y val="-6.033220364003719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290-4921-8A50-575D01FA6ED4}"/>
                </c:ext>
              </c:extLst>
            </c:dLbl>
            <c:dLbl>
              <c:idx val="2"/>
              <c:layout>
                <c:manualLayout>
                  <c:x val="-3.6300374596610216E-2"/>
                  <c:y val="-5.360376281577732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290-4921-8A50-575D01FA6ED4}"/>
                </c:ext>
              </c:extLst>
            </c:dLbl>
            <c:dLbl>
              <c:idx val="3"/>
              <c:layout>
                <c:manualLayout>
                  <c:x val="-4.0153256041621399E-2"/>
                  <c:y val="-5.644019502572030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290-4921-8A50-575D01FA6ED4}"/>
                </c:ext>
              </c:extLst>
            </c:dLbl>
            <c:dLbl>
              <c:idx val="4"/>
              <c:layout>
                <c:manualLayout>
                  <c:x val="-4.5757450971746348E-2"/>
                  <c:y val="-4.667774444596682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290-4921-8A50-575D01FA6ED4}"/>
                </c:ext>
              </c:extLst>
            </c:dLbl>
            <c:dLbl>
              <c:idx val="5"/>
              <c:layout>
                <c:manualLayout>
                  <c:xMode val="edge"/>
                  <c:yMode val="edge"/>
                  <c:x val="0.85989492119089483"/>
                  <c:y val="0.382585751978893"/>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290-4921-8A50-575D01FA6ED4}"/>
                </c:ext>
              </c:extLst>
            </c:dLbl>
            <c:dLbl>
              <c:idx val="6"/>
              <c:layout>
                <c:manualLayout>
                  <c:xMode val="edge"/>
                  <c:yMode val="edge"/>
                  <c:x val="0.64798598949211905"/>
                  <c:y val="0.20052770448548821"/>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290-4921-8A50-575D01FA6ED4}"/>
                </c:ext>
              </c:extLst>
            </c:dLbl>
            <c:dLbl>
              <c:idx val="7"/>
              <c:layout>
                <c:manualLayout>
                  <c:xMode val="edge"/>
                  <c:yMode val="edge"/>
                  <c:x val="0.6532399299474605"/>
                  <c:y val="0.20580474934036944"/>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290-4921-8A50-575D01FA6ED4}"/>
                </c:ext>
              </c:extLst>
            </c:dLbl>
            <c:dLbl>
              <c:idx val="8"/>
              <c:layout>
                <c:manualLayout>
                  <c:xMode val="edge"/>
                  <c:yMode val="edge"/>
                  <c:x val="0.66374781085814605"/>
                  <c:y val="0.21108179419525094"/>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290-4921-8A50-575D01FA6ED4}"/>
                </c:ext>
              </c:extLst>
            </c:dLbl>
            <c:dLbl>
              <c:idx val="9"/>
              <c:layout>
                <c:manualLayout>
                  <c:xMode val="edge"/>
                  <c:yMode val="edge"/>
                  <c:x val="0.65499124343257753"/>
                  <c:y val="0.20580474934036944"/>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290-4921-8A50-575D01FA6ED4}"/>
                </c:ext>
              </c:extLst>
            </c:dLbl>
            <c:numFmt formatCode="0.00" sourceLinked="0"/>
            <c:spPr>
              <a:noFill/>
              <a:ln w="25399">
                <a:noFill/>
              </a:ln>
            </c:spPr>
            <c:txPr>
              <a:bodyPr/>
              <a:lstStyle/>
              <a:p>
                <a:pPr>
                  <a:defRPr lang="es-ES" sz="95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Sheet1!$B$1:$Q$1</c:f>
              <c:numCache>
                <c:formatCode>General</c:formatCode>
                <c:ptCount val="5"/>
                <c:pt idx="0">
                  <c:v>2011</c:v>
                </c:pt>
                <c:pt idx="1">
                  <c:v>2012</c:v>
                </c:pt>
                <c:pt idx="2">
                  <c:v>2013</c:v>
                </c:pt>
                <c:pt idx="3">
                  <c:v>2014</c:v>
                </c:pt>
                <c:pt idx="4">
                  <c:v>2015</c:v>
                </c:pt>
              </c:numCache>
            </c:numRef>
          </c:cat>
          <c:val>
            <c:numRef>
              <c:f>Sheet1!$B$2:$Q$2</c:f>
              <c:numCache>
                <c:formatCode>General</c:formatCode>
                <c:ptCount val="5"/>
                <c:pt idx="0">
                  <c:v>1.21</c:v>
                </c:pt>
                <c:pt idx="1">
                  <c:v>1.2</c:v>
                </c:pt>
                <c:pt idx="2">
                  <c:v>1.26</c:v>
                </c:pt>
                <c:pt idx="3">
                  <c:v>1.27</c:v>
                </c:pt>
                <c:pt idx="4">
                  <c:v>1.31</c:v>
                </c:pt>
              </c:numCache>
            </c:numRef>
          </c:val>
          <c:smooth val="1"/>
          <c:extLst xmlns:c16r2="http://schemas.microsoft.com/office/drawing/2015/06/chart">
            <c:ext xmlns:c16="http://schemas.microsoft.com/office/drawing/2014/chart" uri="{C3380CC4-5D6E-409C-BE32-E72D297353CC}">
              <c16:uniqueId val="{0000000A-B290-4921-8A50-575D01FA6ED4}"/>
            </c:ext>
          </c:extLst>
        </c:ser>
        <c:dLbls>
          <c:showVal val="1"/>
        </c:dLbls>
        <c:marker val="1"/>
        <c:axId val="88823296"/>
        <c:axId val="88825216"/>
      </c:lineChart>
      <c:catAx>
        <c:axId val="88823296"/>
        <c:scaling>
          <c:orientation val="minMax"/>
        </c:scaling>
        <c:axPos val="b"/>
        <c:title>
          <c:tx>
            <c:rich>
              <a:bodyPr/>
              <a:lstStyle/>
              <a:p>
                <a:pPr>
                  <a:defRPr lang="es-ES" sz="975"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5253940455341507"/>
              <c:y val="0.84960422163588634"/>
            </c:manualLayout>
          </c:layout>
          <c:spPr>
            <a:noFill/>
            <a:ln w="25399">
              <a:noFill/>
            </a:ln>
          </c:spPr>
        </c:title>
        <c:numFmt formatCode="General" sourceLinked="1"/>
        <c:tickLblPos val="nextTo"/>
        <c:spPr>
          <a:ln w="3175">
            <a:solidFill>
              <a:srgbClr val="000000"/>
            </a:solidFill>
            <a:prstDash val="solid"/>
          </a:ln>
        </c:spPr>
        <c:txPr>
          <a:bodyPr rot="0" vert="horz"/>
          <a:lstStyle/>
          <a:p>
            <a:pPr>
              <a:defRPr lang="es-ES" sz="975" b="1" i="0" u="none" strike="noStrike" baseline="0">
                <a:solidFill>
                  <a:srgbClr val="000000"/>
                </a:solidFill>
                <a:latin typeface="Times New Roman"/>
                <a:ea typeface="Times New Roman"/>
                <a:cs typeface="Times New Roman"/>
              </a:defRPr>
            </a:pPr>
            <a:endParaRPr lang="es-CR"/>
          </a:p>
        </c:txPr>
        <c:crossAx val="88825216"/>
        <c:crosses val="autoZero"/>
        <c:auto val="1"/>
        <c:lblAlgn val="ctr"/>
        <c:lblOffset val="100"/>
        <c:tickLblSkip val="1"/>
        <c:tickMarkSkip val="1"/>
      </c:catAx>
      <c:valAx>
        <c:axId val="88825216"/>
        <c:scaling>
          <c:orientation val="minMax"/>
          <c:max val="2"/>
          <c:min val="0"/>
        </c:scaling>
        <c:axPos val="l"/>
        <c:majorGridlines>
          <c:spPr>
            <a:ln w="3175">
              <a:solidFill>
                <a:srgbClr val="000000"/>
              </a:solidFill>
              <a:prstDash val="solid"/>
            </a:ln>
          </c:spPr>
        </c:majorGridlines>
        <c:title>
          <c:tx>
            <c:rich>
              <a:bodyPr rot="0" vert="wordArtVert"/>
              <a:lstStyle/>
              <a:p>
                <a:pPr algn="ctr">
                  <a:defRPr lang="es-ES" sz="625" b="1" i="0" u="none" strike="noStrike" baseline="0">
                    <a:solidFill>
                      <a:srgbClr val="000000"/>
                    </a:solidFill>
                    <a:latin typeface="Arial"/>
                    <a:ea typeface="Arial"/>
                    <a:cs typeface="Arial"/>
                  </a:defRPr>
                </a:pPr>
                <a:r>
                  <a:rPr lang="es-CR"/>
                  <a:t>PORCENTAJE</a:t>
                </a:r>
              </a:p>
            </c:rich>
          </c:tx>
          <c:layout>
            <c:manualLayout>
              <c:xMode val="edge"/>
              <c:yMode val="edge"/>
              <c:x val="3.6777583187390592E-2"/>
              <c:y val="0.32717678100263986"/>
            </c:manualLayout>
          </c:layout>
          <c:spPr>
            <a:noFill/>
            <a:ln w="25399">
              <a:noFill/>
            </a:ln>
          </c:spPr>
        </c:title>
        <c:numFmt formatCode="General" sourceLinked="1"/>
        <c:tickLblPos val="nextTo"/>
        <c:spPr>
          <a:ln w="3175">
            <a:solidFill>
              <a:srgbClr val="000000"/>
            </a:solidFill>
            <a:prstDash val="solid"/>
          </a:ln>
        </c:spPr>
        <c:txPr>
          <a:bodyPr rot="0" vert="horz"/>
          <a:lstStyle/>
          <a:p>
            <a:pPr>
              <a:defRPr lang="es-ES" sz="975" b="1" i="0" u="none" strike="noStrike" baseline="0">
                <a:solidFill>
                  <a:srgbClr val="000000"/>
                </a:solidFill>
                <a:latin typeface="Times New Roman"/>
                <a:ea typeface="Times New Roman"/>
                <a:cs typeface="Times New Roman"/>
              </a:defRPr>
            </a:pPr>
            <a:endParaRPr lang="es-CR"/>
          </a:p>
        </c:txPr>
        <c:crossAx val="88823296"/>
        <c:crosses val="autoZero"/>
        <c:crossBetween val="between"/>
      </c:valAx>
      <c:spPr>
        <a:gradFill rotWithShape="0">
          <a:gsLst>
            <a:gs pos="0">
              <a:srgbClr val="FFFFCC">
                <a:gamma/>
                <a:shade val="66667"/>
                <a:invGamma/>
              </a:srgbClr>
            </a:gs>
            <a:gs pos="50000">
              <a:srgbClr val="FFFFCC"/>
            </a:gs>
            <a:gs pos="100000">
              <a:srgbClr val="FFFFCC">
                <a:gamma/>
                <a:shade val="66667"/>
                <a:invGamma/>
              </a:srgbClr>
            </a:gs>
          </a:gsLst>
          <a:lin ang="0" scaled="1"/>
        </a:gradFill>
        <a:ln w="12700">
          <a:solidFill>
            <a:srgbClr val="808080"/>
          </a:solidFill>
          <a:prstDash val="solid"/>
        </a:ln>
      </c:spPr>
    </c:plotArea>
    <c:plotVisOnly val="1"/>
    <c:dispBlanksAs val="gap"/>
  </c:chart>
  <c:spPr>
    <a:gradFill rotWithShape="0">
      <a:gsLst>
        <a:gs pos="0">
          <a:srgbClr val="CCFFFF">
            <a:gamma/>
            <a:shade val="79216"/>
            <a:invGamma/>
          </a:srgbClr>
        </a:gs>
        <a:gs pos="50000">
          <a:srgbClr val="CCFFFF"/>
        </a:gs>
        <a:gs pos="100000">
          <a:srgbClr val="CCFFFF">
            <a:gamma/>
            <a:shade val="79216"/>
            <a:invGamma/>
          </a:srgbClr>
        </a:gs>
      </a:gsLst>
      <a:lin ang="5400000" scaled="1"/>
    </a:gradFill>
    <a:ln w="3175">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1"/>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title>
      <c:tx>
        <c:rich>
          <a:bodyPr/>
          <a:lstStyle/>
          <a:p>
            <a:pPr>
              <a:defRPr lang="es-CR" sz="923" b="1" i="0" u="none" strike="noStrike" baseline="0">
                <a:solidFill>
                  <a:srgbClr val="000000"/>
                </a:solidFill>
                <a:latin typeface="Times New Roman"/>
                <a:ea typeface="Times New Roman"/>
                <a:cs typeface="Times New Roman"/>
              </a:defRPr>
            </a:pPr>
            <a:r>
              <a:rPr lang="es-CR"/>
              <a:t>Gráfico Nº 19
Tasa de apelación en materia Penal por año. 2011 - 2015*</a:t>
            </a:r>
          </a:p>
        </c:rich>
      </c:tx>
      <c:layout>
        <c:manualLayout>
          <c:xMode val="edge"/>
          <c:yMode val="edge"/>
          <c:x val="0.15972173832253317"/>
          <c:y val="2.7481014873140999E-2"/>
        </c:manualLayout>
      </c:layout>
      <c:spPr>
        <a:noFill/>
        <a:ln w="25339">
          <a:noFill/>
        </a:ln>
      </c:spPr>
    </c:title>
    <c:plotArea>
      <c:layout>
        <c:manualLayout>
          <c:layoutTarget val="inner"/>
          <c:xMode val="edge"/>
          <c:yMode val="edge"/>
          <c:x val="0.13879003558719114"/>
          <c:y val="0.16392364714100671"/>
          <c:w val="0.79144960902378891"/>
          <c:h val="0.54497107435214065"/>
        </c:manualLayout>
      </c:layout>
      <c:lineChart>
        <c:grouping val="standard"/>
        <c:ser>
          <c:idx val="0"/>
          <c:order val="0"/>
          <c:tx>
            <c:strRef>
              <c:f>Sheet1!$A$2</c:f>
              <c:strCache>
                <c:ptCount val="1"/>
                <c:pt idx="0">
                  <c:v>Tasa Apelación</c:v>
                </c:pt>
              </c:strCache>
            </c:strRef>
          </c:tx>
          <c:spPr>
            <a:ln w="25339">
              <a:solidFill>
                <a:srgbClr val="000000"/>
              </a:solidFill>
              <a:prstDash val="solid"/>
            </a:ln>
          </c:spPr>
          <c:marker>
            <c:symbol val="diamond"/>
            <c:size val="3"/>
            <c:spPr>
              <a:solidFill>
                <a:srgbClr val="000000"/>
              </a:solidFill>
              <a:ln>
                <a:solidFill>
                  <a:srgbClr val="000000"/>
                </a:solidFill>
                <a:prstDash val="solid"/>
              </a:ln>
            </c:spPr>
          </c:marker>
          <c:dLbls>
            <c:dLbl>
              <c:idx val="0"/>
              <c:layout>
                <c:manualLayout>
                  <c:x val="-4.1960920542371813E-2"/>
                  <c:y val="-4.743907980494718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B04-4445-94FC-F8CCCB40382C}"/>
                </c:ext>
              </c:extLst>
            </c:dLbl>
            <c:dLbl>
              <c:idx val="1"/>
              <c:layout>
                <c:manualLayout>
                  <c:x val="-4.4525424806328748E-2"/>
                  <c:y val="-3.407088648802641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B04-4445-94FC-F8CCCB40382C}"/>
                </c:ext>
              </c:extLst>
            </c:dLbl>
            <c:dLbl>
              <c:idx val="2"/>
              <c:layout>
                <c:manualLayout>
                  <c:x val="-4.8439954953727986E-2"/>
                  <c:y val="-4.668185856612845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B04-4445-94FC-F8CCCB40382C}"/>
                </c:ext>
              </c:extLst>
            </c:dLbl>
            <c:dLbl>
              <c:idx val="3"/>
              <c:layout>
                <c:manualLayout>
                  <c:x val="-4.2107366336993392E-2"/>
                  <c:y val="-5.566067807415545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B04-4445-94FC-F8CCCB40382C}"/>
                </c:ext>
              </c:extLst>
            </c:dLbl>
            <c:dLbl>
              <c:idx val="4"/>
              <c:layout>
                <c:manualLayout>
                  <c:x val="-4.9826762571633564E-2"/>
                  <c:y val="-5.513438727135850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B04-4445-94FC-F8CCCB40382C}"/>
                </c:ext>
              </c:extLst>
            </c:dLbl>
            <c:dLbl>
              <c:idx val="5"/>
              <c:layout>
                <c:manualLayout>
                  <c:x val="-4.3249961886681322E-2"/>
                  <c:y val="7.480274377725729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B04-4445-94FC-F8CCCB40382C}"/>
                </c:ext>
              </c:extLst>
            </c:dLbl>
            <c:dLbl>
              <c:idx val="6"/>
              <c:layout>
                <c:manualLayout>
                  <c:xMode val="edge"/>
                  <c:yMode val="edge"/>
                  <c:x val="0.6583629893238433"/>
                  <c:y val="0.23450134770889491"/>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B04-4445-94FC-F8CCCB40382C}"/>
                </c:ext>
              </c:extLst>
            </c:dLbl>
            <c:dLbl>
              <c:idx val="7"/>
              <c:layout>
                <c:manualLayout>
                  <c:xMode val="edge"/>
                  <c:yMode val="edge"/>
                  <c:x val="0.66370106761566483"/>
                  <c:y val="0.23450134770889491"/>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B04-4445-94FC-F8CCCB40382C}"/>
                </c:ext>
              </c:extLst>
            </c:dLbl>
            <c:dLbl>
              <c:idx val="8"/>
              <c:layout>
                <c:manualLayout>
                  <c:xMode val="edge"/>
                  <c:yMode val="edge"/>
                  <c:x val="0.67081850533808518"/>
                  <c:y val="0.22641509433962403"/>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B04-4445-94FC-F8CCCB40382C}"/>
                </c:ext>
              </c:extLst>
            </c:dLbl>
            <c:dLbl>
              <c:idx val="9"/>
              <c:layout>
                <c:manualLayout>
                  <c:xMode val="edge"/>
                  <c:yMode val="edge"/>
                  <c:x val="0.67615658362990005"/>
                  <c:y val="0.22641509433962403"/>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B04-4445-94FC-F8CCCB40382C}"/>
                </c:ext>
              </c:extLst>
            </c:dLbl>
            <c:numFmt formatCode="0.0" sourceLinked="0"/>
            <c:spPr>
              <a:noFill/>
              <a:ln w="25339">
                <a:noFill/>
              </a:ln>
            </c:spPr>
            <c:txPr>
              <a:bodyPr/>
              <a:lstStyle/>
              <a:p>
                <a:pPr>
                  <a:defRPr lang="es-ES" sz="824"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Sheet1!$B$1:$N$1</c:f>
              <c:numCache>
                <c:formatCode>General</c:formatCode>
                <c:ptCount val="4"/>
                <c:pt idx="0">
                  <c:v>2012</c:v>
                </c:pt>
                <c:pt idx="1">
                  <c:v>2013</c:v>
                </c:pt>
                <c:pt idx="2">
                  <c:v>2014</c:v>
                </c:pt>
                <c:pt idx="3">
                  <c:v>2015</c:v>
                </c:pt>
              </c:numCache>
            </c:numRef>
          </c:cat>
          <c:val>
            <c:numRef>
              <c:f>Sheet1!$B$2:$N$2</c:f>
              <c:numCache>
                <c:formatCode>General</c:formatCode>
                <c:ptCount val="4"/>
                <c:pt idx="0">
                  <c:v>27.9</c:v>
                </c:pt>
                <c:pt idx="1">
                  <c:v>28.4</c:v>
                </c:pt>
                <c:pt idx="2">
                  <c:v>27.2</c:v>
                </c:pt>
                <c:pt idx="3" formatCode="0.0">
                  <c:v>25.6</c:v>
                </c:pt>
              </c:numCache>
            </c:numRef>
          </c:val>
          <c:smooth val="1"/>
          <c:extLst xmlns:c16r2="http://schemas.microsoft.com/office/drawing/2015/06/chart">
            <c:ext xmlns:c16="http://schemas.microsoft.com/office/drawing/2014/chart" uri="{C3380CC4-5D6E-409C-BE32-E72D297353CC}">
              <c16:uniqueId val="{0000000A-5B04-4445-94FC-F8CCCB40382C}"/>
            </c:ext>
          </c:extLst>
        </c:ser>
        <c:dLbls>
          <c:showVal val="1"/>
        </c:dLbls>
        <c:marker val="1"/>
        <c:axId val="110347392"/>
        <c:axId val="110349312"/>
      </c:lineChart>
      <c:catAx>
        <c:axId val="110347392"/>
        <c:scaling>
          <c:orientation val="minMax"/>
        </c:scaling>
        <c:axPos val="b"/>
        <c:title>
          <c:tx>
            <c:rich>
              <a:bodyPr/>
              <a:lstStyle/>
              <a:p>
                <a:pPr>
                  <a:defRPr lang="es-ES" sz="869" b="1" i="0" u="none" strike="noStrike" baseline="0">
                    <a:solidFill>
                      <a:srgbClr val="000000"/>
                    </a:solidFill>
                    <a:latin typeface="Times New Roman"/>
                    <a:ea typeface="Times New Roman"/>
                    <a:cs typeface="Times New Roman"/>
                  </a:defRPr>
                </a:pPr>
                <a:r>
                  <a:rPr lang="es-ES"/>
                  <a:t>AÑO</a:t>
                </a:r>
              </a:p>
            </c:rich>
          </c:tx>
          <c:layout>
            <c:manualLayout>
              <c:xMode val="edge"/>
              <c:yMode val="edge"/>
              <c:x val="0.52135228671637257"/>
              <c:y val="0.81940717410323716"/>
            </c:manualLayout>
          </c:layout>
          <c:spPr>
            <a:noFill/>
            <a:ln w="25339">
              <a:noFill/>
            </a:ln>
          </c:spPr>
        </c:title>
        <c:numFmt formatCode="General" sourceLinked="1"/>
        <c:tickLblPos val="nextTo"/>
        <c:spPr>
          <a:ln w="3167">
            <a:solidFill>
              <a:srgbClr val="000000"/>
            </a:solidFill>
            <a:prstDash val="solid"/>
          </a:ln>
        </c:spPr>
        <c:txPr>
          <a:bodyPr rot="0" vert="horz"/>
          <a:lstStyle/>
          <a:p>
            <a:pPr>
              <a:defRPr lang="es-ES" sz="874" b="1" i="0" u="none" strike="noStrike" baseline="0">
                <a:solidFill>
                  <a:srgbClr val="000000"/>
                </a:solidFill>
                <a:latin typeface="Times New Roman"/>
                <a:ea typeface="Times New Roman"/>
                <a:cs typeface="Times New Roman"/>
              </a:defRPr>
            </a:pPr>
            <a:endParaRPr lang="es-CR"/>
          </a:p>
        </c:txPr>
        <c:crossAx val="110349312"/>
        <c:crosses val="autoZero"/>
        <c:auto val="1"/>
        <c:lblAlgn val="ctr"/>
        <c:lblOffset val="100"/>
        <c:tickLblSkip val="1"/>
        <c:tickMarkSkip val="1"/>
      </c:catAx>
      <c:valAx>
        <c:axId val="110349312"/>
        <c:scaling>
          <c:orientation val="minMax"/>
          <c:max val="30"/>
          <c:min val="24"/>
        </c:scaling>
        <c:axPos val="l"/>
        <c:majorGridlines>
          <c:spPr>
            <a:ln w="3167">
              <a:solidFill>
                <a:srgbClr val="000000"/>
              </a:solidFill>
              <a:prstDash val="solid"/>
            </a:ln>
          </c:spPr>
        </c:majorGridlines>
        <c:title>
          <c:tx>
            <c:rich>
              <a:bodyPr rot="0" vert="wordArtVert"/>
              <a:lstStyle/>
              <a:p>
                <a:pPr algn="ctr">
                  <a:defRPr lang="es-ES" sz="944" b="1" i="0" u="none" strike="noStrike" baseline="0">
                    <a:solidFill>
                      <a:srgbClr val="000000"/>
                    </a:solidFill>
                    <a:latin typeface="Times New Roman"/>
                    <a:ea typeface="Times New Roman"/>
                    <a:cs typeface="Times New Roman"/>
                  </a:defRPr>
                </a:pPr>
                <a:r>
                  <a:rPr lang="es-ES"/>
                  <a:t>TASA</a:t>
                </a:r>
              </a:p>
            </c:rich>
          </c:tx>
          <c:layout>
            <c:manualLayout>
              <c:xMode val="edge"/>
              <c:yMode val="edge"/>
              <c:x val="2.3131721366687567E-2"/>
              <c:y val="0.32075485564304562"/>
            </c:manualLayout>
          </c:layout>
          <c:spPr>
            <a:noFill/>
            <a:ln w="25339">
              <a:noFill/>
            </a:ln>
          </c:spPr>
        </c:title>
        <c:numFmt formatCode="General" sourceLinked="1"/>
        <c:tickLblPos val="nextTo"/>
        <c:spPr>
          <a:ln w="3167">
            <a:solidFill>
              <a:srgbClr val="000000"/>
            </a:solidFill>
            <a:prstDash val="solid"/>
          </a:ln>
        </c:spPr>
        <c:txPr>
          <a:bodyPr rot="0" vert="horz"/>
          <a:lstStyle/>
          <a:p>
            <a:pPr>
              <a:defRPr lang="es-ES" sz="874" b="1" i="0" u="none" strike="noStrike" baseline="0">
                <a:solidFill>
                  <a:srgbClr val="000000"/>
                </a:solidFill>
                <a:latin typeface="Times New Roman"/>
                <a:ea typeface="Times New Roman"/>
                <a:cs typeface="Times New Roman"/>
              </a:defRPr>
            </a:pPr>
            <a:endParaRPr lang="es-CR"/>
          </a:p>
        </c:txPr>
        <c:crossAx val="110347392"/>
        <c:crosses val="autoZero"/>
        <c:crossBetween val="between"/>
        <c:majorUnit val="1"/>
        <c:minorUnit val="1"/>
      </c:valAx>
      <c:spPr>
        <a:gradFill rotWithShape="0">
          <a:gsLst>
            <a:gs pos="0">
              <a:srgbClr val="CCFFFF"/>
            </a:gs>
            <a:gs pos="100000">
              <a:srgbClr val="CCFFFF">
                <a:gamma/>
                <a:shade val="72941"/>
                <a:invGamma/>
              </a:srgbClr>
            </a:gs>
          </a:gsLst>
          <a:lin ang="0" scaled="1"/>
        </a:gradFill>
        <a:ln w="12670">
          <a:solidFill>
            <a:srgbClr val="808080"/>
          </a:solidFill>
          <a:prstDash val="solid"/>
        </a:ln>
      </c:spPr>
    </c:plotArea>
    <c:plotVisOnly val="1"/>
    <c:dispBlanksAs val="gap"/>
  </c:chart>
  <c:spPr>
    <a:gradFill rotWithShape="0">
      <a:gsLst>
        <a:gs pos="0">
          <a:srgbClr val="FFFFCC">
            <a:gamma/>
            <a:shade val="76078"/>
            <a:invGamma/>
          </a:srgbClr>
        </a:gs>
        <a:gs pos="50000">
          <a:srgbClr val="FFFFCC"/>
        </a:gs>
        <a:gs pos="100000">
          <a:srgbClr val="FFFFCC">
            <a:gamma/>
            <a:shade val="76078"/>
            <a:invGamma/>
          </a:srgbClr>
        </a:gs>
      </a:gsLst>
      <a:lin ang="2700000" scaled="1"/>
    </a:gradFill>
    <a:ln w="3167">
      <a:solidFill>
        <a:srgbClr val="000000"/>
      </a:solidFill>
      <a:prstDash val="solid"/>
    </a:ln>
    <a:effectLst>
      <a:outerShdw dist="35921" dir="2700000" algn="br">
        <a:srgbClr val="000000"/>
      </a:outerShdw>
    </a:effectLst>
  </c:spPr>
  <c:txPr>
    <a:bodyPr/>
    <a:lstStyle/>
    <a:p>
      <a:pPr>
        <a:defRPr sz="1199" b="1" i="0" u="none" strike="noStrike" baseline="0">
          <a:solidFill>
            <a:srgbClr val="000000"/>
          </a:solidFill>
          <a:latin typeface="Arial"/>
          <a:ea typeface="Arial"/>
          <a:cs typeface="Arial"/>
        </a:defRPr>
      </a:pPr>
      <a:endParaRPr lang="es-CR"/>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title>
      <c:tx>
        <c:rich>
          <a:bodyPr/>
          <a:lstStyle/>
          <a:p>
            <a:pPr>
              <a:defRPr lang="es-CR" sz="1024" b="1" i="0" u="none" strike="noStrike" baseline="0">
                <a:solidFill>
                  <a:srgbClr val="000000"/>
                </a:solidFill>
                <a:latin typeface="Times New Roman"/>
                <a:ea typeface="Times New Roman"/>
                <a:cs typeface="Times New Roman"/>
              </a:defRPr>
            </a:pPr>
            <a:r>
              <a:rPr lang="es-CR"/>
              <a:t>Gráfico Nº 20
Número de abogadas y abogados por cada 100 mil habitantes 
según año. 2011 - 2015</a:t>
            </a:r>
          </a:p>
        </c:rich>
      </c:tx>
      <c:layout>
        <c:manualLayout>
          <c:xMode val="edge"/>
          <c:yMode val="edge"/>
          <c:x val="0.14489839979680025"/>
          <c:y val="1.5993570836218812E-2"/>
        </c:manualLayout>
      </c:layout>
      <c:spPr>
        <a:noFill/>
        <a:ln w="25373">
          <a:noFill/>
        </a:ln>
      </c:spPr>
    </c:title>
    <c:plotArea>
      <c:layout>
        <c:manualLayout>
          <c:layoutTarget val="inner"/>
          <c:xMode val="edge"/>
          <c:yMode val="edge"/>
          <c:x val="0.14448051948051938"/>
          <c:y val="0.18487185796486977"/>
          <c:w val="0.81655844155844171"/>
          <c:h val="0.53256422875024878"/>
        </c:manualLayout>
      </c:layout>
      <c:lineChart>
        <c:grouping val="standard"/>
        <c:ser>
          <c:idx val="0"/>
          <c:order val="0"/>
          <c:tx>
            <c:strRef>
              <c:f>Sheet1!$A$2</c:f>
              <c:strCache>
                <c:ptCount val="1"/>
                <c:pt idx="0">
                  <c:v>Abogados (as) por Hab</c:v>
                </c:pt>
              </c:strCache>
            </c:strRef>
          </c:tx>
          <c:spPr>
            <a:ln w="25373">
              <a:solidFill>
                <a:srgbClr val="000000"/>
              </a:solidFill>
              <a:prstDash val="solid"/>
            </a:ln>
          </c:spPr>
          <c:marker>
            <c:symbol val="diamond"/>
            <c:size val="3"/>
            <c:spPr>
              <a:solidFill>
                <a:srgbClr val="000000"/>
              </a:solidFill>
              <a:ln>
                <a:solidFill>
                  <a:srgbClr val="000000"/>
                </a:solidFill>
                <a:prstDash val="solid"/>
              </a:ln>
            </c:spPr>
          </c:marker>
          <c:dLbls>
            <c:dLbl>
              <c:idx val="0"/>
              <c:layout>
                <c:manualLayout>
                  <c:x val="-3.9647081298382007E-2"/>
                  <c:y val="-2.810007823541279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2B6-4F6F-A99A-EFE8032707D5}"/>
                </c:ext>
              </c:extLst>
            </c:dLbl>
            <c:dLbl>
              <c:idx val="1"/>
              <c:layout>
                <c:manualLayout>
                  <c:x val="-4.0011198974121094E-2"/>
                  <c:y val="-5.713576367857861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2B6-4F6F-A99A-EFE8032707D5}"/>
                </c:ext>
              </c:extLst>
            </c:dLbl>
            <c:dLbl>
              <c:idx val="2"/>
              <c:layout>
                <c:manualLayout>
                  <c:x val="-4.2608609661709387E-2"/>
                  <c:y val="-4.58691701998785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2B6-4F6F-A99A-EFE8032707D5}"/>
                </c:ext>
              </c:extLst>
            </c:dLbl>
            <c:dLbl>
              <c:idx val="3"/>
              <c:layout>
                <c:manualLayout>
                  <c:x val="-4.0335850028240083E-2"/>
                  <c:y val="-5.097384161114471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2B6-4F6F-A99A-EFE8032707D5}"/>
                </c:ext>
              </c:extLst>
            </c:dLbl>
            <c:dLbl>
              <c:idx val="4"/>
              <c:layout>
                <c:manualLayout>
                  <c:x val="-3.9686534436360013E-2"/>
                  <c:y val="-3.6812285483545489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2B6-4F6F-A99A-EFE8032707D5}"/>
                </c:ext>
              </c:extLst>
            </c:dLbl>
            <c:dLbl>
              <c:idx val="5"/>
              <c:layout>
                <c:manualLayout>
                  <c:x val="-8.5763336509001295E-2"/>
                  <c:y val="-0.41606696698970536"/>
                </c:manualLayout>
              </c:layout>
              <c:spPr>
                <a:noFill/>
                <a:ln w="25373">
                  <a:noFill/>
                </a:ln>
              </c:spPr>
              <c:txPr>
                <a:bodyPr/>
                <a:lstStyle/>
                <a:p>
                  <a:pPr>
                    <a:defRPr lang="es-ES" sz="95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2B6-4F6F-A99A-EFE8032707D5}"/>
                </c:ext>
              </c:extLst>
            </c:dLbl>
            <c:dLbl>
              <c:idx val="6"/>
              <c:layout>
                <c:manualLayout>
                  <c:x val="-7.7627031553447134E-2"/>
                  <c:y val="-0.13106696698970288"/>
                </c:manualLayout>
              </c:layout>
              <c:spPr>
                <a:noFill/>
                <a:ln w="25373">
                  <a:noFill/>
                </a:ln>
              </c:spPr>
              <c:txPr>
                <a:bodyPr/>
                <a:lstStyle/>
                <a:p>
                  <a:pPr>
                    <a:defRPr lang="es-ES" sz="95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2B6-4F6F-A99A-EFE8032707D5}"/>
                </c:ext>
              </c:extLst>
            </c:dLbl>
            <c:dLbl>
              <c:idx val="7"/>
              <c:layout>
                <c:manualLayout>
                  <c:xMode val="edge"/>
                  <c:yMode val="edge"/>
                  <c:x val="0.84253246753246758"/>
                  <c:y val="0.29000000000000031"/>
                </c:manualLayout>
              </c:layout>
              <c:spPr>
                <a:noFill/>
                <a:ln w="25373">
                  <a:noFill/>
                </a:ln>
              </c:spPr>
              <c:txPr>
                <a:bodyPr/>
                <a:lstStyle/>
                <a:p>
                  <a:pPr>
                    <a:defRPr lang="es-ES" sz="95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2B6-4F6F-A99A-EFE8032707D5}"/>
                </c:ext>
              </c:extLst>
            </c:dLbl>
            <c:dLbl>
              <c:idx val="8"/>
              <c:layout>
                <c:manualLayout>
                  <c:xMode val="edge"/>
                  <c:yMode val="edge"/>
                  <c:x val="0.85227272727272718"/>
                  <c:y val="0.29000000000000031"/>
                </c:manualLayout>
              </c:layout>
              <c:spPr>
                <a:noFill/>
                <a:ln w="25373">
                  <a:noFill/>
                </a:ln>
              </c:spPr>
              <c:txPr>
                <a:bodyPr/>
                <a:lstStyle/>
                <a:p>
                  <a:pPr>
                    <a:defRPr lang="es-ES" sz="95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2B6-4F6F-A99A-EFE8032707D5}"/>
                </c:ext>
              </c:extLst>
            </c:dLbl>
            <c:dLbl>
              <c:idx val="9"/>
              <c:layout>
                <c:manualLayout>
                  <c:xMode val="edge"/>
                  <c:yMode val="edge"/>
                  <c:x val="0.86038961038961548"/>
                  <c:y val="0.30000000000000032"/>
                </c:manualLayout>
              </c:layout>
              <c:spPr>
                <a:noFill/>
                <a:ln w="25373">
                  <a:noFill/>
                </a:ln>
              </c:spPr>
              <c:txPr>
                <a:bodyPr/>
                <a:lstStyle/>
                <a:p>
                  <a:pPr>
                    <a:defRPr lang="es-ES" sz="95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2B6-4F6F-A99A-EFE8032707D5}"/>
                </c:ext>
              </c:extLst>
            </c:dLbl>
            <c:spPr>
              <a:noFill/>
              <a:ln w="25373">
                <a:noFill/>
              </a:ln>
            </c:spPr>
            <c:txPr>
              <a:bodyPr/>
              <a:lstStyle/>
              <a:p>
                <a:pPr>
                  <a:defRPr lang="es-ES" sz="1025"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Sheet1!$B$1:$N$1</c:f>
              <c:numCache>
                <c:formatCode>General</c:formatCode>
                <c:ptCount val="5"/>
                <c:pt idx="0">
                  <c:v>2011</c:v>
                </c:pt>
                <c:pt idx="1">
                  <c:v>2012</c:v>
                </c:pt>
                <c:pt idx="2">
                  <c:v>2013</c:v>
                </c:pt>
                <c:pt idx="3">
                  <c:v>2014</c:v>
                </c:pt>
                <c:pt idx="4">
                  <c:v>2015</c:v>
                </c:pt>
              </c:numCache>
            </c:numRef>
          </c:cat>
          <c:val>
            <c:numRef>
              <c:f>Sheet1!$B$2:$N$2</c:f>
              <c:numCache>
                <c:formatCode>General</c:formatCode>
                <c:ptCount val="5"/>
                <c:pt idx="0">
                  <c:v>436</c:v>
                </c:pt>
                <c:pt idx="1">
                  <c:v>452</c:v>
                </c:pt>
                <c:pt idx="2">
                  <c:v>469</c:v>
                </c:pt>
                <c:pt idx="3">
                  <c:v>491</c:v>
                </c:pt>
                <c:pt idx="4">
                  <c:v>482</c:v>
                </c:pt>
              </c:numCache>
            </c:numRef>
          </c:val>
          <c:smooth val="1"/>
          <c:extLst xmlns:c16r2="http://schemas.microsoft.com/office/drawing/2015/06/chart">
            <c:ext xmlns:c16="http://schemas.microsoft.com/office/drawing/2014/chart" uri="{C3380CC4-5D6E-409C-BE32-E72D297353CC}">
              <c16:uniqueId val="{0000000A-02B6-4F6F-A99A-EFE8032707D5}"/>
            </c:ext>
          </c:extLst>
        </c:ser>
        <c:dLbls>
          <c:showVal val="1"/>
        </c:dLbls>
        <c:marker val="1"/>
        <c:axId val="113935488"/>
        <c:axId val="113937408"/>
      </c:lineChart>
      <c:catAx>
        <c:axId val="113935488"/>
        <c:scaling>
          <c:orientation val="minMax"/>
        </c:scaling>
        <c:axPos val="b"/>
        <c:title>
          <c:tx>
            <c:rich>
              <a:bodyPr/>
              <a:lstStyle/>
              <a:p>
                <a:pPr>
                  <a:defRPr lang="es-ES" sz="1020" b="1" i="0" u="none" strike="noStrike" baseline="0">
                    <a:solidFill>
                      <a:srgbClr val="000000"/>
                    </a:solidFill>
                    <a:latin typeface="Times New Roman"/>
                    <a:ea typeface="Times New Roman"/>
                    <a:cs typeface="Times New Roman"/>
                  </a:defRPr>
                </a:pPr>
                <a:r>
                  <a:rPr lang="es-ES"/>
                  <a:t>AÑO</a:t>
                </a:r>
              </a:p>
            </c:rich>
          </c:tx>
          <c:layout>
            <c:manualLayout>
              <c:xMode val="edge"/>
              <c:yMode val="edge"/>
              <c:x val="0.51521992210651091"/>
              <c:y val="0.82798088349705468"/>
            </c:manualLayout>
          </c:layout>
          <c:spPr>
            <a:noFill/>
            <a:ln w="25373">
              <a:noFill/>
            </a:ln>
          </c:spPr>
        </c:title>
        <c:numFmt formatCode="General" sourceLinked="1"/>
        <c:tickLblPos val="nextTo"/>
        <c:spPr>
          <a:ln w="3171">
            <a:solidFill>
              <a:srgbClr val="000000"/>
            </a:solidFill>
            <a:prstDash val="solid"/>
          </a:ln>
        </c:spPr>
        <c:txPr>
          <a:bodyPr rot="0" vert="horz"/>
          <a:lstStyle/>
          <a:p>
            <a:pPr>
              <a:defRPr lang="es-ES" sz="1025" b="1" i="0" u="none" strike="noStrike" baseline="0">
                <a:solidFill>
                  <a:srgbClr val="000000"/>
                </a:solidFill>
                <a:latin typeface="Times New Roman"/>
                <a:ea typeface="Times New Roman"/>
                <a:cs typeface="Times New Roman"/>
              </a:defRPr>
            </a:pPr>
            <a:endParaRPr lang="es-CR"/>
          </a:p>
        </c:txPr>
        <c:crossAx val="113937408"/>
        <c:crosses val="autoZero"/>
        <c:auto val="1"/>
        <c:lblAlgn val="ctr"/>
        <c:lblOffset val="100"/>
        <c:tickLblSkip val="1"/>
        <c:tickMarkSkip val="1"/>
      </c:catAx>
      <c:valAx>
        <c:axId val="113937408"/>
        <c:scaling>
          <c:orientation val="minMax"/>
          <c:max val="550"/>
          <c:min val="400"/>
        </c:scaling>
        <c:axPos val="l"/>
        <c:majorGridlines>
          <c:spPr>
            <a:ln w="3171">
              <a:solidFill>
                <a:srgbClr val="000000"/>
              </a:solidFill>
              <a:prstDash val="solid"/>
            </a:ln>
          </c:spPr>
        </c:majorGridlines>
        <c:title>
          <c:tx>
            <c:rich>
              <a:bodyPr rot="0" vert="wordArtVert"/>
              <a:lstStyle/>
              <a:p>
                <a:pPr algn="ctr">
                  <a:defRPr lang="es-ES" sz="1020" b="1" i="0" u="none" strike="noStrike" baseline="0">
                    <a:solidFill>
                      <a:srgbClr val="000000"/>
                    </a:solidFill>
                    <a:latin typeface="Times New Roman"/>
                    <a:ea typeface="Times New Roman"/>
                    <a:cs typeface="Times New Roman"/>
                  </a:defRPr>
                </a:pPr>
                <a:r>
                  <a:rPr lang="es-ES"/>
                  <a:t>TOTAL</a:t>
                </a:r>
              </a:p>
            </c:rich>
          </c:tx>
          <c:layout>
            <c:manualLayout>
              <c:xMode val="edge"/>
              <c:yMode val="edge"/>
              <c:x val="1.1363559393785532E-2"/>
              <c:y val="0.35750014961484988"/>
            </c:manualLayout>
          </c:layout>
          <c:spPr>
            <a:noFill/>
            <a:ln w="25373">
              <a:noFill/>
            </a:ln>
          </c:spPr>
        </c:title>
        <c:numFmt formatCode="General" sourceLinked="1"/>
        <c:tickLblPos val="nextTo"/>
        <c:spPr>
          <a:ln w="3171">
            <a:solidFill>
              <a:srgbClr val="000000"/>
            </a:solidFill>
            <a:prstDash val="solid"/>
          </a:ln>
        </c:spPr>
        <c:txPr>
          <a:bodyPr rot="0" vert="horz"/>
          <a:lstStyle/>
          <a:p>
            <a:pPr>
              <a:defRPr lang="es-ES" sz="1025" b="1" i="0" u="none" strike="noStrike" baseline="0">
                <a:solidFill>
                  <a:srgbClr val="000000"/>
                </a:solidFill>
                <a:latin typeface="Times New Roman"/>
                <a:ea typeface="Times New Roman"/>
                <a:cs typeface="Times New Roman"/>
              </a:defRPr>
            </a:pPr>
            <a:endParaRPr lang="es-CR"/>
          </a:p>
        </c:txPr>
        <c:crossAx val="113935488"/>
        <c:crosses val="autoZero"/>
        <c:crossBetween val="between"/>
        <c:majorUnit val="50"/>
        <c:minorUnit val="50"/>
      </c:valAx>
      <c:spPr>
        <a:gradFill rotWithShape="0">
          <a:gsLst>
            <a:gs pos="0">
              <a:srgbClr val="CCFFFF">
                <a:gamma/>
                <a:shade val="76078"/>
                <a:invGamma/>
              </a:srgbClr>
            </a:gs>
            <a:gs pos="50000">
              <a:srgbClr val="CCFFFF"/>
            </a:gs>
            <a:gs pos="100000">
              <a:srgbClr val="CCFFFF">
                <a:gamma/>
                <a:shade val="76078"/>
                <a:invGamma/>
              </a:srgbClr>
            </a:gs>
          </a:gsLst>
          <a:lin ang="18900000" scaled="1"/>
        </a:gradFill>
        <a:ln w="12686">
          <a:solidFill>
            <a:srgbClr val="808080"/>
          </a:solidFill>
          <a:prstDash val="solid"/>
        </a:ln>
      </c:spPr>
    </c:plotArea>
    <c:plotVisOnly val="1"/>
    <c:dispBlanksAs val="gap"/>
  </c:chart>
  <c:spPr>
    <a:gradFill rotWithShape="0">
      <a:gsLst>
        <a:gs pos="0">
          <a:srgbClr val="FFFFCC">
            <a:gamma/>
            <a:shade val="76078"/>
            <a:invGamma/>
          </a:srgbClr>
        </a:gs>
        <a:gs pos="50000">
          <a:srgbClr val="FFFFCC"/>
        </a:gs>
        <a:gs pos="100000">
          <a:srgbClr val="FFFFCC">
            <a:gamma/>
            <a:shade val="76078"/>
            <a:invGamma/>
          </a:srgbClr>
        </a:gs>
      </a:gsLst>
      <a:lin ang="18900000" scaled="1"/>
    </a:gradFill>
    <a:ln w="3171">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title>
      <c:tx>
        <c:rich>
          <a:bodyPr/>
          <a:lstStyle/>
          <a:p>
            <a:pPr>
              <a:defRPr lang="es-ES" sz="1050" b="1" i="0" u="none" strike="noStrike" baseline="0">
                <a:solidFill>
                  <a:srgbClr val="000000"/>
                </a:solidFill>
                <a:latin typeface="Times New Roman"/>
                <a:ea typeface="Times New Roman"/>
                <a:cs typeface="Times New Roman"/>
              </a:defRPr>
            </a:pPr>
            <a:r>
              <a:rPr lang="es-CR"/>
              <a:t>Gráfico Nº 21
Casos salidos o terminados por  jueza o juez durante el período 2011 - 2015</a:t>
            </a:r>
          </a:p>
        </c:rich>
      </c:tx>
      <c:layout>
        <c:manualLayout>
          <c:xMode val="edge"/>
          <c:yMode val="edge"/>
          <c:x val="0.13785557986870867"/>
          <c:y val="2.0202020202020211E-2"/>
        </c:manualLayout>
      </c:layout>
      <c:spPr>
        <a:noFill/>
        <a:ln w="25399">
          <a:noFill/>
        </a:ln>
      </c:spPr>
    </c:title>
    <c:plotArea>
      <c:layout>
        <c:manualLayout>
          <c:layoutTarget val="inner"/>
          <c:xMode val="edge"/>
          <c:yMode val="edge"/>
          <c:x val="0.15536105032822811"/>
          <c:y val="0.23569023569023628"/>
          <c:w val="0.78993435448577765"/>
          <c:h val="0.52861952861952965"/>
        </c:manualLayout>
      </c:layout>
      <c:lineChart>
        <c:grouping val="standard"/>
        <c:ser>
          <c:idx val="0"/>
          <c:order val="0"/>
          <c:tx>
            <c:strRef>
              <c:f>Sheet1!$A$2</c:f>
              <c:strCache>
                <c:ptCount val="1"/>
                <c:pt idx="0">
                  <c:v>I Instancia </c:v>
                </c:pt>
              </c:strCache>
            </c:strRef>
          </c:tx>
          <c:spPr>
            <a:ln w="25399">
              <a:solidFill>
                <a:srgbClr val="000000"/>
              </a:solidFill>
              <a:prstDash val="solid"/>
            </a:ln>
          </c:spPr>
          <c:marker>
            <c:symbol val="diamond"/>
            <c:size val="6"/>
            <c:spPr>
              <a:solidFill>
                <a:srgbClr val="000000"/>
              </a:solidFill>
              <a:ln>
                <a:solidFill>
                  <a:srgbClr val="000000"/>
                </a:solidFill>
                <a:prstDash val="solid"/>
              </a:ln>
            </c:spPr>
          </c:marker>
          <c:dLbls>
            <c:dLbl>
              <c:idx val="0"/>
              <c:layout>
                <c:manualLayout>
                  <c:x val="-4.3534544628245693E-2"/>
                  <c:y val="-5.829354884625889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775-4975-B65D-E3E60C638E30}"/>
                </c:ext>
              </c:extLst>
            </c:dLbl>
            <c:dLbl>
              <c:idx val="1"/>
              <c:layout>
                <c:manualLayout>
                  <c:x val="-4.8348571536824009E-2"/>
                  <c:y val="-6.162947931008469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775-4975-B65D-E3E60C638E30}"/>
                </c:ext>
              </c:extLst>
            </c:dLbl>
            <c:dLbl>
              <c:idx val="2"/>
              <c:layout>
                <c:manualLayout>
                  <c:x val="-4.6598047023082782E-2"/>
                  <c:y val="-4.96374905181571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775-4975-B65D-E3E60C638E30}"/>
                </c:ext>
              </c:extLst>
            </c:dLbl>
            <c:dLbl>
              <c:idx val="3"/>
              <c:layout>
                <c:manualLayout>
                  <c:x val="-5.3600257739101063E-2"/>
                  <c:y val="-6.426982152385406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775-4975-B65D-E3E60C638E30}"/>
                </c:ext>
              </c:extLst>
            </c:dLbl>
            <c:dLbl>
              <c:idx val="4"/>
              <c:layout>
                <c:manualLayout>
                  <c:x val="-3.6532446573281196E-2"/>
                  <c:y val="-5.473577350345182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775-4975-B65D-E3E60C638E30}"/>
                </c:ext>
              </c:extLst>
            </c:dLbl>
            <c:dLbl>
              <c:idx val="5"/>
              <c:layout>
                <c:manualLayout>
                  <c:x val="0.39033530978783626"/>
                  <c:y val="6.159421599219789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775-4975-B65D-E3E60C638E30}"/>
                </c:ext>
              </c:extLst>
            </c:dLbl>
            <c:dLbl>
              <c:idx val="6"/>
              <c:layout>
                <c:manualLayout>
                  <c:x val="0.13697492457618021"/>
                  <c:y val="-1.505839425264540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775-4975-B65D-E3E60C638E30}"/>
                </c:ext>
              </c:extLst>
            </c:dLbl>
            <c:dLbl>
              <c:idx val="7"/>
              <c:layout>
                <c:manualLayout>
                  <c:x val="8.2739265841549225E-2"/>
                  <c:y val="-1.474401019084139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775-4975-B65D-E3E60C638E30}"/>
                </c:ext>
              </c:extLst>
            </c:dLbl>
            <c:dLbl>
              <c:idx val="8"/>
              <c:layout>
                <c:manualLayout>
                  <c:x val="3.7256342336678412E-2"/>
                  <c:y val="-4.277987169815007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775-4975-B65D-E3E60C638E30}"/>
                </c:ext>
              </c:extLst>
            </c:dLbl>
            <c:dLbl>
              <c:idx val="9"/>
              <c:layout>
                <c:manualLayout>
                  <c:x val="-1.6979316397952443E-2"/>
                  <c:y val="-3.4410141215431289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775-4975-B65D-E3E60C638E30}"/>
                </c:ext>
              </c:extLst>
            </c:dLbl>
            <c:spPr>
              <a:noFill/>
              <a:ln w="25399">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Sheet1!$L$1:$P$1</c:f>
              <c:numCache>
                <c:formatCode>General</c:formatCode>
                <c:ptCount val="5"/>
                <c:pt idx="0">
                  <c:v>2011</c:v>
                </c:pt>
                <c:pt idx="1">
                  <c:v>2012</c:v>
                </c:pt>
                <c:pt idx="2">
                  <c:v>2013</c:v>
                </c:pt>
                <c:pt idx="3">
                  <c:v>2014</c:v>
                </c:pt>
                <c:pt idx="4">
                  <c:v>2015</c:v>
                </c:pt>
              </c:numCache>
            </c:numRef>
          </c:cat>
          <c:val>
            <c:numRef>
              <c:f>Sheet1!$L$2:$P$2</c:f>
              <c:numCache>
                <c:formatCode>General</c:formatCode>
                <c:ptCount val="5"/>
                <c:pt idx="0">
                  <c:v>670</c:v>
                </c:pt>
                <c:pt idx="1">
                  <c:v>550</c:v>
                </c:pt>
                <c:pt idx="2">
                  <c:v>555</c:v>
                </c:pt>
                <c:pt idx="3">
                  <c:v>568</c:v>
                </c:pt>
                <c:pt idx="4">
                  <c:v>541</c:v>
                </c:pt>
              </c:numCache>
            </c:numRef>
          </c:val>
          <c:smooth val="1"/>
          <c:extLst xmlns:c16r2="http://schemas.microsoft.com/office/drawing/2015/06/chart">
            <c:ext xmlns:c16="http://schemas.microsoft.com/office/drawing/2014/chart" uri="{C3380CC4-5D6E-409C-BE32-E72D297353CC}">
              <c16:uniqueId val="{0000000A-0775-4975-B65D-E3E60C638E30}"/>
            </c:ext>
          </c:extLst>
        </c:ser>
        <c:ser>
          <c:idx val="2"/>
          <c:order val="1"/>
          <c:tx>
            <c:strRef>
              <c:f>Sheet1!$A$3</c:f>
              <c:strCache>
                <c:ptCount val="1"/>
                <c:pt idx="0">
                  <c:v>II Instancia</c:v>
                </c:pt>
              </c:strCache>
            </c:strRef>
          </c:tx>
          <c:spPr>
            <a:ln w="25399">
              <a:solidFill>
                <a:srgbClr val="FF0000"/>
              </a:solidFill>
              <a:prstDash val="solid"/>
            </a:ln>
          </c:spPr>
          <c:marker>
            <c:symbol val="triangle"/>
            <c:size val="4"/>
            <c:spPr>
              <a:solidFill>
                <a:srgbClr val="FF0000"/>
              </a:solidFill>
              <a:ln>
                <a:solidFill>
                  <a:srgbClr val="FF0000"/>
                </a:solidFill>
                <a:prstDash val="solid"/>
              </a:ln>
            </c:spPr>
          </c:marker>
          <c:dLbls>
            <c:dLbl>
              <c:idx val="0"/>
              <c:layout>
                <c:manualLayout>
                  <c:x val="-3.850343260474328E-2"/>
                  <c:y val="-5.097748630200270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775-4975-B65D-E3E60C638E30}"/>
                </c:ext>
              </c:extLst>
            </c:dLbl>
            <c:dLbl>
              <c:idx val="1"/>
              <c:layout>
                <c:manualLayout>
                  <c:x val="-3.6752908091002116E-2"/>
                  <c:y val="-5.324197817432234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775-4975-B65D-E3E60C638E30}"/>
                </c:ext>
              </c:extLst>
            </c:dLbl>
            <c:dLbl>
              <c:idx val="2"/>
              <c:layout>
                <c:manualLayout>
                  <c:x val="-4.1566934999580835E-2"/>
                  <c:y val="-5.849728330884218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775-4975-B65D-E3E60C638E30}"/>
                </c:ext>
              </c:extLst>
            </c:dLbl>
            <c:dLbl>
              <c:idx val="3"/>
              <c:layout>
                <c:manualLayout>
                  <c:x val="-4.4192778100719414E-2"/>
                  <c:y val="-4.128339944561929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775-4975-B65D-E3E60C638E30}"/>
                </c:ext>
              </c:extLst>
            </c:dLbl>
            <c:dLbl>
              <c:idx val="4"/>
              <c:layout>
                <c:manualLayout>
                  <c:x val="7.8859739841378399E-3"/>
                  <c:y val="-4.4033845578069055E-3"/>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775-4975-B65D-E3E60C638E30}"/>
                </c:ext>
              </c:extLst>
            </c:dLbl>
            <c:spPr>
              <a:noFill/>
              <a:ln w="25399">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Sheet1!$L$1:$P$1</c:f>
              <c:numCache>
                <c:formatCode>General</c:formatCode>
                <c:ptCount val="5"/>
                <c:pt idx="0">
                  <c:v>2011</c:v>
                </c:pt>
                <c:pt idx="1">
                  <c:v>2012</c:v>
                </c:pt>
                <c:pt idx="2">
                  <c:v>2013</c:v>
                </c:pt>
                <c:pt idx="3">
                  <c:v>2014</c:v>
                </c:pt>
                <c:pt idx="4">
                  <c:v>2015</c:v>
                </c:pt>
              </c:numCache>
            </c:numRef>
          </c:cat>
          <c:val>
            <c:numRef>
              <c:f>Sheet1!$L$3:$P$3</c:f>
              <c:numCache>
                <c:formatCode>General</c:formatCode>
                <c:ptCount val="5"/>
                <c:pt idx="0">
                  <c:v>175</c:v>
                </c:pt>
                <c:pt idx="1">
                  <c:v>186</c:v>
                </c:pt>
                <c:pt idx="2">
                  <c:v>141</c:v>
                </c:pt>
                <c:pt idx="3">
                  <c:v>133</c:v>
                </c:pt>
                <c:pt idx="4">
                  <c:v>120</c:v>
                </c:pt>
              </c:numCache>
            </c:numRef>
          </c:val>
          <c:smooth val="1"/>
          <c:extLst xmlns:c16r2="http://schemas.microsoft.com/office/drawing/2015/06/chart">
            <c:ext xmlns:c16="http://schemas.microsoft.com/office/drawing/2014/chart" uri="{C3380CC4-5D6E-409C-BE32-E72D297353CC}">
              <c16:uniqueId val="{00000010-0775-4975-B65D-E3E60C638E30}"/>
            </c:ext>
          </c:extLst>
        </c:ser>
        <c:dLbls>
          <c:showVal val="1"/>
        </c:dLbls>
        <c:marker val="1"/>
        <c:axId val="114045312"/>
        <c:axId val="114047232"/>
      </c:lineChart>
      <c:catAx>
        <c:axId val="114045312"/>
        <c:scaling>
          <c:orientation val="minMax"/>
        </c:scaling>
        <c:axPos val="b"/>
        <c:title>
          <c:tx>
            <c:rich>
              <a:bodyPr/>
              <a:lstStyle/>
              <a:p>
                <a:pPr>
                  <a:defRPr lang="es-ES" sz="875"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5251641137855575"/>
              <c:y val="0.83501683501683499"/>
            </c:manualLayout>
          </c:layout>
          <c:spPr>
            <a:noFill/>
            <a:ln w="25399">
              <a:noFill/>
            </a:ln>
          </c:spPr>
        </c:title>
        <c:numFmt formatCode="General" sourceLinked="1"/>
        <c:tickLblPos val="nextTo"/>
        <c:spPr>
          <a:ln w="3175">
            <a:solidFill>
              <a:srgbClr val="000000"/>
            </a:solidFill>
            <a:prstDash val="solid"/>
          </a:ln>
        </c:spPr>
        <c:txPr>
          <a:bodyPr rot="0" vert="horz"/>
          <a:lstStyle/>
          <a:p>
            <a:pPr>
              <a:defRPr lang="es-ES" sz="825" b="1" i="0" u="none" strike="noStrike" baseline="0">
                <a:solidFill>
                  <a:srgbClr val="000000"/>
                </a:solidFill>
                <a:latin typeface="Times New Roman"/>
                <a:ea typeface="Times New Roman"/>
                <a:cs typeface="Times New Roman"/>
              </a:defRPr>
            </a:pPr>
            <a:endParaRPr lang="es-CR"/>
          </a:p>
        </c:txPr>
        <c:crossAx val="114047232"/>
        <c:crosses val="autoZero"/>
        <c:auto val="1"/>
        <c:lblAlgn val="ctr"/>
        <c:lblOffset val="100"/>
        <c:tickLblSkip val="1"/>
        <c:tickMarkSkip val="1"/>
      </c:catAx>
      <c:valAx>
        <c:axId val="114047232"/>
        <c:scaling>
          <c:orientation val="minMax"/>
          <c:max val="1000"/>
        </c:scaling>
        <c:axPos val="l"/>
        <c:majorGridlines>
          <c:spPr>
            <a:ln w="3175">
              <a:solidFill>
                <a:srgbClr val="000000"/>
              </a:solidFill>
              <a:prstDash val="solid"/>
            </a:ln>
          </c:spPr>
        </c:majorGridlines>
        <c:title>
          <c:tx>
            <c:rich>
              <a:bodyPr rot="0" vert="wordArtVert"/>
              <a:lstStyle/>
              <a:p>
                <a:pPr algn="ctr">
                  <a:defRPr lang="es-ES" sz="875" b="1" i="0" u="none" strike="noStrike" baseline="0">
                    <a:solidFill>
                      <a:srgbClr val="000000"/>
                    </a:solidFill>
                    <a:latin typeface="Times New Roman"/>
                    <a:ea typeface="Times New Roman"/>
                    <a:cs typeface="Times New Roman"/>
                  </a:defRPr>
                </a:pPr>
                <a:r>
                  <a:rPr lang="es-CR"/>
                  <a:t>TOTAL</a:t>
                </a:r>
              </a:p>
            </c:rich>
          </c:tx>
          <c:layout>
            <c:manualLayout>
              <c:xMode val="edge"/>
              <c:yMode val="edge"/>
              <c:x val="2.188183807439838E-2"/>
              <c:y val="0.35353535353535354"/>
            </c:manualLayout>
          </c:layout>
          <c:spPr>
            <a:noFill/>
            <a:ln w="25399">
              <a:noFill/>
            </a:ln>
          </c:spPr>
        </c:title>
        <c:numFmt formatCode="General" sourceLinked="1"/>
        <c:tickLblPos val="nextTo"/>
        <c:spPr>
          <a:ln w="3175">
            <a:solidFill>
              <a:srgbClr val="000000"/>
            </a:solidFill>
            <a:prstDash val="solid"/>
          </a:ln>
        </c:spPr>
        <c:txPr>
          <a:bodyPr rot="0" vert="horz"/>
          <a:lstStyle/>
          <a:p>
            <a:pPr>
              <a:defRPr lang="es-ES" sz="825" b="1" i="0" u="none" strike="noStrike" baseline="0">
                <a:solidFill>
                  <a:srgbClr val="000000"/>
                </a:solidFill>
                <a:latin typeface="Times New Roman"/>
                <a:ea typeface="Times New Roman"/>
                <a:cs typeface="Times New Roman"/>
              </a:defRPr>
            </a:pPr>
            <a:endParaRPr lang="es-CR"/>
          </a:p>
        </c:txPr>
        <c:crossAx val="114045312"/>
        <c:crosses val="autoZero"/>
        <c:crossBetween val="between"/>
        <c:majorUnit val="1000"/>
        <c:minorUnit val="1000"/>
      </c:valAx>
      <c:spPr>
        <a:gradFill rotWithShape="0">
          <a:gsLst>
            <a:gs pos="0">
              <a:srgbClr val="FFFFCC">
                <a:gamma/>
                <a:shade val="66667"/>
                <a:invGamma/>
              </a:srgbClr>
            </a:gs>
            <a:gs pos="50000">
              <a:srgbClr val="FFFFCC"/>
            </a:gs>
            <a:gs pos="100000">
              <a:srgbClr val="FFFFCC">
                <a:gamma/>
                <a:shade val="66667"/>
                <a:invGamma/>
              </a:srgbClr>
            </a:gs>
          </a:gsLst>
          <a:lin ang="18900000" scaled="1"/>
        </a:gradFill>
        <a:ln w="12699">
          <a:solidFill>
            <a:srgbClr val="808080"/>
          </a:solidFill>
          <a:prstDash val="solid"/>
        </a:ln>
      </c:spPr>
    </c:plotArea>
    <c:legend>
      <c:legendPos val="r"/>
      <c:layout>
        <c:manualLayout>
          <c:xMode val="edge"/>
          <c:yMode val="edge"/>
          <c:x val="0.38680769381439473"/>
          <c:y val="0.25451944720502168"/>
          <c:w val="0.1991247264770242"/>
          <c:h val="9.7643097643097643E-2"/>
        </c:manualLayout>
      </c:layout>
      <c:spPr>
        <a:solidFill>
          <a:srgbClr val="FFFFFF"/>
        </a:solidFill>
        <a:ln w="3175">
          <a:solidFill>
            <a:srgbClr val="000000"/>
          </a:solidFill>
          <a:prstDash val="solid"/>
        </a:ln>
        <a:effectLst>
          <a:outerShdw dist="35921" dir="2700000" algn="br">
            <a:srgbClr val="000000"/>
          </a:outerShdw>
        </a:effectLst>
      </c:spPr>
      <c:txPr>
        <a:bodyPr/>
        <a:lstStyle/>
        <a:p>
          <a:pPr>
            <a:defRPr lang="es-ES" sz="665" b="0" i="0" u="none" strike="noStrike" baseline="0">
              <a:solidFill>
                <a:srgbClr val="000000"/>
              </a:solidFill>
              <a:latin typeface="Times New Roman"/>
              <a:ea typeface="Times New Roman"/>
              <a:cs typeface="Times New Roman"/>
            </a:defRPr>
          </a:pPr>
          <a:endParaRPr lang="es-CR"/>
        </a:p>
      </c:txPr>
    </c:legend>
    <c:plotVisOnly val="1"/>
    <c:dispBlanksAs val="gap"/>
  </c:chart>
  <c:spPr>
    <a:gradFill rotWithShape="0">
      <a:gsLst>
        <a:gs pos="0">
          <a:srgbClr val="CCFFFF">
            <a:gamma/>
            <a:shade val="76078"/>
            <a:invGamma/>
          </a:srgbClr>
        </a:gs>
        <a:gs pos="50000">
          <a:srgbClr val="CCFFFF"/>
        </a:gs>
        <a:gs pos="100000">
          <a:srgbClr val="CCFFFF">
            <a:gamma/>
            <a:shade val="76078"/>
            <a:invGamma/>
          </a:srgbClr>
        </a:gs>
      </a:gsLst>
      <a:lin ang="5400000" scaled="1"/>
    </a:gradFill>
    <a:ln w="3175">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title>
      <c:tx>
        <c:rich>
          <a:bodyPr/>
          <a:lstStyle/>
          <a:p>
            <a:pPr>
              <a:defRPr lang="es-ES" sz="925" b="1" i="0" u="none" strike="noStrike" baseline="0">
                <a:solidFill>
                  <a:srgbClr val="000000"/>
                </a:solidFill>
                <a:latin typeface="Times New Roman"/>
                <a:ea typeface="Times New Roman"/>
                <a:cs typeface="Times New Roman"/>
              </a:defRPr>
            </a:pPr>
            <a:r>
              <a:rPr lang="es-CR"/>
              <a:t>Gráfico Nº 22 
 Sentencias dictadas por Jueza o Juez de primera instancia 
durante el período 2011 - 2015</a:t>
            </a:r>
          </a:p>
        </c:rich>
      </c:tx>
      <c:layout>
        <c:manualLayout>
          <c:xMode val="edge"/>
          <c:yMode val="edge"/>
          <c:x val="0.16629711751663037"/>
          <c:y val="2.3411371237458189E-2"/>
        </c:manualLayout>
      </c:layout>
      <c:spPr>
        <a:noFill/>
        <a:ln w="25388">
          <a:noFill/>
        </a:ln>
      </c:spPr>
    </c:title>
    <c:plotArea>
      <c:layout>
        <c:manualLayout>
          <c:layoutTarget val="inner"/>
          <c:xMode val="edge"/>
          <c:yMode val="edge"/>
          <c:x val="0.13082039911308205"/>
          <c:y val="0.22073578595317725"/>
          <c:w val="0.80931263858093128"/>
          <c:h val="0.51839464882943143"/>
        </c:manualLayout>
      </c:layout>
      <c:lineChart>
        <c:grouping val="standard"/>
        <c:ser>
          <c:idx val="0"/>
          <c:order val="0"/>
          <c:tx>
            <c:strRef>
              <c:f>Sheet1!$A$2</c:f>
              <c:strCache>
                <c:ptCount val="1"/>
                <c:pt idx="0">
                  <c:v>Sentencias</c:v>
                </c:pt>
              </c:strCache>
            </c:strRef>
          </c:tx>
          <c:spPr>
            <a:ln w="25388">
              <a:solidFill>
                <a:srgbClr val="000000"/>
              </a:solidFill>
              <a:prstDash val="solid"/>
            </a:ln>
          </c:spPr>
          <c:marker>
            <c:symbol val="diamond"/>
            <c:size val="4"/>
            <c:spPr>
              <a:solidFill>
                <a:srgbClr val="000000"/>
              </a:solidFill>
              <a:ln>
                <a:solidFill>
                  <a:srgbClr val="000000"/>
                </a:solidFill>
                <a:prstDash val="solid"/>
              </a:ln>
            </c:spPr>
          </c:marker>
          <c:dLbls>
            <c:dLbl>
              <c:idx val="0"/>
              <c:layout>
                <c:manualLayout>
                  <c:x val="-3.989562625836051E-2"/>
                  <c:y val="-4.844883549577147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43A-46C4-9ABB-DF0D5C44743E}"/>
                </c:ext>
              </c:extLst>
            </c:dLbl>
            <c:dLbl>
              <c:idx val="1"/>
              <c:layout>
                <c:manualLayout>
                  <c:x val="-5.7634060363480885E-2"/>
                  <c:y val="-4.805865679960784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43A-46C4-9ABB-DF0D5C44743E}"/>
                </c:ext>
              </c:extLst>
            </c:dLbl>
            <c:dLbl>
              <c:idx val="2"/>
              <c:layout>
                <c:manualLayout>
                  <c:x val="-5.0982250566162395E-2"/>
                  <c:y val="-6.5672919434234089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43A-46C4-9ABB-DF0D5C44743E}"/>
                </c:ext>
              </c:extLst>
            </c:dLbl>
            <c:dLbl>
              <c:idx val="3"/>
              <c:layout>
                <c:manualLayout>
                  <c:x val="-2.8809149746423891E-2"/>
                  <c:y val="-5.257373209840580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43A-46C4-9ABB-DF0D5C44743E}"/>
                </c:ext>
              </c:extLst>
            </c:dLbl>
            <c:dLbl>
              <c:idx val="4"/>
              <c:layout>
                <c:manualLayout>
                  <c:x val="-3.1026519549992238E-2"/>
                  <c:y val="-5.9652931610227639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43A-46C4-9ABB-DF0D5C44743E}"/>
                </c:ext>
              </c:extLst>
            </c:dLbl>
            <c:dLbl>
              <c:idx val="5"/>
              <c:layout>
                <c:manualLayout>
                  <c:xMode val="edge"/>
                  <c:yMode val="edge"/>
                  <c:x val="0.87361419068736168"/>
                  <c:y val="0.4682274247491639"/>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43A-46C4-9ABB-DF0D5C44743E}"/>
                </c:ext>
              </c:extLst>
            </c:dLbl>
            <c:dLbl>
              <c:idx val="6"/>
              <c:layout>
                <c:manualLayout>
                  <c:xMode val="edge"/>
                  <c:yMode val="edge"/>
                  <c:x val="0.64745011086474502"/>
                  <c:y val="0.45819397993311034"/>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43A-46C4-9ABB-DF0D5C44743E}"/>
                </c:ext>
              </c:extLst>
            </c:dLbl>
            <c:dLbl>
              <c:idx val="7"/>
              <c:layout>
                <c:manualLayout>
                  <c:xMode val="edge"/>
                  <c:yMode val="edge"/>
                  <c:x val="0.64966740576496651"/>
                  <c:y val="0.4682274247491639"/>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43A-46C4-9ABB-DF0D5C44743E}"/>
                </c:ext>
              </c:extLst>
            </c:dLbl>
            <c:dLbl>
              <c:idx val="8"/>
              <c:layout>
                <c:manualLayout>
                  <c:xMode val="edge"/>
                  <c:yMode val="edge"/>
                  <c:x val="0.64966740576496651"/>
                  <c:y val="0.47157190635451618"/>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43A-46C4-9ABB-DF0D5C44743E}"/>
                </c:ext>
              </c:extLst>
            </c:dLbl>
            <c:dLbl>
              <c:idx val="9"/>
              <c:layout>
                <c:manualLayout>
                  <c:xMode val="edge"/>
                  <c:yMode val="edge"/>
                  <c:x val="0.66075388026607829"/>
                  <c:y val="0.45819397993311034"/>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43A-46C4-9ABB-DF0D5C44743E}"/>
                </c:ext>
              </c:extLst>
            </c:dLbl>
            <c:spPr>
              <a:noFill/>
              <a:ln w="25388">
                <a:noFill/>
              </a:ln>
            </c:spPr>
            <c:txPr>
              <a:bodyPr/>
              <a:lstStyle/>
              <a:p>
                <a:pPr>
                  <a:defRPr lang="es-ES" sz="1025"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Sheet1!$M$1:$Q$1</c:f>
              <c:numCache>
                <c:formatCode>General</c:formatCode>
                <c:ptCount val="5"/>
                <c:pt idx="0">
                  <c:v>2011</c:v>
                </c:pt>
                <c:pt idx="1">
                  <c:v>2012</c:v>
                </c:pt>
                <c:pt idx="2">
                  <c:v>2013</c:v>
                </c:pt>
                <c:pt idx="3">
                  <c:v>2014</c:v>
                </c:pt>
                <c:pt idx="4">
                  <c:v>2015</c:v>
                </c:pt>
              </c:numCache>
            </c:numRef>
          </c:cat>
          <c:val>
            <c:numRef>
              <c:f>Sheet1!$M$2:$Q$2</c:f>
              <c:numCache>
                <c:formatCode>General</c:formatCode>
                <c:ptCount val="5"/>
                <c:pt idx="0">
                  <c:v>159</c:v>
                </c:pt>
                <c:pt idx="1">
                  <c:v>143</c:v>
                </c:pt>
                <c:pt idx="2">
                  <c:v>168</c:v>
                </c:pt>
                <c:pt idx="3">
                  <c:v>131</c:v>
                </c:pt>
                <c:pt idx="4">
                  <c:v>135</c:v>
                </c:pt>
              </c:numCache>
            </c:numRef>
          </c:val>
          <c:smooth val="1"/>
          <c:extLst xmlns:c16r2="http://schemas.microsoft.com/office/drawing/2015/06/chart">
            <c:ext xmlns:c16="http://schemas.microsoft.com/office/drawing/2014/chart" uri="{C3380CC4-5D6E-409C-BE32-E72D297353CC}">
              <c16:uniqueId val="{0000000A-343A-46C4-9ABB-DF0D5C44743E}"/>
            </c:ext>
          </c:extLst>
        </c:ser>
        <c:dLbls>
          <c:showVal val="1"/>
        </c:dLbls>
        <c:marker val="1"/>
        <c:axId val="113969408"/>
        <c:axId val="114024832"/>
      </c:lineChart>
      <c:catAx>
        <c:axId val="113969408"/>
        <c:scaling>
          <c:orientation val="minMax"/>
        </c:scaling>
        <c:axPos val="b"/>
        <c:title>
          <c:tx>
            <c:rich>
              <a:bodyPr/>
              <a:lstStyle/>
              <a:p>
                <a:pPr>
                  <a:defRPr lang="es-ES" sz="825"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5121951219512173"/>
              <c:y val="0.84280936454849853"/>
            </c:manualLayout>
          </c:layout>
          <c:spPr>
            <a:noFill/>
            <a:ln w="25388">
              <a:noFill/>
            </a:ln>
          </c:spPr>
        </c:title>
        <c:numFmt formatCode="General" sourceLinked="1"/>
        <c:tickLblPos val="nextTo"/>
        <c:spPr>
          <a:ln w="3173">
            <a:solidFill>
              <a:srgbClr val="000000"/>
            </a:solidFill>
            <a:prstDash val="solid"/>
          </a:ln>
        </c:spPr>
        <c:txPr>
          <a:bodyPr rot="0" vert="horz"/>
          <a:lstStyle/>
          <a:p>
            <a:pPr>
              <a:defRPr lang="es-ES" sz="875" b="1" i="0" u="none" strike="noStrike" baseline="0">
                <a:solidFill>
                  <a:srgbClr val="000000"/>
                </a:solidFill>
                <a:latin typeface="Times New Roman"/>
                <a:ea typeface="Times New Roman"/>
                <a:cs typeface="Times New Roman"/>
              </a:defRPr>
            </a:pPr>
            <a:endParaRPr lang="es-CR"/>
          </a:p>
        </c:txPr>
        <c:crossAx val="114024832"/>
        <c:crosses val="autoZero"/>
        <c:auto val="1"/>
        <c:lblAlgn val="ctr"/>
        <c:lblOffset val="100"/>
        <c:tickLblSkip val="1"/>
        <c:tickMarkSkip val="1"/>
      </c:catAx>
      <c:valAx>
        <c:axId val="114024832"/>
        <c:scaling>
          <c:orientation val="minMax"/>
          <c:max val="250"/>
          <c:min val="0"/>
        </c:scaling>
        <c:axPos val="l"/>
        <c:majorGridlines>
          <c:spPr>
            <a:ln w="3173">
              <a:solidFill>
                <a:srgbClr val="000000"/>
              </a:solidFill>
              <a:prstDash val="solid"/>
            </a:ln>
          </c:spPr>
        </c:majorGridlines>
        <c:title>
          <c:tx>
            <c:rich>
              <a:bodyPr rot="0" vert="wordArtVert"/>
              <a:lstStyle/>
              <a:p>
                <a:pPr algn="ctr">
                  <a:defRPr lang="es-ES" sz="825" b="1" i="0" u="none" strike="noStrike" baseline="0">
                    <a:solidFill>
                      <a:srgbClr val="000000"/>
                    </a:solidFill>
                    <a:latin typeface="Times New Roman"/>
                    <a:ea typeface="Times New Roman"/>
                    <a:cs typeface="Times New Roman"/>
                  </a:defRPr>
                </a:pPr>
                <a:r>
                  <a:rPr lang="es-CR"/>
                  <a:t>TOTAL</a:t>
                </a:r>
              </a:p>
            </c:rich>
          </c:tx>
          <c:layout>
            <c:manualLayout>
              <c:xMode val="edge"/>
              <c:yMode val="edge"/>
              <c:x val="1.9955654101995565E-2"/>
              <c:y val="0.34448160535117167"/>
            </c:manualLayout>
          </c:layout>
          <c:spPr>
            <a:noFill/>
            <a:ln w="25388">
              <a:noFill/>
            </a:ln>
          </c:spPr>
        </c:title>
        <c:numFmt formatCode="General" sourceLinked="1"/>
        <c:tickLblPos val="nextTo"/>
        <c:spPr>
          <a:ln w="3173">
            <a:solidFill>
              <a:srgbClr val="000000"/>
            </a:solidFill>
            <a:prstDash val="solid"/>
          </a:ln>
        </c:spPr>
        <c:txPr>
          <a:bodyPr rot="0" vert="horz"/>
          <a:lstStyle/>
          <a:p>
            <a:pPr>
              <a:defRPr lang="es-ES" sz="875" b="1" i="0" u="none" strike="noStrike" baseline="0">
                <a:solidFill>
                  <a:srgbClr val="000000"/>
                </a:solidFill>
                <a:latin typeface="Times New Roman"/>
                <a:ea typeface="Times New Roman"/>
                <a:cs typeface="Times New Roman"/>
              </a:defRPr>
            </a:pPr>
            <a:endParaRPr lang="es-CR"/>
          </a:p>
        </c:txPr>
        <c:crossAx val="113969408"/>
        <c:crosses val="autoZero"/>
        <c:crossBetween val="between"/>
        <c:majorUnit val="250"/>
        <c:minorUnit val="250"/>
      </c:valAx>
      <c:spPr>
        <a:gradFill rotWithShape="0">
          <a:gsLst>
            <a:gs pos="0">
              <a:srgbClr val="FFFFCC"/>
            </a:gs>
            <a:gs pos="50000">
              <a:srgbClr val="FFFFCC">
                <a:gamma/>
                <a:shade val="79216"/>
                <a:invGamma/>
              </a:srgbClr>
            </a:gs>
            <a:gs pos="100000">
              <a:srgbClr val="FFFFCC"/>
            </a:gs>
          </a:gsLst>
          <a:lin ang="5400000" scaled="1"/>
        </a:gradFill>
        <a:ln w="12694">
          <a:solidFill>
            <a:srgbClr val="808080"/>
          </a:solidFill>
          <a:prstDash val="solid"/>
        </a:ln>
      </c:spPr>
    </c:plotArea>
    <c:plotVisOnly val="1"/>
    <c:dispBlanksAs val="gap"/>
  </c:chart>
  <c:spPr>
    <a:gradFill rotWithShape="0">
      <a:gsLst>
        <a:gs pos="0">
          <a:srgbClr val="CCFFFF">
            <a:gamma/>
            <a:shade val="79216"/>
            <a:invGamma/>
          </a:srgbClr>
        </a:gs>
        <a:gs pos="50000">
          <a:srgbClr val="CCFFFF"/>
        </a:gs>
        <a:gs pos="100000">
          <a:srgbClr val="CCFFFF">
            <a:gamma/>
            <a:shade val="79216"/>
            <a:invGamma/>
          </a:srgbClr>
        </a:gs>
      </a:gsLst>
      <a:lin ang="18900000" scaled="1"/>
    </a:gradFill>
    <a:ln w="3173">
      <a:solidFill>
        <a:srgbClr val="000000"/>
      </a:solidFill>
      <a:prstDash val="solid"/>
    </a:ln>
    <a:effectLst>
      <a:outerShdw dist="35921" dir="2700000" algn="br">
        <a:srgbClr val="000000"/>
      </a:outerShdw>
    </a:effectLst>
  </c:spPr>
  <c:txPr>
    <a:bodyPr/>
    <a:lstStyle/>
    <a:p>
      <a:pPr>
        <a:defRPr sz="1199" b="1" i="0" u="none" strike="noStrike" baseline="0">
          <a:solidFill>
            <a:srgbClr val="000000"/>
          </a:solidFill>
          <a:latin typeface="Arial"/>
          <a:ea typeface="Arial"/>
          <a:cs typeface="Arial"/>
        </a:defRPr>
      </a:pPr>
      <a:endParaRPr lang="es-CR"/>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title>
      <c:tx>
        <c:rich>
          <a:bodyPr/>
          <a:lstStyle/>
          <a:p>
            <a:pPr>
              <a:defRPr lang="es-ES" sz="925" b="1" i="0" u="none" strike="noStrike" baseline="0">
                <a:solidFill>
                  <a:srgbClr val="000000"/>
                </a:solidFill>
                <a:latin typeface="Times New Roman"/>
                <a:ea typeface="Times New Roman"/>
                <a:cs typeface="Times New Roman"/>
              </a:defRPr>
            </a:pPr>
            <a:r>
              <a:rPr lang="es-CR"/>
              <a:t>Gráfico Nº 23
Porcentaje de sentencia  para el período  2011 - 2015
</a:t>
            </a:r>
          </a:p>
        </c:rich>
      </c:tx>
      <c:layout>
        <c:manualLayout>
          <c:xMode val="edge"/>
          <c:yMode val="edge"/>
          <c:x val="0.21407850846857035"/>
          <c:y val="2.4436378664110456E-2"/>
        </c:manualLayout>
      </c:layout>
      <c:spPr>
        <a:noFill/>
        <a:ln w="25395">
          <a:noFill/>
        </a:ln>
      </c:spPr>
    </c:title>
    <c:plotArea>
      <c:layout>
        <c:manualLayout>
          <c:layoutTarget val="inner"/>
          <c:xMode val="edge"/>
          <c:yMode val="edge"/>
          <c:x val="0.13333333333333341"/>
          <c:y val="0.16442953020134229"/>
          <c:w val="0.82444444444444465"/>
          <c:h val="0.58053691275167518"/>
        </c:manualLayout>
      </c:layout>
      <c:lineChart>
        <c:grouping val="standard"/>
        <c:ser>
          <c:idx val="0"/>
          <c:order val="0"/>
          <c:tx>
            <c:strRef>
              <c:f>Sheet1!$A$2</c:f>
              <c:strCache>
                <c:ptCount val="1"/>
                <c:pt idx="0">
                  <c:v>Con Trásito</c:v>
                </c:pt>
              </c:strCache>
            </c:strRef>
          </c:tx>
          <c:spPr>
            <a:ln w="25395">
              <a:solidFill>
                <a:srgbClr val="008000"/>
              </a:solidFill>
              <a:prstDash val="solid"/>
            </a:ln>
          </c:spPr>
          <c:marker>
            <c:symbol val="diamond"/>
            <c:size val="4"/>
            <c:spPr>
              <a:solidFill>
                <a:srgbClr val="008000"/>
              </a:solidFill>
              <a:ln>
                <a:solidFill>
                  <a:srgbClr val="008000"/>
                </a:solidFill>
                <a:prstDash val="solid"/>
              </a:ln>
            </c:spPr>
          </c:marker>
          <c:dLbls>
            <c:dLbl>
              <c:idx val="0"/>
              <c:layout>
                <c:manualLayout>
                  <c:x val="-5.2423780216568593E-2"/>
                  <c:y val="-4.67399013108869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A42-48D5-B9FA-1D8D1EA61B79}"/>
                </c:ext>
              </c:extLst>
            </c:dLbl>
            <c:dLbl>
              <c:idx val="1"/>
              <c:layout>
                <c:manualLayout>
                  <c:x val="-4.3979355458109722E-2"/>
                  <c:y val="-4.091208206351701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A42-48D5-B9FA-1D8D1EA61B79}"/>
                </c:ext>
              </c:extLst>
            </c:dLbl>
            <c:dLbl>
              <c:idx val="2"/>
              <c:layout>
                <c:manualLayout>
                  <c:x val="-3.7757152921873753E-2"/>
                  <c:y val="-5.221525343216850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A42-48D5-B9FA-1D8D1EA61B79}"/>
                </c:ext>
              </c:extLst>
            </c:dLbl>
            <c:dLbl>
              <c:idx val="3"/>
              <c:layout>
                <c:manualLayout>
                  <c:x val="-3.5979394830081432E-2"/>
                  <c:y val="-5.759003268126707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A42-48D5-B9FA-1D8D1EA61B79}"/>
                </c:ext>
              </c:extLst>
            </c:dLbl>
            <c:dLbl>
              <c:idx val="4"/>
              <c:layout>
                <c:manualLayout>
                  <c:x val="-4.9757192293845134E-2"/>
                  <c:y val="-4.925088800229630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A42-48D5-B9FA-1D8D1EA61B79}"/>
                </c:ext>
              </c:extLst>
            </c:dLbl>
            <c:dLbl>
              <c:idx val="5"/>
              <c:layout>
                <c:manualLayout>
                  <c:xMode val="edge"/>
                  <c:yMode val="edge"/>
                  <c:x val="0.8844444444444447"/>
                  <c:y val="0.48657718120805543"/>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A42-48D5-B9FA-1D8D1EA61B79}"/>
                </c:ext>
              </c:extLst>
            </c:dLbl>
            <c:dLbl>
              <c:idx val="6"/>
              <c:layout>
                <c:manualLayout>
                  <c:xMode val="edge"/>
                  <c:yMode val="edge"/>
                  <c:x val="0.65777777777778002"/>
                  <c:y val="0.4127516778523501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A42-48D5-B9FA-1D8D1EA61B79}"/>
                </c:ext>
              </c:extLst>
            </c:dLbl>
            <c:dLbl>
              <c:idx val="7"/>
              <c:layout>
                <c:manualLayout>
                  <c:xMode val="edge"/>
                  <c:yMode val="edge"/>
                  <c:x val="0.67333333333333556"/>
                  <c:y val="0.4194630872483223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A42-48D5-B9FA-1D8D1EA61B79}"/>
                </c:ext>
              </c:extLst>
            </c:dLbl>
            <c:dLbl>
              <c:idx val="8"/>
              <c:layout>
                <c:manualLayout>
                  <c:xMode val="edge"/>
                  <c:yMode val="edge"/>
                  <c:x val="0.67333333333333556"/>
                  <c:y val="0.40939597315436427"/>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A42-48D5-B9FA-1D8D1EA61B79}"/>
                </c:ext>
              </c:extLst>
            </c:dLbl>
            <c:dLbl>
              <c:idx val="9"/>
              <c:layout>
                <c:manualLayout>
                  <c:xMode val="edge"/>
                  <c:yMode val="edge"/>
                  <c:x val="0.67555555555555791"/>
                  <c:y val="0.4194630872483223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A42-48D5-B9FA-1D8D1EA61B79}"/>
                </c:ext>
              </c:extLst>
            </c:dLbl>
            <c:numFmt formatCode="0.0" sourceLinked="0"/>
            <c:spPr>
              <a:noFill/>
              <a:ln w="25395">
                <a:noFill/>
              </a:ln>
            </c:spPr>
            <c:txPr>
              <a:bodyPr/>
              <a:lstStyle/>
              <a:p>
                <a:pPr>
                  <a:defRPr lang="es-ES" sz="925"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Sheet1!$M$1:$Q$1</c:f>
              <c:numCache>
                <c:formatCode>General</c:formatCode>
                <c:ptCount val="5"/>
                <c:pt idx="0">
                  <c:v>2011</c:v>
                </c:pt>
                <c:pt idx="1">
                  <c:v>2012</c:v>
                </c:pt>
                <c:pt idx="2">
                  <c:v>2013</c:v>
                </c:pt>
                <c:pt idx="3">
                  <c:v>2014</c:v>
                </c:pt>
                <c:pt idx="4">
                  <c:v>2015</c:v>
                </c:pt>
              </c:numCache>
            </c:numRef>
          </c:cat>
          <c:val>
            <c:numRef>
              <c:f>Sheet1!$M$2:$Q$2</c:f>
              <c:numCache>
                <c:formatCode>0.0</c:formatCode>
                <c:ptCount val="5"/>
                <c:pt idx="0">
                  <c:v>23.8</c:v>
                </c:pt>
                <c:pt idx="1">
                  <c:v>26</c:v>
                </c:pt>
                <c:pt idx="2">
                  <c:v>30.2</c:v>
                </c:pt>
                <c:pt idx="3">
                  <c:v>23</c:v>
                </c:pt>
                <c:pt idx="4">
                  <c:v>25</c:v>
                </c:pt>
              </c:numCache>
            </c:numRef>
          </c:val>
          <c:smooth val="1"/>
          <c:extLst xmlns:c16r2="http://schemas.microsoft.com/office/drawing/2015/06/chart">
            <c:ext xmlns:c16="http://schemas.microsoft.com/office/drawing/2014/chart" uri="{C3380CC4-5D6E-409C-BE32-E72D297353CC}">
              <c16:uniqueId val="{0000000A-7A42-48D5-B9FA-1D8D1EA61B79}"/>
            </c:ext>
          </c:extLst>
        </c:ser>
        <c:dLbls>
          <c:showVal val="1"/>
        </c:dLbls>
        <c:marker val="1"/>
        <c:axId val="114254208"/>
        <c:axId val="114256128"/>
      </c:lineChart>
      <c:catAx>
        <c:axId val="114254208"/>
        <c:scaling>
          <c:orientation val="minMax"/>
        </c:scaling>
        <c:axPos val="b"/>
        <c:title>
          <c:tx>
            <c:rich>
              <a:bodyPr/>
              <a:lstStyle/>
              <a:p>
                <a:pPr>
                  <a:defRPr lang="es-ES" sz="1000"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50666666666666649"/>
              <c:y val="0.84563758389261656"/>
            </c:manualLayout>
          </c:layout>
          <c:spPr>
            <a:noFill/>
            <a:ln w="25395">
              <a:noFill/>
            </a:ln>
          </c:spPr>
        </c:title>
        <c:numFmt formatCode="General" sourceLinked="1"/>
        <c:tickLblPos val="nextTo"/>
        <c:spPr>
          <a:ln w="3174">
            <a:solidFill>
              <a:srgbClr val="000000"/>
            </a:solidFill>
            <a:prstDash val="solid"/>
          </a:ln>
        </c:spPr>
        <c:txPr>
          <a:bodyPr rot="0" vert="horz"/>
          <a:lstStyle/>
          <a:p>
            <a:pPr>
              <a:defRPr lang="es-ES" sz="900" b="1" i="0" u="none" strike="noStrike" baseline="0">
                <a:solidFill>
                  <a:srgbClr val="000000"/>
                </a:solidFill>
                <a:latin typeface="Times New Roman"/>
                <a:ea typeface="Times New Roman"/>
                <a:cs typeface="Times New Roman"/>
              </a:defRPr>
            </a:pPr>
            <a:endParaRPr lang="es-CR"/>
          </a:p>
        </c:txPr>
        <c:crossAx val="114256128"/>
        <c:crosses val="autoZero"/>
        <c:auto val="1"/>
        <c:lblAlgn val="ctr"/>
        <c:lblOffset val="100"/>
        <c:tickLblSkip val="1"/>
        <c:tickMarkSkip val="1"/>
      </c:catAx>
      <c:valAx>
        <c:axId val="114256128"/>
        <c:scaling>
          <c:orientation val="minMax"/>
          <c:max val="35"/>
          <c:min val="0"/>
        </c:scaling>
        <c:axPos val="l"/>
        <c:majorGridlines>
          <c:spPr>
            <a:ln w="3174">
              <a:solidFill>
                <a:srgbClr val="000000"/>
              </a:solidFill>
              <a:prstDash val="solid"/>
            </a:ln>
          </c:spPr>
        </c:majorGridlines>
        <c:title>
          <c:tx>
            <c:rich>
              <a:bodyPr rot="0" vert="wordArtVert"/>
              <a:lstStyle/>
              <a:p>
                <a:pPr algn="ctr">
                  <a:defRPr lang="es-ES" sz="825" b="1" i="0" u="none" strike="noStrike" baseline="0">
                    <a:solidFill>
                      <a:srgbClr val="000000"/>
                    </a:solidFill>
                    <a:latin typeface="Arial"/>
                    <a:ea typeface="Arial"/>
                    <a:cs typeface="Arial"/>
                  </a:defRPr>
                </a:pPr>
                <a:r>
                  <a:rPr lang="es-CR"/>
                  <a:t>TASA</a:t>
                </a:r>
              </a:p>
            </c:rich>
          </c:tx>
          <c:layout>
            <c:manualLayout>
              <c:xMode val="edge"/>
              <c:yMode val="edge"/>
              <c:x val="2.8888888888888888E-2"/>
              <c:y val="0.33557046979866084"/>
            </c:manualLayout>
          </c:layout>
          <c:spPr>
            <a:noFill/>
            <a:ln w="25395">
              <a:noFill/>
            </a:ln>
          </c:spPr>
        </c:title>
        <c:numFmt formatCode="0.0" sourceLinked="1"/>
        <c:tickLblPos val="nextTo"/>
        <c:spPr>
          <a:ln w="3174">
            <a:solidFill>
              <a:srgbClr val="000000"/>
            </a:solidFill>
            <a:prstDash val="solid"/>
          </a:ln>
        </c:spPr>
        <c:txPr>
          <a:bodyPr rot="0" vert="horz"/>
          <a:lstStyle/>
          <a:p>
            <a:pPr>
              <a:defRPr lang="es-ES" sz="825" b="1" i="0" u="none" strike="noStrike" baseline="0">
                <a:solidFill>
                  <a:srgbClr val="000000"/>
                </a:solidFill>
                <a:latin typeface="Times New Roman"/>
                <a:ea typeface="Times New Roman"/>
                <a:cs typeface="Times New Roman"/>
              </a:defRPr>
            </a:pPr>
            <a:endParaRPr lang="es-CR"/>
          </a:p>
        </c:txPr>
        <c:crossAx val="114254208"/>
        <c:crosses val="autoZero"/>
        <c:crossBetween val="between"/>
        <c:majorUnit val="35"/>
      </c:valAx>
      <c:spPr>
        <a:gradFill rotWithShape="0">
          <a:gsLst>
            <a:gs pos="0">
              <a:srgbClr val="FFFFCC"/>
            </a:gs>
            <a:gs pos="100000">
              <a:srgbClr val="FFFFCC">
                <a:gamma/>
                <a:shade val="79216"/>
                <a:invGamma/>
              </a:srgbClr>
            </a:gs>
          </a:gsLst>
          <a:path path="rect">
            <a:fillToRect l="50000" t="50000" r="50000" b="50000"/>
          </a:path>
        </a:gradFill>
        <a:ln w="12697">
          <a:solidFill>
            <a:srgbClr val="808080"/>
          </a:solidFill>
          <a:prstDash val="solid"/>
        </a:ln>
      </c:spPr>
    </c:plotArea>
    <c:plotVisOnly val="1"/>
    <c:dispBlanksAs val="gap"/>
  </c:chart>
  <c:spPr>
    <a:gradFill rotWithShape="0">
      <a:gsLst>
        <a:gs pos="0">
          <a:srgbClr val="CCFFFF"/>
        </a:gs>
        <a:gs pos="50000">
          <a:srgbClr val="CCFFFF">
            <a:gamma/>
            <a:shade val="79216"/>
            <a:invGamma/>
          </a:srgbClr>
        </a:gs>
        <a:gs pos="100000">
          <a:srgbClr val="CCFFFF"/>
        </a:gs>
      </a:gsLst>
      <a:lin ang="2700000" scaled="1"/>
    </a:gradFill>
    <a:ln w="3174">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title>
      <c:tx>
        <c:rich>
          <a:bodyPr/>
          <a:lstStyle/>
          <a:p>
            <a:pPr>
              <a:defRPr lang="es-ES" sz="900" b="1" i="0" u="none" strike="noStrike" baseline="0">
                <a:solidFill>
                  <a:srgbClr val="000000"/>
                </a:solidFill>
                <a:latin typeface="Times New Roman"/>
                <a:ea typeface="Times New Roman"/>
                <a:cs typeface="Times New Roman"/>
              </a:defRPr>
            </a:pPr>
            <a:r>
              <a:rPr lang="es-CR"/>
              <a:t>Gráfico Nº 24
Porcentaje de conciliación  para el período  2011 - 2015
</a:t>
            </a:r>
          </a:p>
        </c:rich>
      </c:tx>
      <c:layout>
        <c:manualLayout>
          <c:xMode val="edge"/>
          <c:yMode val="edge"/>
          <c:x val="0.24137931034482771"/>
          <c:y val="2.1052631578947382E-2"/>
        </c:manualLayout>
      </c:layout>
      <c:spPr>
        <a:noFill/>
        <a:ln w="25404">
          <a:noFill/>
        </a:ln>
      </c:spPr>
    </c:title>
    <c:plotArea>
      <c:layout>
        <c:manualLayout>
          <c:layoutTarget val="inner"/>
          <c:xMode val="edge"/>
          <c:yMode val="edge"/>
          <c:x val="0.15172413793103506"/>
          <c:y val="0.18947368421052641"/>
          <c:w val="0.79770114942528769"/>
          <c:h val="0.54385964912280704"/>
        </c:manualLayout>
      </c:layout>
      <c:lineChart>
        <c:grouping val="standard"/>
        <c:ser>
          <c:idx val="0"/>
          <c:order val="0"/>
          <c:tx>
            <c:strRef>
              <c:f>Sheet1!$A$2</c:f>
              <c:strCache>
                <c:ptCount val="1"/>
                <c:pt idx="0">
                  <c:v>n</c:v>
                </c:pt>
              </c:strCache>
            </c:strRef>
          </c:tx>
          <c:spPr>
            <a:ln w="25404">
              <a:solidFill>
                <a:srgbClr val="0000FF"/>
              </a:solidFill>
              <a:prstDash val="solid"/>
            </a:ln>
          </c:spPr>
          <c:marker>
            <c:symbol val="diamond"/>
            <c:size val="5"/>
            <c:spPr>
              <a:solidFill>
                <a:srgbClr val="0000FF"/>
              </a:solidFill>
              <a:ln>
                <a:solidFill>
                  <a:srgbClr val="0000FF"/>
                </a:solidFill>
                <a:prstDash val="solid"/>
              </a:ln>
            </c:spPr>
          </c:marker>
          <c:dLbls>
            <c:dLbl>
              <c:idx val="0"/>
              <c:layout>
                <c:manualLayout>
                  <c:x val="-3.870200300982822E-2"/>
                  <c:y val="-3.7583592203661614E-2"/>
                </c:manualLayout>
              </c:layout>
              <c:numFmt formatCode="0.0" sourceLinked="0"/>
              <c:spPr>
                <a:noFill/>
                <a:ln w="25404">
                  <a:noFill/>
                </a:ln>
              </c:spPr>
              <c:txPr>
                <a:bodyPr/>
                <a:lstStyle/>
                <a:p>
                  <a:pPr>
                    <a:defRPr lang="es-ES" sz="875"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3EC-4AE5-9C0A-90132E725B38}"/>
                </c:ext>
              </c:extLst>
            </c:dLbl>
            <c:dLbl>
              <c:idx val="1"/>
              <c:layout>
                <c:manualLayout>
                  <c:x val="-3.5023899314435662E-2"/>
                  <c:y val="-5.40310299739745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3EC-4AE5-9C0A-90132E725B38}"/>
                </c:ext>
              </c:extLst>
            </c:dLbl>
            <c:dLbl>
              <c:idx val="2"/>
              <c:layout>
                <c:manualLayout>
                  <c:x val="-3.5943496768468836E-2"/>
                  <c:y val="-3.824143541284089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3EC-4AE5-9C0A-90132E725B38}"/>
                </c:ext>
              </c:extLst>
            </c:dLbl>
            <c:dLbl>
              <c:idx val="3"/>
              <c:layout>
                <c:manualLayout>
                  <c:x val="-3.9161709962267935E-2"/>
                  <c:y val="-3.780285674321064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3EC-4AE5-9C0A-90132E725B38}"/>
                </c:ext>
              </c:extLst>
            </c:dLbl>
            <c:dLbl>
              <c:idx val="4"/>
              <c:layout>
                <c:manualLayout>
                  <c:x val="-3.5483606266875495E-2"/>
                  <c:y val="-4.723275065387438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3EC-4AE5-9C0A-90132E725B38}"/>
                </c:ext>
              </c:extLst>
            </c:dLbl>
            <c:dLbl>
              <c:idx val="5"/>
              <c:layout>
                <c:manualLayout>
                  <c:x val="0.41053657976721097"/>
                  <c:y val="-0.19069775831886587"/>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3EC-4AE5-9C0A-90132E725B38}"/>
                </c:ext>
              </c:extLst>
            </c:dLbl>
            <c:dLbl>
              <c:idx val="6"/>
              <c:layout>
                <c:manualLayout>
                  <c:x val="0.17677213535983544"/>
                  <c:y val="-0.270346786283991"/>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3EC-4AE5-9C0A-90132E725B38}"/>
                </c:ext>
              </c:extLst>
            </c:dLbl>
            <c:dLbl>
              <c:idx val="7"/>
              <c:layout>
                <c:manualLayout>
                  <c:x val="0.14300769095246074"/>
                  <c:y val="-0.29718893896809567"/>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3EC-4AE5-9C0A-90132E725B38}"/>
                </c:ext>
              </c:extLst>
            </c:dLbl>
            <c:dLbl>
              <c:idx val="8"/>
              <c:layout>
                <c:manualLayout>
                  <c:x val="9.3151527357043531E-2"/>
                  <c:y val="-0.3026274334887904"/>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3EC-4AE5-9C0A-90132E725B38}"/>
                </c:ext>
              </c:extLst>
            </c:dLbl>
            <c:dLbl>
              <c:idx val="9"/>
              <c:layout>
                <c:manualLayout>
                  <c:x val="5.0191680650818367E-2"/>
                  <c:y val="-0.31385544911464497"/>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3EC-4AE5-9C0A-90132E725B38}"/>
                </c:ext>
              </c:extLst>
            </c:dLbl>
            <c:spPr>
              <a:noFill/>
              <a:ln w="25404">
                <a:noFill/>
              </a:ln>
            </c:spPr>
            <c:txPr>
              <a:bodyPr/>
              <a:lstStyle/>
              <a:p>
                <a:pPr>
                  <a:defRPr lang="es-ES" sz="875"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Sheet1!$M$1:$Q$1</c:f>
              <c:numCache>
                <c:formatCode>General</c:formatCode>
                <c:ptCount val="5"/>
                <c:pt idx="0">
                  <c:v>2011</c:v>
                </c:pt>
                <c:pt idx="1">
                  <c:v>2012</c:v>
                </c:pt>
                <c:pt idx="2">
                  <c:v>2013</c:v>
                </c:pt>
                <c:pt idx="3">
                  <c:v>2014</c:v>
                </c:pt>
                <c:pt idx="4">
                  <c:v>2015</c:v>
                </c:pt>
              </c:numCache>
            </c:numRef>
          </c:cat>
          <c:val>
            <c:numRef>
              <c:f>Sheet1!$M$2:$Q$2</c:f>
              <c:numCache>
                <c:formatCode>General</c:formatCode>
                <c:ptCount val="5"/>
                <c:pt idx="0">
                  <c:v>4.7</c:v>
                </c:pt>
                <c:pt idx="1">
                  <c:v>7.1</c:v>
                </c:pt>
                <c:pt idx="2">
                  <c:v>8.4</c:v>
                </c:pt>
                <c:pt idx="3">
                  <c:v>6.2</c:v>
                </c:pt>
                <c:pt idx="4">
                  <c:v>5.9</c:v>
                </c:pt>
              </c:numCache>
            </c:numRef>
          </c:val>
          <c:smooth val="1"/>
          <c:extLst xmlns:c16r2="http://schemas.microsoft.com/office/drawing/2015/06/chart">
            <c:ext xmlns:c16="http://schemas.microsoft.com/office/drawing/2014/chart" uri="{C3380CC4-5D6E-409C-BE32-E72D297353CC}">
              <c16:uniqueId val="{0000000A-03EC-4AE5-9C0A-90132E725B38}"/>
            </c:ext>
          </c:extLst>
        </c:ser>
        <c:dLbls>
          <c:showVal val="1"/>
        </c:dLbls>
        <c:marker val="1"/>
        <c:axId val="114322048"/>
        <c:axId val="114340608"/>
      </c:lineChart>
      <c:catAx>
        <c:axId val="114322048"/>
        <c:scaling>
          <c:orientation val="minMax"/>
        </c:scaling>
        <c:axPos val="b"/>
        <c:title>
          <c:tx>
            <c:rich>
              <a:bodyPr/>
              <a:lstStyle/>
              <a:p>
                <a:pPr>
                  <a:defRPr lang="es-ES" sz="800"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50481529057302266"/>
              <c:y val="0.86494746828398994"/>
            </c:manualLayout>
          </c:layout>
          <c:spPr>
            <a:noFill/>
            <a:ln w="25404">
              <a:noFill/>
            </a:ln>
          </c:spPr>
        </c:title>
        <c:numFmt formatCode="General" sourceLinked="1"/>
        <c:tickLblPos val="nextTo"/>
        <c:spPr>
          <a:ln w="3175">
            <a:solidFill>
              <a:srgbClr val="000000"/>
            </a:solidFill>
            <a:prstDash val="solid"/>
          </a:ln>
        </c:spPr>
        <c:txPr>
          <a:bodyPr rot="0" vert="horz"/>
          <a:lstStyle/>
          <a:p>
            <a:pPr>
              <a:defRPr lang="es-ES" sz="900" b="1" i="0" u="none" strike="noStrike" baseline="0">
                <a:solidFill>
                  <a:srgbClr val="000000"/>
                </a:solidFill>
                <a:latin typeface="Times New Roman"/>
                <a:ea typeface="Times New Roman"/>
                <a:cs typeface="Times New Roman"/>
              </a:defRPr>
            </a:pPr>
            <a:endParaRPr lang="es-CR"/>
          </a:p>
        </c:txPr>
        <c:crossAx val="114340608"/>
        <c:crosses val="autoZero"/>
        <c:auto val="1"/>
        <c:lblAlgn val="ctr"/>
        <c:lblOffset val="100"/>
        <c:tickLblSkip val="1"/>
        <c:tickMarkSkip val="1"/>
      </c:catAx>
      <c:valAx>
        <c:axId val="114340608"/>
        <c:scaling>
          <c:orientation val="minMax"/>
          <c:max val="10"/>
          <c:min val="0"/>
        </c:scaling>
        <c:axPos val="l"/>
        <c:majorGridlines>
          <c:spPr>
            <a:ln w="3175">
              <a:solidFill>
                <a:srgbClr val="000000"/>
              </a:solidFill>
              <a:prstDash val="solid"/>
            </a:ln>
          </c:spPr>
        </c:majorGridlines>
        <c:title>
          <c:tx>
            <c:rich>
              <a:bodyPr rot="0" vert="wordArtVert"/>
              <a:lstStyle/>
              <a:p>
                <a:pPr algn="ctr">
                  <a:defRPr lang="es-ES" sz="800" b="1" i="0" u="none" strike="noStrike" baseline="0">
                    <a:solidFill>
                      <a:srgbClr val="000000"/>
                    </a:solidFill>
                    <a:latin typeface="Times New Roman"/>
                    <a:ea typeface="Times New Roman"/>
                    <a:cs typeface="Times New Roman"/>
                  </a:defRPr>
                </a:pPr>
                <a:r>
                  <a:rPr lang="es-CR"/>
                  <a:t>TASA</a:t>
                </a:r>
              </a:p>
            </c:rich>
          </c:tx>
          <c:layout>
            <c:manualLayout>
              <c:xMode val="edge"/>
              <c:yMode val="edge"/>
              <c:x val="4.1379310344827586E-2"/>
              <c:y val="0.35438596491228297"/>
            </c:manualLayout>
          </c:layout>
          <c:spPr>
            <a:noFill/>
            <a:ln w="25404">
              <a:noFill/>
            </a:ln>
          </c:spPr>
        </c:title>
        <c:numFmt formatCode="General" sourceLinked="1"/>
        <c:tickLblPos val="nextTo"/>
        <c:spPr>
          <a:ln w="3175">
            <a:solidFill>
              <a:srgbClr val="000000"/>
            </a:solidFill>
            <a:prstDash val="solid"/>
          </a:ln>
        </c:spPr>
        <c:txPr>
          <a:bodyPr rot="0" vert="horz"/>
          <a:lstStyle/>
          <a:p>
            <a:pPr>
              <a:defRPr lang="es-ES" sz="900" b="1" i="0" u="none" strike="noStrike" baseline="0">
                <a:solidFill>
                  <a:srgbClr val="000000"/>
                </a:solidFill>
                <a:latin typeface="Times New Roman"/>
                <a:ea typeface="Times New Roman"/>
                <a:cs typeface="Times New Roman"/>
              </a:defRPr>
            </a:pPr>
            <a:endParaRPr lang="es-CR"/>
          </a:p>
        </c:txPr>
        <c:crossAx val="114322048"/>
        <c:crosses val="autoZero"/>
        <c:crossBetween val="between"/>
        <c:majorUnit val="10"/>
      </c:valAx>
      <c:spPr>
        <a:gradFill rotWithShape="0">
          <a:gsLst>
            <a:gs pos="0">
              <a:srgbClr val="99CCFF"/>
            </a:gs>
            <a:gs pos="50000">
              <a:srgbClr val="FFFFFF"/>
            </a:gs>
            <a:gs pos="100000">
              <a:srgbClr val="99CCFF"/>
            </a:gs>
          </a:gsLst>
          <a:lin ang="5400000" scaled="1"/>
        </a:gradFill>
        <a:ln w="12702">
          <a:solidFill>
            <a:srgbClr val="808080"/>
          </a:solidFill>
          <a:prstDash val="solid"/>
        </a:ln>
      </c:spPr>
    </c:plotArea>
    <c:plotVisOnly val="1"/>
    <c:dispBlanksAs val="gap"/>
  </c:chart>
  <c:spPr>
    <a:solidFill>
      <a:srgbClr val="CCFFFF"/>
    </a:solidFill>
    <a:ln w="3175">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title>
      <c:tx>
        <c:rich>
          <a:bodyPr/>
          <a:lstStyle/>
          <a:p>
            <a:pPr>
              <a:defRPr lang="es-ES" sz="925" b="1" i="0" u="none" strike="noStrike" baseline="0">
                <a:solidFill>
                  <a:srgbClr val="000000"/>
                </a:solidFill>
                <a:latin typeface="Times New Roman"/>
                <a:ea typeface="Times New Roman"/>
                <a:cs typeface="Times New Roman"/>
              </a:defRPr>
            </a:pPr>
            <a:r>
              <a:rPr lang="es-CR"/>
              <a:t>Gráfico Nº 25
Porcentaje de asuntos resueltos por conciliación  en juzgados penales para el período  2011- 2015</a:t>
            </a:r>
          </a:p>
        </c:rich>
      </c:tx>
      <c:layout>
        <c:manualLayout>
          <c:xMode val="edge"/>
          <c:yMode val="edge"/>
          <c:x val="0.18222222222222281"/>
          <c:y val="2.0066889632106968E-2"/>
        </c:manualLayout>
      </c:layout>
      <c:spPr>
        <a:noFill/>
        <a:ln w="25388">
          <a:noFill/>
        </a:ln>
      </c:spPr>
    </c:title>
    <c:plotArea>
      <c:layout>
        <c:manualLayout>
          <c:layoutTarget val="inner"/>
          <c:xMode val="edge"/>
          <c:yMode val="edge"/>
          <c:x val="0.13333333333333341"/>
          <c:y val="0.2140468227424758"/>
          <c:w val="0.81777777777777783"/>
          <c:h val="0.54515050167223877"/>
        </c:manualLayout>
      </c:layout>
      <c:lineChart>
        <c:grouping val="standard"/>
        <c:ser>
          <c:idx val="0"/>
          <c:order val="0"/>
          <c:tx>
            <c:strRef>
              <c:f>Sheet1!$A$2</c:f>
              <c:strCache>
                <c:ptCount val="1"/>
                <c:pt idx="0">
                  <c:v>n</c:v>
                </c:pt>
              </c:strCache>
            </c:strRef>
          </c:tx>
          <c:spPr>
            <a:ln w="25388">
              <a:solidFill>
                <a:srgbClr val="0000FF"/>
              </a:solidFill>
              <a:prstDash val="solid"/>
            </a:ln>
          </c:spPr>
          <c:marker>
            <c:symbol val="diamond"/>
            <c:size val="4"/>
            <c:spPr>
              <a:solidFill>
                <a:srgbClr val="0000FF"/>
              </a:solidFill>
              <a:ln>
                <a:solidFill>
                  <a:srgbClr val="0000FF"/>
                </a:solidFill>
                <a:prstDash val="solid"/>
              </a:ln>
            </c:spPr>
          </c:marker>
          <c:dLbls>
            <c:dLbl>
              <c:idx val="0"/>
              <c:layout>
                <c:manualLayout>
                  <c:x val="-4.5090440068855472E-2"/>
                  <c:y val="-4.950811382461401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231-409A-B6BE-BAD22148DAF1}"/>
                </c:ext>
              </c:extLst>
            </c:dLbl>
            <c:dLbl>
              <c:idx val="1"/>
              <c:layout>
                <c:manualLayout>
                  <c:x val="-3.0868223903859651E-2"/>
                  <c:y val="-5.285259542996502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231-409A-B6BE-BAD22148DAF1}"/>
                </c:ext>
              </c:extLst>
            </c:dLbl>
            <c:dLbl>
              <c:idx val="2"/>
              <c:layout>
                <c:manualLayout>
                  <c:x val="-3.6646007738863957E-2"/>
                  <c:y val="-4.750131416952733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231-409A-B6BE-BAD22148DAF1}"/>
                </c:ext>
              </c:extLst>
            </c:dLbl>
            <c:dLbl>
              <c:idx val="3"/>
              <c:layout>
                <c:manualLayout>
                  <c:x val="-3.1312680462756794E-2"/>
                  <c:y val="-5.492626653206449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231-409A-B6BE-BAD22148DAF1}"/>
                </c:ext>
              </c:extLst>
            </c:dLbl>
            <c:dLbl>
              <c:idx val="4"/>
              <c:layout>
                <c:manualLayout>
                  <c:x val="-4.3757130964427723E-2"/>
                  <c:y val="-4.315360159821906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231-409A-B6BE-BAD22148DAF1}"/>
                </c:ext>
              </c:extLst>
            </c:dLbl>
            <c:dLbl>
              <c:idx val="5"/>
              <c:layout>
                <c:manualLayout>
                  <c:x val="8.7481000184366997E-2"/>
                  <c:y val="6.881955286592857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231-409A-B6BE-BAD22148DAF1}"/>
                </c:ext>
              </c:extLst>
            </c:dLbl>
            <c:dLbl>
              <c:idx val="6"/>
              <c:layout>
                <c:manualLayout>
                  <c:x val="-0.24490005387145797"/>
                  <c:y val="2.70805121141557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231-409A-B6BE-BAD22148DAF1}"/>
                </c:ext>
              </c:extLst>
            </c:dLbl>
            <c:dLbl>
              <c:idx val="7"/>
              <c:layout>
                <c:manualLayout>
                  <c:xMode val="edge"/>
                  <c:yMode val="edge"/>
                  <c:x val="0.66666666666666663"/>
                  <c:y val="0.4414715719063555"/>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231-409A-B6BE-BAD22148DAF1}"/>
                </c:ext>
              </c:extLst>
            </c:dLbl>
            <c:dLbl>
              <c:idx val="8"/>
              <c:layout>
                <c:manualLayout>
                  <c:xMode val="edge"/>
                  <c:yMode val="edge"/>
                  <c:x val="0.66888888888889253"/>
                  <c:y val="0.43478260869565394"/>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231-409A-B6BE-BAD22148DAF1}"/>
                </c:ext>
              </c:extLst>
            </c:dLbl>
            <c:dLbl>
              <c:idx val="9"/>
              <c:layout>
                <c:manualLayout>
                  <c:xMode val="edge"/>
                  <c:yMode val="edge"/>
                  <c:x val="0.68"/>
                  <c:y val="0.43812709030100433"/>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231-409A-B6BE-BAD22148DAF1}"/>
                </c:ext>
              </c:extLst>
            </c:dLbl>
            <c:numFmt formatCode="0.0" sourceLinked="0"/>
            <c:spPr>
              <a:noFill/>
              <a:ln w="25388">
                <a:noFill/>
              </a:ln>
            </c:spPr>
            <c:txPr>
              <a:bodyPr/>
              <a:lstStyle/>
              <a:p>
                <a:pPr>
                  <a:defRPr lang="es-ES" sz="9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Sheet1!$E$1:$I$1</c:f>
              <c:numCache>
                <c:formatCode>General</c:formatCode>
                <c:ptCount val="5"/>
                <c:pt idx="0">
                  <c:v>2011</c:v>
                </c:pt>
                <c:pt idx="1">
                  <c:v>2012</c:v>
                </c:pt>
                <c:pt idx="2">
                  <c:v>2013</c:v>
                </c:pt>
                <c:pt idx="3">
                  <c:v>2014</c:v>
                </c:pt>
                <c:pt idx="4">
                  <c:v>2015</c:v>
                </c:pt>
              </c:numCache>
            </c:numRef>
          </c:cat>
          <c:val>
            <c:numRef>
              <c:f>Sheet1!$E$2:$I$2</c:f>
              <c:numCache>
                <c:formatCode>General</c:formatCode>
                <c:ptCount val="5"/>
                <c:pt idx="0">
                  <c:v>1.4</c:v>
                </c:pt>
                <c:pt idx="1">
                  <c:v>2.4</c:v>
                </c:pt>
                <c:pt idx="2">
                  <c:v>2.7</c:v>
                </c:pt>
                <c:pt idx="3">
                  <c:v>2.9</c:v>
                </c:pt>
                <c:pt idx="4">
                  <c:v>3.1</c:v>
                </c:pt>
              </c:numCache>
            </c:numRef>
          </c:val>
          <c:smooth val="1"/>
          <c:extLst xmlns:c16r2="http://schemas.microsoft.com/office/drawing/2015/06/chart">
            <c:ext xmlns:c16="http://schemas.microsoft.com/office/drawing/2014/chart" uri="{C3380CC4-5D6E-409C-BE32-E72D297353CC}">
              <c16:uniqueId val="{0000000A-5231-409A-B6BE-BAD22148DAF1}"/>
            </c:ext>
          </c:extLst>
        </c:ser>
        <c:dLbls>
          <c:showVal val="1"/>
        </c:dLbls>
        <c:marker val="1"/>
        <c:axId val="114348416"/>
        <c:axId val="114350336"/>
      </c:lineChart>
      <c:catAx>
        <c:axId val="114348416"/>
        <c:scaling>
          <c:orientation val="minMax"/>
        </c:scaling>
        <c:axPos val="b"/>
        <c:title>
          <c:tx>
            <c:rich>
              <a:bodyPr/>
              <a:lstStyle/>
              <a:p>
                <a:pPr>
                  <a:defRPr lang="es-ES" sz="825"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50775714913610659"/>
              <c:y val="0.87188842977299941"/>
            </c:manualLayout>
          </c:layout>
          <c:spPr>
            <a:noFill/>
            <a:ln w="25388">
              <a:noFill/>
            </a:ln>
          </c:spPr>
        </c:title>
        <c:numFmt formatCode="General" sourceLinked="1"/>
        <c:tickLblPos val="nextTo"/>
        <c:spPr>
          <a:ln w="3173">
            <a:solidFill>
              <a:srgbClr val="000000"/>
            </a:solidFill>
            <a:prstDash val="solid"/>
          </a:ln>
        </c:spPr>
        <c:txPr>
          <a:bodyPr rot="0" vert="horz"/>
          <a:lstStyle/>
          <a:p>
            <a:pPr>
              <a:defRPr lang="es-ES" sz="925" b="1" i="0" u="none" strike="noStrike" baseline="0">
                <a:solidFill>
                  <a:srgbClr val="000000"/>
                </a:solidFill>
                <a:latin typeface="Times New Roman"/>
                <a:ea typeface="Times New Roman"/>
                <a:cs typeface="Times New Roman"/>
              </a:defRPr>
            </a:pPr>
            <a:endParaRPr lang="es-CR"/>
          </a:p>
        </c:txPr>
        <c:crossAx val="114350336"/>
        <c:crosses val="autoZero"/>
        <c:auto val="1"/>
        <c:lblAlgn val="ctr"/>
        <c:lblOffset val="100"/>
        <c:tickLblSkip val="1"/>
        <c:tickMarkSkip val="1"/>
      </c:catAx>
      <c:valAx>
        <c:axId val="114350336"/>
        <c:scaling>
          <c:orientation val="minMax"/>
          <c:max val="4"/>
        </c:scaling>
        <c:axPos val="l"/>
        <c:majorGridlines>
          <c:spPr>
            <a:ln w="3173">
              <a:solidFill>
                <a:srgbClr val="000000"/>
              </a:solidFill>
              <a:prstDash val="solid"/>
            </a:ln>
          </c:spPr>
        </c:majorGridlines>
        <c:title>
          <c:tx>
            <c:rich>
              <a:bodyPr rot="0" vert="wordArtVert"/>
              <a:lstStyle/>
              <a:p>
                <a:pPr algn="ctr">
                  <a:defRPr lang="es-ES" sz="800" b="1" i="0" u="none" strike="noStrike" baseline="0">
                    <a:solidFill>
                      <a:srgbClr val="000000"/>
                    </a:solidFill>
                    <a:latin typeface="Times New Roman"/>
                    <a:ea typeface="Times New Roman"/>
                    <a:cs typeface="Times New Roman"/>
                  </a:defRPr>
                </a:pPr>
                <a:r>
                  <a:rPr lang="es-CR"/>
                  <a:t>PORCENTAJE</a:t>
                </a:r>
              </a:p>
            </c:rich>
          </c:tx>
          <c:layout>
            <c:manualLayout>
              <c:xMode val="edge"/>
              <c:yMode val="edge"/>
              <c:x val="4.0000000000000022E-2"/>
              <c:y val="0.24414715719063612"/>
            </c:manualLayout>
          </c:layout>
          <c:spPr>
            <a:noFill/>
            <a:ln w="25388">
              <a:noFill/>
            </a:ln>
          </c:spPr>
        </c:title>
        <c:numFmt formatCode="General" sourceLinked="1"/>
        <c:tickLblPos val="nextTo"/>
        <c:spPr>
          <a:ln w="3173">
            <a:solidFill>
              <a:srgbClr val="000000"/>
            </a:solidFill>
            <a:prstDash val="solid"/>
          </a:ln>
        </c:spPr>
        <c:txPr>
          <a:bodyPr rot="0" vert="horz"/>
          <a:lstStyle/>
          <a:p>
            <a:pPr>
              <a:defRPr lang="es-ES" sz="925" b="1" i="0" u="none" strike="noStrike" baseline="0">
                <a:solidFill>
                  <a:srgbClr val="000000"/>
                </a:solidFill>
                <a:latin typeface="Times New Roman"/>
                <a:ea typeface="Times New Roman"/>
                <a:cs typeface="Times New Roman"/>
              </a:defRPr>
            </a:pPr>
            <a:endParaRPr lang="es-CR"/>
          </a:p>
        </c:txPr>
        <c:crossAx val="114348416"/>
        <c:crosses val="autoZero"/>
        <c:crossBetween val="between"/>
        <c:majorUnit val="4"/>
      </c:valAx>
      <c:spPr>
        <a:gradFill rotWithShape="0">
          <a:gsLst>
            <a:gs pos="0">
              <a:srgbClr val="FFFFCC"/>
            </a:gs>
            <a:gs pos="50000">
              <a:srgbClr val="FFFFCC">
                <a:gamma/>
                <a:shade val="72941"/>
                <a:invGamma/>
              </a:srgbClr>
            </a:gs>
            <a:gs pos="100000">
              <a:srgbClr val="FFFFCC"/>
            </a:gs>
          </a:gsLst>
          <a:lin ang="0" scaled="1"/>
        </a:gradFill>
        <a:ln w="12694">
          <a:solidFill>
            <a:srgbClr val="808080"/>
          </a:solidFill>
          <a:prstDash val="solid"/>
        </a:ln>
      </c:spPr>
    </c:plotArea>
    <c:plotVisOnly val="1"/>
    <c:dispBlanksAs val="gap"/>
  </c:chart>
  <c:spPr>
    <a:gradFill rotWithShape="0">
      <a:gsLst>
        <a:gs pos="0">
          <a:srgbClr val="CCFFFF">
            <a:gamma/>
            <a:shade val="69804"/>
            <a:invGamma/>
          </a:srgbClr>
        </a:gs>
        <a:gs pos="50000">
          <a:srgbClr val="CCFFFF"/>
        </a:gs>
        <a:gs pos="100000">
          <a:srgbClr val="CCFFFF">
            <a:gamma/>
            <a:shade val="69804"/>
            <a:invGamma/>
          </a:srgbClr>
        </a:gs>
      </a:gsLst>
      <a:lin ang="2700000" scaled="1"/>
    </a:gradFill>
    <a:ln w="3173">
      <a:solidFill>
        <a:srgbClr val="000000"/>
      </a:solidFill>
      <a:prstDash val="solid"/>
    </a:ln>
    <a:effectLst>
      <a:outerShdw dist="35921" dir="2700000" algn="br">
        <a:srgbClr val="000000"/>
      </a:outerShdw>
    </a:effectLst>
  </c:spPr>
  <c:txPr>
    <a:bodyPr/>
    <a:lstStyle/>
    <a:p>
      <a:pPr>
        <a:defRPr sz="1199" b="1" i="0" u="none" strike="noStrike" baseline="0">
          <a:solidFill>
            <a:srgbClr val="000000"/>
          </a:solidFill>
          <a:latin typeface="Arial"/>
          <a:ea typeface="Arial"/>
          <a:cs typeface="Arial"/>
        </a:defRPr>
      </a:pPr>
      <a:endParaRPr lang="es-CR"/>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title>
      <c:tx>
        <c:rich>
          <a:bodyPr/>
          <a:lstStyle/>
          <a:p>
            <a:pPr>
              <a:defRPr lang="es-ES" sz="925" b="1" i="0" u="none" strike="noStrike" baseline="0">
                <a:solidFill>
                  <a:srgbClr val="000000"/>
                </a:solidFill>
                <a:latin typeface="Times New Roman"/>
                <a:ea typeface="Times New Roman"/>
                <a:cs typeface="Times New Roman"/>
              </a:defRPr>
            </a:pPr>
            <a:r>
              <a:rPr lang="es-CR"/>
              <a:t>Gráfico Nº 26
Porcentaje de asuntos sobreseídos por cumplimiento de la conciliación como medida alterna en juzgados 
penales para el período  2011 - 2015</a:t>
            </a:r>
          </a:p>
        </c:rich>
      </c:tx>
      <c:layout>
        <c:manualLayout>
          <c:xMode val="edge"/>
          <c:yMode val="edge"/>
          <c:x val="0.20222222222222241"/>
          <c:y val="1.9607843137254902E-2"/>
        </c:manualLayout>
      </c:layout>
      <c:spPr>
        <a:noFill/>
        <a:ln w="25410">
          <a:noFill/>
        </a:ln>
      </c:spPr>
    </c:title>
    <c:plotArea>
      <c:layout>
        <c:manualLayout>
          <c:layoutTarget val="inner"/>
          <c:xMode val="edge"/>
          <c:yMode val="edge"/>
          <c:x val="0.1466666666666667"/>
          <c:y val="0.25490196078431382"/>
          <c:w val="0.80444444444444463"/>
          <c:h val="0.52614379084967322"/>
        </c:manualLayout>
      </c:layout>
      <c:lineChart>
        <c:grouping val="standard"/>
        <c:ser>
          <c:idx val="0"/>
          <c:order val="0"/>
          <c:tx>
            <c:strRef>
              <c:f>Sheet1!$A$2</c:f>
              <c:strCache>
                <c:ptCount val="1"/>
                <c:pt idx="0">
                  <c:v>n</c:v>
                </c:pt>
              </c:strCache>
            </c:strRef>
          </c:tx>
          <c:spPr>
            <a:ln w="25410">
              <a:solidFill>
                <a:srgbClr val="0000FF"/>
              </a:solidFill>
              <a:prstDash val="solid"/>
            </a:ln>
          </c:spPr>
          <c:marker>
            <c:symbol val="diamond"/>
            <c:size val="5"/>
            <c:spPr>
              <a:solidFill>
                <a:srgbClr val="0000FF"/>
              </a:solidFill>
              <a:ln>
                <a:solidFill>
                  <a:srgbClr val="0000FF"/>
                </a:solidFill>
                <a:prstDash val="solid"/>
              </a:ln>
            </c:spPr>
          </c:marker>
          <c:dLbls>
            <c:numFmt formatCode="0.0" sourceLinked="0"/>
            <c:spPr>
              <a:noFill/>
              <a:ln w="25410">
                <a:noFill/>
              </a:ln>
            </c:spPr>
            <c:txPr>
              <a:bodyPr/>
              <a:lstStyle/>
              <a:p>
                <a:pPr>
                  <a:defRPr lang="es-ES" sz="900" b="0" i="0" u="none" strike="noStrike" baseline="0">
                    <a:solidFill>
                      <a:srgbClr val="000000"/>
                    </a:solidFill>
                    <a:latin typeface="Times New Roman"/>
                    <a:ea typeface="Times New Roman"/>
                    <a:cs typeface="Times New Roman"/>
                  </a:defRPr>
                </a:pPr>
                <a:endParaRPr lang="es-CR"/>
              </a:p>
            </c:txPr>
            <c:dLblPos val="b"/>
            <c:showVal val="1"/>
            <c:extLst xmlns:c16r2="http://schemas.microsoft.com/office/drawing/2015/06/chart">
              <c:ext xmlns:c15="http://schemas.microsoft.com/office/drawing/2012/chart" uri="{CE6537A1-D6FC-4f65-9D91-7224C49458BB}">
                <c15:showLeaderLines val="0"/>
              </c:ext>
            </c:extLst>
          </c:dLbls>
          <c:cat>
            <c:numRef>
              <c:f>Sheet1!$E$1:$I$1</c:f>
              <c:numCache>
                <c:formatCode>General</c:formatCode>
                <c:ptCount val="5"/>
                <c:pt idx="0">
                  <c:v>2011</c:v>
                </c:pt>
                <c:pt idx="1">
                  <c:v>2012</c:v>
                </c:pt>
                <c:pt idx="2">
                  <c:v>2013</c:v>
                </c:pt>
                <c:pt idx="3">
                  <c:v>2014</c:v>
                </c:pt>
                <c:pt idx="4">
                  <c:v>2015</c:v>
                </c:pt>
              </c:numCache>
            </c:numRef>
          </c:cat>
          <c:val>
            <c:numRef>
              <c:f>Sheet1!$E$2:$I$2</c:f>
              <c:numCache>
                <c:formatCode>General</c:formatCode>
                <c:ptCount val="5"/>
                <c:pt idx="0">
                  <c:v>10.5</c:v>
                </c:pt>
                <c:pt idx="1">
                  <c:v>10.8</c:v>
                </c:pt>
                <c:pt idx="2">
                  <c:v>12.4</c:v>
                </c:pt>
                <c:pt idx="3">
                  <c:v>12.8</c:v>
                </c:pt>
                <c:pt idx="4">
                  <c:v>14.1</c:v>
                </c:pt>
              </c:numCache>
            </c:numRef>
          </c:val>
          <c:smooth val="1"/>
          <c:extLst xmlns:c16r2="http://schemas.microsoft.com/office/drawing/2015/06/chart">
            <c:ext xmlns:c16="http://schemas.microsoft.com/office/drawing/2014/chart" uri="{C3380CC4-5D6E-409C-BE32-E72D297353CC}">
              <c16:uniqueId val="{00000000-5AD5-481B-9142-F40DBD285C34}"/>
            </c:ext>
          </c:extLst>
        </c:ser>
        <c:dLbls>
          <c:showVal val="1"/>
        </c:dLbls>
        <c:marker val="1"/>
        <c:axId val="114310144"/>
        <c:axId val="114586752"/>
      </c:lineChart>
      <c:catAx>
        <c:axId val="114310144"/>
        <c:scaling>
          <c:orientation val="minMax"/>
        </c:scaling>
        <c:axPos val="b"/>
        <c:title>
          <c:tx>
            <c:rich>
              <a:bodyPr/>
              <a:lstStyle/>
              <a:p>
                <a:pPr>
                  <a:defRPr lang="es-ES" sz="825"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5"/>
              <c:y val="0.86601307189542487"/>
            </c:manualLayout>
          </c:layout>
          <c:spPr>
            <a:noFill/>
            <a:ln w="25410">
              <a:noFill/>
            </a:ln>
          </c:spPr>
        </c:title>
        <c:numFmt formatCode="General" sourceLinked="1"/>
        <c:tickLblPos val="nextTo"/>
        <c:spPr>
          <a:ln w="3176">
            <a:solidFill>
              <a:srgbClr val="000000"/>
            </a:solidFill>
            <a:prstDash val="solid"/>
          </a:ln>
        </c:spPr>
        <c:txPr>
          <a:bodyPr rot="0" vert="horz"/>
          <a:lstStyle/>
          <a:p>
            <a:pPr>
              <a:defRPr lang="es-ES" sz="925" b="1" i="0" u="none" strike="noStrike" baseline="0">
                <a:solidFill>
                  <a:srgbClr val="000000"/>
                </a:solidFill>
                <a:latin typeface="Times New Roman"/>
                <a:ea typeface="Times New Roman"/>
                <a:cs typeface="Times New Roman"/>
              </a:defRPr>
            </a:pPr>
            <a:endParaRPr lang="es-CR"/>
          </a:p>
        </c:txPr>
        <c:crossAx val="114586752"/>
        <c:crosses val="autoZero"/>
        <c:auto val="1"/>
        <c:lblAlgn val="ctr"/>
        <c:lblOffset val="100"/>
        <c:tickLblSkip val="1"/>
        <c:tickMarkSkip val="1"/>
      </c:catAx>
      <c:valAx>
        <c:axId val="114586752"/>
        <c:scaling>
          <c:orientation val="minMax"/>
          <c:max val="15"/>
        </c:scaling>
        <c:axPos val="l"/>
        <c:majorGridlines>
          <c:spPr>
            <a:ln w="3176">
              <a:solidFill>
                <a:srgbClr val="000000"/>
              </a:solidFill>
              <a:prstDash val="solid"/>
            </a:ln>
          </c:spPr>
        </c:majorGridlines>
        <c:title>
          <c:tx>
            <c:rich>
              <a:bodyPr rot="0" vert="wordArtVert"/>
              <a:lstStyle/>
              <a:p>
                <a:pPr algn="ctr">
                  <a:defRPr lang="es-ES" sz="800" b="1" i="0" u="none" strike="noStrike" baseline="0">
                    <a:solidFill>
                      <a:srgbClr val="000000"/>
                    </a:solidFill>
                    <a:latin typeface="Times New Roman"/>
                    <a:ea typeface="Times New Roman"/>
                    <a:cs typeface="Times New Roman"/>
                  </a:defRPr>
                </a:pPr>
                <a:r>
                  <a:rPr lang="es-CR"/>
                  <a:t>PORCENTAJE</a:t>
                </a:r>
              </a:p>
            </c:rich>
          </c:tx>
          <c:layout>
            <c:manualLayout>
              <c:xMode val="edge"/>
              <c:yMode val="edge"/>
              <c:x val="4.0000000000000022E-2"/>
              <c:y val="0.28104575163398693"/>
            </c:manualLayout>
          </c:layout>
          <c:spPr>
            <a:noFill/>
            <a:ln w="25410">
              <a:noFill/>
            </a:ln>
          </c:spPr>
        </c:title>
        <c:numFmt formatCode="General" sourceLinked="1"/>
        <c:tickLblPos val="nextTo"/>
        <c:spPr>
          <a:ln w="3176">
            <a:solidFill>
              <a:srgbClr val="000000"/>
            </a:solidFill>
            <a:prstDash val="solid"/>
          </a:ln>
        </c:spPr>
        <c:txPr>
          <a:bodyPr rot="0" vert="horz"/>
          <a:lstStyle/>
          <a:p>
            <a:pPr>
              <a:defRPr lang="es-ES" sz="925" b="1" i="0" u="none" strike="noStrike" baseline="0">
                <a:solidFill>
                  <a:srgbClr val="000000"/>
                </a:solidFill>
                <a:latin typeface="Times New Roman"/>
                <a:ea typeface="Times New Roman"/>
                <a:cs typeface="Times New Roman"/>
              </a:defRPr>
            </a:pPr>
            <a:endParaRPr lang="es-CR"/>
          </a:p>
        </c:txPr>
        <c:crossAx val="114310144"/>
        <c:crosses val="autoZero"/>
        <c:crossBetween val="between"/>
        <c:majorUnit val="15"/>
      </c:valAx>
      <c:spPr>
        <a:gradFill rotWithShape="0">
          <a:gsLst>
            <a:gs pos="0">
              <a:srgbClr val="FFFFCC"/>
            </a:gs>
            <a:gs pos="50000">
              <a:srgbClr val="FFFFCC">
                <a:gamma/>
                <a:shade val="72941"/>
                <a:invGamma/>
              </a:srgbClr>
            </a:gs>
            <a:gs pos="100000">
              <a:srgbClr val="FFFFCC"/>
            </a:gs>
          </a:gsLst>
          <a:lin ang="0" scaled="1"/>
        </a:gradFill>
        <a:ln w="12705">
          <a:solidFill>
            <a:srgbClr val="808080"/>
          </a:solidFill>
          <a:prstDash val="solid"/>
        </a:ln>
      </c:spPr>
    </c:plotArea>
    <c:plotVisOnly val="1"/>
    <c:dispBlanksAs val="gap"/>
  </c:chart>
  <c:spPr>
    <a:gradFill rotWithShape="0">
      <a:gsLst>
        <a:gs pos="0">
          <a:srgbClr val="FFCC99"/>
        </a:gs>
        <a:gs pos="100000">
          <a:srgbClr val="CCFFFF"/>
        </a:gs>
      </a:gsLst>
      <a:lin ang="2700000" scaled="1"/>
    </a:gradFill>
    <a:ln w="3176">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title>
      <c:tx>
        <c:rich>
          <a:bodyPr/>
          <a:lstStyle/>
          <a:p>
            <a:pPr>
              <a:defRPr lang="es-ES" sz="924" b="1" i="0" u="none" strike="noStrike" baseline="0">
                <a:solidFill>
                  <a:srgbClr val="000000"/>
                </a:solidFill>
                <a:latin typeface="Times New Roman"/>
                <a:ea typeface="Times New Roman"/>
                <a:cs typeface="Times New Roman"/>
              </a:defRPr>
            </a:pPr>
            <a:r>
              <a:rPr lang="es-CR"/>
              <a:t>Gráfico Nº 27
Porcentaje de asuntos sobreseídos por cumplimiento del plazo de suspensión del proceso a prueba como medida alterna en los juzgados penales para el período  2011 - 2015</a:t>
            </a:r>
          </a:p>
        </c:rich>
      </c:tx>
      <c:layout>
        <c:manualLayout>
          <c:xMode val="edge"/>
          <c:yMode val="edge"/>
          <c:x val="0.16"/>
          <c:y val="1.8691588785046741E-2"/>
        </c:manualLayout>
      </c:layout>
      <c:spPr>
        <a:noFill/>
        <a:ln w="25384">
          <a:noFill/>
        </a:ln>
      </c:spPr>
    </c:title>
    <c:plotArea>
      <c:layout>
        <c:manualLayout>
          <c:layoutTarget val="inner"/>
          <c:xMode val="edge"/>
          <c:yMode val="edge"/>
          <c:x val="0.1466666666666667"/>
          <c:y val="0.23987538940809974"/>
          <c:w val="0.80444444444444463"/>
          <c:h val="0.54517133956386465"/>
        </c:manualLayout>
      </c:layout>
      <c:lineChart>
        <c:grouping val="standard"/>
        <c:ser>
          <c:idx val="0"/>
          <c:order val="0"/>
          <c:tx>
            <c:strRef>
              <c:f>Sheet1!$A$2</c:f>
              <c:strCache>
                <c:ptCount val="1"/>
                <c:pt idx="0">
                  <c:v>n</c:v>
                </c:pt>
              </c:strCache>
            </c:strRef>
          </c:tx>
          <c:spPr>
            <a:ln w="25384">
              <a:solidFill>
                <a:srgbClr val="0000FF"/>
              </a:solidFill>
              <a:prstDash val="solid"/>
            </a:ln>
          </c:spPr>
          <c:marker>
            <c:symbol val="diamond"/>
            <c:size val="4"/>
            <c:spPr>
              <a:solidFill>
                <a:srgbClr val="0000FF"/>
              </a:solidFill>
              <a:ln>
                <a:solidFill>
                  <a:srgbClr val="0000FF"/>
                </a:solidFill>
                <a:prstDash val="solid"/>
              </a:ln>
            </c:spPr>
          </c:marker>
          <c:dLbls>
            <c:numFmt formatCode="0.0" sourceLinked="0"/>
            <c:spPr>
              <a:noFill/>
              <a:ln w="25384">
                <a:noFill/>
              </a:ln>
            </c:spPr>
            <c:txPr>
              <a:bodyPr/>
              <a:lstStyle/>
              <a:p>
                <a:pPr>
                  <a:defRPr lang="es-ES" sz="924" b="0" i="0" u="none" strike="noStrike" baseline="0">
                    <a:solidFill>
                      <a:srgbClr val="000000"/>
                    </a:solidFill>
                    <a:latin typeface="Times New Roman"/>
                    <a:ea typeface="Times New Roman"/>
                    <a:cs typeface="Times New Roman"/>
                  </a:defRPr>
                </a:pPr>
                <a:endParaRPr lang="es-CR"/>
              </a:p>
            </c:txPr>
            <c:dLblPos val="b"/>
            <c:showVal val="1"/>
            <c:extLst xmlns:c16r2="http://schemas.microsoft.com/office/drawing/2015/06/chart">
              <c:ext xmlns:c15="http://schemas.microsoft.com/office/drawing/2012/chart" uri="{CE6537A1-D6FC-4f65-9D91-7224C49458BB}">
                <c15:showLeaderLines val="0"/>
              </c:ext>
            </c:extLst>
          </c:dLbls>
          <c:cat>
            <c:numRef>
              <c:f>Sheet1!$E$1:$I$1</c:f>
              <c:numCache>
                <c:formatCode>General</c:formatCode>
                <c:ptCount val="5"/>
                <c:pt idx="0">
                  <c:v>2011</c:v>
                </c:pt>
                <c:pt idx="1">
                  <c:v>2012</c:v>
                </c:pt>
                <c:pt idx="2">
                  <c:v>2013</c:v>
                </c:pt>
                <c:pt idx="3">
                  <c:v>2014</c:v>
                </c:pt>
                <c:pt idx="4">
                  <c:v>2015</c:v>
                </c:pt>
              </c:numCache>
            </c:numRef>
          </c:cat>
          <c:val>
            <c:numRef>
              <c:f>Sheet1!$E$2:$I$2</c:f>
              <c:numCache>
                <c:formatCode>General</c:formatCode>
                <c:ptCount val="5"/>
                <c:pt idx="0">
                  <c:v>5.3</c:v>
                </c:pt>
                <c:pt idx="1">
                  <c:v>6.6</c:v>
                </c:pt>
                <c:pt idx="2">
                  <c:v>8.1</c:v>
                </c:pt>
                <c:pt idx="3">
                  <c:v>8.9</c:v>
                </c:pt>
                <c:pt idx="4">
                  <c:v>7.7</c:v>
                </c:pt>
              </c:numCache>
            </c:numRef>
          </c:val>
          <c:smooth val="1"/>
          <c:extLst xmlns:c16r2="http://schemas.microsoft.com/office/drawing/2015/06/chart">
            <c:ext xmlns:c16="http://schemas.microsoft.com/office/drawing/2014/chart" uri="{C3380CC4-5D6E-409C-BE32-E72D297353CC}">
              <c16:uniqueId val="{00000000-B89F-46E2-88D0-CF8165A5209D}"/>
            </c:ext>
          </c:extLst>
        </c:ser>
        <c:dLbls>
          <c:showVal val="1"/>
        </c:dLbls>
        <c:marker val="1"/>
        <c:axId val="114529792"/>
        <c:axId val="114531712"/>
      </c:lineChart>
      <c:catAx>
        <c:axId val="114529792"/>
        <c:scaling>
          <c:orientation val="minMax"/>
        </c:scaling>
        <c:axPos val="b"/>
        <c:title>
          <c:tx>
            <c:rich>
              <a:bodyPr/>
              <a:lstStyle/>
              <a:p>
                <a:pPr>
                  <a:defRPr lang="es-ES" sz="824"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51442388394657068"/>
              <c:y val="0.87806285332121969"/>
            </c:manualLayout>
          </c:layout>
          <c:spPr>
            <a:noFill/>
            <a:ln w="25384">
              <a:noFill/>
            </a:ln>
          </c:spPr>
        </c:title>
        <c:numFmt formatCode="General" sourceLinked="1"/>
        <c:tickLblPos val="nextTo"/>
        <c:spPr>
          <a:ln w="3173">
            <a:solidFill>
              <a:srgbClr val="000000"/>
            </a:solidFill>
            <a:prstDash val="solid"/>
          </a:ln>
        </c:spPr>
        <c:txPr>
          <a:bodyPr rot="0" vert="horz"/>
          <a:lstStyle/>
          <a:p>
            <a:pPr>
              <a:defRPr lang="es-ES" sz="924" b="1" i="0" u="none" strike="noStrike" baseline="0">
                <a:solidFill>
                  <a:srgbClr val="000000"/>
                </a:solidFill>
                <a:latin typeface="Times New Roman"/>
                <a:ea typeface="Times New Roman"/>
                <a:cs typeface="Times New Roman"/>
              </a:defRPr>
            </a:pPr>
            <a:endParaRPr lang="es-CR"/>
          </a:p>
        </c:txPr>
        <c:crossAx val="114531712"/>
        <c:crosses val="autoZero"/>
        <c:auto val="1"/>
        <c:lblAlgn val="ctr"/>
        <c:lblOffset val="100"/>
        <c:tickLblSkip val="1"/>
        <c:tickMarkSkip val="1"/>
      </c:catAx>
      <c:valAx>
        <c:axId val="114531712"/>
        <c:scaling>
          <c:orientation val="minMax"/>
          <c:max val="10"/>
        </c:scaling>
        <c:axPos val="l"/>
        <c:majorGridlines>
          <c:spPr>
            <a:ln w="3173">
              <a:solidFill>
                <a:srgbClr val="000000"/>
              </a:solidFill>
              <a:prstDash val="solid"/>
            </a:ln>
          </c:spPr>
        </c:majorGridlines>
        <c:title>
          <c:tx>
            <c:rich>
              <a:bodyPr rot="0" vert="wordArtVert"/>
              <a:lstStyle/>
              <a:p>
                <a:pPr algn="ctr">
                  <a:defRPr lang="es-ES" sz="799" b="1" i="0" u="none" strike="noStrike" baseline="0">
                    <a:solidFill>
                      <a:srgbClr val="000000"/>
                    </a:solidFill>
                    <a:latin typeface="Times New Roman"/>
                    <a:ea typeface="Times New Roman"/>
                    <a:cs typeface="Times New Roman"/>
                  </a:defRPr>
                </a:pPr>
                <a:r>
                  <a:rPr lang="es-CR"/>
                  <a:t>PORCENTAJE</a:t>
                </a:r>
              </a:p>
            </c:rich>
          </c:tx>
          <c:layout>
            <c:manualLayout>
              <c:xMode val="edge"/>
              <c:yMode val="edge"/>
              <c:x val="4.0000000000000022E-2"/>
              <c:y val="0.28660436137071826"/>
            </c:manualLayout>
          </c:layout>
          <c:spPr>
            <a:noFill/>
            <a:ln w="25384">
              <a:noFill/>
            </a:ln>
          </c:spPr>
        </c:title>
        <c:numFmt formatCode="General" sourceLinked="1"/>
        <c:tickLblPos val="nextTo"/>
        <c:spPr>
          <a:ln w="3173">
            <a:solidFill>
              <a:srgbClr val="000000"/>
            </a:solidFill>
            <a:prstDash val="solid"/>
          </a:ln>
        </c:spPr>
        <c:txPr>
          <a:bodyPr rot="0" vert="horz"/>
          <a:lstStyle/>
          <a:p>
            <a:pPr>
              <a:defRPr lang="es-ES" sz="924" b="1" i="0" u="none" strike="noStrike" baseline="0">
                <a:solidFill>
                  <a:srgbClr val="000000"/>
                </a:solidFill>
                <a:latin typeface="Times New Roman"/>
                <a:ea typeface="Times New Roman"/>
                <a:cs typeface="Times New Roman"/>
              </a:defRPr>
            </a:pPr>
            <a:endParaRPr lang="es-CR"/>
          </a:p>
        </c:txPr>
        <c:crossAx val="114529792"/>
        <c:crosses val="autoZero"/>
        <c:crossBetween val="between"/>
        <c:majorUnit val="10"/>
      </c:valAx>
      <c:spPr>
        <a:solidFill>
          <a:srgbClr val="CCFFFF"/>
        </a:solidFill>
        <a:ln w="12692">
          <a:solidFill>
            <a:srgbClr val="808080"/>
          </a:solidFill>
          <a:prstDash val="solid"/>
        </a:ln>
      </c:spPr>
    </c:plotArea>
    <c:plotVisOnly val="1"/>
    <c:dispBlanksAs val="gap"/>
  </c:chart>
  <c:spPr>
    <a:gradFill rotWithShape="0">
      <a:gsLst>
        <a:gs pos="0">
          <a:srgbClr val="FFFFCC"/>
        </a:gs>
        <a:gs pos="100000">
          <a:srgbClr val="CCFFCC"/>
        </a:gs>
      </a:gsLst>
      <a:lin ang="2700000" scaled="1"/>
    </a:gradFill>
    <a:ln w="3173">
      <a:solidFill>
        <a:srgbClr val="000000"/>
      </a:solidFill>
      <a:prstDash val="solid"/>
    </a:ln>
    <a:effectLst>
      <a:outerShdw dist="35921" dir="2700000" algn="br">
        <a:srgbClr val="000000"/>
      </a:outerShdw>
    </a:effectLst>
  </c:spPr>
  <c:txPr>
    <a:bodyPr/>
    <a:lstStyle/>
    <a:p>
      <a:pPr>
        <a:defRPr sz="1199" b="1" i="0" u="none" strike="noStrike" baseline="0">
          <a:solidFill>
            <a:srgbClr val="000000"/>
          </a:solidFill>
          <a:latin typeface="Arial"/>
          <a:ea typeface="Arial"/>
          <a:cs typeface="Arial"/>
        </a:defRPr>
      </a:pPr>
      <a:endParaRPr lang="es-CR"/>
    </a:p>
  </c:tx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title>
      <c:tx>
        <c:rich>
          <a:bodyPr/>
          <a:lstStyle/>
          <a:p>
            <a:pPr>
              <a:defRPr lang="es-ES" sz="925" b="1" i="0" u="none" strike="noStrike" baseline="0">
                <a:solidFill>
                  <a:srgbClr val="000000"/>
                </a:solidFill>
                <a:latin typeface="Times New Roman"/>
                <a:ea typeface="Times New Roman"/>
                <a:cs typeface="Times New Roman"/>
              </a:defRPr>
            </a:pPr>
            <a:r>
              <a:rPr lang="es-CR"/>
              <a:t>Gráfico Nº 28
Porcentaje de asuntos sobreseídos por prescripción en los juzgados penales para el período  2011 - 2015</a:t>
            </a:r>
          </a:p>
        </c:rich>
      </c:tx>
      <c:layout>
        <c:manualLayout>
          <c:xMode val="edge"/>
          <c:yMode val="edge"/>
          <c:x val="0.15111111111111164"/>
          <c:y val="2.0000000000000011E-2"/>
        </c:manualLayout>
      </c:layout>
      <c:spPr>
        <a:noFill/>
        <a:ln w="25410">
          <a:noFill/>
        </a:ln>
      </c:spPr>
    </c:title>
    <c:plotArea>
      <c:layout>
        <c:manualLayout>
          <c:layoutTarget val="inner"/>
          <c:xMode val="edge"/>
          <c:yMode val="edge"/>
          <c:x val="0.1466666666666667"/>
          <c:y val="0.22"/>
          <c:w val="0.80444444444444463"/>
          <c:h val="0.54"/>
        </c:manualLayout>
      </c:layout>
      <c:lineChart>
        <c:grouping val="standard"/>
        <c:ser>
          <c:idx val="0"/>
          <c:order val="0"/>
          <c:tx>
            <c:strRef>
              <c:f>Sheet1!$A$2</c:f>
              <c:strCache>
                <c:ptCount val="1"/>
                <c:pt idx="0">
                  <c:v>n</c:v>
                </c:pt>
              </c:strCache>
            </c:strRef>
          </c:tx>
          <c:spPr>
            <a:ln w="25410">
              <a:solidFill>
                <a:srgbClr val="0000FF"/>
              </a:solidFill>
              <a:prstDash val="solid"/>
            </a:ln>
          </c:spPr>
          <c:marker>
            <c:symbol val="diamond"/>
            <c:size val="5"/>
            <c:spPr>
              <a:solidFill>
                <a:srgbClr val="0000FF"/>
              </a:solidFill>
              <a:ln>
                <a:solidFill>
                  <a:srgbClr val="0000FF"/>
                </a:solidFill>
                <a:prstDash val="solid"/>
              </a:ln>
            </c:spPr>
          </c:marker>
          <c:dLbls>
            <c:dLbl>
              <c:idx val="0"/>
              <c:layout>
                <c:manualLayout>
                  <c:x val="-4.7421601507946762E-2"/>
                  <c:y val="-4.724021044454652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842-48B8-AA59-5408DAF7F24F}"/>
                </c:ext>
              </c:extLst>
            </c:dLbl>
            <c:dLbl>
              <c:idx val="1"/>
              <c:layout>
                <c:manualLayout>
                  <c:x val="-3.0532691418765252E-2"/>
                  <c:y val="-5.024022221437566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842-48B8-AA59-5408DAF7F24F}"/>
                </c:ext>
              </c:extLst>
            </c:dLbl>
            <c:dLbl>
              <c:idx val="2"/>
              <c:layout>
                <c:manualLayout>
                  <c:x val="-4.4754892440694992E-2"/>
                  <c:y val="-5.85732781160202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842-48B8-AA59-5408DAF7F24F}"/>
                </c:ext>
              </c:extLst>
            </c:dLbl>
            <c:dLbl>
              <c:idx val="3"/>
              <c:layout>
                <c:manualLayout>
                  <c:x val="-3.45326490181804E-2"/>
                  <c:y val="-5.390687711121302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842-48B8-AA59-5408DAF7F24F}"/>
                </c:ext>
              </c:extLst>
            </c:dLbl>
            <c:dLbl>
              <c:idx val="4"/>
              <c:layout>
                <c:manualLayout>
                  <c:x val="-3.3199294484554512E-2"/>
                  <c:y val="-4.837352730011892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842-48B8-AA59-5408DAF7F24F}"/>
                </c:ext>
              </c:extLst>
            </c:dLbl>
            <c:dLbl>
              <c:idx val="5"/>
              <c:layout>
                <c:manualLayout>
                  <c:xMode val="edge"/>
                  <c:yMode val="edge"/>
                  <c:x val="0.91333333333333333"/>
                  <c:y val="0.53"/>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842-48B8-AA59-5408DAF7F24F}"/>
                </c:ext>
              </c:extLst>
            </c:dLbl>
            <c:dLbl>
              <c:idx val="6"/>
              <c:layout>
                <c:manualLayout>
                  <c:xMode val="edge"/>
                  <c:yMode val="edge"/>
                  <c:x val="0.68222222222222217"/>
                  <c:y val="0.46666666666666784"/>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842-48B8-AA59-5408DAF7F24F}"/>
                </c:ext>
              </c:extLst>
            </c:dLbl>
            <c:dLbl>
              <c:idx val="7"/>
              <c:layout>
                <c:manualLayout>
                  <c:xMode val="edge"/>
                  <c:yMode val="edge"/>
                  <c:x val="0.68444444444444463"/>
                  <c:y val="0.46666666666666784"/>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842-48B8-AA59-5408DAF7F24F}"/>
                </c:ext>
              </c:extLst>
            </c:dLbl>
            <c:dLbl>
              <c:idx val="8"/>
              <c:layout>
                <c:manualLayout>
                  <c:xMode val="edge"/>
                  <c:yMode val="edge"/>
                  <c:x val="0.68888888888889088"/>
                  <c:y val="0.46"/>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842-48B8-AA59-5408DAF7F24F}"/>
                </c:ext>
              </c:extLst>
            </c:dLbl>
            <c:dLbl>
              <c:idx val="9"/>
              <c:layout>
                <c:manualLayout>
                  <c:xMode val="edge"/>
                  <c:yMode val="edge"/>
                  <c:x val="0.70000000000000062"/>
                  <c:y val="0.46333333333333326"/>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842-48B8-AA59-5408DAF7F24F}"/>
                </c:ext>
              </c:extLst>
            </c:dLbl>
            <c:numFmt formatCode="0.0" sourceLinked="0"/>
            <c:spPr>
              <a:noFill/>
              <a:ln w="25410">
                <a:noFill/>
              </a:ln>
            </c:spPr>
            <c:txPr>
              <a:bodyPr/>
              <a:lstStyle/>
              <a:p>
                <a:pPr>
                  <a:defRPr lang="es-ES" sz="925"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Sheet1!$E$1:$I$1</c:f>
              <c:numCache>
                <c:formatCode>General</c:formatCode>
                <c:ptCount val="5"/>
                <c:pt idx="0">
                  <c:v>2011</c:v>
                </c:pt>
                <c:pt idx="1">
                  <c:v>2012</c:v>
                </c:pt>
                <c:pt idx="2">
                  <c:v>2013</c:v>
                </c:pt>
                <c:pt idx="3">
                  <c:v>2014</c:v>
                </c:pt>
                <c:pt idx="4">
                  <c:v>2015</c:v>
                </c:pt>
              </c:numCache>
            </c:numRef>
          </c:cat>
          <c:val>
            <c:numRef>
              <c:f>Sheet1!$E$2:$I$2</c:f>
              <c:numCache>
                <c:formatCode>General</c:formatCode>
                <c:ptCount val="5"/>
                <c:pt idx="0">
                  <c:v>9.9</c:v>
                </c:pt>
                <c:pt idx="1">
                  <c:v>14.9</c:v>
                </c:pt>
                <c:pt idx="2">
                  <c:v>8.9</c:v>
                </c:pt>
                <c:pt idx="3">
                  <c:v>7.5</c:v>
                </c:pt>
                <c:pt idx="4">
                  <c:v>6.7</c:v>
                </c:pt>
              </c:numCache>
            </c:numRef>
          </c:val>
          <c:smooth val="1"/>
          <c:extLst xmlns:c16r2="http://schemas.microsoft.com/office/drawing/2015/06/chart">
            <c:ext xmlns:c16="http://schemas.microsoft.com/office/drawing/2014/chart" uri="{C3380CC4-5D6E-409C-BE32-E72D297353CC}">
              <c16:uniqueId val="{0000000A-B842-48B8-AA59-5408DAF7F24F}"/>
            </c:ext>
          </c:extLst>
        </c:ser>
        <c:dLbls>
          <c:showVal val="1"/>
        </c:dLbls>
        <c:marker val="1"/>
        <c:axId val="114548096"/>
        <c:axId val="114677248"/>
      </c:lineChart>
      <c:catAx>
        <c:axId val="114548096"/>
        <c:scaling>
          <c:orientation val="minMax"/>
        </c:scaling>
        <c:axPos val="b"/>
        <c:title>
          <c:tx>
            <c:rich>
              <a:bodyPr/>
              <a:lstStyle/>
              <a:p>
                <a:pPr>
                  <a:defRPr lang="es-ES" sz="825"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5"/>
              <c:y val="0.84666666666666668"/>
            </c:manualLayout>
          </c:layout>
          <c:spPr>
            <a:noFill/>
            <a:ln w="25410">
              <a:noFill/>
            </a:ln>
          </c:spPr>
        </c:title>
        <c:numFmt formatCode="General" sourceLinked="1"/>
        <c:tickLblPos val="nextTo"/>
        <c:spPr>
          <a:ln w="3176">
            <a:solidFill>
              <a:srgbClr val="000000"/>
            </a:solidFill>
            <a:prstDash val="solid"/>
          </a:ln>
        </c:spPr>
        <c:txPr>
          <a:bodyPr rot="0" vert="horz"/>
          <a:lstStyle/>
          <a:p>
            <a:pPr>
              <a:defRPr lang="es-ES" sz="925" b="1" i="0" u="none" strike="noStrike" baseline="0">
                <a:solidFill>
                  <a:srgbClr val="000000"/>
                </a:solidFill>
                <a:latin typeface="Times New Roman"/>
                <a:ea typeface="Times New Roman"/>
                <a:cs typeface="Times New Roman"/>
              </a:defRPr>
            </a:pPr>
            <a:endParaRPr lang="es-CR"/>
          </a:p>
        </c:txPr>
        <c:crossAx val="114677248"/>
        <c:crosses val="autoZero"/>
        <c:auto val="1"/>
        <c:lblAlgn val="ctr"/>
        <c:lblOffset val="100"/>
        <c:tickLblSkip val="1"/>
        <c:tickMarkSkip val="1"/>
      </c:catAx>
      <c:valAx>
        <c:axId val="114677248"/>
        <c:scaling>
          <c:orientation val="minMax"/>
          <c:max val="20"/>
        </c:scaling>
        <c:axPos val="l"/>
        <c:majorGridlines>
          <c:spPr>
            <a:ln w="3176">
              <a:solidFill>
                <a:srgbClr val="000000"/>
              </a:solidFill>
              <a:prstDash val="solid"/>
            </a:ln>
          </c:spPr>
        </c:majorGridlines>
        <c:title>
          <c:tx>
            <c:rich>
              <a:bodyPr rot="0" vert="wordArtVert"/>
              <a:lstStyle/>
              <a:p>
                <a:pPr algn="ctr">
                  <a:defRPr lang="es-ES" sz="800" b="1" i="0" u="none" strike="noStrike" baseline="0">
                    <a:solidFill>
                      <a:srgbClr val="000000"/>
                    </a:solidFill>
                    <a:latin typeface="Times New Roman"/>
                    <a:ea typeface="Times New Roman"/>
                    <a:cs typeface="Times New Roman"/>
                  </a:defRPr>
                </a:pPr>
                <a:r>
                  <a:rPr lang="es-CR"/>
                  <a:t>PORCENTAJE</a:t>
                </a:r>
              </a:p>
            </c:rich>
          </c:tx>
          <c:layout>
            <c:manualLayout>
              <c:xMode val="edge"/>
              <c:yMode val="edge"/>
              <c:x val="4.0000000000000022E-2"/>
              <c:y val="0.25"/>
            </c:manualLayout>
          </c:layout>
          <c:spPr>
            <a:noFill/>
            <a:ln w="25410">
              <a:noFill/>
            </a:ln>
          </c:spPr>
        </c:title>
        <c:numFmt formatCode="General" sourceLinked="1"/>
        <c:tickLblPos val="nextTo"/>
        <c:spPr>
          <a:ln w="3176">
            <a:solidFill>
              <a:srgbClr val="000000"/>
            </a:solidFill>
            <a:prstDash val="solid"/>
          </a:ln>
        </c:spPr>
        <c:txPr>
          <a:bodyPr rot="0" vert="horz"/>
          <a:lstStyle/>
          <a:p>
            <a:pPr>
              <a:defRPr lang="es-ES" sz="925" b="1" i="0" u="none" strike="noStrike" baseline="0">
                <a:solidFill>
                  <a:srgbClr val="000000"/>
                </a:solidFill>
                <a:latin typeface="Times New Roman"/>
                <a:ea typeface="Times New Roman"/>
                <a:cs typeface="Times New Roman"/>
              </a:defRPr>
            </a:pPr>
            <a:endParaRPr lang="es-CR"/>
          </a:p>
        </c:txPr>
        <c:crossAx val="114548096"/>
        <c:crosses val="autoZero"/>
        <c:crossBetween val="between"/>
        <c:majorUnit val="20"/>
        <c:minorUnit val="20"/>
      </c:valAx>
      <c:spPr>
        <a:solidFill>
          <a:srgbClr val="FFFFCC"/>
        </a:solidFill>
        <a:ln w="12705">
          <a:solidFill>
            <a:srgbClr val="808080"/>
          </a:solidFill>
          <a:prstDash val="solid"/>
        </a:ln>
      </c:spPr>
    </c:plotArea>
    <c:plotVisOnly val="1"/>
    <c:dispBlanksAs val="gap"/>
  </c:chart>
  <c:spPr>
    <a:gradFill rotWithShape="0">
      <a:gsLst>
        <a:gs pos="0">
          <a:srgbClr val="9999FF"/>
        </a:gs>
        <a:gs pos="100000">
          <a:srgbClr val="CCFFFF"/>
        </a:gs>
      </a:gsLst>
      <a:path path="rect">
        <a:fillToRect r="100000" b="100000"/>
      </a:path>
    </a:gradFill>
    <a:ln w="3176">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2"/>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CR"/>
  <c:chart>
    <c:title>
      <c:tx>
        <c:rich>
          <a:bodyPr/>
          <a:lstStyle/>
          <a:p>
            <a:pPr>
              <a:defRPr lang="es-ES" sz="950" b="1" i="0" u="none" strike="noStrike" baseline="0">
                <a:solidFill>
                  <a:srgbClr val="000000"/>
                </a:solidFill>
                <a:latin typeface="Times New Roman"/>
                <a:ea typeface="Times New Roman"/>
                <a:cs typeface="Times New Roman"/>
              </a:defRPr>
            </a:pPr>
            <a:r>
              <a:rPr lang="es-CR"/>
              <a:t>Gráfico Nº 3 
Gasto en justicia durante el 2011 - 2015
(datos en millones de colones)</a:t>
            </a:r>
          </a:p>
        </c:rich>
      </c:tx>
      <c:layout>
        <c:manualLayout>
          <c:xMode val="edge"/>
          <c:yMode val="edge"/>
          <c:x val="0.28021015761821366"/>
          <c:y val="2.5974025974026024E-2"/>
        </c:manualLayout>
      </c:layout>
      <c:spPr>
        <a:noFill/>
        <a:ln w="25400">
          <a:noFill/>
        </a:ln>
      </c:spPr>
    </c:title>
    <c:plotArea>
      <c:layout>
        <c:manualLayout>
          <c:layoutTarget val="inner"/>
          <c:xMode val="edge"/>
          <c:yMode val="edge"/>
          <c:x val="0.22767075306479831"/>
          <c:y val="0.30129870129870195"/>
          <c:w val="0.72504378283712778"/>
          <c:h val="0.4987012987012987"/>
        </c:manualLayout>
      </c:layout>
      <c:lineChart>
        <c:grouping val="standard"/>
        <c:ser>
          <c:idx val="1"/>
          <c:order val="0"/>
          <c:tx>
            <c:strRef>
              <c:f>Sheet1!$A$2</c:f>
              <c:strCache>
                <c:ptCount val="1"/>
              </c:strCache>
            </c:strRef>
          </c:tx>
          <c:spPr>
            <a:ln w="25400">
              <a:solidFill>
                <a:srgbClr val="008000"/>
              </a:solidFill>
              <a:prstDash val="solid"/>
            </a:ln>
          </c:spPr>
          <c:marker>
            <c:symbol val="square"/>
            <c:size val="6"/>
            <c:spPr>
              <a:solidFill>
                <a:srgbClr val="008000"/>
              </a:solidFill>
              <a:ln>
                <a:solidFill>
                  <a:srgbClr val="008000"/>
                </a:solidFill>
                <a:prstDash val="solid"/>
              </a:ln>
            </c:spPr>
          </c:marker>
          <c:dLbls>
            <c:dLbl>
              <c:idx val="0"/>
              <c:layout>
                <c:manualLayout>
                  <c:x val="-7.5529790398596724E-2"/>
                  <c:y val="-6.982419959917159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B1B-4F11-BE3D-45741A1E355E}"/>
                </c:ext>
              </c:extLst>
            </c:dLbl>
            <c:dLbl>
              <c:idx val="1"/>
              <c:layout>
                <c:manualLayout>
                  <c:x val="-5.9417601795649463E-2"/>
                  <c:y val="-6.186543900330298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B1B-4F11-BE3D-45741A1E355E}"/>
                </c:ext>
              </c:extLst>
            </c:dLbl>
            <c:dLbl>
              <c:idx val="2"/>
              <c:layout>
                <c:manualLayout>
                  <c:x val="-6.7824025550898503E-2"/>
                  <c:y val="-7.350317749614779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B1B-4F11-BE3D-45741A1E355E}"/>
                </c:ext>
              </c:extLst>
            </c:dLbl>
            <c:dLbl>
              <c:idx val="3"/>
              <c:layout>
                <c:manualLayout>
                  <c:x val="-7.97328527097724E-2"/>
                  <c:y val="-6.952703797992168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B1B-4F11-BE3D-45741A1E355E}"/>
                </c:ext>
              </c:extLst>
            </c:dLbl>
            <c:dLbl>
              <c:idx val="4"/>
              <c:layout>
                <c:manualLayout>
                  <c:x val="-8.7945336939810867E-2"/>
                  <c:y val="-6.331806999527459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B1B-4F11-BE3D-45741A1E355E}"/>
                </c:ext>
              </c:extLst>
            </c:dLbl>
            <c:dLbl>
              <c:idx val="5"/>
              <c:layout>
                <c:manualLayout>
                  <c:xMode val="edge"/>
                  <c:yMode val="edge"/>
                  <c:x val="0.90192644483362516"/>
                  <c:y val="0.39740259740259815"/>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B1B-4F11-BE3D-45741A1E355E}"/>
                </c:ext>
              </c:extLst>
            </c:dLbl>
            <c:dLbl>
              <c:idx val="6"/>
              <c:layout>
                <c:manualLayout>
                  <c:xMode val="edge"/>
                  <c:yMode val="edge"/>
                  <c:x val="0.67250437828371401"/>
                  <c:y val="0.18961038961038995"/>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B1B-4F11-BE3D-45741A1E355E}"/>
                </c:ext>
              </c:extLst>
            </c:dLbl>
            <c:dLbl>
              <c:idx val="7"/>
              <c:layout>
                <c:manualLayout>
                  <c:xMode val="edge"/>
                  <c:yMode val="edge"/>
                  <c:x val="0.59719789842381865"/>
                  <c:y val="0.16883116883116894"/>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B1B-4F11-BE3D-45741A1E355E}"/>
                </c:ext>
              </c:extLst>
            </c:dLbl>
            <c:dLbl>
              <c:idx val="8"/>
              <c:layout>
                <c:manualLayout>
                  <c:xMode val="edge"/>
                  <c:yMode val="edge"/>
                  <c:x val="0.60245183887915965"/>
                  <c:y val="0.16623376623376618"/>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B1B-4F11-BE3D-45741A1E355E}"/>
                </c:ext>
              </c:extLst>
            </c:dLbl>
            <c:dLbl>
              <c:idx val="9"/>
              <c:layout>
                <c:manualLayout>
                  <c:xMode val="edge"/>
                  <c:yMode val="edge"/>
                  <c:x val="0.60070052539404561"/>
                  <c:y val="0.16883116883116894"/>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B1B-4F11-BE3D-45741A1E355E}"/>
                </c:ext>
              </c:extLst>
            </c:dLbl>
            <c:numFmt formatCode="#,##0" sourceLinked="0"/>
            <c:spPr>
              <a:noFill/>
              <a:ln w="25400">
                <a:noFill/>
              </a:ln>
            </c:spPr>
            <c:txPr>
              <a:bodyPr/>
              <a:lstStyle/>
              <a:p>
                <a:pPr>
                  <a:defRPr lang="es-ES" sz="95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Sheet1!$B$1:$Q$1</c:f>
              <c:numCache>
                <c:formatCode>General</c:formatCode>
                <c:ptCount val="5"/>
                <c:pt idx="0">
                  <c:v>2011</c:v>
                </c:pt>
                <c:pt idx="1">
                  <c:v>2012</c:v>
                </c:pt>
                <c:pt idx="2">
                  <c:v>2013</c:v>
                </c:pt>
                <c:pt idx="3">
                  <c:v>2014</c:v>
                </c:pt>
                <c:pt idx="4">
                  <c:v>2015</c:v>
                </c:pt>
              </c:numCache>
            </c:numRef>
          </c:cat>
          <c:val>
            <c:numRef>
              <c:f>Sheet1!$B$2:$Q$2</c:f>
              <c:numCache>
                <c:formatCode>General</c:formatCode>
                <c:ptCount val="5"/>
                <c:pt idx="0">
                  <c:v>251351</c:v>
                </c:pt>
                <c:pt idx="1">
                  <c:v>272595</c:v>
                </c:pt>
                <c:pt idx="2">
                  <c:v>308969</c:v>
                </c:pt>
                <c:pt idx="3">
                  <c:v>338338</c:v>
                </c:pt>
                <c:pt idx="4">
                  <c:v>367378</c:v>
                </c:pt>
              </c:numCache>
            </c:numRef>
          </c:val>
          <c:smooth val="1"/>
          <c:extLst xmlns:c16r2="http://schemas.microsoft.com/office/drawing/2015/06/chart">
            <c:ext xmlns:c16="http://schemas.microsoft.com/office/drawing/2014/chart" uri="{C3380CC4-5D6E-409C-BE32-E72D297353CC}">
              <c16:uniqueId val="{0000000A-1B1B-4F11-BE3D-45741A1E355E}"/>
            </c:ext>
          </c:extLst>
        </c:ser>
        <c:dLbls>
          <c:showVal val="1"/>
        </c:dLbls>
        <c:marker val="1"/>
        <c:axId val="88866176"/>
        <c:axId val="89187840"/>
      </c:lineChart>
      <c:catAx>
        <c:axId val="88866176"/>
        <c:scaling>
          <c:orientation val="minMax"/>
        </c:scaling>
        <c:axPos val="b"/>
        <c:title>
          <c:tx>
            <c:rich>
              <a:bodyPr/>
              <a:lstStyle/>
              <a:p>
                <a:pPr>
                  <a:defRPr lang="es-ES" sz="950"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56567425569176988"/>
              <c:y val="0.89350649350649369"/>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s-ES" sz="950" b="1" i="0" u="none" strike="noStrike" baseline="0">
                <a:solidFill>
                  <a:srgbClr val="000000"/>
                </a:solidFill>
                <a:latin typeface="Times New Roman"/>
                <a:ea typeface="Times New Roman"/>
                <a:cs typeface="Times New Roman"/>
              </a:defRPr>
            </a:pPr>
            <a:endParaRPr lang="es-CR"/>
          </a:p>
        </c:txPr>
        <c:crossAx val="89187840"/>
        <c:crosses val="autoZero"/>
        <c:auto val="1"/>
        <c:lblAlgn val="ctr"/>
        <c:lblOffset val="100"/>
        <c:tickLblSkip val="1"/>
        <c:tickMarkSkip val="1"/>
      </c:catAx>
      <c:valAx>
        <c:axId val="89187840"/>
        <c:scaling>
          <c:orientation val="minMax"/>
          <c:max val="460000"/>
          <c:min val="10000"/>
        </c:scaling>
        <c:axPos val="l"/>
        <c:majorGridlines>
          <c:spPr>
            <a:ln w="3175">
              <a:solidFill>
                <a:srgbClr val="000000"/>
              </a:solidFill>
              <a:prstDash val="solid"/>
            </a:ln>
          </c:spPr>
        </c:majorGridlines>
        <c:title>
          <c:tx>
            <c:rich>
              <a:bodyPr rot="0" vert="wordArtVert"/>
              <a:lstStyle/>
              <a:p>
                <a:pPr algn="ctr">
                  <a:defRPr lang="es-ES" sz="850" b="1" i="0" u="none" strike="noStrike" baseline="0">
                    <a:solidFill>
                      <a:srgbClr val="000000"/>
                    </a:solidFill>
                    <a:latin typeface="Times New Roman"/>
                    <a:ea typeface="Times New Roman"/>
                    <a:cs typeface="Times New Roman"/>
                  </a:defRPr>
                </a:pPr>
                <a:r>
                  <a:rPr lang="es-CR"/>
                  <a:t>Colones
</a:t>
                </a:r>
              </a:p>
            </c:rich>
          </c:tx>
          <c:layout>
            <c:manualLayout>
              <c:xMode val="edge"/>
              <c:yMode val="edge"/>
              <c:x val="3.3274956217162865E-2"/>
              <c:y val="0.37402597402597493"/>
            </c:manualLayout>
          </c:layout>
          <c:spPr>
            <a:noFill/>
            <a:ln w="25400">
              <a:noFill/>
            </a:ln>
          </c:spPr>
        </c:title>
        <c:numFmt formatCode="#,##0" sourceLinked="0"/>
        <c:tickLblPos val="nextTo"/>
        <c:spPr>
          <a:ln w="3175">
            <a:solidFill>
              <a:srgbClr val="000000"/>
            </a:solidFill>
            <a:prstDash val="solid"/>
          </a:ln>
        </c:spPr>
        <c:txPr>
          <a:bodyPr rot="0" vert="horz"/>
          <a:lstStyle/>
          <a:p>
            <a:pPr>
              <a:defRPr lang="es-ES" sz="950" b="1" i="0" u="none" strike="noStrike" baseline="0">
                <a:solidFill>
                  <a:srgbClr val="000000"/>
                </a:solidFill>
                <a:latin typeface="Times New Roman"/>
                <a:ea typeface="Times New Roman"/>
                <a:cs typeface="Times New Roman"/>
              </a:defRPr>
            </a:pPr>
            <a:endParaRPr lang="es-CR"/>
          </a:p>
        </c:txPr>
        <c:crossAx val="88866176"/>
        <c:crosses val="autoZero"/>
        <c:crossBetween val="between"/>
        <c:majorUnit val="50000"/>
        <c:minorUnit val="4000"/>
      </c:valAx>
      <c:spPr>
        <a:gradFill rotWithShape="0">
          <a:gsLst>
            <a:gs pos="0">
              <a:srgbClr val="FFFFCC">
                <a:gamma/>
                <a:shade val="82353"/>
                <a:invGamma/>
              </a:srgbClr>
            </a:gs>
            <a:gs pos="50000">
              <a:srgbClr val="FFFFCC"/>
            </a:gs>
            <a:gs pos="100000">
              <a:srgbClr val="FFFFCC">
                <a:gamma/>
                <a:shade val="82353"/>
                <a:invGamma/>
              </a:srgbClr>
            </a:gs>
          </a:gsLst>
          <a:lin ang="2700000" scaled="1"/>
        </a:gradFill>
        <a:ln w="12700">
          <a:solidFill>
            <a:srgbClr val="808080"/>
          </a:solidFill>
          <a:prstDash val="solid"/>
        </a:ln>
      </c:spPr>
    </c:plotArea>
    <c:plotVisOnly val="1"/>
    <c:dispBlanksAs val="gap"/>
  </c:chart>
  <c:spPr>
    <a:gradFill rotWithShape="0">
      <a:gsLst>
        <a:gs pos="0">
          <a:srgbClr val="CCFFFF">
            <a:gamma/>
            <a:shade val="76078"/>
            <a:invGamma/>
          </a:srgbClr>
        </a:gs>
        <a:gs pos="50000">
          <a:srgbClr val="CCFFFF"/>
        </a:gs>
        <a:gs pos="100000">
          <a:srgbClr val="CCFFFF">
            <a:gamma/>
            <a:shade val="76078"/>
            <a:invGamma/>
          </a:srgbClr>
        </a:gs>
      </a:gsLst>
      <a:lin ang="5400000" scaled="1"/>
    </a:gradFill>
    <a:ln w="3175">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1"/>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title>
      <c:tx>
        <c:rich>
          <a:bodyPr/>
          <a:lstStyle/>
          <a:p>
            <a:pPr>
              <a:defRPr lang="es-ES" sz="1050" b="1" i="0" u="none" strike="noStrike" baseline="0">
                <a:solidFill>
                  <a:srgbClr val="000000"/>
                </a:solidFill>
                <a:latin typeface="Times New Roman"/>
                <a:ea typeface="Times New Roman"/>
                <a:cs typeface="Times New Roman"/>
              </a:defRPr>
            </a:pPr>
            <a:r>
              <a:rPr lang="es-CR"/>
              <a:t>Gráfico Nº 29
Porcentajes de Pendencia, Resolución e Inactividad 
según año desde 2011</a:t>
            </a:r>
          </a:p>
        </c:rich>
      </c:tx>
      <c:layout>
        <c:manualLayout>
          <c:xMode val="edge"/>
          <c:yMode val="edge"/>
          <c:x val="0.17460317460317457"/>
          <c:y val="2.5056947608200743E-2"/>
        </c:manualLayout>
      </c:layout>
      <c:spPr>
        <a:noFill/>
        <a:ln w="25390">
          <a:noFill/>
        </a:ln>
      </c:spPr>
    </c:title>
    <c:plotArea>
      <c:layout>
        <c:manualLayout>
          <c:layoutTarget val="inner"/>
          <c:xMode val="edge"/>
          <c:yMode val="edge"/>
          <c:x val="0.12162754036550456"/>
          <c:y val="0.2824602693894086"/>
          <c:w val="0.8492063492063443"/>
          <c:h val="0.49202733485193628"/>
        </c:manualLayout>
      </c:layout>
      <c:lineChart>
        <c:grouping val="standard"/>
        <c:ser>
          <c:idx val="0"/>
          <c:order val="0"/>
          <c:tx>
            <c:strRef>
              <c:f>Sheet1!$A$2</c:f>
              <c:strCache>
                <c:ptCount val="1"/>
                <c:pt idx="0">
                  <c:v>% Pendencia</c:v>
                </c:pt>
              </c:strCache>
            </c:strRef>
          </c:tx>
          <c:spPr>
            <a:ln w="25390">
              <a:solidFill>
                <a:srgbClr val="0000FF"/>
              </a:solidFill>
              <a:prstDash val="solid"/>
            </a:ln>
          </c:spPr>
          <c:marker>
            <c:symbol val="diamond"/>
            <c:size val="4"/>
            <c:spPr>
              <a:solidFill>
                <a:srgbClr val="0000FF"/>
              </a:solidFill>
              <a:ln>
                <a:solidFill>
                  <a:srgbClr val="0000FF"/>
                </a:solidFill>
                <a:prstDash val="solid"/>
              </a:ln>
            </c:spPr>
          </c:marker>
          <c:dLbls>
            <c:spPr>
              <a:noFill/>
              <a:ln w="25390">
                <a:noFill/>
              </a:ln>
            </c:spPr>
            <c:txPr>
              <a:bodyPr/>
              <a:lstStyle/>
              <a:p>
                <a:pPr>
                  <a:defRPr lang="es-ES" sz="925" b="0" i="0" u="none" strike="noStrike" baseline="0">
                    <a:solidFill>
                      <a:srgbClr val="000000"/>
                    </a:solidFill>
                    <a:latin typeface="Times New Roman"/>
                    <a:ea typeface="Times New Roman"/>
                    <a:cs typeface="Times New Roman"/>
                  </a:defRPr>
                </a:pPr>
                <a:endParaRPr lang="es-CR"/>
              </a:p>
            </c:txPr>
            <c:dLblPos val="t"/>
            <c:showVal val="1"/>
            <c:extLst xmlns:c16r2="http://schemas.microsoft.com/office/drawing/2015/06/chart">
              <c:ext xmlns:c15="http://schemas.microsoft.com/office/drawing/2012/chart" uri="{CE6537A1-D6FC-4f65-9D91-7224C49458BB}">
                <c15:showLeaderLines val="0"/>
              </c:ext>
            </c:extLst>
          </c:dLbls>
          <c:cat>
            <c:numRef>
              <c:f>Sheet1!$B$1:$P$1</c:f>
              <c:numCache>
                <c:formatCode>General</c:formatCode>
                <c:ptCount val="5"/>
                <c:pt idx="0">
                  <c:v>2011</c:v>
                </c:pt>
                <c:pt idx="1">
                  <c:v>2012</c:v>
                </c:pt>
                <c:pt idx="2">
                  <c:v>2013</c:v>
                </c:pt>
                <c:pt idx="3">
                  <c:v>2014</c:v>
                </c:pt>
                <c:pt idx="4">
                  <c:v>2015</c:v>
                </c:pt>
              </c:numCache>
            </c:numRef>
          </c:cat>
          <c:val>
            <c:numRef>
              <c:f>Sheet1!$B$2:$P$2</c:f>
              <c:numCache>
                <c:formatCode>0%</c:formatCode>
                <c:ptCount val="5"/>
                <c:pt idx="0">
                  <c:v>0.5</c:v>
                </c:pt>
                <c:pt idx="1">
                  <c:v>0.56000000000000005</c:v>
                </c:pt>
                <c:pt idx="2">
                  <c:v>0.56999999999999995</c:v>
                </c:pt>
                <c:pt idx="3">
                  <c:v>0.55000000000000004</c:v>
                </c:pt>
                <c:pt idx="4">
                  <c:v>0.56999999999999995</c:v>
                </c:pt>
              </c:numCache>
            </c:numRef>
          </c:val>
          <c:smooth val="1"/>
          <c:extLst xmlns:c16r2="http://schemas.microsoft.com/office/drawing/2015/06/chart">
            <c:ext xmlns:c16="http://schemas.microsoft.com/office/drawing/2014/chart" uri="{C3380CC4-5D6E-409C-BE32-E72D297353CC}">
              <c16:uniqueId val="{00000000-B789-46A5-9D68-18D4119FB251}"/>
            </c:ext>
          </c:extLst>
        </c:ser>
        <c:ser>
          <c:idx val="1"/>
          <c:order val="1"/>
          <c:tx>
            <c:strRef>
              <c:f>Sheet1!$A$3</c:f>
              <c:strCache>
                <c:ptCount val="1"/>
                <c:pt idx="0">
                  <c:v>% Resolución</c:v>
                </c:pt>
              </c:strCache>
            </c:strRef>
          </c:tx>
          <c:spPr>
            <a:ln w="25390">
              <a:solidFill>
                <a:srgbClr val="FF00FF"/>
              </a:solidFill>
              <a:prstDash val="solid"/>
            </a:ln>
          </c:spPr>
          <c:marker>
            <c:symbol val="square"/>
            <c:size val="4"/>
            <c:spPr>
              <a:solidFill>
                <a:srgbClr val="FF00FF"/>
              </a:solidFill>
              <a:ln>
                <a:solidFill>
                  <a:srgbClr val="FF00FF"/>
                </a:solidFill>
                <a:prstDash val="solid"/>
              </a:ln>
            </c:spPr>
          </c:marker>
          <c:dLbls>
            <c:spPr>
              <a:noFill/>
              <a:ln w="25390">
                <a:noFill/>
              </a:ln>
            </c:spPr>
            <c:txPr>
              <a:bodyPr/>
              <a:lstStyle/>
              <a:p>
                <a:pPr>
                  <a:defRPr lang="es-ES" sz="925" b="0" i="0" u="none" strike="noStrike" baseline="0">
                    <a:solidFill>
                      <a:srgbClr val="000000"/>
                    </a:solidFill>
                    <a:latin typeface="Times New Roman"/>
                    <a:ea typeface="Times New Roman"/>
                    <a:cs typeface="Times New Roman"/>
                  </a:defRPr>
                </a:pPr>
                <a:endParaRPr lang="es-CR"/>
              </a:p>
            </c:txPr>
            <c:dLblPos val="b"/>
            <c:showVal val="1"/>
            <c:extLst xmlns:c16r2="http://schemas.microsoft.com/office/drawing/2015/06/chart">
              <c:ext xmlns:c15="http://schemas.microsoft.com/office/drawing/2012/chart" uri="{CE6537A1-D6FC-4f65-9D91-7224C49458BB}">
                <c15:showLeaderLines val="0"/>
              </c:ext>
            </c:extLst>
          </c:dLbls>
          <c:cat>
            <c:numRef>
              <c:f>Sheet1!$B$1:$P$1</c:f>
              <c:numCache>
                <c:formatCode>General</c:formatCode>
                <c:ptCount val="5"/>
                <c:pt idx="0">
                  <c:v>2011</c:v>
                </c:pt>
                <c:pt idx="1">
                  <c:v>2012</c:v>
                </c:pt>
                <c:pt idx="2">
                  <c:v>2013</c:v>
                </c:pt>
                <c:pt idx="3">
                  <c:v>2014</c:v>
                </c:pt>
                <c:pt idx="4">
                  <c:v>2015</c:v>
                </c:pt>
              </c:numCache>
            </c:numRef>
          </c:cat>
          <c:val>
            <c:numRef>
              <c:f>Sheet1!$B$3:$P$3</c:f>
              <c:numCache>
                <c:formatCode>0%</c:formatCode>
                <c:ptCount val="5"/>
                <c:pt idx="0">
                  <c:v>0.4</c:v>
                </c:pt>
                <c:pt idx="1">
                  <c:v>0.34000000000000036</c:v>
                </c:pt>
                <c:pt idx="2">
                  <c:v>0.33000000000000163</c:v>
                </c:pt>
                <c:pt idx="3">
                  <c:v>0.34000000000000036</c:v>
                </c:pt>
                <c:pt idx="4">
                  <c:v>0.34000000000000036</c:v>
                </c:pt>
              </c:numCache>
            </c:numRef>
          </c:val>
          <c:smooth val="1"/>
          <c:extLst xmlns:c16r2="http://schemas.microsoft.com/office/drawing/2015/06/chart">
            <c:ext xmlns:c16="http://schemas.microsoft.com/office/drawing/2014/chart" uri="{C3380CC4-5D6E-409C-BE32-E72D297353CC}">
              <c16:uniqueId val="{00000001-B789-46A5-9D68-18D4119FB251}"/>
            </c:ext>
          </c:extLst>
        </c:ser>
        <c:ser>
          <c:idx val="2"/>
          <c:order val="2"/>
          <c:tx>
            <c:strRef>
              <c:f>Sheet1!$A$4</c:f>
              <c:strCache>
                <c:ptCount val="1"/>
                <c:pt idx="0">
                  <c:v>% Inactividad</c:v>
                </c:pt>
              </c:strCache>
            </c:strRef>
          </c:tx>
          <c:spPr>
            <a:ln w="25390">
              <a:solidFill>
                <a:srgbClr val="000000"/>
              </a:solidFill>
              <a:prstDash val="solid"/>
            </a:ln>
          </c:spPr>
          <c:marker>
            <c:symbol val="triangle"/>
            <c:size val="6"/>
            <c:spPr>
              <a:solidFill>
                <a:srgbClr val="000000"/>
              </a:solidFill>
              <a:ln>
                <a:solidFill>
                  <a:srgbClr val="000000"/>
                </a:solidFill>
                <a:prstDash val="solid"/>
              </a:ln>
            </c:spPr>
          </c:marker>
          <c:dLbls>
            <c:dLbl>
              <c:idx val="0"/>
              <c:layout>
                <c:manualLayout>
                  <c:x val="-2.1035470411399998E-2"/>
                  <c:y val="2.143307848740853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789-46A5-9D68-18D4119FB251}"/>
                </c:ext>
              </c:extLst>
            </c:dLbl>
            <c:dLbl>
              <c:idx val="1"/>
              <c:layout>
                <c:manualLayout>
                  <c:x val="-1.1511651213876517E-2"/>
                  <c:y val="2.179752018469226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789-46A5-9D68-18D4119FB251}"/>
                </c:ext>
              </c:extLst>
            </c:dLbl>
            <c:dLbl>
              <c:idx val="2"/>
              <c:layout>
                <c:manualLayout>
                  <c:x val="-6.7497367782588594E-3"/>
                  <c:y val="2.371098281542640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789-46A5-9D68-18D4119FB251}"/>
                </c:ext>
              </c:extLst>
            </c:dLbl>
            <c:dLbl>
              <c:idx val="3"/>
              <c:layout>
                <c:manualLayout>
                  <c:x val="-2.1035441390259646E-2"/>
                  <c:y val="1.459936550335303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789-46A5-9D68-18D4119FB251}"/>
                </c:ext>
              </c:extLst>
            </c:dLbl>
            <c:dLbl>
              <c:idx val="4"/>
              <c:layout>
                <c:manualLayout>
                  <c:x val="-9.9243206054352041E-3"/>
                  <c:y val="1.496380720063849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789-46A5-9D68-18D4119FB251}"/>
                </c:ext>
              </c:extLst>
            </c:dLbl>
            <c:spPr>
              <a:noFill/>
              <a:ln w="25390">
                <a:noFill/>
              </a:ln>
            </c:spPr>
            <c:txPr>
              <a:bodyPr/>
              <a:lstStyle/>
              <a:p>
                <a:pPr>
                  <a:defRPr lang="es-ES" sz="8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Sheet1!$B$1:$P$1</c:f>
              <c:numCache>
                <c:formatCode>General</c:formatCode>
                <c:ptCount val="5"/>
                <c:pt idx="0">
                  <c:v>2011</c:v>
                </c:pt>
                <c:pt idx="1">
                  <c:v>2012</c:v>
                </c:pt>
                <c:pt idx="2">
                  <c:v>2013</c:v>
                </c:pt>
                <c:pt idx="3">
                  <c:v>2014</c:v>
                </c:pt>
                <c:pt idx="4">
                  <c:v>2015</c:v>
                </c:pt>
              </c:numCache>
            </c:numRef>
          </c:cat>
          <c:val>
            <c:numRef>
              <c:f>Sheet1!$B$4:$P$4</c:f>
              <c:numCache>
                <c:formatCode>0%</c:formatCode>
                <c:ptCount val="5"/>
                <c:pt idx="0">
                  <c:v>0.11000000000000006</c:v>
                </c:pt>
                <c:pt idx="1">
                  <c:v>0.1</c:v>
                </c:pt>
                <c:pt idx="2">
                  <c:v>0.1</c:v>
                </c:pt>
                <c:pt idx="3">
                  <c:v>0.11000000000000006</c:v>
                </c:pt>
                <c:pt idx="4">
                  <c:v>9.0000000000000066E-2</c:v>
                </c:pt>
              </c:numCache>
            </c:numRef>
          </c:val>
          <c:extLst xmlns:c16r2="http://schemas.microsoft.com/office/drawing/2015/06/chart">
            <c:ext xmlns:c16="http://schemas.microsoft.com/office/drawing/2014/chart" uri="{C3380CC4-5D6E-409C-BE32-E72D297353CC}">
              <c16:uniqueId val="{00000007-B789-46A5-9D68-18D4119FB251}"/>
            </c:ext>
          </c:extLst>
        </c:ser>
        <c:dLbls>
          <c:showVal val="1"/>
        </c:dLbls>
        <c:marker val="1"/>
        <c:axId val="116162560"/>
        <c:axId val="116164480"/>
      </c:lineChart>
      <c:catAx>
        <c:axId val="116162560"/>
        <c:scaling>
          <c:orientation val="minMax"/>
        </c:scaling>
        <c:axPos val="b"/>
        <c:title>
          <c:tx>
            <c:rich>
              <a:bodyPr/>
              <a:lstStyle/>
              <a:p>
                <a:pPr>
                  <a:defRPr lang="es-ES" sz="800"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51904761904761909"/>
              <c:y val="0.84738041002277964"/>
            </c:manualLayout>
          </c:layout>
          <c:spPr>
            <a:noFill/>
            <a:ln w="25390">
              <a:noFill/>
            </a:ln>
          </c:spPr>
        </c:title>
        <c:numFmt formatCode="General" sourceLinked="1"/>
        <c:tickLblPos val="nextTo"/>
        <c:spPr>
          <a:ln w="3174">
            <a:solidFill>
              <a:srgbClr val="000000"/>
            </a:solidFill>
            <a:prstDash val="solid"/>
          </a:ln>
        </c:spPr>
        <c:txPr>
          <a:bodyPr rot="0" vert="horz"/>
          <a:lstStyle/>
          <a:p>
            <a:pPr>
              <a:defRPr lang="es-ES" sz="1000" b="1" i="0" u="none" strike="noStrike" baseline="0">
                <a:solidFill>
                  <a:srgbClr val="000000"/>
                </a:solidFill>
                <a:latin typeface="Times New Roman"/>
                <a:ea typeface="Times New Roman"/>
                <a:cs typeface="Times New Roman"/>
              </a:defRPr>
            </a:pPr>
            <a:endParaRPr lang="es-CR"/>
          </a:p>
        </c:txPr>
        <c:crossAx val="116164480"/>
        <c:crosses val="autoZero"/>
        <c:auto val="1"/>
        <c:lblAlgn val="ctr"/>
        <c:lblOffset val="100"/>
        <c:tickLblSkip val="1"/>
        <c:tickMarkSkip val="1"/>
      </c:catAx>
      <c:valAx>
        <c:axId val="116164480"/>
        <c:scaling>
          <c:orientation val="minMax"/>
          <c:max val="1"/>
        </c:scaling>
        <c:axPos val="l"/>
        <c:majorGridlines>
          <c:spPr>
            <a:ln w="3174">
              <a:solidFill>
                <a:srgbClr val="000000"/>
              </a:solidFill>
              <a:prstDash val="solid"/>
            </a:ln>
          </c:spPr>
        </c:majorGridlines>
        <c:title>
          <c:tx>
            <c:rich>
              <a:bodyPr rot="0" vert="wordArtVert"/>
              <a:lstStyle/>
              <a:p>
                <a:pPr algn="ctr">
                  <a:defRPr lang="es-ES" sz="925" b="1" i="0" u="none" strike="noStrike" baseline="0">
                    <a:solidFill>
                      <a:srgbClr val="000000"/>
                    </a:solidFill>
                    <a:latin typeface="Times New Roman"/>
                    <a:ea typeface="Times New Roman"/>
                    <a:cs typeface="Times New Roman"/>
                  </a:defRPr>
                </a:pPr>
                <a:r>
                  <a:rPr lang="es-CR"/>
                  <a:t>Porcentaje</a:t>
                </a:r>
              </a:p>
            </c:rich>
          </c:tx>
          <c:layout>
            <c:manualLayout>
              <c:xMode val="edge"/>
              <c:yMode val="edge"/>
              <c:x val="0"/>
              <c:y val="0.30296127562642583"/>
            </c:manualLayout>
          </c:layout>
          <c:spPr>
            <a:noFill/>
            <a:ln w="25390">
              <a:noFill/>
            </a:ln>
          </c:spPr>
        </c:title>
        <c:numFmt formatCode="0%" sourceLinked="1"/>
        <c:tickLblPos val="nextTo"/>
        <c:spPr>
          <a:ln w="12695">
            <a:solidFill>
              <a:srgbClr val="000000"/>
            </a:solidFill>
            <a:prstDash val="solid"/>
          </a:ln>
        </c:spPr>
        <c:txPr>
          <a:bodyPr rot="0" vert="horz"/>
          <a:lstStyle/>
          <a:p>
            <a:pPr>
              <a:defRPr lang="es-ES" sz="800" b="1" i="0" u="none" strike="noStrike" baseline="0">
                <a:solidFill>
                  <a:srgbClr val="000000"/>
                </a:solidFill>
                <a:latin typeface="Times New Roman"/>
                <a:ea typeface="Times New Roman"/>
                <a:cs typeface="Times New Roman"/>
              </a:defRPr>
            </a:pPr>
            <a:endParaRPr lang="es-CR"/>
          </a:p>
        </c:txPr>
        <c:crossAx val="116162560"/>
        <c:crosses val="autoZero"/>
        <c:crossBetween val="between"/>
        <c:majorUnit val="1"/>
        <c:minorUnit val="1"/>
      </c:valAx>
      <c:spPr>
        <a:gradFill rotWithShape="0">
          <a:gsLst>
            <a:gs pos="0">
              <a:srgbClr val="CCFFFF">
                <a:gamma/>
                <a:shade val="76078"/>
                <a:invGamma/>
              </a:srgbClr>
            </a:gs>
            <a:gs pos="100000">
              <a:srgbClr val="CCFFFF"/>
            </a:gs>
          </a:gsLst>
          <a:lin ang="0" scaled="1"/>
        </a:gradFill>
        <a:ln w="12695">
          <a:solidFill>
            <a:srgbClr val="808080"/>
          </a:solidFill>
          <a:prstDash val="solid"/>
        </a:ln>
      </c:spPr>
    </c:plotArea>
    <c:legend>
      <c:legendPos val="r"/>
      <c:layout>
        <c:manualLayout>
          <c:xMode val="edge"/>
          <c:yMode val="edge"/>
          <c:x val="0.15714285714285744"/>
          <c:y val="0.29157175398633262"/>
          <c:w val="0.70317460317460789"/>
          <c:h val="6.6059225512528491E-2"/>
        </c:manualLayout>
      </c:layout>
      <c:spPr>
        <a:solidFill>
          <a:srgbClr val="FFFFFF"/>
        </a:solidFill>
        <a:ln w="3174">
          <a:solidFill>
            <a:srgbClr val="000000"/>
          </a:solidFill>
          <a:prstDash val="solid"/>
        </a:ln>
        <a:effectLst>
          <a:outerShdw dist="35921" dir="2700000" algn="br">
            <a:srgbClr val="000000"/>
          </a:outerShdw>
        </a:effectLst>
      </c:spPr>
      <c:txPr>
        <a:bodyPr/>
        <a:lstStyle/>
        <a:p>
          <a:pPr>
            <a:defRPr lang="es-ES" sz="735" b="0" i="0" u="none" strike="noStrike" baseline="0">
              <a:solidFill>
                <a:srgbClr val="000000"/>
              </a:solidFill>
              <a:latin typeface="Times New Roman"/>
              <a:ea typeface="Times New Roman"/>
              <a:cs typeface="Times New Roman"/>
            </a:defRPr>
          </a:pPr>
          <a:endParaRPr lang="es-CR"/>
        </a:p>
      </c:txPr>
    </c:legend>
    <c:plotVisOnly val="1"/>
    <c:dispBlanksAs val="gap"/>
  </c:chart>
  <c:spPr>
    <a:gradFill rotWithShape="0">
      <a:gsLst>
        <a:gs pos="0">
          <a:srgbClr val="FFFFCC"/>
        </a:gs>
        <a:gs pos="50000">
          <a:srgbClr val="FFFFCC">
            <a:gamma/>
            <a:shade val="85882"/>
            <a:invGamma/>
          </a:srgbClr>
        </a:gs>
        <a:gs pos="100000">
          <a:srgbClr val="FFFFCC"/>
        </a:gs>
      </a:gsLst>
      <a:lin ang="2700000" scaled="1"/>
    </a:gradFill>
    <a:ln w="3174">
      <a:solidFill>
        <a:srgbClr val="000000"/>
      </a:solidFill>
      <a:prstDash val="solid"/>
    </a:ln>
    <a:effectLst>
      <a:outerShdw dist="35921" dir="2700000" algn="br">
        <a:srgbClr val="000000"/>
      </a:outerShdw>
    </a:effectLst>
  </c:spPr>
  <c:txPr>
    <a:bodyPr/>
    <a:lstStyle/>
    <a:p>
      <a:pPr>
        <a:defRPr sz="1449" b="1" i="0" u="none" strike="noStrike" baseline="0">
          <a:solidFill>
            <a:srgbClr val="000000"/>
          </a:solidFill>
          <a:latin typeface="Arial"/>
          <a:ea typeface="Arial"/>
          <a:cs typeface="Arial"/>
        </a:defRPr>
      </a:pPr>
      <a:endParaRPr lang="es-CR"/>
    </a:p>
  </c:txPr>
  <c:externalData r:id="rId2"/>
  <c:userShapes r:id="rId3"/>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title>
      <c:tx>
        <c:rich>
          <a:bodyPr/>
          <a:lstStyle/>
          <a:p>
            <a:pPr>
              <a:defRPr lang="es-ES" sz="1050" b="1" i="0" u="none" strike="noStrike" baseline="0">
                <a:solidFill>
                  <a:srgbClr val="000000"/>
                </a:solidFill>
                <a:latin typeface="Times New Roman"/>
                <a:ea typeface="Times New Roman"/>
                <a:cs typeface="Times New Roman"/>
              </a:defRPr>
            </a:pPr>
            <a:r>
              <a:rPr lang="es-CR"/>
              <a:t>Gráfico Nº 30
Número de casos pendientes al finalizar el año por 
Jueza o Juez según instancia desde 2011</a:t>
            </a:r>
          </a:p>
        </c:rich>
      </c:tx>
      <c:layout>
        <c:manualLayout>
          <c:xMode val="edge"/>
          <c:yMode val="edge"/>
          <c:x val="0.2253968253968254"/>
          <c:y val="2.0501138952164016E-2"/>
        </c:manualLayout>
      </c:layout>
      <c:spPr>
        <a:noFill/>
        <a:ln w="25390">
          <a:noFill/>
        </a:ln>
      </c:spPr>
    </c:title>
    <c:plotArea>
      <c:layout>
        <c:manualLayout>
          <c:layoutTarget val="inner"/>
          <c:xMode val="edge"/>
          <c:yMode val="edge"/>
          <c:x val="0.11269841269841258"/>
          <c:y val="0.29157175398633262"/>
          <c:w val="0.85555555555555562"/>
          <c:h val="0.5330296127562647"/>
        </c:manualLayout>
      </c:layout>
      <c:lineChart>
        <c:grouping val="standard"/>
        <c:ser>
          <c:idx val="0"/>
          <c:order val="0"/>
          <c:tx>
            <c:strRef>
              <c:f>Sheet1!$A$2</c:f>
              <c:strCache>
                <c:ptCount val="1"/>
                <c:pt idx="0">
                  <c:v>I Instancia</c:v>
                </c:pt>
              </c:strCache>
            </c:strRef>
          </c:tx>
          <c:spPr>
            <a:ln w="25390">
              <a:solidFill>
                <a:srgbClr val="0000FF"/>
              </a:solidFill>
              <a:prstDash val="solid"/>
            </a:ln>
          </c:spPr>
          <c:marker>
            <c:symbol val="diamond"/>
            <c:size val="4"/>
            <c:spPr>
              <a:solidFill>
                <a:srgbClr val="0000FF"/>
              </a:solidFill>
              <a:ln>
                <a:solidFill>
                  <a:srgbClr val="0000FF"/>
                </a:solidFill>
                <a:prstDash val="solid"/>
              </a:ln>
            </c:spPr>
          </c:marker>
          <c:dLbls>
            <c:dLbl>
              <c:idx val="5"/>
              <c:numFmt formatCode="0" sourceLinked="0"/>
              <c:spPr>
                <a:noFill/>
                <a:ln w="25390">
                  <a:noFill/>
                </a:ln>
              </c:spPr>
              <c:txPr>
                <a:bodyPr/>
                <a:lstStyle/>
                <a:p>
                  <a:pPr>
                    <a:defRPr lang="es-ES" sz="800" b="0" i="0" u="none" strike="noStrike" baseline="0">
                      <a:solidFill>
                        <a:srgbClr val="000000"/>
                      </a:solidFill>
                      <a:latin typeface="Times New Roman"/>
                      <a:ea typeface="Times New Roman"/>
                      <a:cs typeface="Times New Roman"/>
                    </a:defRPr>
                  </a:pPr>
                  <a:endParaRPr lang="es-CR"/>
                </a:p>
              </c:txPr>
            </c:dLbl>
            <c:dLbl>
              <c:idx val="6"/>
              <c:numFmt formatCode="0" sourceLinked="0"/>
              <c:spPr>
                <a:noFill/>
                <a:ln w="25390">
                  <a:noFill/>
                </a:ln>
              </c:spPr>
              <c:txPr>
                <a:bodyPr/>
                <a:lstStyle/>
                <a:p>
                  <a:pPr>
                    <a:defRPr lang="es-ES" sz="800" b="0" i="0" u="none" strike="noStrike" baseline="0">
                      <a:solidFill>
                        <a:srgbClr val="000000"/>
                      </a:solidFill>
                      <a:latin typeface="Times New Roman"/>
                      <a:ea typeface="Times New Roman"/>
                      <a:cs typeface="Times New Roman"/>
                    </a:defRPr>
                  </a:pPr>
                  <a:endParaRPr lang="es-CR"/>
                </a:p>
              </c:txPr>
            </c:dLbl>
            <c:dLbl>
              <c:idx val="7"/>
              <c:numFmt formatCode="0" sourceLinked="0"/>
              <c:spPr>
                <a:noFill/>
                <a:ln w="25390">
                  <a:noFill/>
                </a:ln>
              </c:spPr>
              <c:txPr>
                <a:bodyPr/>
                <a:lstStyle/>
                <a:p>
                  <a:pPr>
                    <a:defRPr lang="es-ES" sz="800" b="0" i="0" u="none" strike="noStrike" baseline="0">
                      <a:solidFill>
                        <a:srgbClr val="000000"/>
                      </a:solidFill>
                      <a:latin typeface="Times New Roman"/>
                      <a:ea typeface="Times New Roman"/>
                      <a:cs typeface="Times New Roman"/>
                    </a:defRPr>
                  </a:pPr>
                  <a:endParaRPr lang="es-CR"/>
                </a:p>
              </c:txPr>
            </c:dLbl>
            <c:dLbl>
              <c:idx val="8"/>
              <c:numFmt formatCode="0" sourceLinked="0"/>
              <c:spPr>
                <a:noFill/>
                <a:ln w="25390">
                  <a:noFill/>
                </a:ln>
              </c:spPr>
              <c:txPr>
                <a:bodyPr/>
                <a:lstStyle/>
                <a:p>
                  <a:pPr>
                    <a:defRPr lang="es-ES" sz="800" b="0" i="0" u="none" strike="noStrike" baseline="0">
                      <a:solidFill>
                        <a:srgbClr val="000000"/>
                      </a:solidFill>
                      <a:latin typeface="Times New Roman"/>
                      <a:ea typeface="Times New Roman"/>
                      <a:cs typeface="Times New Roman"/>
                    </a:defRPr>
                  </a:pPr>
                  <a:endParaRPr lang="es-CR"/>
                </a:p>
              </c:txPr>
            </c:dLbl>
            <c:dLbl>
              <c:idx val="9"/>
              <c:numFmt formatCode="0" sourceLinked="0"/>
              <c:spPr>
                <a:noFill/>
                <a:ln w="25390">
                  <a:noFill/>
                </a:ln>
              </c:spPr>
              <c:txPr>
                <a:bodyPr/>
                <a:lstStyle/>
                <a:p>
                  <a:pPr>
                    <a:defRPr lang="es-ES" sz="800" b="0" i="0" u="none" strike="noStrike" baseline="0">
                      <a:solidFill>
                        <a:srgbClr val="000000"/>
                      </a:solidFill>
                      <a:latin typeface="Times New Roman"/>
                      <a:ea typeface="Times New Roman"/>
                      <a:cs typeface="Times New Roman"/>
                    </a:defRPr>
                  </a:pPr>
                  <a:endParaRPr lang="es-CR"/>
                </a:p>
              </c:txPr>
            </c:dLbl>
            <c:numFmt formatCode="0" sourceLinked="0"/>
            <c:spPr>
              <a:noFill/>
              <a:ln w="25390">
                <a:noFill/>
              </a:ln>
            </c:spPr>
            <c:txPr>
              <a:bodyPr/>
              <a:lstStyle/>
              <a:p>
                <a:pPr>
                  <a:defRPr lang="es-ES" sz="1075" b="0" i="0" u="none" strike="noStrike" baseline="0">
                    <a:solidFill>
                      <a:srgbClr val="000000"/>
                    </a:solidFill>
                    <a:latin typeface="Times New Roman"/>
                    <a:ea typeface="Times New Roman"/>
                    <a:cs typeface="Times New Roman"/>
                  </a:defRPr>
                </a:pPr>
                <a:endParaRPr lang="es-CR"/>
              </a:p>
            </c:txPr>
            <c:dLblPos val="b"/>
            <c:showVal val="1"/>
            <c:extLst xmlns:c16r2="http://schemas.microsoft.com/office/drawing/2015/06/chart">
              <c:ext xmlns:c15="http://schemas.microsoft.com/office/drawing/2012/chart" uri="{CE6537A1-D6FC-4f65-9D91-7224C49458BB}">
                <c15:showLeaderLines val="0"/>
              </c:ext>
            </c:extLst>
          </c:dLbls>
          <c:cat>
            <c:numRef>
              <c:f>Sheet1!$B$1:$P$1</c:f>
              <c:numCache>
                <c:formatCode>General</c:formatCode>
                <c:ptCount val="5"/>
                <c:pt idx="0">
                  <c:v>2011</c:v>
                </c:pt>
                <c:pt idx="1">
                  <c:v>2012</c:v>
                </c:pt>
                <c:pt idx="2">
                  <c:v>2013</c:v>
                </c:pt>
                <c:pt idx="3">
                  <c:v>2014</c:v>
                </c:pt>
                <c:pt idx="4">
                  <c:v>2015</c:v>
                </c:pt>
              </c:numCache>
            </c:numRef>
          </c:cat>
          <c:val>
            <c:numRef>
              <c:f>Sheet1!$B$2:$P$2</c:f>
              <c:numCache>
                <c:formatCode>General</c:formatCode>
                <c:ptCount val="5"/>
                <c:pt idx="0">
                  <c:v>816</c:v>
                </c:pt>
                <c:pt idx="1">
                  <c:v>891</c:v>
                </c:pt>
                <c:pt idx="2">
                  <c:v>932</c:v>
                </c:pt>
                <c:pt idx="3">
                  <c:v>900</c:v>
                </c:pt>
                <c:pt idx="4">
                  <c:v>920</c:v>
                </c:pt>
              </c:numCache>
            </c:numRef>
          </c:val>
          <c:smooth val="1"/>
          <c:extLst xmlns:c16r2="http://schemas.microsoft.com/office/drawing/2015/06/chart">
            <c:ext xmlns:c16="http://schemas.microsoft.com/office/drawing/2014/chart" uri="{C3380CC4-5D6E-409C-BE32-E72D297353CC}">
              <c16:uniqueId val="{00000005-2B34-4477-85FE-3095C45C0C13}"/>
            </c:ext>
          </c:extLst>
        </c:ser>
        <c:ser>
          <c:idx val="1"/>
          <c:order val="1"/>
          <c:tx>
            <c:strRef>
              <c:f>Sheet1!$A$3</c:f>
              <c:strCache>
                <c:ptCount val="1"/>
                <c:pt idx="0">
                  <c:v>II Instancia</c:v>
                </c:pt>
              </c:strCache>
            </c:strRef>
          </c:tx>
          <c:spPr>
            <a:ln w="25390">
              <a:solidFill>
                <a:srgbClr val="FF00FF"/>
              </a:solidFill>
              <a:prstDash val="solid"/>
            </a:ln>
          </c:spPr>
          <c:marker>
            <c:symbol val="square"/>
            <c:size val="4"/>
            <c:spPr>
              <a:solidFill>
                <a:srgbClr val="FF00FF"/>
              </a:solidFill>
              <a:ln>
                <a:solidFill>
                  <a:srgbClr val="FF00FF"/>
                </a:solidFill>
                <a:prstDash val="solid"/>
              </a:ln>
            </c:spPr>
          </c:marker>
          <c:dLbls>
            <c:dLbl>
              <c:idx val="5"/>
              <c:spPr>
                <a:noFill/>
                <a:ln w="25390">
                  <a:noFill/>
                </a:ln>
              </c:spPr>
              <c:txPr>
                <a:bodyPr/>
                <a:lstStyle/>
                <a:p>
                  <a:pPr>
                    <a:defRPr lang="es-ES" sz="875" b="0" i="0" u="none" strike="noStrike" baseline="0">
                      <a:solidFill>
                        <a:srgbClr val="000000"/>
                      </a:solidFill>
                      <a:latin typeface="Times New Roman"/>
                      <a:ea typeface="Times New Roman"/>
                      <a:cs typeface="Times New Roman"/>
                    </a:defRPr>
                  </a:pPr>
                  <a:endParaRPr lang="es-CR"/>
                </a:p>
              </c:txPr>
            </c:dLbl>
            <c:dLbl>
              <c:idx val="6"/>
              <c:spPr>
                <a:noFill/>
                <a:ln w="25390">
                  <a:noFill/>
                </a:ln>
              </c:spPr>
              <c:txPr>
                <a:bodyPr/>
                <a:lstStyle/>
                <a:p>
                  <a:pPr>
                    <a:defRPr lang="es-ES" sz="875" b="0" i="0" u="none" strike="noStrike" baseline="0">
                      <a:solidFill>
                        <a:srgbClr val="000000"/>
                      </a:solidFill>
                      <a:latin typeface="Times New Roman"/>
                      <a:ea typeface="Times New Roman"/>
                      <a:cs typeface="Times New Roman"/>
                    </a:defRPr>
                  </a:pPr>
                  <a:endParaRPr lang="es-CR"/>
                </a:p>
              </c:txPr>
            </c:dLbl>
            <c:dLbl>
              <c:idx val="7"/>
              <c:spPr>
                <a:noFill/>
                <a:ln w="25390">
                  <a:noFill/>
                </a:ln>
              </c:spPr>
              <c:txPr>
                <a:bodyPr/>
                <a:lstStyle/>
                <a:p>
                  <a:pPr>
                    <a:defRPr lang="es-ES" sz="875" b="0" i="0" u="none" strike="noStrike" baseline="0">
                      <a:solidFill>
                        <a:srgbClr val="000000"/>
                      </a:solidFill>
                      <a:latin typeface="Times New Roman"/>
                      <a:ea typeface="Times New Roman"/>
                      <a:cs typeface="Times New Roman"/>
                    </a:defRPr>
                  </a:pPr>
                  <a:endParaRPr lang="es-CR"/>
                </a:p>
              </c:txPr>
            </c:dLbl>
            <c:dLbl>
              <c:idx val="8"/>
              <c:spPr>
                <a:noFill/>
                <a:ln w="25390">
                  <a:noFill/>
                </a:ln>
              </c:spPr>
              <c:txPr>
                <a:bodyPr/>
                <a:lstStyle/>
                <a:p>
                  <a:pPr>
                    <a:defRPr lang="es-ES" sz="875" b="0" i="0" u="none" strike="noStrike" baseline="0">
                      <a:solidFill>
                        <a:srgbClr val="000000"/>
                      </a:solidFill>
                      <a:latin typeface="Times New Roman"/>
                      <a:ea typeface="Times New Roman"/>
                      <a:cs typeface="Times New Roman"/>
                    </a:defRPr>
                  </a:pPr>
                  <a:endParaRPr lang="es-CR"/>
                </a:p>
              </c:txPr>
            </c:dLbl>
            <c:dLbl>
              <c:idx val="9"/>
              <c:spPr>
                <a:noFill/>
                <a:ln w="25390">
                  <a:noFill/>
                </a:ln>
              </c:spPr>
              <c:txPr>
                <a:bodyPr/>
                <a:lstStyle/>
                <a:p>
                  <a:pPr>
                    <a:defRPr lang="es-ES" sz="875" b="0" i="0" u="none" strike="noStrike" baseline="0">
                      <a:solidFill>
                        <a:srgbClr val="000000"/>
                      </a:solidFill>
                      <a:latin typeface="Times New Roman"/>
                      <a:ea typeface="Times New Roman"/>
                      <a:cs typeface="Times New Roman"/>
                    </a:defRPr>
                  </a:pPr>
                  <a:endParaRPr lang="es-CR"/>
                </a:p>
              </c:txPr>
            </c:dLbl>
            <c:spPr>
              <a:noFill/>
              <a:ln w="25390">
                <a:noFill/>
              </a:ln>
            </c:spPr>
            <c:txPr>
              <a:bodyPr/>
              <a:lstStyle/>
              <a:p>
                <a:pPr>
                  <a:defRPr lang="es-ES" sz="1075" b="0" i="0" u="none" strike="noStrike" baseline="0">
                    <a:solidFill>
                      <a:srgbClr val="000000"/>
                    </a:solidFill>
                    <a:latin typeface="Times New Roman"/>
                    <a:ea typeface="Times New Roman"/>
                    <a:cs typeface="Times New Roman"/>
                  </a:defRPr>
                </a:pPr>
                <a:endParaRPr lang="es-CR"/>
              </a:p>
            </c:txPr>
            <c:dLblPos val="t"/>
            <c:showVal val="1"/>
            <c:extLst xmlns:c16r2="http://schemas.microsoft.com/office/drawing/2015/06/chart">
              <c:ext xmlns:c15="http://schemas.microsoft.com/office/drawing/2012/chart" uri="{CE6537A1-D6FC-4f65-9D91-7224C49458BB}">
                <c15:showLeaderLines val="0"/>
              </c:ext>
            </c:extLst>
          </c:dLbls>
          <c:cat>
            <c:numRef>
              <c:f>Sheet1!$B$1:$P$1</c:f>
              <c:numCache>
                <c:formatCode>General</c:formatCode>
                <c:ptCount val="5"/>
                <c:pt idx="0">
                  <c:v>2011</c:v>
                </c:pt>
                <c:pt idx="1">
                  <c:v>2012</c:v>
                </c:pt>
                <c:pt idx="2">
                  <c:v>2013</c:v>
                </c:pt>
                <c:pt idx="3">
                  <c:v>2014</c:v>
                </c:pt>
                <c:pt idx="4">
                  <c:v>2015</c:v>
                </c:pt>
              </c:numCache>
            </c:numRef>
          </c:cat>
          <c:val>
            <c:numRef>
              <c:f>Sheet1!$B$3:$P$3</c:f>
              <c:numCache>
                <c:formatCode>General</c:formatCode>
                <c:ptCount val="5"/>
                <c:pt idx="0">
                  <c:v>72</c:v>
                </c:pt>
                <c:pt idx="1">
                  <c:v>59</c:v>
                </c:pt>
                <c:pt idx="2">
                  <c:v>51</c:v>
                </c:pt>
                <c:pt idx="3">
                  <c:v>57</c:v>
                </c:pt>
                <c:pt idx="4">
                  <c:v>60</c:v>
                </c:pt>
              </c:numCache>
            </c:numRef>
          </c:val>
          <c:smooth val="1"/>
          <c:extLst xmlns:c16r2="http://schemas.microsoft.com/office/drawing/2015/06/chart">
            <c:ext xmlns:c16="http://schemas.microsoft.com/office/drawing/2014/chart" uri="{C3380CC4-5D6E-409C-BE32-E72D297353CC}">
              <c16:uniqueId val="{0000000B-2B34-4477-85FE-3095C45C0C13}"/>
            </c:ext>
          </c:extLst>
        </c:ser>
        <c:dLbls>
          <c:showVal val="1"/>
        </c:dLbls>
        <c:marker val="1"/>
        <c:axId val="116137344"/>
        <c:axId val="116278784"/>
      </c:lineChart>
      <c:catAx>
        <c:axId val="116137344"/>
        <c:scaling>
          <c:orientation val="minMax"/>
        </c:scaling>
        <c:axPos val="b"/>
        <c:title>
          <c:tx>
            <c:rich>
              <a:bodyPr/>
              <a:lstStyle/>
              <a:p>
                <a:pPr>
                  <a:defRPr lang="es-ES" sz="800"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51587301587301593"/>
              <c:y val="0.92938496583142904"/>
            </c:manualLayout>
          </c:layout>
          <c:spPr>
            <a:noFill/>
            <a:ln w="25390">
              <a:noFill/>
            </a:ln>
          </c:spPr>
        </c:title>
        <c:numFmt formatCode="General" sourceLinked="1"/>
        <c:tickLblPos val="nextTo"/>
        <c:spPr>
          <a:ln w="3174">
            <a:solidFill>
              <a:srgbClr val="000000"/>
            </a:solidFill>
            <a:prstDash val="solid"/>
          </a:ln>
        </c:spPr>
        <c:txPr>
          <a:bodyPr rot="0" vert="horz"/>
          <a:lstStyle/>
          <a:p>
            <a:pPr>
              <a:defRPr lang="es-ES" sz="1075" b="1" i="0" u="none" strike="noStrike" baseline="0">
                <a:solidFill>
                  <a:srgbClr val="000000"/>
                </a:solidFill>
                <a:latin typeface="Times New Roman"/>
                <a:ea typeface="Times New Roman"/>
                <a:cs typeface="Times New Roman"/>
              </a:defRPr>
            </a:pPr>
            <a:endParaRPr lang="es-CR"/>
          </a:p>
        </c:txPr>
        <c:crossAx val="116278784"/>
        <c:crosses val="autoZero"/>
        <c:auto val="1"/>
        <c:lblAlgn val="ctr"/>
        <c:lblOffset val="100"/>
        <c:tickLblSkip val="1"/>
        <c:tickMarkSkip val="1"/>
      </c:catAx>
      <c:valAx>
        <c:axId val="116278784"/>
        <c:scaling>
          <c:orientation val="minMax"/>
          <c:max val="1000"/>
        </c:scaling>
        <c:axPos val="l"/>
        <c:majorGridlines>
          <c:spPr>
            <a:ln w="3174">
              <a:solidFill>
                <a:srgbClr val="000000"/>
              </a:solidFill>
              <a:prstDash val="solid"/>
            </a:ln>
          </c:spPr>
        </c:majorGridlines>
        <c:title>
          <c:tx>
            <c:rich>
              <a:bodyPr rot="0" vert="wordArtVert"/>
              <a:lstStyle/>
              <a:p>
                <a:pPr algn="ctr">
                  <a:defRPr lang="es-ES" sz="800" b="1" i="0" u="none" strike="noStrike" baseline="0">
                    <a:solidFill>
                      <a:srgbClr val="000000"/>
                    </a:solidFill>
                    <a:latin typeface="Times New Roman"/>
                    <a:ea typeface="Times New Roman"/>
                    <a:cs typeface="Times New Roman"/>
                  </a:defRPr>
                </a:pPr>
                <a:r>
                  <a:rPr lang="es-CR" sz="800"/>
                  <a:t>CASOS</a:t>
                </a:r>
              </a:p>
            </c:rich>
          </c:tx>
          <c:layout>
            <c:manualLayout>
              <c:xMode val="edge"/>
              <c:yMode val="edge"/>
              <c:x val="1.5479876160990712E-2"/>
              <c:y val="0.43074096507167453"/>
            </c:manualLayout>
          </c:layout>
          <c:spPr>
            <a:noFill/>
            <a:ln w="25390">
              <a:noFill/>
            </a:ln>
          </c:spPr>
        </c:title>
        <c:numFmt formatCode="General" sourceLinked="1"/>
        <c:tickLblPos val="nextTo"/>
        <c:spPr>
          <a:ln w="12695">
            <a:solidFill>
              <a:srgbClr val="000000"/>
            </a:solidFill>
            <a:prstDash val="solid"/>
          </a:ln>
        </c:spPr>
        <c:txPr>
          <a:bodyPr rot="0" vert="horz"/>
          <a:lstStyle/>
          <a:p>
            <a:pPr>
              <a:defRPr lang="es-ES" sz="1075" b="1" i="0" u="none" strike="noStrike" baseline="0">
                <a:solidFill>
                  <a:srgbClr val="000000"/>
                </a:solidFill>
                <a:latin typeface="Times New Roman"/>
                <a:ea typeface="Times New Roman"/>
                <a:cs typeface="Times New Roman"/>
              </a:defRPr>
            </a:pPr>
            <a:endParaRPr lang="es-CR"/>
          </a:p>
        </c:txPr>
        <c:crossAx val="116137344"/>
        <c:crosses val="autoZero"/>
        <c:crossBetween val="between"/>
        <c:majorUnit val="1000"/>
        <c:minorUnit val="200"/>
      </c:valAx>
      <c:spPr>
        <a:gradFill rotWithShape="0">
          <a:gsLst>
            <a:gs pos="0">
              <a:srgbClr val="CCFFFF">
                <a:gamma/>
                <a:shade val="76078"/>
                <a:invGamma/>
              </a:srgbClr>
            </a:gs>
            <a:gs pos="100000">
              <a:srgbClr val="CCFFFF"/>
            </a:gs>
          </a:gsLst>
          <a:lin ang="0" scaled="1"/>
        </a:gradFill>
        <a:ln w="12695">
          <a:solidFill>
            <a:srgbClr val="808080"/>
          </a:solidFill>
          <a:prstDash val="solid"/>
        </a:ln>
      </c:spPr>
    </c:plotArea>
    <c:legend>
      <c:legendPos val="r"/>
      <c:layout>
        <c:manualLayout>
          <c:xMode val="edge"/>
          <c:yMode val="edge"/>
          <c:x val="0.45555555555555555"/>
          <c:y val="0.5353075170842827"/>
          <c:w val="0.37619047619047891"/>
          <c:h val="6.6059225512528477E-2"/>
        </c:manualLayout>
      </c:layout>
      <c:spPr>
        <a:solidFill>
          <a:srgbClr val="FFFFFF"/>
        </a:solidFill>
        <a:ln w="3174">
          <a:solidFill>
            <a:srgbClr val="000000"/>
          </a:solidFill>
          <a:prstDash val="solid"/>
        </a:ln>
        <a:effectLst>
          <a:outerShdw dist="35921" dir="2700000" algn="br">
            <a:srgbClr val="000000"/>
          </a:outerShdw>
        </a:effectLst>
      </c:spPr>
      <c:txPr>
        <a:bodyPr/>
        <a:lstStyle/>
        <a:p>
          <a:pPr>
            <a:defRPr lang="es-ES" sz="800" b="0" i="0" u="none" strike="noStrike" baseline="0">
              <a:solidFill>
                <a:srgbClr val="000000"/>
              </a:solidFill>
              <a:latin typeface="Times New Roman"/>
              <a:ea typeface="Times New Roman"/>
              <a:cs typeface="Times New Roman"/>
            </a:defRPr>
          </a:pPr>
          <a:endParaRPr lang="es-CR"/>
        </a:p>
      </c:txPr>
    </c:legend>
    <c:plotVisOnly val="1"/>
    <c:dispBlanksAs val="gap"/>
  </c:chart>
  <c:spPr>
    <a:gradFill rotWithShape="0">
      <a:gsLst>
        <a:gs pos="0">
          <a:srgbClr val="FFFFCC"/>
        </a:gs>
        <a:gs pos="50000">
          <a:srgbClr val="FFFFCC">
            <a:gamma/>
            <a:shade val="85882"/>
            <a:invGamma/>
          </a:srgbClr>
        </a:gs>
        <a:gs pos="100000">
          <a:srgbClr val="FFFFCC"/>
        </a:gs>
      </a:gsLst>
      <a:lin ang="2700000" scaled="1"/>
    </a:gradFill>
    <a:ln w="3174">
      <a:solidFill>
        <a:srgbClr val="000000"/>
      </a:solidFill>
      <a:prstDash val="solid"/>
    </a:ln>
    <a:effectLst>
      <a:outerShdw dist="35921" dir="2700000" algn="br">
        <a:srgbClr val="000000"/>
      </a:outerShdw>
    </a:effectLst>
  </c:spPr>
  <c:txPr>
    <a:bodyPr/>
    <a:lstStyle/>
    <a:p>
      <a:pPr>
        <a:defRPr sz="1449" b="1" i="0" u="none" strike="noStrike" baseline="0">
          <a:solidFill>
            <a:srgbClr val="000000"/>
          </a:solidFill>
          <a:latin typeface="Arial"/>
          <a:ea typeface="Arial"/>
          <a:cs typeface="Arial"/>
        </a:defRPr>
      </a:pPr>
      <a:endParaRPr lang="es-CR"/>
    </a:p>
  </c:txPr>
  <c:externalData r:id="rId2"/>
  <c:userShapes r:id="rId3"/>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title>
      <c:tx>
        <c:rich>
          <a:bodyPr/>
          <a:lstStyle/>
          <a:p>
            <a:pPr>
              <a:defRPr lang="es-ES" sz="900" b="1" i="0" u="none" strike="noStrike" baseline="0">
                <a:solidFill>
                  <a:srgbClr val="000000"/>
                </a:solidFill>
                <a:latin typeface="Times New Roman" pitchFamily="18" charset="0"/>
                <a:ea typeface="Times New Roman"/>
                <a:cs typeface="Times New Roman" pitchFamily="18" charset="0"/>
              </a:defRPr>
            </a:pPr>
            <a:r>
              <a:rPr lang="es-CR" sz="900" b="1" i="0" u="none" strike="noStrike" baseline="0">
                <a:solidFill>
                  <a:srgbClr val="000000"/>
                </a:solidFill>
                <a:latin typeface="Times New Roman" pitchFamily="18" charset="0"/>
                <a:cs typeface="Times New Roman" pitchFamily="18" charset="0"/>
              </a:rPr>
              <a:t>Gráfico Nº 31</a:t>
            </a:r>
          </a:p>
          <a:p>
            <a:pPr>
              <a:defRPr lang="es-ES" sz="900" b="1" i="0" u="none" strike="noStrike" baseline="0">
                <a:solidFill>
                  <a:srgbClr val="000000"/>
                </a:solidFill>
                <a:latin typeface="Times New Roman" pitchFamily="18" charset="0"/>
                <a:ea typeface="Times New Roman"/>
                <a:cs typeface="Times New Roman" pitchFamily="18" charset="0"/>
              </a:defRPr>
            </a:pPr>
            <a:r>
              <a:rPr lang="es-CR" sz="900" b="1" i="0" u="none" strike="noStrike" baseline="0">
                <a:solidFill>
                  <a:srgbClr val="000000"/>
                </a:solidFill>
                <a:latin typeface="Times New Roman" pitchFamily="18" charset="0"/>
                <a:cs typeface="Times New Roman" pitchFamily="18" charset="0"/>
              </a:rPr>
              <a:t>Cálculo anual de la duración promedio (en meses) de lo fallado con sentencia en materia laboral en primera instancia desde el 2010</a:t>
            </a:r>
          </a:p>
        </c:rich>
      </c:tx>
      <c:layout>
        <c:manualLayout>
          <c:xMode val="edge"/>
          <c:yMode val="edge"/>
          <c:x val="0.13887982678082506"/>
          <c:y val="1.909316305549778E-2"/>
        </c:manualLayout>
      </c:layout>
      <c:spPr>
        <a:noFill/>
        <a:ln w="25391">
          <a:noFill/>
        </a:ln>
      </c:spPr>
    </c:title>
    <c:plotArea>
      <c:layout>
        <c:manualLayout>
          <c:layoutTarget val="inner"/>
          <c:xMode val="edge"/>
          <c:yMode val="edge"/>
          <c:x val="0.11691293161094585"/>
          <c:y val="0.2311976252714302"/>
          <c:w val="0.81935483870967762"/>
          <c:h val="0.56253571647436262"/>
        </c:manualLayout>
      </c:layout>
      <c:lineChart>
        <c:grouping val="standard"/>
        <c:ser>
          <c:idx val="0"/>
          <c:order val="0"/>
          <c:tx>
            <c:strRef>
              <c:f>Sheet1!$A$2</c:f>
              <c:strCache>
                <c:ptCount val="1"/>
                <c:pt idx="0">
                  <c:v>Mayor Cuantía</c:v>
                </c:pt>
              </c:strCache>
            </c:strRef>
          </c:tx>
          <c:spPr>
            <a:ln w="12695">
              <a:solidFill>
                <a:srgbClr val="000000"/>
              </a:solidFill>
              <a:prstDash val="solid"/>
            </a:ln>
          </c:spPr>
          <c:marker>
            <c:symbol val="diamond"/>
            <c:size val="4"/>
            <c:spPr>
              <a:solidFill>
                <a:srgbClr val="000000"/>
              </a:solidFill>
              <a:ln>
                <a:solidFill>
                  <a:srgbClr val="000000"/>
                </a:solidFill>
                <a:prstDash val="solid"/>
              </a:ln>
            </c:spPr>
          </c:marker>
          <c:dLbls>
            <c:dLbl>
              <c:idx val="0"/>
              <c:layout>
                <c:manualLayout>
                  <c:x val="-5.5124889658046114E-2"/>
                  <c:y val="-4.4102619525096962E-2"/>
                </c:manualLayout>
              </c:layout>
              <c:tx>
                <c:rich>
                  <a:bodyPr/>
                  <a:lstStyle/>
                  <a:p>
                    <a:pPr>
                      <a:defRPr lang="es-ES" sz="900" b="1" i="0" u="none" strike="noStrike" baseline="0">
                        <a:solidFill>
                          <a:srgbClr val="000000"/>
                        </a:solidFill>
                        <a:latin typeface="Times New Roman"/>
                        <a:ea typeface="Times New Roman"/>
                        <a:cs typeface="Times New Roman"/>
                      </a:defRPr>
                    </a:pPr>
                    <a:r>
                      <a:rPr lang="en-US" sz="900" b="1" i="0" baseline="0"/>
                      <a:t>21 meses</a:t>
                    </a:r>
                    <a:endParaRPr lang="en-US" sz="900"/>
                  </a:p>
                </c:rich>
              </c:tx>
              <c:spPr>
                <a:noFill/>
                <a:ln w="25391">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F14-4A5A-BFE1-DE701054B9D8}"/>
                </c:ext>
              </c:extLst>
            </c:dLbl>
            <c:dLbl>
              <c:idx val="1"/>
              <c:layout>
                <c:manualLayout>
                  <c:x val="-5.5808431523432199E-2"/>
                  <c:y val="-4.3821265026579244E-2"/>
                </c:manualLayout>
              </c:layout>
              <c:tx>
                <c:rich>
                  <a:bodyPr/>
                  <a:lstStyle/>
                  <a:p>
                    <a:pPr>
                      <a:defRPr lang="es-ES" sz="900" b="1" i="0" u="none" strike="noStrike" baseline="0">
                        <a:solidFill>
                          <a:srgbClr val="000000"/>
                        </a:solidFill>
                        <a:latin typeface="Times New Roman"/>
                        <a:ea typeface="Times New Roman"/>
                        <a:cs typeface="Times New Roman"/>
                      </a:defRPr>
                    </a:pPr>
                    <a:r>
                      <a:rPr lang="en-US" sz="900" b="1"/>
                      <a:t>21 meses</a:t>
                    </a:r>
                  </a:p>
                </c:rich>
              </c:tx>
              <c:spPr>
                <a:noFill/>
                <a:ln w="25391">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F14-4A5A-BFE1-DE701054B9D8}"/>
                </c:ext>
              </c:extLst>
            </c:dLbl>
            <c:dLbl>
              <c:idx val="2"/>
              <c:layout>
                <c:manualLayout>
                  <c:x val="-5.9422572830867923E-2"/>
                  <c:y val="-5.864882822794662E-2"/>
                </c:manualLayout>
              </c:layout>
              <c:tx>
                <c:rich>
                  <a:bodyPr/>
                  <a:lstStyle/>
                  <a:p>
                    <a:pPr>
                      <a:defRPr lang="es-ES" sz="900" b="1" i="0" u="none" strike="noStrike" baseline="0">
                        <a:solidFill>
                          <a:srgbClr val="000000"/>
                        </a:solidFill>
                        <a:latin typeface="Times New Roman"/>
                        <a:ea typeface="Times New Roman"/>
                        <a:cs typeface="Times New Roman"/>
                      </a:defRPr>
                    </a:pPr>
                    <a:r>
                      <a:rPr lang="en-US" sz="900" b="1" i="0" baseline="0"/>
                      <a:t>24 meses</a:t>
                    </a:r>
                    <a:br>
                      <a:rPr lang="en-US" sz="900" b="1" i="0" baseline="0"/>
                    </a:br>
                    <a:r>
                      <a:rPr lang="en-US" sz="900" b="1" i="0" baseline="0"/>
                      <a:t>2 semanas</a:t>
                    </a:r>
                    <a:endParaRPr lang="en-US" sz="900"/>
                  </a:p>
                </c:rich>
              </c:tx>
              <c:spPr>
                <a:noFill/>
                <a:ln w="25391">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F14-4A5A-BFE1-DE701054B9D8}"/>
                </c:ext>
              </c:extLst>
            </c:dLbl>
            <c:dLbl>
              <c:idx val="3"/>
              <c:layout>
                <c:manualLayout>
                  <c:x val="-5.4722532060012131E-2"/>
                  <c:y val="-6.6659280607943031E-2"/>
                </c:manualLayout>
              </c:layout>
              <c:tx>
                <c:rich>
                  <a:bodyPr/>
                  <a:lstStyle/>
                  <a:p>
                    <a:pPr>
                      <a:defRPr lang="es-ES" sz="900" b="1" i="0" u="none" strike="noStrike" baseline="0">
                        <a:solidFill>
                          <a:srgbClr val="000000"/>
                        </a:solidFill>
                        <a:latin typeface="Times New Roman"/>
                        <a:ea typeface="Times New Roman"/>
                        <a:cs typeface="Times New Roman"/>
                      </a:defRPr>
                    </a:pPr>
                    <a:r>
                      <a:rPr lang="en-US" sz="900" b="1" i="0" baseline="0"/>
                      <a:t>23 meses</a:t>
                    </a:r>
                    <a:br>
                      <a:rPr lang="en-US" sz="900" b="1" i="0" baseline="0"/>
                    </a:br>
                    <a:r>
                      <a:rPr lang="en-US" sz="900" b="1" i="0" baseline="0"/>
                      <a:t>2 semanas</a:t>
                    </a:r>
                    <a:endParaRPr lang="en-US" sz="900"/>
                  </a:p>
                </c:rich>
              </c:tx>
              <c:spPr>
                <a:noFill/>
                <a:ln w="25391">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F14-4A5A-BFE1-DE701054B9D8}"/>
                </c:ext>
              </c:extLst>
            </c:dLbl>
            <c:dLbl>
              <c:idx val="4"/>
              <c:layout>
                <c:manualLayout>
                  <c:x val="-4.8419219584770495E-2"/>
                  <c:y val="-7.3819102482159241E-2"/>
                </c:manualLayout>
              </c:layout>
              <c:tx>
                <c:rich>
                  <a:bodyPr/>
                  <a:lstStyle/>
                  <a:p>
                    <a:pPr>
                      <a:defRPr lang="es-ES" sz="900" b="1" i="0" u="none" strike="noStrike" baseline="0">
                        <a:solidFill>
                          <a:srgbClr val="000000"/>
                        </a:solidFill>
                        <a:latin typeface="Times New Roman"/>
                        <a:ea typeface="Times New Roman"/>
                        <a:cs typeface="Times New Roman"/>
                      </a:defRPr>
                    </a:pPr>
                    <a:r>
                      <a:rPr lang="en-US" sz="900" b="1"/>
                      <a:t>22 meses
2 semanas</a:t>
                    </a:r>
                  </a:p>
                </c:rich>
              </c:tx>
              <c:spPr>
                <a:noFill/>
                <a:ln w="25391">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F14-4A5A-BFE1-DE701054B9D8}"/>
                </c:ext>
              </c:extLst>
            </c:dLbl>
            <c:dLbl>
              <c:idx val="5"/>
              <c:layout>
                <c:manualLayout>
                  <c:x val="0.44105095809061112"/>
                  <c:y val="-4.696727487617852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F14-4A5A-BFE1-DE701054B9D8}"/>
                </c:ext>
              </c:extLst>
            </c:dLbl>
            <c:dLbl>
              <c:idx val="6"/>
              <c:layout>
                <c:manualLayout>
                  <c:x val="0.14771765504782741"/>
                  <c:y val="-5.208377345107280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F14-4A5A-BFE1-DE701054B9D8}"/>
                </c:ext>
              </c:extLst>
            </c:dLbl>
            <c:dLbl>
              <c:idx val="7"/>
              <c:layout>
                <c:manualLayout>
                  <c:x val="9.148095358700796E-2"/>
                  <c:y val="-3.3281684934499359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F14-4A5A-BFE1-DE701054B9D8}"/>
                </c:ext>
              </c:extLst>
            </c:dLbl>
            <c:dLbl>
              <c:idx val="8"/>
              <c:layout>
                <c:manualLayout>
                  <c:x val="4.3308940866801794E-2"/>
                  <c:y val="-3.284550145344260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F14-4A5A-BFE1-DE701054B9D8}"/>
                </c:ext>
              </c:extLst>
            </c:dLbl>
            <c:dLbl>
              <c:idx val="9"/>
              <c:layout>
                <c:manualLayout>
                  <c:x val="-1.6372654017868637E-3"/>
                  <c:y val="-6.260361806417556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F14-4A5A-BFE1-DE701054B9D8}"/>
                </c:ext>
              </c:extLst>
            </c:dLbl>
            <c:numFmt formatCode="0.0" sourceLinked="0"/>
            <c:spPr>
              <a:noFill/>
              <a:ln w="25391">
                <a:noFill/>
              </a:ln>
            </c:spPr>
            <c:txPr>
              <a:bodyPr/>
              <a:lstStyle/>
              <a:p>
                <a:pPr>
                  <a:defRPr lang="es-ES" sz="900" b="1"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Sheet1!$B$1:$P$1</c:f>
              <c:numCache>
                <c:formatCode>General</c:formatCode>
                <c:ptCount val="5"/>
                <c:pt idx="0">
                  <c:v>2011</c:v>
                </c:pt>
                <c:pt idx="1">
                  <c:v>2012</c:v>
                </c:pt>
                <c:pt idx="2">
                  <c:v>2013</c:v>
                </c:pt>
                <c:pt idx="3">
                  <c:v>2014</c:v>
                </c:pt>
                <c:pt idx="4">
                  <c:v>2015</c:v>
                </c:pt>
              </c:numCache>
            </c:numRef>
          </c:cat>
          <c:val>
            <c:numRef>
              <c:f>Sheet1!$B$2:$P$2</c:f>
              <c:numCache>
                <c:formatCode>General</c:formatCode>
                <c:ptCount val="5"/>
                <c:pt idx="0">
                  <c:v>21</c:v>
                </c:pt>
                <c:pt idx="1">
                  <c:v>21</c:v>
                </c:pt>
                <c:pt idx="2">
                  <c:v>24.2</c:v>
                </c:pt>
                <c:pt idx="3">
                  <c:v>23.2</c:v>
                </c:pt>
                <c:pt idx="4">
                  <c:v>22.2</c:v>
                </c:pt>
              </c:numCache>
            </c:numRef>
          </c:val>
          <c:smooth val="1"/>
          <c:extLst xmlns:c16r2="http://schemas.microsoft.com/office/drawing/2015/06/chart">
            <c:ext xmlns:c16="http://schemas.microsoft.com/office/drawing/2014/chart" uri="{C3380CC4-5D6E-409C-BE32-E72D297353CC}">
              <c16:uniqueId val="{0000000A-EF14-4A5A-BFE1-DE701054B9D8}"/>
            </c:ext>
          </c:extLst>
        </c:ser>
        <c:ser>
          <c:idx val="2"/>
          <c:order val="1"/>
          <c:tx>
            <c:strRef>
              <c:f>Sheet1!$A$4</c:f>
              <c:strCache>
                <c:ptCount val="1"/>
                <c:pt idx="0">
                  <c:v>Menor Cuantía</c:v>
                </c:pt>
              </c:strCache>
            </c:strRef>
          </c:tx>
          <c:spPr>
            <a:ln w="12695">
              <a:solidFill>
                <a:srgbClr val="0000FF"/>
              </a:solidFill>
              <a:prstDash val="solid"/>
            </a:ln>
          </c:spPr>
          <c:marker>
            <c:symbol val="triangle"/>
            <c:size val="4"/>
            <c:spPr>
              <a:solidFill>
                <a:srgbClr val="0000FF"/>
              </a:solidFill>
              <a:ln>
                <a:solidFill>
                  <a:srgbClr val="0000FF"/>
                </a:solidFill>
                <a:prstDash val="solid"/>
              </a:ln>
            </c:spPr>
          </c:marker>
          <c:dLbls>
            <c:dLbl>
              <c:idx val="0"/>
              <c:layout>
                <c:manualLayout>
                  <c:x val="-4.6651220294054288E-2"/>
                  <c:y val="4.749524591871893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F14-4A5A-BFE1-DE701054B9D8}"/>
                </c:ext>
              </c:extLst>
            </c:dLbl>
            <c:dLbl>
              <c:idx val="1"/>
              <c:layout>
                <c:manualLayout>
                  <c:x val="-4.923183483683552E-2"/>
                  <c:y val="4.033507857851479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F14-4A5A-BFE1-DE701054B9D8}"/>
                </c:ext>
              </c:extLst>
            </c:dLbl>
            <c:dLbl>
              <c:idx val="2"/>
              <c:layout>
                <c:manualLayout>
                  <c:x val="-4.5360836476389374E-2"/>
                  <c:y val="3.556180888877681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F14-4A5A-BFE1-DE701054B9D8}"/>
                </c:ext>
              </c:extLst>
            </c:dLbl>
            <c:dLbl>
              <c:idx val="3"/>
              <c:layout>
                <c:manualLayout>
                  <c:x val="-4.1489838115944568E-2"/>
                  <c:y val="3.3175174043907449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EF14-4A5A-BFE1-DE701054B9D8}"/>
                </c:ext>
              </c:extLst>
            </c:dLbl>
            <c:dLbl>
              <c:idx val="4"/>
              <c:layout>
                <c:manualLayout>
                  <c:x val="-4.0844646207112312E-2"/>
                  <c:y val="3.651660106967009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EF14-4A5A-BFE1-DE701054B9D8}"/>
                </c:ext>
              </c:extLst>
            </c:dLbl>
            <c:dLbl>
              <c:idx val="5"/>
              <c:layout>
                <c:manualLayout>
                  <c:x val="0.44427676454222242"/>
                  <c:y val="0.47971360381861688"/>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EF14-4A5A-BFE1-DE701054B9D8}"/>
                </c:ext>
              </c:extLst>
            </c:dLbl>
            <c:dLbl>
              <c:idx val="6"/>
              <c:layout>
                <c:manualLayout>
                  <c:x val="0.14610475182202096"/>
                  <c:y val="0.38424821002386839"/>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EF14-4A5A-BFE1-DE701054B9D8}"/>
                </c:ext>
              </c:extLst>
            </c:dLbl>
            <c:dLbl>
              <c:idx val="7"/>
              <c:layout>
                <c:manualLayout>
                  <c:x val="9.4706760038620386E-2"/>
                  <c:y val="0.34367541766109783"/>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EF14-4A5A-BFE1-DE701054B9D8}"/>
                </c:ext>
              </c:extLst>
            </c:dLbl>
            <c:dLbl>
              <c:idx val="8"/>
              <c:layout>
                <c:manualLayout>
                  <c:x val="4.4921844092610505E-2"/>
                  <c:y val="-0.25776119235112144"/>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EF14-4A5A-BFE1-DE701054B9D8}"/>
                </c:ext>
              </c:extLst>
            </c:dLbl>
            <c:dLbl>
              <c:idx val="9"/>
              <c:layout>
                <c:manualLayout>
                  <c:x val="1.5885410498260718E-3"/>
                  <c:y val="-0.2825524482872128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EF14-4A5A-BFE1-DE701054B9D8}"/>
                </c:ext>
              </c:extLst>
            </c:dLbl>
            <c:numFmt formatCode="0.0" sourceLinked="0"/>
            <c:spPr>
              <a:noFill/>
              <a:ln w="25391">
                <a:noFill/>
              </a:ln>
            </c:spPr>
            <c:txPr>
              <a:bodyPr/>
              <a:lstStyle/>
              <a:p>
                <a:pPr>
                  <a:defRPr lang="es-ES" sz="900" b="1"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Sheet1!$B$1:$P$1</c:f>
              <c:numCache>
                <c:formatCode>General</c:formatCode>
                <c:ptCount val="5"/>
                <c:pt idx="0">
                  <c:v>2011</c:v>
                </c:pt>
                <c:pt idx="1">
                  <c:v>2012</c:v>
                </c:pt>
                <c:pt idx="2">
                  <c:v>2013</c:v>
                </c:pt>
                <c:pt idx="3">
                  <c:v>2014</c:v>
                </c:pt>
                <c:pt idx="4">
                  <c:v>2015</c:v>
                </c:pt>
              </c:numCache>
            </c:numRef>
          </c:cat>
          <c:val>
            <c:numRef>
              <c:f>Sheet1!$B$4:$P$4</c:f>
              <c:numCache>
                <c:formatCode>General</c:formatCode>
                <c:ptCount val="5"/>
                <c:pt idx="0">
                  <c:v>9.3000000000000007</c:v>
                </c:pt>
                <c:pt idx="1">
                  <c:v>9.3000000000000007</c:v>
                </c:pt>
                <c:pt idx="2">
                  <c:v>9.3000000000000007</c:v>
                </c:pt>
                <c:pt idx="3">
                  <c:v>8.2000000000000011</c:v>
                </c:pt>
                <c:pt idx="4">
                  <c:v>8.2000000000000011</c:v>
                </c:pt>
              </c:numCache>
            </c:numRef>
          </c:val>
          <c:smooth val="1"/>
          <c:extLst xmlns:c16r2="http://schemas.microsoft.com/office/drawing/2015/06/chart">
            <c:ext xmlns:c16="http://schemas.microsoft.com/office/drawing/2014/chart" uri="{C3380CC4-5D6E-409C-BE32-E72D297353CC}">
              <c16:uniqueId val="{00000015-EF14-4A5A-BFE1-DE701054B9D8}"/>
            </c:ext>
          </c:extLst>
        </c:ser>
        <c:dLbls>
          <c:showVal val="1"/>
        </c:dLbls>
        <c:marker val="1"/>
        <c:axId val="116413568"/>
        <c:axId val="116415488"/>
      </c:lineChart>
      <c:catAx>
        <c:axId val="116413568"/>
        <c:scaling>
          <c:orientation val="minMax"/>
        </c:scaling>
        <c:axPos val="b"/>
        <c:title>
          <c:tx>
            <c:rich>
              <a:bodyPr/>
              <a:lstStyle/>
              <a:p>
                <a:pPr>
                  <a:defRPr lang="es-ES" sz="800"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47596590852207582"/>
              <c:y val="0.90019281235859328"/>
            </c:manualLayout>
          </c:layout>
          <c:spPr>
            <a:noFill/>
            <a:ln w="25391">
              <a:noFill/>
            </a:ln>
          </c:spPr>
        </c:title>
        <c:numFmt formatCode="General" sourceLinked="1"/>
        <c:tickLblPos val="nextTo"/>
        <c:spPr>
          <a:ln w="3174">
            <a:solidFill>
              <a:srgbClr val="000000"/>
            </a:solidFill>
            <a:prstDash val="solid"/>
          </a:ln>
        </c:spPr>
        <c:txPr>
          <a:bodyPr rot="0" vert="horz"/>
          <a:lstStyle/>
          <a:p>
            <a:pPr>
              <a:defRPr lang="es-ES" sz="875" b="1" i="0" u="none" strike="noStrike" baseline="0">
                <a:solidFill>
                  <a:srgbClr val="000000"/>
                </a:solidFill>
                <a:latin typeface="Times New Roman"/>
                <a:ea typeface="Times New Roman"/>
                <a:cs typeface="Times New Roman"/>
              </a:defRPr>
            </a:pPr>
            <a:endParaRPr lang="es-CR"/>
          </a:p>
        </c:txPr>
        <c:crossAx val="116415488"/>
        <c:crosses val="autoZero"/>
        <c:auto val="1"/>
        <c:lblAlgn val="ctr"/>
        <c:lblOffset val="100"/>
        <c:tickLblSkip val="1"/>
        <c:tickMarkSkip val="1"/>
      </c:catAx>
      <c:valAx>
        <c:axId val="116415488"/>
        <c:scaling>
          <c:orientation val="minMax"/>
          <c:max val="35"/>
          <c:min val="0"/>
        </c:scaling>
        <c:axPos val="l"/>
        <c:majorGridlines>
          <c:spPr>
            <a:ln w="3174">
              <a:solidFill>
                <a:srgbClr val="000000"/>
              </a:solidFill>
              <a:prstDash val="solid"/>
            </a:ln>
          </c:spPr>
        </c:majorGridlines>
        <c:title>
          <c:tx>
            <c:rich>
              <a:bodyPr rot="0" vert="wordArtVert"/>
              <a:lstStyle/>
              <a:p>
                <a:pPr algn="ctr">
                  <a:defRPr lang="es-ES" sz="800" b="1" i="0" u="none" strike="noStrike" baseline="0">
                    <a:solidFill>
                      <a:srgbClr val="000000"/>
                    </a:solidFill>
                    <a:latin typeface="Times New Roman" pitchFamily="18" charset="0"/>
                    <a:ea typeface="Arial"/>
                    <a:cs typeface="Times New Roman" pitchFamily="18" charset="0"/>
                  </a:defRPr>
                </a:pPr>
                <a:r>
                  <a:rPr lang="es-CR" sz="800">
                    <a:latin typeface="Times New Roman" pitchFamily="18" charset="0"/>
                    <a:cs typeface="Times New Roman" pitchFamily="18" charset="0"/>
                  </a:rPr>
                  <a:t>DURACIÓN</a:t>
                </a:r>
              </a:p>
            </c:rich>
          </c:tx>
          <c:layout>
            <c:manualLayout>
              <c:xMode val="edge"/>
              <c:yMode val="edge"/>
              <c:x val="4.0947092133503324E-2"/>
              <c:y val="0.30744439248711036"/>
            </c:manualLayout>
          </c:layout>
          <c:spPr>
            <a:noFill/>
            <a:ln w="25391">
              <a:noFill/>
            </a:ln>
          </c:spPr>
        </c:title>
        <c:numFmt formatCode="General" sourceLinked="1"/>
        <c:tickLblPos val="nextTo"/>
        <c:spPr>
          <a:ln w="3174">
            <a:solidFill>
              <a:srgbClr val="000000"/>
            </a:solidFill>
            <a:prstDash val="solid"/>
          </a:ln>
        </c:spPr>
        <c:txPr>
          <a:bodyPr rot="0" vert="horz"/>
          <a:lstStyle/>
          <a:p>
            <a:pPr>
              <a:defRPr lang="es-ES" sz="1000" b="1" i="0" u="none" strike="noStrike" baseline="0">
                <a:solidFill>
                  <a:srgbClr val="000000"/>
                </a:solidFill>
                <a:latin typeface="Times New Roman"/>
                <a:ea typeface="Times New Roman"/>
                <a:cs typeface="Times New Roman"/>
              </a:defRPr>
            </a:pPr>
            <a:endParaRPr lang="es-CR"/>
          </a:p>
        </c:txPr>
        <c:crossAx val="116413568"/>
        <c:crosses val="autoZero"/>
        <c:crossBetween val="between"/>
        <c:majorUnit val="35"/>
        <c:minorUnit val="35"/>
      </c:valAx>
      <c:spPr>
        <a:gradFill rotWithShape="0">
          <a:gsLst>
            <a:gs pos="0">
              <a:srgbClr val="CCFFFF">
                <a:gamma/>
                <a:shade val="66667"/>
                <a:invGamma/>
              </a:srgbClr>
            </a:gs>
            <a:gs pos="50000">
              <a:srgbClr val="CCFFFF"/>
            </a:gs>
            <a:gs pos="100000">
              <a:srgbClr val="CCFFFF">
                <a:gamma/>
                <a:shade val="66667"/>
                <a:invGamma/>
              </a:srgbClr>
            </a:gs>
          </a:gsLst>
          <a:lin ang="2700000" scaled="1"/>
        </a:gradFill>
        <a:ln w="12695">
          <a:solidFill>
            <a:srgbClr val="808080"/>
          </a:solidFill>
          <a:prstDash val="solid"/>
        </a:ln>
      </c:spPr>
    </c:plotArea>
    <c:plotVisOnly val="1"/>
    <c:dispBlanksAs val="gap"/>
  </c:chart>
  <c:spPr>
    <a:gradFill rotWithShape="0">
      <a:gsLst>
        <a:gs pos="0">
          <a:srgbClr val="FFFFCC"/>
        </a:gs>
        <a:gs pos="100000">
          <a:srgbClr val="FFFFCC">
            <a:gamma/>
            <a:shade val="66667"/>
            <a:invGamma/>
          </a:srgbClr>
        </a:gs>
      </a:gsLst>
      <a:lin ang="2700000" scaled="1"/>
    </a:gradFill>
    <a:ln w="3174">
      <a:solidFill>
        <a:srgbClr val="000000"/>
      </a:solidFill>
      <a:prstDash val="solid"/>
    </a:ln>
    <a:effectLst>
      <a:outerShdw dist="35921" dir="2700000" algn="br">
        <a:srgbClr val="000000"/>
      </a:outerShdw>
    </a:effectLst>
  </c:spPr>
  <c:txPr>
    <a:bodyPr/>
    <a:lstStyle/>
    <a:p>
      <a:pPr algn="just">
        <a:defRPr sz="1424" b="1" i="0" u="none" strike="noStrike" baseline="0">
          <a:solidFill>
            <a:srgbClr val="000000"/>
          </a:solidFill>
          <a:latin typeface="Arial"/>
          <a:ea typeface="Arial"/>
          <a:cs typeface="Arial"/>
        </a:defRPr>
      </a:pPr>
      <a:endParaRPr lang="es-CR"/>
    </a:p>
  </c:txPr>
  <c:externalData r:id="rId2"/>
  <c:userShapes r:id="rId3"/>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title>
      <c:tx>
        <c:rich>
          <a:bodyPr/>
          <a:lstStyle/>
          <a:p>
            <a:pPr>
              <a:defRPr lang="es-ES" sz="1000" b="1" i="0" u="none" strike="noStrike" baseline="0">
                <a:solidFill>
                  <a:srgbClr val="000000"/>
                </a:solidFill>
                <a:latin typeface="Times New Roman" pitchFamily="18" charset="0"/>
                <a:ea typeface="Times New Roman"/>
                <a:cs typeface="Times New Roman" pitchFamily="18" charset="0"/>
              </a:defRPr>
            </a:pPr>
            <a:r>
              <a:rPr lang="es-CR" sz="1000" b="1" i="0" u="none" strike="noStrike" baseline="0">
                <a:solidFill>
                  <a:srgbClr val="000000"/>
                </a:solidFill>
                <a:latin typeface="Times New Roman" pitchFamily="18" charset="0"/>
                <a:cs typeface="Times New Roman" pitchFamily="18" charset="0"/>
              </a:rPr>
              <a:t>Gráfico Nº 32</a:t>
            </a:r>
          </a:p>
          <a:p>
            <a:pPr>
              <a:defRPr lang="es-ES" sz="1000" b="1" i="0" u="none" strike="noStrike" baseline="0">
                <a:solidFill>
                  <a:srgbClr val="000000"/>
                </a:solidFill>
                <a:latin typeface="Times New Roman" pitchFamily="18" charset="0"/>
                <a:ea typeface="Times New Roman"/>
                <a:cs typeface="Times New Roman" pitchFamily="18" charset="0"/>
              </a:defRPr>
            </a:pPr>
            <a:r>
              <a:rPr lang="es-CR" sz="1000" b="1" i="0" u="none" strike="noStrike" baseline="0">
                <a:solidFill>
                  <a:srgbClr val="000000"/>
                </a:solidFill>
                <a:latin typeface="Times New Roman" pitchFamily="18" charset="0"/>
                <a:cs typeface="Times New Roman" pitchFamily="18" charset="0"/>
              </a:rPr>
              <a:t>Comportamiento histórico de la duración promedio (en meses) de lo fallado con sentencia en materia penal desde el 2011</a:t>
            </a:r>
          </a:p>
        </c:rich>
      </c:tx>
      <c:layout>
        <c:manualLayout>
          <c:xMode val="edge"/>
          <c:yMode val="edge"/>
          <c:x val="0.11129032258064522"/>
          <c:y val="1.9093078758949885E-2"/>
        </c:manualLayout>
      </c:layout>
      <c:spPr>
        <a:noFill/>
        <a:ln w="25391">
          <a:noFill/>
        </a:ln>
      </c:spPr>
    </c:title>
    <c:plotArea>
      <c:layout>
        <c:manualLayout>
          <c:layoutTarget val="inner"/>
          <c:xMode val="edge"/>
          <c:yMode val="edge"/>
          <c:x val="0.14032258064516129"/>
          <c:y val="0.29355608591885907"/>
          <c:w val="0.80967741935484439"/>
          <c:h val="0.46778042959427463"/>
        </c:manualLayout>
      </c:layout>
      <c:lineChart>
        <c:grouping val="standard"/>
        <c:ser>
          <c:idx val="1"/>
          <c:order val="0"/>
          <c:tx>
            <c:strRef>
              <c:f>Sheet1!$A$3</c:f>
              <c:strCache>
                <c:ptCount val="1"/>
                <c:pt idx="0">
                  <c:v>Trib. Penales</c:v>
                </c:pt>
              </c:strCache>
            </c:strRef>
          </c:tx>
          <c:spPr>
            <a:ln w="12695">
              <a:solidFill>
                <a:srgbClr val="008000"/>
              </a:solidFill>
              <a:prstDash val="solid"/>
            </a:ln>
          </c:spPr>
          <c:marker>
            <c:symbol val="square"/>
            <c:size val="4"/>
            <c:spPr>
              <a:solidFill>
                <a:srgbClr val="008000"/>
              </a:solidFill>
              <a:ln>
                <a:solidFill>
                  <a:srgbClr val="008000"/>
                </a:solidFill>
                <a:prstDash val="solid"/>
              </a:ln>
            </c:spPr>
          </c:marker>
          <c:dLbls>
            <c:dLbl>
              <c:idx val="0"/>
              <c:layout>
                <c:manualLayout>
                  <c:x val="-5.5360848457545984E-2"/>
                  <c:y val="-5.052063157153473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173-43C8-99FF-316D2037958D}"/>
                </c:ext>
              </c:extLst>
            </c:dLbl>
            <c:dLbl>
              <c:idx val="1"/>
              <c:layout>
                <c:manualLayout>
                  <c:x val="-4.7941457675367845E-2"/>
                  <c:y val="-4.087872688039709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173-43C8-99FF-316D2037958D}"/>
                </c:ext>
              </c:extLst>
            </c:dLbl>
            <c:dLbl>
              <c:idx val="2"/>
              <c:layout>
                <c:manualLayout>
                  <c:x val="-5.3425292699641982E-2"/>
                  <c:y val="-4.94704675988419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173-43C8-99FF-316D2037958D}"/>
                </c:ext>
              </c:extLst>
            </c:dLbl>
            <c:dLbl>
              <c:idx val="3"/>
              <c:layout>
                <c:manualLayout>
                  <c:x val="-4.7618805143270652E-2"/>
                  <c:y val="-4.460183259744122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173-43C8-99FF-316D2037958D}"/>
                </c:ext>
              </c:extLst>
            </c:dLbl>
            <c:dLbl>
              <c:idx val="4"/>
              <c:layout>
                <c:manualLayout>
                  <c:x val="-4.3425220812704703E-2"/>
                  <c:y val="-4.555632957204479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173-43C8-99FF-316D2037958D}"/>
                </c:ext>
              </c:extLst>
            </c:dLbl>
            <c:dLbl>
              <c:idx val="5"/>
              <c:layout>
                <c:manualLayout>
                  <c:x val="0.4142090919401914"/>
                  <c:y val="-7.6974453783763386E-2"/>
                </c:manualLayout>
              </c:layout>
              <c:numFmt formatCode="0.0" sourceLinked="0"/>
              <c:spPr>
                <a:noFill/>
                <a:ln w="25391">
                  <a:noFill/>
                </a:ln>
              </c:spPr>
              <c:txPr>
                <a:bodyPr/>
                <a:lstStyle/>
                <a:p>
                  <a:pPr>
                    <a:defRPr lang="es-ES" sz="1025" b="1"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173-43C8-99FF-316D2037958D}"/>
                </c:ext>
              </c:extLst>
            </c:dLbl>
            <c:dLbl>
              <c:idx val="6"/>
              <c:layout>
                <c:manualLayout>
                  <c:x val="0.12313383510414815"/>
                  <c:y val="-0.11267861114513071"/>
                </c:manualLayout>
              </c:layout>
              <c:numFmt formatCode="0.0" sourceLinked="0"/>
              <c:spPr>
                <a:noFill/>
                <a:ln w="25391">
                  <a:noFill/>
                </a:ln>
              </c:spPr>
              <c:txPr>
                <a:bodyPr/>
                <a:lstStyle/>
                <a:p>
                  <a:pPr>
                    <a:defRPr lang="es-ES" sz="1025" b="1"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173-43C8-99FF-316D2037958D}"/>
                </c:ext>
              </c:extLst>
            </c:dLbl>
            <c:dLbl>
              <c:idx val="7"/>
              <c:layout>
                <c:manualLayout>
                  <c:x val="6.7542449235842322E-2"/>
                  <c:y val="-5.2630766125839314E-2"/>
                </c:manualLayout>
              </c:layout>
              <c:numFmt formatCode="0.0" sourceLinked="0"/>
              <c:spPr>
                <a:noFill/>
                <a:ln w="25391">
                  <a:noFill/>
                </a:ln>
              </c:spPr>
              <c:txPr>
                <a:bodyPr/>
                <a:lstStyle/>
                <a:p>
                  <a:pPr>
                    <a:defRPr lang="es-ES" sz="1025" b="1"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173-43C8-99FF-316D2037958D}"/>
                </c:ext>
              </c:extLst>
            </c:dLbl>
            <c:dLbl>
              <c:idx val="8"/>
              <c:layout>
                <c:manualLayout>
                  <c:x val="2.0015579496568382E-2"/>
                  <c:y val="-8.2511489824777809E-2"/>
                </c:manualLayout>
              </c:layout>
              <c:numFmt formatCode="0.0" sourceLinked="0"/>
              <c:spPr>
                <a:noFill/>
                <a:ln w="25391">
                  <a:noFill/>
                </a:ln>
              </c:spPr>
              <c:txPr>
                <a:bodyPr/>
                <a:lstStyle/>
                <a:p>
                  <a:pPr>
                    <a:defRPr lang="es-ES" sz="1025" b="1"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173-43C8-99FF-316D2037958D}"/>
                </c:ext>
              </c:extLst>
            </c:dLbl>
            <c:dLbl>
              <c:idx val="9"/>
              <c:layout>
                <c:manualLayout>
                  <c:x val="-2.4285483791093389E-2"/>
                  <c:y val="-0.12155665876305628"/>
                </c:manualLayout>
              </c:layout>
              <c:numFmt formatCode="0.0" sourceLinked="0"/>
              <c:spPr>
                <a:noFill/>
                <a:ln w="25391">
                  <a:noFill/>
                </a:ln>
              </c:spPr>
              <c:txPr>
                <a:bodyPr/>
                <a:lstStyle/>
                <a:p>
                  <a:pPr>
                    <a:defRPr lang="es-ES" sz="1025" b="1"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173-43C8-99FF-316D2037958D}"/>
                </c:ext>
              </c:extLst>
            </c:dLbl>
            <c:numFmt formatCode="0.0" sourceLinked="0"/>
            <c:spPr>
              <a:noFill/>
              <a:ln w="25391">
                <a:noFill/>
              </a:ln>
            </c:spPr>
            <c:txPr>
              <a:bodyPr/>
              <a:lstStyle/>
              <a:p>
                <a:pPr>
                  <a:defRPr lang="es-ES" sz="900" b="1"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Sheet1!$B$1:$P$1</c:f>
              <c:numCache>
                <c:formatCode>General</c:formatCode>
                <c:ptCount val="5"/>
                <c:pt idx="0">
                  <c:v>2011</c:v>
                </c:pt>
                <c:pt idx="1">
                  <c:v>2012</c:v>
                </c:pt>
                <c:pt idx="2">
                  <c:v>2013</c:v>
                </c:pt>
                <c:pt idx="3">
                  <c:v>2014</c:v>
                </c:pt>
                <c:pt idx="4">
                  <c:v>2015</c:v>
                </c:pt>
              </c:numCache>
            </c:numRef>
          </c:cat>
          <c:val>
            <c:numRef>
              <c:f>Sheet1!$B$3:$P$3</c:f>
              <c:numCache>
                <c:formatCode>General</c:formatCode>
                <c:ptCount val="5"/>
                <c:pt idx="0">
                  <c:v>21.1</c:v>
                </c:pt>
                <c:pt idx="1">
                  <c:v>20.100000000000001</c:v>
                </c:pt>
                <c:pt idx="2">
                  <c:v>21</c:v>
                </c:pt>
                <c:pt idx="3">
                  <c:v>22</c:v>
                </c:pt>
                <c:pt idx="4">
                  <c:v>21</c:v>
                </c:pt>
              </c:numCache>
            </c:numRef>
          </c:val>
          <c:smooth val="1"/>
          <c:extLst xmlns:c16r2="http://schemas.microsoft.com/office/drawing/2015/06/chart">
            <c:ext xmlns:c16="http://schemas.microsoft.com/office/drawing/2014/chart" uri="{C3380CC4-5D6E-409C-BE32-E72D297353CC}">
              <c16:uniqueId val="{0000000A-3173-43C8-99FF-316D2037958D}"/>
            </c:ext>
          </c:extLst>
        </c:ser>
        <c:dLbls>
          <c:showVal val="1"/>
        </c:dLbls>
        <c:marker val="1"/>
        <c:axId val="116540544"/>
        <c:axId val="116542464"/>
      </c:lineChart>
      <c:catAx>
        <c:axId val="116540544"/>
        <c:scaling>
          <c:orientation val="minMax"/>
        </c:scaling>
        <c:axPos val="b"/>
        <c:title>
          <c:tx>
            <c:rich>
              <a:bodyPr/>
              <a:lstStyle/>
              <a:p>
                <a:pPr>
                  <a:defRPr lang="es-ES" sz="1100"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47017984780204525"/>
              <c:y val="0.8706827163845946"/>
            </c:manualLayout>
          </c:layout>
          <c:spPr>
            <a:noFill/>
            <a:ln w="25391">
              <a:noFill/>
            </a:ln>
          </c:spPr>
        </c:title>
        <c:numFmt formatCode="General" sourceLinked="1"/>
        <c:tickLblPos val="nextTo"/>
        <c:spPr>
          <a:ln w="3174">
            <a:solidFill>
              <a:srgbClr val="000000"/>
            </a:solidFill>
            <a:prstDash val="solid"/>
          </a:ln>
        </c:spPr>
        <c:txPr>
          <a:bodyPr rot="0" vert="horz"/>
          <a:lstStyle/>
          <a:p>
            <a:pPr>
              <a:defRPr lang="es-ES" sz="1100" b="1" i="0" u="none" strike="noStrike" baseline="0">
                <a:solidFill>
                  <a:srgbClr val="000000"/>
                </a:solidFill>
                <a:latin typeface="Times New Roman"/>
                <a:ea typeface="Times New Roman"/>
                <a:cs typeface="Times New Roman"/>
              </a:defRPr>
            </a:pPr>
            <a:endParaRPr lang="es-CR"/>
          </a:p>
        </c:txPr>
        <c:crossAx val="116542464"/>
        <c:crosses val="autoZero"/>
        <c:auto val="1"/>
        <c:lblAlgn val="ctr"/>
        <c:lblOffset val="100"/>
        <c:tickLblSkip val="1"/>
        <c:tickMarkSkip val="1"/>
      </c:catAx>
      <c:valAx>
        <c:axId val="116542464"/>
        <c:scaling>
          <c:orientation val="minMax"/>
          <c:max val="35"/>
          <c:min val="0"/>
        </c:scaling>
        <c:axPos val="l"/>
        <c:majorGridlines>
          <c:spPr>
            <a:ln w="3174">
              <a:solidFill>
                <a:srgbClr val="000000"/>
              </a:solidFill>
              <a:prstDash val="solid"/>
            </a:ln>
          </c:spPr>
        </c:majorGridlines>
        <c:title>
          <c:tx>
            <c:rich>
              <a:bodyPr rot="0" vert="wordArtVert"/>
              <a:lstStyle/>
              <a:p>
                <a:pPr algn="ctr">
                  <a:defRPr lang="es-ES" sz="1000" b="1" i="0" u="none" strike="noStrike" baseline="0">
                    <a:solidFill>
                      <a:srgbClr val="000000"/>
                    </a:solidFill>
                    <a:latin typeface="Times New Roman" pitchFamily="18" charset="0"/>
                    <a:ea typeface="Arial"/>
                    <a:cs typeface="Times New Roman" pitchFamily="18" charset="0"/>
                  </a:defRPr>
                </a:pPr>
                <a:r>
                  <a:rPr lang="es-CR" sz="1000">
                    <a:latin typeface="Times New Roman" pitchFamily="18" charset="0"/>
                    <a:cs typeface="Times New Roman" pitchFamily="18" charset="0"/>
                  </a:rPr>
                  <a:t>DURACIÓN</a:t>
                </a:r>
              </a:p>
            </c:rich>
          </c:tx>
          <c:layout>
            <c:manualLayout>
              <c:xMode val="edge"/>
              <c:yMode val="edge"/>
              <c:x val="2.419354838709678E-2"/>
              <c:y val="0.27923627684964514"/>
            </c:manualLayout>
          </c:layout>
          <c:spPr>
            <a:noFill/>
            <a:ln w="25391">
              <a:noFill/>
            </a:ln>
          </c:spPr>
        </c:title>
        <c:numFmt formatCode="General" sourceLinked="1"/>
        <c:tickLblPos val="nextTo"/>
        <c:spPr>
          <a:ln w="3174">
            <a:solidFill>
              <a:srgbClr val="000000"/>
            </a:solidFill>
            <a:prstDash val="solid"/>
          </a:ln>
        </c:spPr>
        <c:txPr>
          <a:bodyPr rot="0" vert="horz"/>
          <a:lstStyle/>
          <a:p>
            <a:pPr>
              <a:defRPr lang="es-ES" sz="900" b="1" i="0" u="none" strike="noStrike" baseline="0">
                <a:solidFill>
                  <a:srgbClr val="000000"/>
                </a:solidFill>
                <a:latin typeface="Times New Roman"/>
                <a:ea typeface="Times New Roman"/>
                <a:cs typeface="Times New Roman"/>
              </a:defRPr>
            </a:pPr>
            <a:endParaRPr lang="es-CR"/>
          </a:p>
        </c:txPr>
        <c:crossAx val="116540544"/>
        <c:crosses val="autoZero"/>
        <c:crossBetween val="between"/>
        <c:majorUnit val="35"/>
        <c:minorUnit val="35"/>
      </c:valAx>
      <c:spPr>
        <a:gradFill rotWithShape="0">
          <a:gsLst>
            <a:gs pos="0">
              <a:srgbClr val="CCFFFF">
                <a:gamma/>
                <a:shade val="66667"/>
                <a:invGamma/>
              </a:srgbClr>
            </a:gs>
            <a:gs pos="50000">
              <a:srgbClr val="CCFFFF"/>
            </a:gs>
            <a:gs pos="100000">
              <a:srgbClr val="CCFFFF">
                <a:gamma/>
                <a:shade val="66667"/>
                <a:invGamma/>
              </a:srgbClr>
            </a:gs>
          </a:gsLst>
          <a:lin ang="2700000" scaled="1"/>
        </a:gradFill>
        <a:ln w="12695">
          <a:solidFill>
            <a:srgbClr val="808080"/>
          </a:solidFill>
          <a:prstDash val="solid"/>
        </a:ln>
      </c:spPr>
    </c:plotArea>
    <c:plotVisOnly val="1"/>
    <c:dispBlanksAs val="gap"/>
  </c:chart>
  <c:spPr>
    <a:gradFill rotWithShape="0">
      <a:gsLst>
        <a:gs pos="0">
          <a:srgbClr val="FFFFCC"/>
        </a:gs>
        <a:gs pos="100000">
          <a:srgbClr val="FFFFCC">
            <a:gamma/>
            <a:shade val="66667"/>
            <a:invGamma/>
          </a:srgbClr>
        </a:gs>
      </a:gsLst>
      <a:lin ang="2700000" scaled="1"/>
    </a:gradFill>
    <a:ln w="3174">
      <a:solidFill>
        <a:srgbClr val="000000"/>
      </a:solidFill>
      <a:prstDash val="solid"/>
    </a:ln>
    <a:effectLst>
      <a:outerShdw dist="35921" dir="2700000" algn="br">
        <a:srgbClr val="000000"/>
      </a:outerShdw>
    </a:effectLst>
  </c:spPr>
  <c:txPr>
    <a:bodyPr/>
    <a:lstStyle/>
    <a:p>
      <a:pPr>
        <a:defRPr sz="1424" b="1" i="0" u="none" strike="noStrike" baseline="0">
          <a:solidFill>
            <a:srgbClr val="000000"/>
          </a:solidFill>
          <a:latin typeface="Arial"/>
          <a:ea typeface="Arial"/>
          <a:cs typeface="Arial"/>
        </a:defRPr>
      </a:pPr>
      <a:endParaRPr lang="es-CR"/>
    </a:p>
  </c:txPr>
  <c:externalData r:id="rId2"/>
  <c:userShapes r:id="rId3"/>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title>
      <c:tx>
        <c:rich>
          <a:bodyPr/>
          <a:lstStyle/>
          <a:p>
            <a:pPr>
              <a:defRPr lang="es-ES" sz="1000" b="1" i="0" u="none" strike="noStrike" baseline="0">
                <a:solidFill>
                  <a:srgbClr val="000000"/>
                </a:solidFill>
                <a:latin typeface="Times New Roman"/>
                <a:ea typeface="Times New Roman"/>
                <a:cs typeface="Times New Roman"/>
              </a:defRPr>
            </a:pPr>
            <a:r>
              <a:rPr lang="es-CR" sz="1000" b="1" i="0" u="none" strike="noStrike" baseline="0">
                <a:solidFill>
                  <a:srgbClr val="000000"/>
                </a:solidFill>
                <a:latin typeface="Arial"/>
                <a:cs typeface="Arial"/>
              </a:rPr>
              <a:t>Gráfico Nº 33</a:t>
            </a:r>
          </a:p>
          <a:p>
            <a:pPr>
              <a:defRPr lang="es-ES" sz="1000" b="1" i="0" u="none" strike="noStrike" baseline="0">
                <a:solidFill>
                  <a:srgbClr val="000000"/>
                </a:solidFill>
                <a:latin typeface="Times New Roman"/>
                <a:ea typeface="Times New Roman"/>
                <a:cs typeface="Times New Roman"/>
              </a:defRPr>
            </a:pPr>
            <a:r>
              <a:rPr lang="es-CR" sz="1000" b="1" i="0" u="none" strike="noStrike" baseline="0">
                <a:solidFill>
                  <a:srgbClr val="000000"/>
                </a:solidFill>
                <a:latin typeface="Arial"/>
                <a:cs typeface="Arial"/>
              </a:rPr>
              <a:t>Costa Rica: Tasa de revocación en apelación anual </a:t>
            </a:r>
          </a:p>
          <a:p>
            <a:pPr>
              <a:defRPr lang="es-ES" sz="1000" b="1" i="0" u="none" strike="noStrike" baseline="0">
                <a:solidFill>
                  <a:srgbClr val="000000"/>
                </a:solidFill>
                <a:latin typeface="Times New Roman"/>
                <a:ea typeface="Times New Roman"/>
                <a:cs typeface="Times New Roman"/>
              </a:defRPr>
            </a:pPr>
            <a:r>
              <a:rPr lang="es-CR" sz="1000" b="1" i="0" u="none" strike="noStrike" baseline="0">
                <a:solidFill>
                  <a:srgbClr val="000000"/>
                </a:solidFill>
                <a:latin typeface="Arial"/>
                <a:cs typeface="Arial"/>
              </a:rPr>
              <a:t>durante el período 2011 - 2015</a:t>
            </a:r>
          </a:p>
          <a:p>
            <a:pPr>
              <a:defRPr lang="es-ES" sz="1000" b="1" i="0" u="none" strike="noStrike" baseline="0">
                <a:solidFill>
                  <a:srgbClr val="000000"/>
                </a:solidFill>
                <a:latin typeface="Times New Roman"/>
                <a:ea typeface="Times New Roman"/>
                <a:cs typeface="Times New Roman"/>
              </a:defRPr>
            </a:pPr>
            <a:r>
              <a:rPr lang="es-CR" sz="800" b="1" i="0" u="none" strike="noStrike" baseline="0">
                <a:solidFill>
                  <a:srgbClr val="000000"/>
                </a:solidFill>
                <a:latin typeface="Arial"/>
                <a:cs typeface="Arial"/>
              </a:rPr>
              <a:t>- Cifras por cada 100 apelaciones entradas -</a:t>
            </a:r>
          </a:p>
        </c:rich>
      </c:tx>
      <c:layout>
        <c:manualLayout>
          <c:xMode val="edge"/>
          <c:yMode val="edge"/>
          <c:x val="0.16748768472906508"/>
          <c:y val="2.0618556701030927E-2"/>
        </c:manualLayout>
      </c:layout>
      <c:spPr>
        <a:noFill/>
        <a:ln w="25400">
          <a:noFill/>
        </a:ln>
      </c:spPr>
    </c:title>
    <c:plotArea>
      <c:layout>
        <c:manualLayout>
          <c:layoutTarget val="inner"/>
          <c:xMode val="edge"/>
          <c:yMode val="edge"/>
          <c:x val="0.12479475754682559"/>
          <c:y val="0.25512129064045708"/>
          <c:w val="0.83743842364532062"/>
          <c:h val="0.48969895145664188"/>
        </c:manualLayout>
      </c:layout>
      <c:lineChart>
        <c:grouping val="standard"/>
        <c:ser>
          <c:idx val="0"/>
          <c:order val="0"/>
          <c:tx>
            <c:strRef>
              <c:f>Sheet1!$A$2</c:f>
              <c:strCache>
                <c:ptCount val="1"/>
                <c:pt idx="0">
                  <c:v>Tasa</c:v>
                </c:pt>
              </c:strCache>
            </c:strRef>
          </c:tx>
          <c:spPr>
            <a:ln w="25400">
              <a:solidFill>
                <a:srgbClr val="0000FF"/>
              </a:solidFill>
              <a:prstDash val="solid"/>
            </a:ln>
          </c:spPr>
          <c:marker>
            <c:symbol val="diamond"/>
            <c:size val="7"/>
            <c:spPr>
              <a:solidFill>
                <a:srgbClr val="0000FF"/>
              </a:solidFill>
              <a:ln>
                <a:solidFill>
                  <a:srgbClr val="000080"/>
                </a:solidFill>
                <a:prstDash val="solid"/>
              </a:ln>
            </c:spPr>
          </c:marker>
          <c:dLbls>
            <c:dLbl>
              <c:idx val="0"/>
              <c:layout>
                <c:manualLayout>
                  <c:x val="-5.0174050657460945E-2"/>
                  <c:y val="-5.636247517519018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241-4BAC-8A9E-FE254C7F9242}"/>
                </c:ext>
              </c:extLst>
            </c:dLbl>
            <c:dLbl>
              <c:idx val="1"/>
              <c:layout>
                <c:manualLayout>
                  <c:x val="-4.6889957720802115E-2"/>
                  <c:y val="-6.096726139047892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241-4BAC-8A9E-FE254C7F9242}"/>
                </c:ext>
              </c:extLst>
            </c:dLbl>
            <c:dLbl>
              <c:idx val="2"/>
              <c:layout>
                <c:manualLayout>
                  <c:x val="-5.017400928332235E-2"/>
                  <c:y val="-6.612190056573610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241-4BAC-8A9E-FE254C7F9242}"/>
                </c:ext>
              </c:extLst>
            </c:dLbl>
            <c:dLbl>
              <c:idx val="3"/>
              <c:layout>
                <c:manualLayout>
                  <c:x val="-4.8531952471457335E-2"/>
                  <c:y val="-6.043460462614188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241-4BAC-8A9E-FE254C7F9242}"/>
                </c:ext>
              </c:extLst>
            </c:dLbl>
            <c:dLbl>
              <c:idx val="4"/>
              <c:layout>
                <c:manualLayout>
                  <c:x val="-2.7185462162057156E-2"/>
                  <c:y val="-6.363054521216386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241-4BAC-8A9E-FE254C7F9242}"/>
                </c:ext>
              </c:extLst>
            </c:dLbl>
            <c:dLbl>
              <c:idx val="5"/>
              <c:layout>
                <c:manualLayout>
                  <c:x val="0.42273231087493635"/>
                  <c:y val="0.23530445939715341"/>
                </c:manualLayout>
              </c:layout>
              <c:numFmt formatCode="0.0" sourceLinked="0"/>
              <c:spPr>
                <a:noFill/>
                <a:ln w="25400">
                  <a:noFill/>
                </a:ln>
              </c:spPr>
              <c:txPr>
                <a:bodyPr/>
                <a:lstStyle/>
                <a:p>
                  <a:pPr>
                    <a:defRPr lang="es-ES" sz="1000" b="1" i="0" u="none" strike="noStrike" baseline="0">
                      <a:solidFill>
                        <a:srgbClr val="000000"/>
                      </a:solidFill>
                      <a:latin typeface="Arial"/>
                      <a:ea typeface="Arial"/>
                      <a:cs typeface="Arial"/>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241-4BAC-8A9E-FE254C7F9242}"/>
                </c:ext>
              </c:extLst>
            </c:dLbl>
            <c:dLbl>
              <c:idx val="6"/>
              <c:layout>
                <c:manualLayout>
                  <c:x val="9.7609305043770245E-2"/>
                  <c:y val="0.17758968678343803"/>
                </c:manualLayout>
              </c:layout>
              <c:numFmt formatCode="0.0" sourceLinked="0"/>
              <c:spPr>
                <a:noFill/>
                <a:ln w="25400">
                  <a:noFill/>
                </a:ln>
              </c:spPr>
              <c:txPr>
                <a:bodyPr/>
                <a:lstStyle/>
                <a:p>
                  <a:pPr>
                    <a:defRPr lang="es-ES" sz="1000" b="1" i="0" u="none" strike="noStrike" baseline="0">
                      <a:solidFill>
                        <a:srgbClr val="000000"/>
                      </a:solidFill>
                      <a:latin typeface="Arial"/>
                      <a:ea typeface="Arial"/>
                      <a:cs typeface="Arial"/>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241-4BAC-8A9E-FE254C7F9242}"/>
                </c:ext>
              </c:extLst>
            </c:dLbl>
            <c:dLbl>
              <c:idx val="7"/>
              <c:layout>
                <c:manualLayout>
                  <c:x val="5.8200374953131684E-2"/>
                  <c:y val="1.3293921729213521E-2"/>
                </c:manualLayout>
              </c:layout>
              <c:numFmt formatCode="0.0" sourceLinked="0"/>
              <c:spPr>
                <a:noFill/>
                <a:ln w="25400">
                  <a:noFill/>
                </a:ln>
              </c:spPr>
              <c:txPr>
                <a:bodyPr/>
                <a:lstStyle/>
                <a:p>
                  <a:pPr>
                    <a:defRPr lang="es-ES" sz="1000" b="1" i="0" u="none" strike="noStrike" baseline="0">
                      <a:solidFill>
                        <a:srgbClr val="000000"/>
                      </a:solidFill>
                      <a:latin typeface="Arial"/>
                      <a:ea typeface="Arial"/>
                      <a:cs typeface="Arial"/>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241-4BAC-8A9E-FE254C7F9242}"/>
                </c:ext>
              </c:extLst>
            </c:dLbl>
            <c:dLbl>
              <c:idx val="8"/>
              <c:layout>
                <c:manualLayout>
                  <c:x val="7.2904748975336474E-4"/>
                  <c:y val="-3.5400061537932639E-2"/>
                </c:manualLayout>
              </c:layout>
              <c:numFmt formatCode="0.0" sourceLinked="0"/>
              <c:spPr>
                <a:noFill/>
                <a:ln w="25400">
                  <a:noFill/>
                </a:ln>
              </c:spPr>
              <c:txPr>
                <a:bodyPr/>
                <a:lstStyle/>
                <a:p>
                  <a:pPr>
                    <a:defRPr lang="es-ES" sz="1000" b="1" i="0" u="none" strike="noStrike" baseline="0">
                      <a:solidFill>
                        <a:srgbClr val="000000"/>
                      </a:solidFill>
                      <a:latin typeface="Arial"/>
                      <a:ea typeface="Arial"/>
                      <a:cs typeface="Arial"/>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241-4BAC-8A9E-FE254C7F9242}"/>
                </c:ext>
              </c:extLst>
            </c:dLbl>
            <c:dLbl>
              <c:idx val="9"/>
              <c:layout>
                <c:manualLayout>
                  <c:x val="-5.1815961625483492E-2"/>
                  <c:y val="-9.86649021059266E-2"/>
                </c:manualLayout>
              </c:layout>
              <c:numFmt formatCode="0.0" sourceLinked="0"/>
              <c:spPr>
                <a:noFill/>
                <a:ln w="25400">
                  <a:noFill/>
                </a:ln>
              </c:spPr>
              <c:txPr>
                <a:bodyPr/>
                <a:lstStyle/>
                <a:p>
                  <a:pPr>
                    <a:defRPr lang="es-ES" sz="1000" b="1" i="0" u="none" strike="noStrike" baseline="0">
                      <a:solidFill>
                        <a:srgbClr val="000000"/>
                      </a:solidFill>
                      <a:latin typeface="Arial"/>
                      <a:ea typeface="Arial"/>
                      <a:cs typeface="Arial"/>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241-4BAC-8A9E-FE254C7F9242}"/>
                </c:ext>
              </c:extLst>
            </c:dLbl>
            <c:numFmt formatCode="0.0" sourceLinked="0"/>
            <c:spPr>
              <a:noFill/>
              <a:ln w="25400">
                <a:noFill/>
              </a:ln>
            </c:spPr>
            <c:txPr>
              <a:bodyPr/>
              <a:lstStyle/>
              <a:p>
                <a:pPr>
                  <a:defRPr lang="es-ES" sz="1000" b="1"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Sheet1!$B$1:$P$1</c:f>
              <c:numCache>
                <c:formatCode>General</c:formatCode>
                <c:ptCount val="5"/>
                <c:pt idx="0">
                  <c:v>2011</c:v>
                </c:pt>
                <c:pt idx="1">
                  <c:v>2012</c:v>
                </c:pt>
                <c:pt idx="2">
                  <c:v>2013</c:v>
                </c:pt>
                <c:pt idx="3">
                  <c:v>2014</c:v>
                </c:pt>
                <c:pt idx="4">
                  <c:v>2015</c:v>
                </c:pt>
              </c:numCache>
            </c:numRef>
          </c:cat>
          <c:val>
            <c:numRef>
              <c:f>Sheet1!$B$2:$P$2</c:f>
              <c:numCache>
                <c:formatCode>General</c:formatCode>
                <c:ptCount val="5"/>
                <c:pt idx="0">
                  <c:v>8.1</c:v>
                </c:pt>
                <c:pt idx="1">
                  <c:v>8.1</c:v>
                </c:pt>
                <c:pt idx="2">
                  <c:v>8.2000000000000011</c:v>
                </c:pt>
                <c:pt idx="3">
                  <c:v>7.6</c:v>
                </c:pt>
                <c:pt idx="4">
                  <c:v>8.1</c:v>
                </c:pt>
              </c:numCache>
            </c:numRef>
          </c:val>
          <c:extLst xmlns:c16r2="http://schemas.microsoft.com/office/drawing/2015/06/chart">
            <c:ext xmlns:c16="http://schemas.microsoft.com/office/drawing/2014/chart" uri="{C3380CC4-5D6E-409C-BE32-E72D297353CC}">
              <c16:uniqueId val="{0000000A-F241-4BAC-8A9E-FE254C7F9242}"/>
            </c:ext>
          </c:extLst>
        </c:ser>
        <c:dLbls>
          <c:showVal val="1"/>
        </c:dLbls>
        <c:marker val="1"/>
        <c:axId val="116606464"/>
        <c:axId val="116608384"/>
      </c:lineChart>
      <c:catAx>
        <c:axId val="116606464"/>
        <c:scaling>
          <c:orientation val="minMax"/>
        </c:scaling>
        <c:axPos val="b"/>
        <c:title>
          <c:tx>
            <c:rich>
              <a:bodyPr/>
              <a:lstStyle/>
              <a:p>
                <a:pPr>
                  <a:defRPr lang="es-ES" sz="950"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46521146977628441"/>
              <c:y val="0.83889406736951555"/>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s-ES" sz="950" b="1" i="0" u="none" strike="noStrike" baseline="0">
                <a:solidFill>
                  <a:srgbClr val="000000"/>
                </a:solidFill>
                <a:latin typeface="Times New Roman"/>
                <a:ea typeface="Times New Roman"/>
                <a:cs typeface="Times New Roman"/>
              </a:defRPr>
            </a:pPr>
            <a:endParaRPr lang="es-CR"/>
          </a:p>
        </c:txPr>
        <c:crossAx val="116608384"/>
        <c:crosses val="autoZero"/>
        <c:auto val="1"/>
        <c:lblAlgn val="ctr"/>
        <c:lblOffset val="100"/>
        <c:tickLblSkip val="1"/>
        <c:tickMarkSkip val="1"/>
      </c:catAx>
      <c:valAx>
        <c:axId val="116608384"/>
        <c:scaling>
          <c:orientation val="minMax"/>
          <c:max val="15"/>
          <c:min val="0"/>
        </c:scaling>
        <c:axPos val="l"/>
        <c:majorGridlines>
          <c:spPr>
            <a:ln w="3175">
              <a:solidFill>
                <a:srgbClr val="000000"/>
              </a:solidFill>
              <a:prstDash val="solid"/>
            </a:ln>
          </c:spPr>
        </c:majorGridlines>
        <c:title>
          <c:tx>
            <c:rich>
              <a:bodyPr rot="0" vert="wordArtVert"/>
              <a:lstStyle/>
              <a:p>
                <a:pPr algn="ctr">
                  <a:defRPr lang="es-ES" sz="1025" b="1" i="0" u="none" strike="noStrike" baseline="0">
                    <a:solidFill>
                      <a:srgbClr val="000000"/>
                    </a:solidFill>
                    <a:latin typeface="Times New Roman"/>
                    <a:ea typeface="Times New Roman"/>
                    <a:cs typeface="Times New Roman"/>
                  </a:defRPr>
                </a:pPr>
                <a:r>
                  <a:rPr lang="es-CR"/>
                  <a:t>TASA</a:t>
                </a:r>
              </a:p>
            </c:rich>
          </c:tx>
          <c:layout>
            <c:manualLayout>
              <c:xMode val="edge"/>
              <c:yMode val="edge"/>
              <c:x val="2.6464129296606329E-2"/>
              <c:y val="0.35821430017884426"/>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s-ES" sz="950" b="1" i="0" u="none" strike="noStrike" baseline="0">
                <a:solidFill>
                  <a:srgbClr val="000000"/>
                </a:solidFill>
                <a:latin typeface="Times New Roman"/>
                <a:ea typeface="Times New Roman"/>
                <a:cs typeface="Times New Roman"/>
              </a:defRPr>
            </a:pPr>
            <a:endParaRPr lang="es-CR"/>
          </a:p>
        </c:txPr>
        <c:crossAx val="116606464"/>
        <c:crosses val="autoZero"/>
        <c:crossBetween val="between"/>
        <c:majorUnit val="15"/>
        <c:minorUnit val="5"/>
      </c:valAx>
      <c:spPr>
        <a:gradFill rotWithShape="0">
          <a:gsLst>
            <a:gs pos="0">
              <a:srgbClr val="FFFFCC"/>
            </a:gs>
            <a:gs pos="50000">
              <a:srgbClr val="FFFFCC">
                <a:gamma/>
                <a:shade val="85882"/>
                <a:invGamma/>
              </a:srgbClr>
            </a:gs>
            <a:gs pos="100000">
              <a:srgbClr val="FFFFCC"/>
            </a:gs>
          </a:gsLst>
          <a:lin ang="0" scaled="1"/>
        </a:gradFill>
        <a:ln w="12700">
          <a:solidFill>
            <a:srgbClr val="808080"/>
          </a:solidFill>
          <a:prstDash val="solid"/>
        </a:ln>
      </c:spPr>
    </c:plotArea>
    <c:plotVisOnly val="1"/>
    <c:dispBlanksAs val="gap"/>
  </c:chart>
  <c:spPr>
    <a:gradFill rotWithShape="0">
      <a:gsLst>
        <a:gs pos="0">
          <a:srgbClr val="CCFFFF">
            <a:gamma/>
            <a:shade val="63529"/>
            <a:invGamma/>
          </a:srgbClr>
        </a:gs>
        <a:gs pos="100000">
          <a:srgbClr val="CCFFFF"/>
        </a:gs>
      </a:gsLst>
      <a:lin ang="2700000" scaled="1"/>
    </a:gradFill>
    <a:ln w="3175">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2"/>
  <c:userShapes r:id="rId3"/>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title>
      <c:tx>
        <c:rich>
          <a:bodyPr/>
          <a:lstStyle/>
          <a:p>
            <a:pPr>
              <a:defRPr lang="es-ES" sz="1050" b="1" i="0" u="none" strike="noStrike" baseline="0">
                <a:solidFill>
                  <a:srgbClr val="000000"/>
                </a:solidFill>
                <a:latin typeface="Times New Roman"/>
                <a:ea typeface="Times New Roman"/>
                <a:cs typeface="Times New Roman"/>
              </a:defRPr>
            </a:pPr>
            <a:r>
              <a:rPr lang="es-CR"/>
              <a:t>Gráfico Nº 34
Porcentaje de casos anulados en apelación según año. 
2011 - 2015</a:t>
            </a:r>
          </a:p>
        </c:rich>
      </c:tx>
      <c:layout>
        <c:manualLayout>
          <c:xMode val="edge"/>
          <c:yMode val="edge"/>
          <c:x val="0.16159999999999999"/>
          <c:y val="1.9851116625310312E-2"/>
        </c:manualLayout>
      </c:layout>
      <c:spPr>
        <a:noFill/>
        <a:ln w="25390">
          <a:noFill/>
        </a:ln>
      </c:spPr>
    </c:title>
    <c:plotArea>
      <c:layout>
        <c:manualLayout>
          <c:layoutTarget val="inner"/>
          <c:xMode val="edge"/>
          <c:yMode val="edge"/>
          <c:x val="0.12320009335806503"/>
          <c:y val="0.23204041618902718"/>
          <c:w val="0.83040000000000014"/>
          <c:h val="0.46511754646420989"/>
        </c:manualLayout>
      </c:layout>
      <c:lineChart>
        <c:grouping val="standard"/>
        <c:ser>
          <c:idx val="1"/>
          <c:order val="0"/>
          <c:tx>
            <c:strRef>
              <c:f>Sheet1!$A$2</c:f>
              <c:strCache>
                <c:ptCount val="1"/>
                <c:pt idx="0">
                  <c:v>tasa q</c:v>
                </c:pt>
              </c:strCache>
            </c:strRef>
          </c:tx>
          <c:spPr>
            <a:ln w="25390">
              <a:solidFill>
                <a:srgbClr val="003300"/>
              </a:solidFill>
              <a:prstDash val="solid"/>
            </a:ln>
          </c:spPr>
          <c:marker>
            <c:symbol val="diamond"/>
            <c:size val="6"/>
            <c:spPr>
              <a:solidFill>
                <a:srgbClr val="003300"/>
              </a:solidFill>
              <a:ln>
                <a:solidFill>
                  <a:srgbClr val="003300"/>
                </a:solidFill>
                <a:prstDash val="solid"/>
              </a:ln>
            </c:spPr>
          </c:marker>
          <c:dLbls>
            <c:dLbl>
              <c:idx val="0"/>
              <c:layout>
                <c:manualLayout>
                  <c:x val="-3.7840668902346601E-2"/>
                  <c:y val="-4.99988862899205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D90-4196-9A39-148A0E2B7594}"/>
                </c:ext>
              </c:extLst>
            </c:dLbl>
            <c:dLbl>
              <c:idx val="1"/>
              <c:layout>
                <c:manualLayout>
                  <c:x val="-4.5520776673586318E-2"/>
                  <c:y val="-5.775330449749051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D90-4196-9A39-148A0E2B7594}"/>
                </c:ext>
              </c:extLst>
            </c:dLbl>
            <c:dLbl>
              <c:idx val="2"/>
              <c:layout>
                <c:manualLayout>
                  <c:x val="-4.2000679712227804E-2"/>
                  <c:y val="-6.302616914027663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D90-4196-9A39-148A0E2B7594}"/>
                </c:ext>
              </c:extLst>
            </c:dLbl>
            <c:dLbl>
              <c:idx val="3"/>
              <c:layout>
                <c:manualLayout>
                  <c:x val="-4.1680582750868556E-2"/>
                  <c:y val="-5.030923524303450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D90-4196-9A39-148A0E2B7594}"/>
                </c:ext>
              </c:extLst>
            </c:dLbl>
            <c:dLbl>
              <c:idx val="4"/>
              <c:layout>
                <c:manualLayout>
                  <c:x val="-4.77606905221096E-2"/>
                  <c:y val="-5.651268431843567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D90-4196-9A39-148A0E2B7594}"/>
                </c:ext>
              </c:extLst>
            </c:dLbl>
            <c:dLbl>
              <c:idx val="5"/>
              <c:layout>
                <c:manualLayout>
                  <c:x val="0.42231932389107008"/>
                  <c:y val="-1.2597594383120822E-2"/>
                </c:manualLayout>
              </c:layout>
              <c:numFmt formatCode="0.0" sourceLinked="0"/>
              <c:spPr>
                <a:noFill/>
                <a:ln w="25390">
                  <a:noFill/>
                </a:ln>
              </c:spPr>
              <c:txPr>
                <a:bodyPr/>
                <a:lstStyle/>
                <a:p>
                  <a:pPr>
                    <a:defRPr lang="es-ES" sz="1025" b="1" i="0" u="none" strike="noStrike" baseline="0">
                      <a:solidFill>
                        <a:srgbClr val="000000"/>
                      </a:solidFill>
                      <a:latin typeface="Arial"/>
                      <a:ea typeface="Arial"/>
                      <a:cs typeface="Arial"/>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D90-4196-9A39-148A0E2B7594}"/>
                </c:ext>
              </c:extLst>
            </c:dLbl>
            <c:dLbl>
              <c:idx val="6"/>
              <c:layout>
                <c:manualLayout>
                  <c:x val="9.0159219723119591E-2"/>
                  <c:y val="-0.22987303067807166"/>
                </c:manualLayout>
              </c:layout>
              <c:numFmt formatCode="0.0" sourceLinked="0"/>
              <c:spPr>
                <a:noFill/>
                <a:ln w="25390">
                  <a:noFill/>
                </a:ln>
              </c:spPr>
              <c:txPr>
                <a:bodyPr/>
                <a:lstStyle/>
                <a:p>
                  <a:pPr>
                    <a:defRPr lang="es-ES" sz="1025" b="1" i="0" u="none" strike="noStrike" baseline="0">
                      <a:solidFill>
                        <a:srgbClr val="000000"/>
                      </a:solidFill>
                      <a:latin typeface="Arial"/>
                      <a:ea typeface="Arial"/>
                      <a:cs typeface="Arial"/>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D90-4196-9A39-148A0E2B7594}"/>
                </c:ext>
              </c:extLst>
            </c:dLbl>
            <c:dLbl>
              <c:idx val="7"/>
              <c:layout>
                <c:manualLayout>
                  <c:x val="4.2799320287772107E-2"/>
                  <c:y val="-0.25312893932195046"/>
                </c:manualLayout>
              </c:layout>
              <c:numFmt formatCode="0.0" sourceLinked="0"/>
              <c:spPr>
                <a:noFill/>
                <a:ln w="25390">
                  <a:noFill/>
                </a:ln>
              </c:spPr>
              <c:txPr>
                <a:bodyPr/>
                <a:lstStyle/>
                <a:p>
                  <a:pPr>
                    <a:defRPr lang="es-ES" sz="1025" b="1" i="0" u="none" strike="noStrike" baseline="0">
                      <a:solidFill>
                        <a:srgbClr val="000000"/>
                      </a:solidFill>
                      <a:latin typeface="Arial"/>
                      <a:ea typeface="Arial"/>
                      <a:cs typeface="Arial"/>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D90-4196-9A39-148A0E2B7594}"/>
                </c:ext>
              </c:extLst>
            </c:dLbl>
            <c:dLbl>
              <c:idx val="8"/>
              <c:layout>
                <c:manualLayout>
                  <c:x val="-1.256057914757547E-2"/>
                  <c:y val="-0.2415011416033469"/>
                </c:manualLayout>
              </c:layout>
              <c:numFmt formatCode="0.0" sourceLinked="0"/>
              <c:spPr>
                <a:noFill/>
                <a:ln w="25390">
                  <a:noFill/>
                </a:ln>
              </c:spPr>
              <c:txPr>
                <a:bodyPr/>
                <a:lstStyle/>
                <a:p>
                  <a:pPr>
                    <a:defRPr lang="es-ES" sz="1025" b="1" i="0" u="none" strike="noStrike" baseline="0">
                      <a:solidFill>
                        <a:srgbClr val="000000"/>
                      </a:solidFill>
                      <a:latin typeface="Arial"/>
                      <a:ea typeface="Arial"/>
                      <a:cs typeface="Arial"/>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D90-4196-9A39-148A0E2B7594}"/>
                </c:ext>
              </c:extLst>
            </c:dLbl>
            <c:dLbl>
              <c:idx val="9"/>
              <c:layout>
                <c:manualLayout>
                  <c:x val="-5.1920683315518884E-2"/>
                  <c:y val="-0.2242948586992578"/>
                </c:manualLayout>
              </c:layout>
              <c:numFmt formatCode="0.0" sourceLinked="0"/>
              <c:spPr>
                <a:noFill/>
                <a:ln w="25390">
                  <a:noFill/>
                </a:ln>
              </c:spPr>
              <c:txPr>
                <a:bodyPr/>
                <a:lstStyle/>
                <a:p>
                  <a:pPr>
                    <a:defRPr lang="es-ES" sz="1025" b="1" i="0" u="none" strike="noStrike" baseline="0">
                      <a:solidFill>
                        <a:srgbClr val="000000"/>
                      </a:solidFill>
                      <a:latin typeface="Arial"/>
                      <a:ea typeface="Arial"/>
                      <a:cs typeface="Arial"/>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D90-4196-9A39-148A0E2B7594}"/>
                </c:ext>
              </c:extLst>
            </c:dLbl>
            <c:numFmt formatCode="0.0" sourceLinked="0"/>
            <c:spPr>
              <a:noFill/>
              <a:ln w="25390">
                <a:noFill/>
              </a:ln>
            </c:spPr>
            <c:txPr>
              <a:bodyPr/>
              <a:lstStyle/>
              <a:p>
                <a:pPr>
                  <a:defRPr lang="es-ES" sz="1025" b="1"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Sheet1!$B$1:$P$1</c:f>
              <c:numCache>
                <c:formatCode>General</c:formatCode>
                <c:ptCount val="5"/>
                <c:pt idx="0">
                  <c:v>2011</c:v>
                </c:pt>
                <c:pt idx="1">
                  <c:v>2012</c:v>
                </c:pt>
                <c:pt idx="2">
                  <c:v>2013</c:v>
                </c:pt>
                <c:pt idx="3">
                  <c:v>2014</c:v>
                </c:pt>
                <c:pt idx="4">
                  <c:v>2015</c:v>
                </c:pt>
              </c:numCache>
            </c:numRef>
          </c:cat>
          <c:val>
            <c:numRef>
              <c:f>Sheet1!$B$2:$P$2</c:f>
              <c:numCache>
                <c:formatCode>General</c:formatCode>
                <c:ptCount val="5"/>
                <c:pt idx="0">
                  <c:v>9.3000000000000007</c:v>
                </c:pt>
                <c:pt idx="1">
                  <c:v>8.2000000000000011</c:v>
                </c:pt>
                <c:pt idx="2">
                  <c:v>7.7</c:v>
                </c:pt>
                <c:pt idx="3">
                  <c:v>8.1</c:v>
                </c:pt>
                <c:pt idx="4">
                  <c:v>8.1</c:v>
                </c:pt>
              </c:numCache>
            </c:numRef>
          </c:val>
          <c:extLst xmlns:c16r2="http://schemas.microsoft.com/office/drawing/2015/06/chart">
            <c:ext xmlns:c16="http://schemas.microsoft.com/office/drawing/2014/chart" uri="{C3380CC4-5D6E-409C-BE32-E72D297353CC}">
              <c16:uniqueId val="{0000000A-1D90-4196-9A39-148A0E2B7594}"/>
            </c:ext>
          </c:extLst>
        </c:ser>
        <c:dLbls>
          <c:showVal val="1"/>
        </c:dLbls>
        <c:marker val="1"/>
        <c:axId val="116798976"/>
        <c:axId val="116800896"/>
      </c:lineChart>
      <c:catAx>
        <c:axId val="116798976"/>
        <c:scaling>
          <c:orientation val="minMax"/>
        </c:scaling>
        <c:axPos val="b"/>
        <c:title>
          <c:tx>
            <c:rich>
              <a:bodyPr/>
              <a:lstStyle/>
              <a:p>
                <a:pPr>
                  <a:defRPr lang="es-ES" sz="1000"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45539593237272796"/>
              <c:y val="0.79444340042220252"/>
            </c:manualLayout>
          </c:layout>
          <c:spPr>
            <a:noFill/>
            <a:ln w="25390">
              <a:noFill/>
            </a:ln>
          </c:spPr>
        </c:title>
        <c:numFmt formatCode="General" sourceLinked="1"/>
        <c:tickLblPos val="nextTo"/>
        <c:spPr>
          <a:ln w="3174">
            <a:solidFill>
              <a:srgbClr val="000000"/>
            </a:solidFill>
            <a:prstDash val="solid"/>
          </a:ln>
        </c:spPr>
        <c:txPr>
          <a:bodyPr rot="0" vert="horz"/>
          <a:lstStyle/>
          <a:p>
            <a:pPr>
              <a:defRPr lang="es-ES" sz="1000" b="1" i="0" u="none" strike="noStrike" baseline="0">
                <a:solidFill>
                  <a:srgbClr val="000000"/>
                </a:solidFill>
                <a:latin typeface="Times New Roman"/>
                <a:ea typeface="Times New Roman"/>
                <a:cs typeface="Times New Roman"/>
              </a:defRPr>
            </a:pPr>
            <a:endParaRPr lang="es-CR"/>
          </a:p>
        </c:txPr>
        <c:crossAx val="116800896"/>
        <c:crosses val="autoZero"/>
        <c:auto val="1"/>
        <c:lblAlgn val="ctr"/>
        <c:lblOffset val="100"/>
        <c:tickLblSkip val="1"/>
        <c:tickMarkSkip val="1"/>
      </c:catAx>
      <c:valAx>
        <c:axId val="116800896"/>
        <c:scaling>
          <c:orientation val="minMax"/>
          <c:max val="12"/>
        </c:scaling>
        <c:axPos val="l"/>
        <c:majorGridlines>
          <c:spPr>
            <a:ln w="3174">
              <a:solidFill>
                <a:srgbClr val="000000"/>
              </a:solidFill>
              <a:prstDash val="solid"/>
            </a:ln>
          </c:spPr>
        </c:majorGridlines>
        <c:title>
          <c:tx>
            <c:rich>
              <a:bodyPr rot="0" vert="wordArtVert"/>
              <a:lstStyle/>
              <a:p>
                <a:pPr algn="ctr">
                  <a:defRPr lang="es-ES" sz="1050" b="1" i="0" u="none" strike="noStrike" baseline="0">
                    <a:solidFill>
                      <a:srgbClr val="000000"/>
                    </a:solidFill>
                    <a:latin typeface="Times New Roman"/>
                    <a:ea typeface="Times New Roman"/>
                    <a:cs typeface="Times New Roman"/>
                  </a:defRPr>
                </a:pPr>
                <a:r>
                  <a:rPr lang="es-CR"/>
                  <a:t>TASA</a:t>
                </a:r>
              </a:p>
            </c:rich>
          </c:tx>
          <c:layout>
            <c:manualLayout>
              <c:xMode val="edge"/>
              <c:yMode val="edge"/>
              <c:x val="4.8000000000000004E-3"/>
              <c:y val="0.42183622828784573"/>
            </c:manualLayout>
          </c:layout>
          <c:spPr>
            <a:noFill/>
            <a:ln w="25390">
              <a:noFill/>
            </a:ln>
          </c:spPr>
        </c:title>
        <c:numFmt formatCode="General" sourceLinked="1"/>
        <c:tickLblPos val="nextTo"/>
        <c:spPr>
          <a:ln w="3174">
            <a:solidFill>
              <a:srgbClr val="000000"/>
            </a:solidFill>
            <a:prstDash val="solid"/>
          </a:ln>
        </c:spPr>
        <c:txPr>
          <a:bodyPr rot="0" vert="horz"/>
          <a:lstStyle/>
          <a:p>
            <a:pPr>
              <a:defRPr lang="es-ES" sz="1000" b="1" i="0" u="none" strike="noStrike" baseline="0">
                <a:solidFill>
                  <a:srgbClr val="000000"/>
                </a:solidFill>
                <a:latin typeface="Times New Roman"/>
                <a:ea typeface="Times New Roman"/>
                <a:cs typeface="Times New Roman"/>
              </a:defRPr>
            </a:pPr>
            <a:endParaRPr lang="es-CR"/>
          </a:p>
        </c:txPr>
        <c:crossAx val="116798976"/>
        <c:crosses val="autoZero"/>
        <c:crossBetween val="between"/>
        <c:majorUnit val="2"/>
      </c:valAx>
      <c:spPr>
        <a:gradFill rotWithShape="0">
          <a:gsLst>
            <a:gs pos="0">
              <a:srgbClr val="FFCC99"/>
            </a:gs>
            <a:gs pos="50000">
              <a:srgbClr val="FFFF99"/>
            </a:gs>
            <a:gs pos="100000">
              <a:srgbClr val="FFCC99"/>
            </a:gs>
          </a:gsLst>
          <a:lin ang="5400000" scaled="1"/>
        </a:gradFill>
        <a:ln w="12695">
          <a:solidFill>
            <a:srgbClr val="808080"/>
          </a:solidFill>
          <a:prstDash val="solid"/>
        </a:ln>
      </c:spPr>
    </c:plotArea>
    <c:plotVisOnly val="1"/>
    <c:dispBlanksAs val="gap"/>
  </c:chart>
  <c:spPr>
    <a:gradFill rotWithShape="0">
      <a:gsLst>
        <a:gs pos="0">
          <a:srgbClr val="CCFFFF">
            <a:gamma/>
            <a:shade val="57255"/>
            <a:invGamma/>
          </a:srgbClr>
        </a:gs>
        <a:gs pos="50000">
          <a:srgbClr val="CCFFFF"/>
        </a:gs>
        <a:gs pos="100000">
          <a:srgbClr val="CCFFFF">
            <a:gamma/>
            <a:shade val="57255"/>
            <a:invGamma/>
          </a:srgbClr>
        </a:gs>
      </a:gsLst>
      <a:lin ang="5400000" scaled="1"/>
    </a:gradFill>
    <a:ln w="3174">
      <a:solidFill>
        <a:srgbClr val="000000"/>
      </a:solidFill>
      <a:prstDash val="solid"/>
    </a:ln>
    <a:effectLst>
      <a:outerShdw dist="35921" dir="2700000" algn="br">
        <a:srgbClr val="000000"/>
      </a:outerShdw>
    </a:effectLst>
  </c:spPr>
  <c:txPr>
    <a:bodyPr/>
    <a:lstStyle/>
    <a:p>
      <a:pPr>
        <a:defRPr sz="1424" b="1" i="0" u="none" strike="noStrike" baseline="0">
          <a:solidFill>
            <a:srgbClr val="000000"/>
          </a:solidFill>
          <a:latin typeface="Arial"/>
          <a:ea typeface="Arial"/>
          <a:cs typeface="Arial"/>
        </a:defRPr>
      </a:pPr>
      <a:endParaRPr lang="es-CR"/>
    </a:p>
  </c:txPr>
  <c:externalData r:id="rId2"/>
  <c:userShapes r:id="rId3"/>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title>
      <c:tx>
        <c:rich>
          <a:bodyPr/>
          <a:lstStyle/>
          <a:p>
            <a:pPr>
              <a:defRPr lang="es-ES" sz="974" b="1" i="0" u="none" strike="noStrike" baseline="0">
                <a:solidFill>
                  <a:srgbClr val="000000"/>
                </a:solidFill>
                <a:latin typeface="Times New Roman"/>
                <a:ea typeface="Times New Roman"/>
                <a:cs typeface="Times New Roman"/>
              </a:defRPr>
            </a:pPr>
            <a:r>
              <a:rPr lang="es-CR"/>
              <a:t>Gráfico Nº 35
Comportamiento estadístico anual del volumen de planteamientos de la población usuaria ante la Contraloría de Servicios del Poder Judicial desde el 2009</a:t>
            </a:r>
          </a:p>
        </c:rich>
      </c:tx>
      <c:layout>
        <c:manualLayout>
          <c:xMode val="edge"/>
          <c:yMode val="edge"/>
          <c:x val="0.10000000000000003"/>
          <c:y val="1.9277108433734941E-2"/>
        </c:manualLayout>
      </c:layout>
      <c:spPr>
        <a:noFill/>
        <a:ln w="25386">
          <a:noFill/>
        </a:ln>
      </c:spPr>
    </c:title>
    <c:plotArea>
      <c:layout>
        <c:manualLayout>
          <c:layoutTarget val="inner"/>
          <c:xMode val="edge"/>
          <c:yMode val="edge"/>
          <c:x val="0.14745762711864405"/>
          <c:y val="0.24263752123791937"/>
          <c:w val="0.80169491525423764"/>
          <c:h val="0.50000602985293729"/>
        </c:manualLayout>
      </c:layout>
      <c:lineChart>
        <c:grouping val="standard"/>
        <c:ser>
          <c:idx val="0"/>
          <c:order val="0"/>
          <c:tx>
            <c:strRef>
              <c:f>Sheet1!$A$2</c:f>
              <c:strCache>
                <c:ptCount val="1"/>
                <c:pt idx="0">
                  <c:v>Total</c:v>
                </c:pt>
              </c:strCache>
            </c:strRef>
          </c:tx>
          <c:spPr>
            <a:ln w="12693">
              <a:solidFill>
                <a:srgbClr val="000000"/>
              </a:solidFill>
              <a:prstDash val="solid"/>
            </a:ln>
          </c:spPr>
          <c:marker>
            <c:symbol val="star"/>
            <c:size val="3"/>
            <c:spPr>
              <a:solidFill>
                <a:srgbClr val="FFFFFF"/>
              </a:solidFill>
              <a:ln>
                <a:solidFill>
                  <a:srgbClr val="000000"/>
                </a:solidFill>
                <a:prstDash val="solid"/>
              </a:ln>
            </c:spPr>
          </c:marker>
          <c:dLbls>
            <c:spPr>
              <a:noFill/>
              <a:ln>
                <a:noFill/>
              </a:ln>
              <a:effectLst/>
            </c:spPr>
            <c:txPr>
              <a:bodyPr/>
              <a:lstStyle/>
              <a:p>
                <a:pPr>
                  <a:defRPr lang="es-ES" sz="900">
                    <a:latin typeface="Times New Roman" pitchFamily="18" charset="0"/>
                    <a:cs typeface="Times New Roman" pitchFamily="18" charset="0"/>
                  </a:defRPr>
                </a:pPr>
                <a:endParaRPr lang="es-CR"/>
              </a:p>
            </c:txPr>
            <c:dLblPos val="t"/>
            <c:showVal val="1"/>
            <c:extLst xmlns:c16r2="http://schemas.microsoft.com/office/drawing/2015/06/chart">
              <c:ext xmlns:c15="http://schemas.microsoft.com/office/drawing/2012/chart" uri="{CE6537A1-D6FC-4f65-9D91-7224C49458BB}">
                <c15:showLeaderLines val="0"/>
              </c:ext>
            </c:extLst>
          </c:dLbls>
          <c:cat>
            <c:numRef>
              <c:f>Sheet1!$B$1:$N$1</c:f>
              <c:numCache>
                <c:formatCode>General</c:formatCode>
                <c:ptCount val="7"/>
                <c:pt idx="0">
                  <c:v>2009</c:v>
                </c:pt>
                <c:pt idx="1">
                  <c:v>2010</c:v>
                </c:pt>
                <c:pt idx="2">
                  <c:v>2011</c:v>
                </c:pt>
                <c:pt idx="3">
                  <c:v>2012</c:v>
                </c:pt>
                <c:pt idx="4">
                  <c:v>2013</c:v>
                </c:pt>
                <c:pt idx="5">
                  <c:v>2014</c:v>
                </c:pt>
                <c:pt idx="6">
                  <c:v>2015</c:v>
                </c:pt>
              </c:numCache>
            </c:numRef>
          </c:cat>
          <c:val>
            <c:numRef>
              <c:f>Sheet1!$B$2:$N$2</c:f>
              <c:numCache>
                <c:formatCode>#,##0</c:formatCode>
                <c:ptCount val="7"/>
                <c:pt idx="0">
                  <c:v>6113</c:v>
                </c:pt>
                <c:pt idx="1">
                  <c:v>6172</c:v>
                </c:pt>
                <c:pt idx="2">
                  <c:v>6369</c:v>
                </c:pt>
                <c:pt idx="3">
                  <c:v>6122</c:v>
                </c:pt>
                <c:pt idx="4">
                  <c:v>6808</c:v>
                </c:pt>
                <c:pt idx="5">
                  <c:v>7488</c:v>
                </c:pt>
                <c:pt idx="6">
                  <c:v>8456</c:v>
                </c:pt>
              </c:numCache>
            </c:numRef>
          </c:val>
          <c:smooth val="1"/>
          <c:extLst xmlns:c16r2="http://schemas.microsoft.com/office/drawing/2015/06/chart">
            <c:ext xmlns:c16="http://schemas.microsoft.com/office/drawing/2014/chart" uri="{C3380CC4-5D6E-409C-BE32-E72D297353CC}">
              <c16:uniqueId val="{00000000-6151-49EF-BFFC-65CE9B1C81B3}"/>
            </c:ext>
          </c:extLst>
        </c:ser>
        <c:dLbls>
          <c:showVal val="1"/>
        </c:dLbls>
        <c:marker val="1"/>
        <c:axId val="116867072"/>
        <c:axId val="116868992"/>
      </c:lineChart>
      <c:catAx>
        <c:axId val="116867072"/>
        <c:scaling>
          <c:orientation val="minMax"/>
        </c:scaling>
        <c:axPos val="b"/>
        <c:title>
          <c:tx>
            <c:rich>
              <a:bodyPr/>
              <a:lstStyle/>
              <a:p>
                <a:pPr>
                  <a:defRPr lang="es-ES" sz="974"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4701944348806858"/>
              <c:y val="0.83078337552316162"/>
            </c:manualLayout>
          </c:layout>
          <c:spPr>
            <a:noFill/>
            <a:ln w="25386">
              <a:noFill/>
            </a:ln>
          </c:spPr>
        </c:title>
        <c:numFmt formatCode="General" sourceLinked="1"/>
        <c:tickLblPos val="nextTo"/>
        <c:spPr>
          <a:ln w="3173">
            <a:solidFill>
              <a:srgbClr val="000000"/>
            </a:solidFill>
            <a:prstDash val="solid"/>
          </a:ln>
        </c:spPr>
        <c:txPr>
          <a:bodyPr rot="0" vert="horz"/>
          <a:lstStyle/>
          <a:p>
            <a:pPr>
              <a:defRPr lang="es-ES" sz="974" b="1" i="0" u="none" strike="noStrike" baseline="0">
                <a:solidFill>
                  <a:srgbClr val="000000"/>
                </a:solidFill>
                <a:latin typeface="Times New Roman"/>
                <a:ea typeface="Times New Roman"/>
                <a:cs typeface="Times New Roman"/>
              </a:defRPr>
            </a:pPr>
            <a:endParaRPr lang="es-CR"/>
          </a:p>
        </c:txPr>
        <c:crossAx val="116868992"/>
        <c:crossesAt val="0"/>
        <c:auto val="1"/>
        <c:lblAlgn val="ctr"/>
        <c:lblOffset val="100"/>
        <c:tickLblSkip val="1"/>
        <c:tickMarkSkip val="1"/>
      </c:catAx>
      <c:valAx>
        <c:axId val="116868992"/>
        <c:scaling>
          <c:orientation val="minMax"/>
          <c:max val="10000"/>
          <c:min val="0"/>
        </c:scaling>
        <c:axPos val="l"/>
        <c:majorGridlines>
          <c:spPr>
            <a:ln w="3173">
              <a:solidFill>
                <a:srgbClr val="000000"/>
              </a:solidFill>
              <a:prstDash val="solid"/>
            </a:ln>
          </c:spPr>
        </c:majorGridlines>
        <c:title>
          <c:tx>
            <c:rich>
              <a:bodyPr rot="0" vert="wordArtVert"/>
              <a:lstStyle/>
              <a:p>
                <a:pPr algn="ctr">
                  <a:defRPr lang="es-ES" sz="1049" b="1" i="0" u="none" strike="noStrike" baseline="0">
                    <a:solidFill>
                      <a:srgbClr val="000000"/>
                    </a:solidFill>
                    <a:latin typeface="Times New Roman"/>
                    <a:ea typeface="Times New Roman"/>
                    <a:cs typeface="Times New Roman"/>
                  </a:defRPr>
                </a:pPr>
                <a:r>
                  <a:rPr lang="es-CR"/>
                  <a:t>TOTAL</a:t>
                </a:r>
              </a:p>
            </c:rich>
          </c:tx>
          <c:layout>
            <c:manualLayout>
              <c:xMode val="edge"/>
              <c:yMode val="edge"/>
              <c:x val="1.7141143248183138E-2"/>
              <c:y val="0.37679814385150812"/>
            </c:manualLayout>
          </c:layout>
          <c:spPr>
            <a:noFill/>
            <a:ln w="25386">
              <a:noFill/>
            </a:ln>
          </c:spPr>
        </c:title>
        <c:numFmt formatCode="#,##0" sourceLinked="1"/>
        <c:tickLblPos val="nextTo"/>
        <c:spPr>
          <a:ln w="3173">
            <a:solidFill>
              <a:srgbClr val="000000"/>
            </a:solidFill>
            <a:prstDash val="solid"/>
          </a:ln>
        </c:spPr>
        <c:txPr>
          <a:bodyPr rot="0" vert="horz"/>
          <a:lstStyle/>
          <a:p>
            <a:pPr>
              <a:defRPr lang="es-ES" sz="974" b="1" i="0" u="none" strike="noStrike" baseline="0">
                <a:solidFill>
                  <a:srgbClr val="000000"/>
                </a:solidFill>
                <a:latin typeface="Times New Roman"/>
                <a:ea typeface="Times New Roman"/>
                <a:cs typeface="Times New Roman"/>
              </a:defRPr>
            </a:pPr>
            <a:endParaRPr lang="es-CR"/>
          </a:p>
        </c:txPr>
        <c:crossAx val="116867072"/>
        <c:crosses val="autoZero"/>
        <c:crossBetween val="between"/>
        <c:majorUnit val="10000"/>
        <c:minorUnit val="1000"/>
      </c:valAx>
      <c:spPr>
        <a:gradFill rotWithShape="0">
          <a:gsLst>
            <a:gs pos="0">
              <a:srgbClr val="FFFFCC"/>
            </a:gs>
            <a:gs pos="50000">
              <a:srgbClr val="FFFFFF"/>
            </a:gs>
            <a:gs pos="100000">
              <a:srgbClr val="FFFFCC"/>
            </a:gs>
          </a:gsLst>
          <a:lin ang="5400000" scaled="1"/>
        </a:gradFill>
        <a:ln w="12693">
          <a:solidFill>
            <a:srgbClr val="808080"/>
          </a:solidFill>
          <a:prstDash val="solid"/>
        </a:ln>
      </c:spPr>
    </c:plotArea>
    <c:plotVisOnly val="1"/>
    <c:dispBlanksAs val="gap"/>
  </c:chart>
  <c:spPr>
    <a:gradFill rotWithShape="0">
      <a:gsLst>
        <a:gs pos="0">
          <a:srgbClr val="CCFFFF">
            <a:gamma/>
            <a:shade val="76078"/>
            <a:invGamma/>
          </a:srgbClr>
        </a:gs>
        <a:gs pos="50000">
          <a:srgbClr val="CCFFFF"/>
        </a:gs>
        <a:gs pos="100000">
          <a:srgbClr val="CCFFFF">
            <a:gamma/>
            <a:shade val="76078"/>
            <a:invGamma/>
          </a:srgbClr>
        </a:gs>
      </a:gsLst>
      <a:lin ang="5400000" scaled="1"/>
    </a:gradFill>
    <a:ln w="3173">
      <a:solidFill>
        <a:srgbClr val="000000"/>
      </a:solidFill>
      <a:prstDash val="solid"/>
    </a:ln>
    <a:effectLst>
      <a:outerShdw dist="35921" dir="2700000" algn="br">
        <a:srgbClr val="000000"/>
      </a:outerShdw>
    </a:effectLst>
  </c:spPr>
  <c:txPr>
    <a:bodyPr/>
    <a:lstStyle/>
    <a:p>
      <a:pPr>
        <a:defRPr sz="1199" b="1" i="0" u="none" strike="noStrike" baseline="0">
          <a:solidFill>
            <a:srgbClr val="000000"/>
          </a:solidFill>
          <a:latin typeface="Arial"/>
          <a:ea typeface="Arial"/>
          <a:cs typeface="Arial"/>
        </a:defRPr>
      </a:pPr>
      <a:endParaRPr lang="es-CR"/>
    </a:p>
  </c:txPr>
  <c:externalData r:id="rId2"/>
  <c:userShapes r:id="rId3"/>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title>
      <c:tx>
        <c:rich>
          <a:bodyPr/>
          <a:lstStyle/>
          <a:p>
            <a:pPr>
              <a:defRPr lang="es-ES" sz="975" b="1" i="0" u="none" strike="noStrike" baseline="0">
                <a:solidFill>
                  <a:srgbClr val="000000"/>
                </a:solidFill>
                <a:latin typeface="Times New Roman"/>
                <a:ea typeface="Times New Roman"/>
                <a:cs typeface="Times New Roman"/>
              </a:defRPr>
            </a:pPr>
            <a:r>
              <a:rPr lang="es-CR" sz="1000" b="1" i="0" u="none" strike="noStrike" baseline="0">
                <a:solidFill>
                  <a:srgbClr val="000000"/>
                </a:solidFill>
                <a:latin typeface="Arial"/>
                <a:cs typeface="Arial"/>
              </a:rPr>
              <a:t>Gráfico Nº 36</a:t>
            </a:r>
          </a:p>
          <a:p>
            <a:pPr>
              <a:defRPr lang="es-ES" sz="975" b="1" i="0" u="none" strike="noStrike" baseline="0">
                <a:solidFill>
                  <a:srgbClr val="000000"/>
                </a:solidFill>
                <a:latin typeface="Times New Roman"/>
                <a:ea typeface="Times New Roman"/>
                <a:cs typeface="Times New Roman"/>
              </a:defRPr>
            </a:pPr>
            <a:r>
              <a:rPr lang="es-CR" sz="1000" b="1" i="0" u="none" strike="noStrike" baseline="0">
                <a:solidFill>
                  <a:srgbClr val="000000"/>
                </a:solidFill>
                <a:latin typeface="Arial"/>
                <a:cs typeface="Arial"/>
              </a:rPr>
              <a:t>Comportamiento estadístico anual de la Tasa de Gestiones ante la Contraloría de Servicios del Poder Judicial para el </a:t>
            </a:r>
          </a:p>
          <a:p>
            <a:pPr>
              <a:defRPr lang="es-ES" sz="975" b="1" i="0" u="none" strike="noStrike" baseline="0">
                <a:solidFill>
                  <a:srgbClr val="000000"/>
                </a:solidFill>
                <a:latin typeface="Times New Roman"/>
                <a:ea typeface="Times New Roman"/>
                <a:cs typeface="Times New Roman"/>
              </a:defRPr>
            </a:pPr>
            <a:r>
              <a:rPr lang="es-CR" sz="1000" b="1" i="0" u="none" strike="noStrike" baseline="0">
                <a:solidFill>
                  <a:srgbClr val="000000"/>
                </a:solidFill>
                <a:latin typeface="Arial"/>
                <a:cs typeface="Arial"/>
              </a:rPr>
              <a:t>período 2009-2015</a:t>
            </a:r>
          </a:p>
          <a:p>
            <a:pPr>
              <a:defRPr lang="es-ES" sz="975" b="1" i="0" u="none" strike="noStrike" baseline="0">
                <a:solidFill>
                  <a:srgbClr val="000000"/>
                </a:solidFill>
                <a:latin typeface="Times New Roman"/>
                <a:ea typeface="Times New Roman"/>
                <a:cs typeface="Times New Roman"/>
              </a:defRPr>
            </a:pPr>
            <a:r>
              <a:rPr lang="es-CR" sz="800" b="1" i="0" u="none" strike="noStrike" baseline="0">
                <a:solidFill>
                  <a:srgbClr val="000000"/>
                </a:solidFill>
                <a:latin typeface="Calibri"/>
              </a:rPr>
              <a:t>- Valores expresados por cada 10 mil casos de la carga de trabajo -</a:t>
            </a:r>
          </a:p>
        </c:rich>
      </c:tx>
      <c:layout>
        <c:manualLayout>
          <c:xMode val="edge"/>
          <c:yMode val="edge"/>
          <c:x val="0.10677966101694999"/>
          <c:y val="1.9277108433734941E-2"/>
        </c:manualLayout>
      </c:layout>
      <c:spPr>
        <a:noFill/>
        <a:ln w="25400">
          <a:noFill/>
        </a:ln>
      </c:spPr>
    </c:title>
    <c:plotArea>
      <c:layout>
        <c:manualLayout>
          <c:layoutTarget val="inner"/>
          <c:xMode val="edge"/>
          <c:yMode val="edge"/>
          <c:x val="0.12308931680569631"/>
          <c:y val="0.27788729135076401"/>
          <c:w val="0.82881355932203349"/>
          <c:h val="0.47373537110379726"/>
        </c:manualLayout>
      </c:layout>
      <c:lineChart>
        <c:grouping val="standard"/>
        <c:ser>
          <c:idx val="0"/>
          <c:order val="0"/>
          <c:tx>
            <c:strRef>
              <c:f>Sheet1!$A$2</c:f>
              <c:strCache>
                <c:ptCount val="1"/>
                <c:pt idx="0">
                  <c:v>Total</c:v>
                </c:pt>
              </c:strCache>
            </c:strRef>
          </c:tx>
          <c:spPr>
            <a:ln w="25400">
              <a:solidFill>
                <a:srgbClr val="000000"/>
              </a:solidFill>
              <a:prstDash val="solid"/>
            </a:ln>
          </c:spPr>
          <c:marker>
            <c:symbol val="star"/>
            <c:size val="3"/>
            <c:spPr>
              <a:solidFill>
                <a:srgbClr val="FFFFFF"/>
              </a:solidFill>
              <a:ln>
                <a:solidFill>
                  <a:srgbClr val="000000"/>
                </a:solidFill>
                <a:prstDash val="solid"/>
              </a:ln>
            </c:spPr>
          </c:marker>
          <c:dLbls>
            <c:spPr>
              <a:noFill/>
              <a:ln>
                <a:noFill/>
              </a:ln>
              <a:effectLst/>
            </c:spPr>
            <c:txPr>
              <a:bodyPr/>
              <a:lstStyle/>
              <a:p>
                <a:pPr>
                  <a:defRPr lang="es-ES" sz="900">
                    <a:latin typeface="Times New Roman" pitchFamily="18" charset="0"/>
                    <a:cs typeface="Times New Roman" pitchFamily="18" charset="0"/>
                  </a:defRPr>
                </a:pPr>
                <a:endParaRPr lang="es-CR"/>
              </a:p>
            </c:txPr>
            <c:dLblPos val="t"/>
            <c:showVal val="1"/>
            <c:extLst xmlns:c16r2="http://schemas.microsoft.com/office/drawing/2015/06/chart">
              <c:ext xmlns:c15="http://schemas.microsoft.com/office/drawing/2012/chart" uri="{CE6537A1-D6FC-4f65-9D91-7224C49458BB}">
                <c15:showLeaderLines val="0"/>
              </c:ext>
            </c:extLst>
          </c:dLbls>
          <c:cat>
            <c:numRef>
              <c:f>Sheet1!$B$1:$N$1</c:f>
              <c:numCache>
                <c:formatCode>General</c:formatCode>
                <c:ptCount val="7"/>
                <c:pt idx="0">
                  <c:v>2009</c:v>
                </c:pt>
                <c:pt idx="1">
                  <c:v>2010</c:v>
                </c:pt>
                <c:pt idx="2">
                  <c:v>2011</c:v>
                </c:pt>
                <c:pt idx="3">
                  <c:v>2012</c:v>
                </c:pt>
                <c:pt idx="4">
                  <c:v>2013</c:v>
                </c:pt>
                <c:pt idx="5">
                  <c:v>2014</c:v>
                </c:pt>
                <c:pt idx="6">
                  <c:v>2015</c:v>
                </c:pt>
              </c:numCache>
            </c:numRef>
          </c:cat>
          <c:val>
            <c:numRef>
              <c:f>Sheet1!$B$2:$N$2</c:f>
              <c:numCache>
                <c:formatCode>General</c:formatCode>
                <c:ptCount val="7"/>
                <c:pt idx="0">
                  <c:v>46.1</c:v>
                </c:pt>
                <c:pt idx="1">
                  <c:v>43.4</c:v>
                </c:pt>
                <c:pt idx="2">
                  <c:v>41.2</c:v>
                </c:pt>
                <c:pt idx="3">
                  <c:v>41.1</c:v>
                </c:pt>
                <c:pt idx="4">
                  <c:v>43</c:v>
                </c:pt>
                <c:pt idx="5">
                  <c:v>44.3</c:v>
                </c:pt>
                <c:pt idx="6" formatCode="0.0">
                  <c:v>49.24</c:v>
                </c:pt>
              </c:numCache>
            </c:numRef>
          </c:val>
          <c:smooth val="1"/>
          <c:extLst xmlns:c16r2="http://schemas.microsoft.com/office/drawing/2015/06/chart">
            <c:ext xmlns:c16="http://schemas.microsoft.com/office/drawing/2014/chart" uri="{C3380CC4-5D6E-409C-BE32-E72D297353CC}">
              <c16:uniqueId val="{00000000-90A7-4934-83DA-3CFDD4992024}"/>
            </c:ext>
          </c:extLst>
        </c:ser>
        <c:dLbls>
          <c:showVal val="1"/>
        </c:dLbls>
        <c:marker val="1"/>
        <c:axId val="116893568"/>
        <c:axId val="116948992"/>
      </c:lineChart>
      <c:catAx>
        <c:axId val="116893568"/>
        <c:scaling>
          <c:orientation val="minMax"/>
        </c:scaling>
        <c:axPos val="b"/>
        <c:title>
          <c:tx>
            <c:rich>
              <a:bodyPr/>
              <a:lstStyle/>
              <a:p>
                <a:pPr>
                  <a:defRPr lang="es-ES" sz="975"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44288971751554346"/>
              <c:y val="0.83263465149798233"/>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s-ES" sz="975" b="1" i="0" u="none" strike="noStrike" baseline="0">
                <a:solidFill>
                  <a:srgbClr val="000000"/>
                </a:solidFill>
                <a:latin typeface="Times New Roman"/>
                <a:ea typeface="Times New Roman"/>
                <a:cs typeface="Times New Roman"/>
              </a:defRPr>
            </a:pPr>
            <a:endParaRPr lang="es-CR"/>
          </a:p>
        </c:txPr>
        <c:crossAx val="116948992"/>
        <c:crossesAt val="0"/>
        <c:auto val="1"/>
        <c:lblAlgn val="ctr"/>
        <c:lblOffset val="100"/>
        <c:tickLblSkip val="1"/>
        <c:tickMarkSkip val="1"/>
      </c:catAx>
      <c:valAx>
        <c:axId val="116948992"/>
        <c:scaling>
          <c:orientation val="minMax"/>
          <c:max val="60"/>
          <c:min val="30"/>
        </c:scaling>
        <c:axPos val="l"/>
        <c:majorGridlines>
          <c:spPr>
            <a:ln w="3175">
              <a:solidFill>
                <a:srgbClr val="000000"/>
              </a:solidFill>
              <a:prstDash val="solid"/>
            </a:ln>
          </c:spPr>
        </c:majorGridlines>
        <c:title>
          <c:tx>
            <c:rich>
              <a:bodyPr rot="0" vert="wordArtVert"/>
              <a:lstStyle/>
              <a:p>
                <a:pPr algn="ctr">
                  <a:defRPr lang="es-ES" sz="1050" b="1" i="0" u="none" strike="noStrike" baseline="0">
                    <a:solidFill>
                      <a:srgbClr val="000000"/>
                    </a:solidFill>
                    <a:latin typeface="Times New Roman"/>
                    <a:ea typeface="Times New Roman"/>
                    <a:cs typeface="Times New Roman"/>
                  </a:defRPr>
                </a:pPr>
                <a:r>
                  <a:rPr lang="es-CR"/>
                  <a:t>TASA</a:t>
                </a:r>
              </a:p>
            </c:rich>
          </c:tx>
          <c:layout>
            <c:manualLayout>
              <c:xMode val="edge"/>
              <c:yMode val="edge"/>
              <c:x val="1.1640593193177645E-2"/>
              <c:y val="0.37573031039333543"/>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s-ES" sz="975" b="1" i="0" u="none" strike="noStrike" baseline="0">
                <a:solidFill>
                  <a:srgbClr val="000000"/>
                </a:solidFill>
                <a:latin typeface="Times New Roman"/>
                <a:ea typeface="Times New Roman"/>
                <a:cs typeface="Times New Roman"/>
              </a:defRPr>
            </a:pPr>
            <a:endParaRPr lang="es-CR"/>
          </a:p>
        </c:txPr>
        <c:crossAx val="116893568"/>
        <c:crosses val="autoZero"/>
        <c:crossBetween val="between"/>
        <c:majorUnit val="10"/>
        <c:minorUnit val="10"/>
      </c:valAx>
      <c:spPr>
        <a:gradFill rotWithShape="0">
          <a:gsLst>
            <a:gs pos="0">
              <a:srgbClr val="FFFFCC"/>
            </a:gs>
            <a:gs pos="50000">
              <a:srgbClr val="FFFFFF"/>
            </a:gs>
            <a:gs pos="100000">
              <a:srgbClr val="FFFFCC"/>
            </a:gs>
          </a:gsLst>
          <a:lin ang="5400000" scaled="1"/>
        </a:gradFill>
        <a:ln w="12700">
          <a:solidFill>
            <a:srgbClr val="808080"/>
          </a:solidFill>
          <a:prstDash val="solid"/>
        </a:ln>
      </c:spPr>
    </c:plotArea>
    <c:plotVisOnly val="1"/>
    <c:dispBlanksAs val="gap"/>
  </c:chart>
  <c:spPr>
    <a:gradFill rotWithShape="0">
      <a:gsLst>
        <a:gs pos="0">
          <a:srgbClr val="CCFFFF">
            <a:gamma/>
            <a:shade val="76078"/>
            <a:invGamma/>
          </a:srgbClr>
        </a:gs>
        <a:gs pos="50000">
          <a:srgbClr val="CCFFFF"/>
        </a:gs>
        <a:gs pos="100000">
          <a:srgbClr val="CCFFFF">
            <a:gamma/>
            <a:shade val="76078"/>
            <a:invGamma/>
          </a:srgbClr>
        </a:gs>
      </a:gsLst>
      <a:lin ang="5400000" scaled="1"/>
    </a:gradFill>
    <a:ln w="3175">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2"/>
  <c:userShapes r:id="rId3"/>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title>
      <c:tx>
        <c:rich>
          <a:bodyPr/>
          <a:lstStyle/>
          <a:p>
            <a:pPr>
              <a:defRPr lang="es-ES" sz="996" b="1" i="0" u="none" strike="noStrike" baseline="0">
                <a:solidFill>
                  <a:srgbClr val="000000"/>
                </a:solidFill>
                <a:latin typeface="Times New Roman"/>
                <a:ea typeface="Times New Roman"/>
                <a:cs typeface="Times New Roman"/>
              </a:defRPr>
            </a:pPr>
            <a:r>
              <a:rPr lang="es-CR" sz="999" b="1" i="0" u="none" strike="noStrike" baseline="0">
                <a:solidFill>
                  <a:srgbClr val="000000"/>
                </a:solidFill>
                <a:latin typeface="Arial"/>
                <a:cs typeface="Arial"/>
              </a:rPr>
              <a:t>Gráfico Nº 37</a:t>
            </a:r>
          </a:p>
          <a:p>
            <a:pPr>
              <a:defRPr lang="es-ES" sz="996" b="1" i="0" u="none" strike="noStrike" baseline="0">
                <a:solidFill>
                  <a:srgbClr val="000000"/>
                </a:solidFill>
                <a:latin typeface="Times New Roman"/>
                <a:ea typeface="Times New Roman"/>
                <a:cs typeface="Times New Roman"/>
              </a:defRPr>
            </a:pPr>
            <a:r>
              <a:rPr lang="es-CR" sz="999" b="1" i="0" u="none" strike="noStrike" baseline="0">
                <a:solidFill>
                  <a:srgbClr val="000000"/>
                </a:solidFill>
                <a:latin typeface="Arial"/>
                <a:cs typeface="Arial"/>
              </a:rPr>
              <a:t>Tasa de denuncia por delito ingresada en </a:t>
            </a:r>
          </a:p>
          <a:p>
            <a:pPr>
              <a:defRPr lang="es-ES" sz="996" b="1" i="0" u="none" strike="noStrike" baseline="0">
                <a:solidFill>
                  <a:srgbClr val="000000"/>
                </a:solidFill>
                <a:latin typeface="Times New Roman"/>
                <a:ea typeface="Times New Roman"/>
                <a:cs typeface="Times New Roman"/>
              </a:defRPr>
            </a:pPr>
            <a:r>
              <a:rPr lang="es-CR" sz="999" b="1" i="0" u="none" strike="noStrike" baseline="0">
                <a:solidFill>
                  <a:srgbClr val="000000"/>
                </a:solidFill>
                <a:latin typeface="Arial"/>
                <a:cs typeface="Arial"/>
              </a:rPr>
              <a:t>el Ministerio Público desde el 2012</a:t>
            </a:r>
          </a:p>
          <a:p>
            <a:pPr>
              <a:defRPr lang="es-ES" sz="996" b="1" i="0" u="none" strike="noStrike" baseline="0">
                <a:solidFill>
                  <a:srgbClr val="000000"/>
                </a:solidFill>
                <a:latin typeface="Times New Roman"/>
                <a:ea typeface="Times New Roman"/>
                <a:cs typeface="Times New Roman"/>
              </a:defRPr>
            </a:pPr>
            <a:r>
              <a:rPr lang="es-CR" sz="800" b="1" i="0" u="none" strike="noStrike" baseline="0">
                <a:solidFill>
                  <a:srgbClr val="000000"/>
                </a:solidFill>
                <a:latin typeface="Arial"/>
                <a:cs typeface="Arial"/>
              </a:rPr>
              <a:t>(denuncias por 100 mil habitantes)</a:t>
            </a:r>
          </a:p>
        </c:rich>
      </c:tx>
      <c:layout>
        <c:manualLayout>
          <c:xMode val="edge"/>
          <c:yMode val="edge"/>
          <c:x val="0.228099173553719"/>
          <c:y val="0"/>
        </c:manualLayout>
      </c:layout>
      <c:spPr>
        <a:noFill/>
        <a:ln w="25385">
          <a:noFill/>
        </a:ln>
      </c:spPr>
    </c:title>
    <c:plotArea>
      <c:layout>
        <c:manualLayout>
          <c:layoutTarget val="inner"/>
          <c:xMode val="edge"/>
          <c:yMode val="edge"/>
          <c:x val="0.1241966432939849"/>
          <c:y val="0.25822341261050774"/>
          <c:w val="0.80661157024793351"/>
          <c:h val="0.507151056245848"/>
        </c:manualLayout>
      </c:layout>
      <c:lineChart>
        <c:grouping val="standard"/>
        <c:ser>
          <c:idx val="0"/>
          <c:order val="0"/>
          <c:tx>
            <c:strRef>
              <c:f>Sheet1!$A$2</c:f>
              <c:strCache>
                <c:ptCount val="1"/>
                <c:pt idx="0">
                  <c:v>Tasa</c:v>
                </c:pt>
              </c:strCache>
            </c:strRef>
          </c:tx>
          <c:spPr>
            <a:ln w="25385">
              <a:solidFill>
                <a:srgbClr val="0000FF"/>
              </a:solidFill>
              <a:prstDash val="solid"/>
            </a:ln>
          </c:spPr>
          <c:marker>
            <c:symbol val="diamond"/>
            <c:size val="6"/>
            <c:spPr>
              <a:solidFill>
                <a:srgbClr val="0000FF"/>
              </a:solidFill>
              <a:ln>
                <a:solidFill>
                  <a:srgbClr val="000080"/>
                </a:solidFill>
                <a:prstDash val="solid"/>
              </a:ln>
            </c:spPr>
          </c:marker>
          <c:dLbls>
            <c:dLbl>
              <c:idx val="0"/>
              <c:layout>
                <c:manualLayout>
                  <c:x val="-4.8058820022033183E-2"/>
                  <c:y val="-6.932811084036473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204-4A49-ADE9-F47D210186E2}"/>
                </c:ext>
              </c:extLst>
            </c:dLbl>
            <c:dLbl>
              <c:idx val="1"/>
              <c:layout>
                <c:manualLayout>
                  <c:x val="-4.2549242769174683E-2"/>
                  <c:y val="-6.788322559424313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204-4A49-ADE9-F47D210186E2}"/>
                </c:ext>
              </c:extLst>
            </c:dLbl>
            <c:dLbl>
              <c:idx val="2"/>
              <c:layout>
                <c:manualLayout>
                  <c:x val="-5.3568591136153094E-2"/>
                  <c:y val="-5.547980479422162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204-4A49-ADE9-F47D210186E2}"/>
                </c:ext>
              </c:extLst>
            </c:dLbl>
            <c:dLbl>
              <c:idx val="3"/>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204-4A49-ADE9-F47D210186E2}"/>
                </c:ext>
              </c:extLst>
            </c:dLbl>
            <c:dLbl>
              <c:idx val="4"/>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204-4A49-ADE9-F47D210186E2}"/>
                </c:ext>
              </c:extLst>
            </c:dLbl>
            <c:dLbl>
              <c:idx val="5"/>
              <c:layout>
                <c:manualLayout>
                  <c:x val="0.4247075445668701"/>
                  <c:y val="0.11789501312335966"/>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204-4A49-ADE9-F47D210186E2}"/>
                </c:ext>
              </c:extLst>
            </c:dLbl>
            <c:dLbl>
              <c:idx val="6"/>
              <c:layout>
                <c:manualLayout>
                  <c:x val="0.35440454360500545"/>
                  <c:y val="7.8861389129427903E-2"/>
                </c:manualLayout>
              </c:layout>
              <c:spPr>
                <a:noFill/>
                <a:ln w="25385">
                  <a:noFill/>
                </a:ln>
              </c:spPr>
              <c:txPr>
                <a:bodyPr/>
                <a:lstStyle/>
                <a:p>
                  <a:pPr>
                    <a:defRPr lang="es-ES" sz="899" b="1" i="0" u="none" strike="noStrike" baseline="0">
                      <a:solidFill>
                        <a:srgbClr val="000000"/>
                      </a:solidFill>
                      <a:latin typeface="Arial"/>
                      <a:ea typeface="Arial"/>
                      <a:cs typeface="Arial"/>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204-4A49-ADE9-F47D210186E2}"/>
                </c:ext>
              </c:extLst>
            </c:dLbl>
            <c:dLbl>
              <c:idx val="7"/>
              <c:layout>
                <c:manualLayout>
                  <c:x val="0.30063046826297402"/>
                  <c:y val="0.12279035516979817"/>
                </c:manualLayout>
              </c:layout>
              <c:spPr>
                <a:noFill/>
                <a:ln w="25385">
                  <a:noFill/>
                </a:ln>
              </c:spPr>
              <c:txPr>
                <a:bodyPr/>
                <a:lstStyle/>
                <a:p>
                  <a:pPr>
                    <a:defRPr lang="es-ES" sz="899" b="1" i="0" u="none" strike="noStrike" baseline="0">
                      <a:solidFill>
                        <a:srgbClr val="000000"/>
                      </a:solidFill>
                      <a:latin typeface="Arial"/>
                      <a:ea typeface="Arial"/>
                      <a:cs typeface="Arial"/>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204-4A49-ADE9-F47D210186E2}"/>
                </c:ext>
              </c:extLst>
            </c:dLbl>
            <c:dLbl>
              <c:idx val="8"/>
              <c:layout>
                <c:manualLayout>
                  <c:x val="0.24520350035896191"/>
                  <c:y val="0.16203563109598509"/>
                </c:manualLayout>
              </c:layout>
              <c:spPr>
                <a:noFill/>
                <a:ln w="25385">
                  <a:noFill/>
                </a:ln>
              </c:spPr>
              <c:txPr>
                <a:bodyPr/>
                <a:lstStyle/>
                <a:p>
                  <a:pPr>
                    <a:defRPr lang="es-ES" sz="899" b="1" i="0" u="none" strike="noStrike" baseline="0">
                      <a:solidFill>
                        <a:srgbClr val="000000"/>
                      </a:solidFill>
                      <a:latin typeface="Arial"/>
                      <a:ea typeface="Arial"/>
                      <a:cs typeface="Arial"/>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204-4A49-ADE9-F47D210186E2}"/>
                </c:ext>
              </c:extLst>
            </c:dLbl>
            <c:dLbl>
              <c:idx val="9"/>
              <c:layout>
                <c:manualLayout>
                  <c:x val="0.2013467803888275"/>
                  <c:y val="0.27619253411737854"/>
                </c:manualLayout>
              </c:layout>
              <c:spPr>
                <a:noFill/>
                <a:ln w="25385">
                  <a:noFill/>
                </a:ln>
              </c:spPr>
              <c:txPr>
                <a:bodyPr/>
                <a:lstStyle/>
                <a:p>
                  <a:pPr>
                    <a:defRPr lang="es-ES" sz="899" b="1" i="0" u="none" strike="noStrike" baseline="0">
                      <a:solidFill>
                        <a:srgbClr val="000000"/>
                      </a:solidFill>
                      <a:latin typeface="Arial"/>
                      <a:ea typeface="Arial"/>
                      <a:cs typeface="Arial"/>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204-4A49-ADE9-F47D210186E2}"/>
                </c:ext>
              </c:extLst>
            </c:dLbl>
            <c:spPr>
              <a:noFill/>
              <a:ln w="25385">
                <a:noFill/>
              </a:ln>
            </c:spPr>
            <c:txPr>
              <a:bodyPr/>
              <a:lstStyle/>
              <a:p>
                <a:pPr>
                  <a:defRPr lang="es-ES" sz="899"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Sheet1!$B$1:$P$1</c:f>
              <c:numCache>
                <c:formatCode>General</c:formatCode>
                <c:ptCount val="4"/>
                <c:pt idx="0">
                  <c:v>2012</c:v>
                </c:pt>
                <c:pt idx="1">
                  <c:v>2013</c:v>
                </c:pt>
                <c:pt idx="2">
                  <c:v>2014</c:v>
                </c:pt>
                <c:pt idx="3">
                  <c:v>2015</c:v>
                </c:pt>
              </c:numCache>
            </c:numRef>
          </c:cat>
          <c:val>
            <c:numRef>
              <c:f>Sheet1!$B$2:$P$2</c:f>
              <c:numCache>
                <c:formatCode>#,##0</c:formatCode>
                <c:ptCount val="4"/>
                <c:pt idx="0">
                  <c:v>3051</c:v>
                </c:pt>
                <c:pt idx="1">
                  <c:v>3330</c:v>
                </c:pt>
                <c:pt idx="2">
                  <c:v>3466</c:v>
                </c:pt>
                <c:pt idx="3">
                  <c:v>3194</c:v>
                </c:pt>
              </c:numCache>
            </c:numRef>
          </c:val>
          <c:smooth val="1"/>
          <c:extLst xmlns:c16r2="http://schemas.microsoft.com/office/drawing/2015/06/chart">
            <c:ext xmlns:c16="http://schemas.microsoft.com/office/drawing/2014/chart" uri="{C3380CC4-5D6E-409C-BE32-E72D297353CC}">
              <c16:uniqueId val="{0000000A-E204-4A49-ADE9-F47D210186E2}"/>
            </c:ext>
          </c:extLst>
        </c:ser>
        <c:dLbls>
          <c:showVal val="1"/>
        </c:dLbls>
        <c:marker val="1"/>
        <c:axId val="116925952"/>
        <c:axId val="116927872"/>
      </c:lineChart>
      <c:catAx>
        <c:axId val="116925952"/>
        <c:scaling>
          <c:orientation val="minMax"/>
        </c:scaling>
        <c:axPos val="b"/>
        <c:title>
          <c:tx>
            <c:rich>
              <a:bodyPr/>
              <a:lstStyle/>
              <a:p>
                <a:pPr>
                  <a:defRPr lang="es-ES" sz="924"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48829273756239405"/>
              <c:y val="0.85656604305535833"/>
            </c:manualLayout>
          </c:layout>
          <c:spPr>
            <a:noFill/>
            <a:ln w="25385">
              <a:noFill/>
            </a:ln>
          </c:spPr>
        </c:title>
        <c:numFmt formatCode="General" sourceLinked="1"/>
        <c:tickLblPos val="nextTo"/>
        <c:spPr>
          <a:ln w="3173">
            <a:solidFill>
              <a:srgbClr val="000000"/>
            </a:solidFill>
            <a:prstDash val="solid"/>
          </a:ln>
        </c:spPr>
        <c:txPr>
          <a:bodyPr rot="0" vert="horz"/>
          <a:lstStyle/>
          <a:p>
            <a:pPr>
              <a:defRPr lang="es-ES" sz="924" b="1" i="0" u="none" strike="noStrike" baseline="0">
                <a:solidFill>
                  <a:srgbClr val="000000"/>
                </a:solidFill>
                <a:latin typeface="Times New Roman"/>
                <a:ea typeface="Times New Roman"/>
                <a:cs typeface="Times New Roman"/>
              </a:defRPr>
            </a:pPr>
            <a:endParaRPr lang="es-CR"/>
          </a:p>
        </c:txPr>
        <c:crossAx val="116927872"/>
        <c:crosses val="autoZero"/>
        <c:auto val="1"/>
        <c:lblAlgn val="ctr"/>
        <c:lblOffset val="100"/>
        <c:tickLblSkip val="1"/>
        <c:tickMarkSkip val="1"/>
      </c:catAx>
      <c:valAx>
        <c:axId val="116927872"/>
        <c:scaling>
          <c:orientation val="minMax"/>
          <c:max val="5000"/>
        </c:scaling>
        <c:axPos val="l"/>
        <c:majorGridlines>
          <c:spPr>
            <a:ln w="3173">
              <a:solidFill>
                <a:srgbClr val="000000"/>
              </a:solidFill>
              <a:prstDash val="solid"/>
            </a:ln>
          </c:spPr>
        </c:majorGridlines>
        <c:title>
          <c:tx>
            <c:rich>
              <a:bodyPr rot="0" vert="wordArtVert"/>
              <a:lstStyle/>
              <a:p>
                <a:pPr algn="ctr">
                  <a:defRPr lang="es-ES" sz="999" b="1" i="0" u="none" strike="noStrike" baseline="0">
                    <a:solidFill>
                      <a:srgbClr val="000000"/>
                    </a:solidFill>
                    <a:latin typeface="Times New Roman"/>
                    <a:ea typeface="Times New Roman"/>
                    <a:cs typeface="Times New Roman"/>
                  </a:defRPr>
                </a:pPr>
                <a:r>
                  <a:rPr lang="es-CR"/>
                  <a:t>TASA</a:t>
                </a:r>
              </a:p>
            </c:rich>
          </c:tx>
          <c:layout>
            <c:manualLayout>
              <c:xMode val="edge"/>
              <c:yMode val="edge"/>
              <c:x val="3.3663002269643832E-2"/>
              <c:y val="0.35581925341173776"/>
            </c:manualLayout>
          </c:layout>
          <c:spPr>
            <a:noFill/>
            <a:ln w="25385">
              <a:noFill/>
            </a:ln>
          </c:spPr>
        </c:title>
        <c:numFmt formatCode="#,##0" sourceLinked="1"/>
        <c:tickLblPos val="nextTo"/>
        <c:spPr>
          <a:ln w="3173">
            <a:solidFill>
              <a:srgbClr val="000000"/>
            </a:solidFill>
            <a:prstDash val="solid"/>
          </a:ln>
        </c:spPr>
        <c:txPr>
          <a:bodyPr rot="0" vert="horz"/>
          <a:lstStyle/>
          <a:p>
            <a:pPr>
              <a:defRPr lang="es-ES" sz="924" b="1" i="0" u="none" strike="noStrike" baseline="0">
                <a:solidFill>
                  <a:srgbClr val="000000"/>
                </a:solidFill>
                <a:latin typeface="Times New Roman"/>
                <a:ea typeface="Times New Roman"/>
                <a:cs typeface="Times New Roman"/>
              </a:defRPr>
            </a:pPr>
            <a:endParaRPr lang="es-CR"/>
          </a:p>
        </c:txPr>
        <c:crossAx val="116925952"/>
        <c:crosses val="autoZero"/>
        <c:crossBetween val="between"/>
        <c:majorUnit val="5000"/>
      </c:valAx>
      <c:spPr>
        <a:gradFill rotWithShape="0">
          <a:gsLst>
            <a:gs pos="0">
              <a:srgbClr val="C0C0C0"/>
            </a:gs>
            <a:gs pos="50000">
              <a:srgbClr val="FFFF99"/>
            </a:gs>
            <a:gs pos="100000">
              <a:srgbClr val="C0C0C0"/>
            </a:gs>
          </a:gsLst>
          <a:lin ang="5400000" scaled="1"/>
        </a:gradFill>
        <a:ln w="12693">
          <a:solidFill>
            <a:srgbClr val="808080"/>
          </a:solidFill>
          <a:prstDash val="solid"/>
        </a:ln>
      </c:spPr>
    </c:plotArea>
    <c:plotVisOnly val="1"/>
    <c:dispBlanksAs val="gap"/>
  </c:chart>
  <c:spPr>
    <a:gradFill rotWithShape="0">
      <a:gsLst>
        <a:gs pos="25000">
          <a:srgbClr val="E3ECDF"/>
        </a:gs>
        <a:gs pos="0">
          <a:srgbClr val="1F497D">
            <a:lumMod val="20000"/>
            <a:lumOff val="80000"/>
          </a:srgbClr>
        </a:gs>
        <a:gs pos="50000">
          <a:srgbClr val="FFFFCC"/>
        </a:gs>
        <a:gs pos="100000">
          <a:srgbClr val="FFFFCC">
            <a:gamma/>
            <a:shade val="69804"/>
            <a:invGamma/>
          </a:srgbClr>
        </a:gs>
      </a:gsLst>
      <a:lin ang="2700000" scaled="1"/>
    </a:gradFill>
    <a:ln w="3173">
      <a:solidFill>
        <a:srgbClr val="000000"/>
      </a:solidFill>
      <a:prstDash val="solid"/>
    </a:ln>
    <a:effectLst>
      <a:outerShdw dist="35921" dir="2700000" algn="br">
        <a:srgbClr val="000000"/>
      </a:outerShdw>
    </a:effectLst>
  </c:spPr>
  <c:txPr>
    <a:bodyPr/>
    <a:lstStyle/>
    <a:p>
      <a:pPr>
        <a:defRPr sz="1199" b="1" i="0" u="none" strike="noStrike" baseline="0">
          <a:solidFill>
            <a:srgbClr val="000000"/>
          </a:solidFill>
          <a:latin typeface="Arial"/>
          <a:ea typeface="Arial"/>
          <a:cs typeface="Arial"/>
        </a:defRPr>
      </a:pPr>
      <a:endParaRPr lang="es-CR"/>
    </a:p>
  </c:txPr>
  <c:externalData r:id="rId2"/>
  <c:userShapes r:id="rId3"/>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title>
      <c:tx>
        <c:rich>
          <a:bodyPr/>
          <a:lstStyle/>
          <a:p>
            <a:pPr>
              <a:defRPr lang="es-ES" sz="999" b="1" i="0" u="none" strike="noStrike" baseline="0">
                <a:solidFill>
                  <a:srgbClr val="000000"/>
                </a:solidFill>
                <a:latin typeface="Times New Roman"/>
                <a:ea typeface="Times New Roman"/>
                <a:cs typeface="Times New Roman"/>
              </a:defRPr>
            </a:pPr>
            <a:r>
              <a:rPr lang="es-CR"/>
              <a:t>Gráfico Nº 38
Tasa de acusación para el período  2012-2015</a:t>
            </a:r>
          </a:p>
        </c:rich>
      </c:tx>
      <c:layout>
        <c:manualLayout>
          <c:xMode val="edge"/>
          <c:yMode val="edge"/>
          <c:x val="0.25546218487395189"/>
          <c:y val="1.9277108433734941E-2"/>
        </c:manualLayout>
      </c:layout>
      <c:spPr>
        <a:noFill/>
        <a:ln w="25386">
          <a:noFill/>
        </a:ln>
      </c:spPr>
    </c:title>
    <c:plotArea>
      <c:layout>
        <c:manualLayout>
          <c:layoutTarget val="inner"/>
          <c:xMode val="edge"/>
          <c:yMode val="edge"/>
          <c:x val="0.13449492070251595"/>
          <c:y val="0.20021869878532525"/>
          <c:w val="0.80168067226891282"/>
          <c:h val="0.5204819522569033"/>
        </c:manualLayout>
      </c:layout>
      <c:lineChart>
        <c:grouping val="standard"/>
        <c:ser>
          <c:idx val="0"/>
          <c:order val="0"/>
          <c:tx>
            <c:strRef>
              <c:f>Sheet1!$A$2</c:f>
              <c:strCache>
                <c:ptCount val="1"/>
              </c:strCache>
            </c:strRef>
          </c:tx>
          <c:spPr>
            <a:ln w="25386">
              <a:solidFill>
                <a:srgbClr val="008000"/>
              </a:solidFill>
              <a:prstDash val="solid"/>
            </a:ln>
          </c:spPr>
          <c:marker>
            <c:symbol val="diamond"/>
            <c:size val="4"/>
            <c:spPr>
              <a:solidFill>
                <a:srgbClr val="008000"/>
              </a:solidFill>
              <a:ln>
                <a:solidFill>
                  <a:srgbClr val="008000"/>
                </a:solidFill>
                <a:prstDash val="solid"/>
              </a:ln>
            </c:spPr>
          </c:marker>
          <c:dLbls>
            <c:dLbl>
              <c:idx val="6"/>
              <c:numFmt formatCode="0.0" sourceLinked="0"/>
              <c:spPr>
                <a:noFill/>
                <a:ln w="25386">
                  <a:noFill/>
                </a:ln>
              </c:spPr>
              <c:txPr>
                <a:bodyPr/>
                <a:lstStyle/>
                <a:p>
                  <a:pPr>
                    <a:defRPr lang="es-ES" sz="900" b="1" i="0" u="none" strike="noStrike" baseline="0">
                      <a:solidFill>
                        <a:srgbClr val="000000"/>
                      </a:solidFill>
                      <a:latin typeface="Arial"/>
                      <a:ea typeface="Arial"/>
                      <a:cs typeface="Arial"/>
                    </a:defRPr>
                  </a:pPr>
                  <a:endParaRPr lang="es-CR"/>
                </a:p>
              </c:txPr>
            </c:dLbl>
            <c:dLbl>
              <c:idx val="7"/>
              <c:numFmt formatCode="0.0" sourceLinked="0"/>
              <c:spPr>
                <a:noFill/>
                <a:ln w="25386">
                  <a:noFill/>
                </a:ln>
              </c:spPr>
              <c:txPr>
                <a:bodyPr/>
                <a:lstStyle/>
                <a:p>
                  <a:pPr>
                    <a:defRPr lang="es-ES" sz="900" b="1" i="0" u="none" strike="noStrike" baseline="0">
                      <a:solidFill>
                        <a:srgbClr val="000000"/>
                      </a:solidFill>
                      <a:latin typeface="Arial"/>
                      <a:ea typeface="Arial"/>
                      <a:cs typeface="Arial"/>
                    </a:defRPr>
                  </a:pPr>
                  <a:endParaRPr lang="es-CR"/>
                </a:p>
              </c:txPr>
            </c:dLbl>
            <c:dLbl>
              <c:idx val="8"/>
              <c:numFmt formatCode="0.0" sourceLinked="0"/>
              <c:spPr>
                <a:noFill/>
                <a:ln w="25386">
                  <a:noFill/>
                </a:ln>
              </c:spPr>
              <c:txPr>
                <a:bodyPr/>
                <a:lstStyle/>
                <a:p>
                  <a:pPr>
                    <a:defRPr lang="es-ES" sz="900" b="1" i="0" u="none" strike="noStrike" baseline="0">
                      <a:solidFill>
                        <a:srgbClr val="000000"/>
                      </a:solidFill>
                      <a:latin typeface="Arial"/>
                      <a:ea typeface="Arial"/>
                      <a:cs typeface="Arial"/>
                    </a:defRPr>
                  </a:pPr>
                  <a:endParaRPr lang="es-CR"/>
                </a:p>
              </c:txPr>
            </c:dLbl>
            <c:dLbl>
              <c:idx val="9"/>
              <c:numFmt formatCode="0.0" sourceLinked="0"/>
              <c:spPr>
                <a:noFill/>
                <a:ln w="25386">
                  <a:noFill/>
                </a:ln>
              </c:spPr>
              <c:txPr>
                <a:bodyPr/>
                <a:lstStyle/>
                <a:p>
                  <a:pPr>
                    <a:defRPr lang="es-ES" sz="900" b="1" i="0" u="none" strike="noStrike" baseline="0">
                      <a:solidFill>
                        <a:srgbClr val="000000"/>
                      </a:solidFill>
                      <a:latin typeface="Arial"/>
                      <a:ea typeface="Arial"/>
                      <a:cs typeface="Arial"/>
                    </a:defRPr>
                  </a:pPr>
                  <a:endParaRPr lang="es-CR"/>
                </a:p>
              </c:txPr>
            </c:dLbl>
            <c:numFmt formatCode="0.0" sourceLinked="0"/>
            <c:spPr>
              <a:noFill/>
              <a:ln w="25386">
                <a:noFill/>
              </a:ln>
            </c:spPr>
            <c:txPr>
              <a:bodyPr/>
              <a:lstStyle/>
              <a:p>
                <a:pPr>
                  <a:defRPr lang="es-ES" sz="900" b="1" i="0" u="none" strike="noStrike" baseline="0">
                    <a:solidFill>
                      <a:srgbClr val="000000"/>
                    </a:solidFill>
                    <a:latin typeface="Times New Roman"/>
                    <a:ea typeface="Times New Roman"/>
                    <a:cs typeface="Times New Roman"/>
                  </a:defRPr>
                </a:pPr>
                <a:endParaRPr lang="es-CR"/>
              </a:p>
            </c:txPr>
            <c:dLblPos val="b"/>
            <c:showVal val="1"/>
            <c:extLst xmlns:c16r2="http://schemas.microsoft.com/office/drawing/2015/06/chart">
              <c:ext xmlns:c15="http://schemas.microsoft.com/office/drawing/2012/chart" uri="{CE6537A1-D6FC-4f65-9D91-7224C49458BB}">
                <c15:showLeaderLines val="0"/>
              </c:ext>
            </c:extLst>
          </c:dLbls>
          <c:cat>
            <c:numRef>
              <c:f>Sheet1!$B$1:$P$1</c:f>
              <c:numCache>
                <c:formatCode>General</c:formatCode>
                <c:ptCount val="4"/>
                <c:pt idx="0">
                  <c:v>2012</c:v>
                </c:pt>
                <c:pt idx="1">
                  <c:v>2013</c:v>
                </c:pt>
                <c:pt idx="2">
                  <c:v>2014</c:v>
                </c:pt>
                <c:pt idx="3">
                  <c:v>2015</c:v>
                </c:pt>
              </c:numCache>
            </c:numRef>
          </c:cat>
          <c:val>
            <c:numRef>
              <c:f>Sheet1!$B$2:$P$2</c:f>
              <c:numCache>
                <c:formatCode>General</c:formatCode>
                <c:ptCount val="4"/>
                <c:pt idx="0">
                  <c:v>16.7</c:v>
                </c:pt>
                <c:pt idx="1">
                  <c:v>15.4</c:v>
                </c:pt>
                <c:pt idx="2">
                  <c:v>15</c:v>
                </c:pt>
                <c:pt idx="3">
                  <c:v>16.3</c:v>
                </c:pt>
              </c:numCache>
            </c:numRef>
          </c:val>
          <c:smooth val="1"/>
          <c:extLst xmlns:c16r2="http://schemas.microsoft.com/office/drawing/2015/06/chart">
            <c:ext xmlns:c16="http://schemas.microsoft.com/office/drawing/2014/chart" uri="{C3380CC4-5D6E-409C-BE32-E72D297353CC}">
              <c16:uniqueId val="{00000004-54B4-4834-BB04-87103D25AA83}"/>
            </c:ext>
          </c:extLst>
        </c:ser>
        <c:ser>
          <c:idx val="1"/>
          <c:order val="1"/>
          <c:tx>
            <c:strRef>
              <c:f>Sheet1!$A$3</c:f>
              <c:strCache>
                <c:ptCount val="1"/>
              </c:strCache>
            </c:strRef>
          </c:tx>
          <c:spPr>
            <a:ln w="25386">
              <a:solidFill>
                <a:srgbClr val="0000FF"/>
              </a:solidFill>
              <a:prstDash val="solid"/>
            </a:ln>
          </c:spPr>
          <c:marker>
            <c:symbol val="square"/>
            <c:size val="4"/>
            <c:spPr>
              <a:solidFill>
                <a:srgbClr val="0000FF"/>
              </a:solidFill>
              <a:ln>
                <a:solidFill>
                  <a:srgbClr val="0000FF"/>
                </a:solidFill>
                <a:prstDash val="solid"/>
              </a:ln>
            </c:spPr>
          </c:marker>
          <c:dLbls>
            <c:dLbl>
              <c:idx val="0"/>
              <c:layout>
                <c:manualLayout>
                  <c:x val="-5.1453850352079715E-2"/>
                  <c:y val="2.168674698795185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4B4-4834-BB04-87103D25AA83}"/>
                </c:ext>
              </c:extLst>
            </c:dLbl>
            <c:dLbl>
              <c:idx val="1"/>
              <c:layout>
                <c:manualLayout>
                  <c:x val="-4.9773327891152193E-2"/>
                  <c:y val="3.61445783132530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4B4-4834-BB04-87103D25AA83}"/>
                </c:ext>
              </c:extLst>
            </c:dLbl>
            <c:dLbl>
              <c:idx val="2"/>
              <c:layout>
                <c:manualLayout>
                  <c:x val="-4.6411918376381978E-2"/>
                  <c:y val="3.61445783132530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4B4-4834-BB04-87103D25AA83}"/>
                </c:ext>
              </c:extLst>
            </c:dLbl>
            <c:dLbl>
              <c:idx val="3"/>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4B4-4834-BB04-87103D25AA83}"/>
                </c:ext>
              </c:extLst>
            </c:dLbl>
            <c:dLbl>
              <c:idx val="4"/>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4B4-4834-BB04-87103D25AA83}"/>
                </c:ext>
              </c:extLst>
            </c:dLbl>
            <c:spPr>
              <a:noFill/>
              <a:ln w="25386">
                <a:noFill/>
              </a:ln>
            </c:spPr>
            <c:txPr>
              <a:bodyPr/>
              <a:lstStyle/>
              <a:p>
                <a:pPr>
                  <a:defRPr lang="es-ES" sz="875"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Sheet1!$B$1:$P$1</c:f>
              <c:numCache>
                <c:formatCode>General</c:formatCode>
                <c:ptCount val="4"/>
                <c:pt idx="0">
                  <c:v>2012</c:v>
                </c:pt>
                <c:pt idx="1">
                  <c:v>2013</c:v>
                </c:pt>
                <c:pt idx="2">
                  <c:v>2014</c:v>
                </c:pt>
                <c:pt idx="3">
                  <c:v>2015</c:v>
                </c:pt>
              </c:numCache>
            </c:numRef>
          </c:cat>
          <c:val>
            <c:numRef>
              <c:f>Sheet1!$B$3:$P$3</c:f>
              <c:numCache>
                <c:formatCode>General</c:formatCode>
                <c:ptCount val="4"/>
              </c:numCache>
            </c:numRef>
          </c:val>
          <c:extLst xmlns:c16r2="http://schemas.microsoft.com/office/drawing/2015/06/chart">
            <c:ext xmlns:c16="http://schemas.microsoft.com/office/drawing/2014/chart" uri="{C3380CC4-5D6E-409C-BE32-E72D297353CC}">
              <c16:uniqueId val="{0000000A-54B4-4834-BB04-87103D25AA83}"/>
            </c:ext>
          </c:extLst>
        </c:ser>
        <c:dLbls>
          <c:showVal val="1"/>
        </c:dLbls>
        <c:marker val="1"/>
        <c:axId val="117147904"/>
        <c:axId val="117150080"/>
      </c:lineChart>
      <c:catAx>
        <c:axId val="117147904"/>
        <c:scaling>
          <c:orientation val="minMax"/>
        </c:scaling>
        <c:axPos val="b"/>
        <c:title>
          <c:tx>
            <c:rich>
              <a:bodyPr/>
              <a:lstStyle/>
              <a:p>
                <a:pPr>
                  <a:defRPr lang="es-ES" sz="899"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48393144150393913"/>
              <c:y val="0.83730212990362896"/>
            </c:manualLayout>
          </c:layout>
          <c:spPr>
            <a:noFill/>
            <a:ln w="25386">
              <a:noFill/>
            </a:ln>
          </c:spPr>
        </c:title>
        <c:numFmt formatCode="General" sourceLinked="1"/>
        <c:tickLblPos val="nextTo"/>
        <c:spPr>
          <a:ln w="3173">
            <a:solidFill>
              <a:srgbClr val="000000"/>
            </a:solidFill>
            <a:prstDash val="solid"/>
          </a:ln>
        </c:spPr>
        <c:txPr>
          <a:bodyPr rot="0" vert="horz"/>
          <a:lstStyle/>
          <a:p>
            <a:pPr>
              <a:defRPr lang="es-ES" sz="899" b="1" i="0" u="none" strike="noStrike" baseline="0">
                <a:solidFill>
                  <a:srgbClr val="000000"/>
                </a:solidFill>
                <a:latin typeface="Times New Roman"/>
                <a:ea typeface="Times New Roman"/>
                <a:cs typeface="Times New Roman"/>
              </a:defRPr>
            </a:pPr>
            <a:endParaRPr lang="es-CR"/>
          </a:p>
        </c:txPr>
        <c:crossAx val="117150080"/>
        <c:crosses val="autoZero"/>
        <c:auto val="1"/>
        <c:lblAlgn val="ctr"/>
        <c:lblOffset val="100"/>
        <c:tickLblSkip val="1"/>
        <c:tickMarkSkip val="1"/>
      </c:catAx>
      <c:valAx>
        <c:axId val="117150080"/>
        <c:scaling>
          <c:orientation val="minMax"/>
          <c:max val="20"/>
          <c:min val="5"/>
        </c:scaling>
        <c:axPos val="l"/>
        <c:majorGridlines>
          <c:spPr>
            <a:ln w="3173">
              <a:solidFill>
                <a:srgbClr val="000000"/>
              </a:solidFill>
              <a:prstDash val="solid"/>
            </a:ln>
          </c:spPr>
        </c:majorGridlines>
        <c:title>
          <c:tx>
            <c:rich>
              <a:bodyPr rot="0" vert="wordArtVert"/>
              <a:lstStyle/>
              <a:p>
                <a:pPr algn="ctr">
                  <a:defRPr lang="es-ES" sz="675" b="1" i="0" u="none" strike="noStrike" baseline="0">
                    <a:solidFill>
                      <a:srgbClr val="000000"/>
                    </a:solidFill>
                    <a:latin typeface="Times New Roman"/>
                    <a:ea typeface="Times New Roman"/>
                    <a:cs typeface="Times New Roman"/>
                  </a:defRPr>
                </a:pPr>
                <a:r>
                  <a:rPr lang="es-CR"/>
                  <a:t>PORCENTAJE</a:t>
                </a:r>
              </a:p>
            </c:rich>
          </c:tx>
          <c:layout>
            <c:manualLayout>
              <c:xMode val="edge"/>
              <c:yMode val="edge"/>
              <c:x val="2.4615833052867291E-2"/>
              <c:y val="0.23977410789740888"/>
            </c:manualLayout>
          </c:layout>
          <c:spPr>
            <a:noFill/>
            <a:ln w="25386">
              <a:noFill/>
            </a:ln>
          </c:spPr>
        </c:title>
        <c:numFmt formatCode="General" sourceLinked="1"/>
        <c:tickLblPos val="nextTo"/>
        <c:spPr>
          <a:ln w="3173">
            <a:solidFill>
              <a:srgbClr val="000000"/>
            </a:solidFill>
            <a:prstDash val="solid"/>
          </a:ln>
        </c:spPr>
        <c:txPr>
          <a:bodyPr rot="0" vert="horz"/>
          <a:lstStyle/>
          <a:p>
            <a:pPr>
              <a:defRPr lang="es-ES" sz="899" b="1" i="0" u="none" strike="noStrike" baseline="0">
                <a:solidFill>
                  <a:srgbClr val="000000"/>
                </a:solidFill>
                <a:latin typeface="Times New Roman"/>
                <a:ea typeface="Times New Roman"/>
                <a:cs typeface="Times New Roman"/>
              </a:defRPr>
            </a:pPr>
            <a:endParaRPr lang="es-CR"/>
          </a:p>
        </c:txPr>
        <c:crossAx val="117147904"/>
        <c:crosses val="autoZero"/>
        <c:crossBetween val="between"/>
        <c:majorUnit val="3"/>
      </c:valAx>
      <c:spPr>
        <a:gradFill rotWithShape="0">
          <a:gsLst>
            <a:gs pos="0">
              <a:srgbClr val="CCFFFF"/>
            </a:gs>
            <a:gs pos="50000">
              <a:srgbClr val="CCFFFF">
                <a:gamma/>
                <a:shade val="76078"/>
                <a:invGamma/>
              </a:srgbClr>
            </a:gs>
            <a:gs pos="100000">
              <a:srgbClr val="CCFFFF"/>
            </a:gs>
          </a:gsLst>
          <a:lin ang="0" scaled="1"/>
        </a:gradFill>
        <a:ln w="12693">
          <a:solidFill>
            <a:srgbClr val="808080"/>
          </a:solidFill>
          <a:prstDash val="solid"/>
        </a:ln>
      </c:spPr>
    </c:plotArea>
    <c:plotVisOnly val="1"/>
    <c:dispBlanksAs val="gap"/>
  </c:chart>
  <c:spPr>
    <a:gradFill rotWithShape="0">
      <a:gsLst>
        <a:gs pos="0">
          <a:srgbClr val="FFFFCC"/>
        </a:gs>
        <a:gs pos="50000">
          <a:srgbClr val="FFFFCC">
            <a:gamma/>
            <a:shade val="76078"/>
            <a:invGamma/>
          </a:srgbClr>
        </a:gs>
        <a:gs pos="100000">
          <a:srgbClr val="FFFFCC"/>
        </a:gs>
      </a:gsLst>
      <a:lin ang="18900000" scaled="1"/>
    </a:gradFill>
    <a:ln w="3173">
      <a:solidFill>
        <a:srgbClr val="000000"/>
      </a:solidFill>
      <a:prstDash val="solid"/>
    </a:ln>
    <a:effectLst>
      <a:outerShdw dist="35921" dir="2700000" algn="br">
        <a:srgbClr val="000000"/>
      </a:outerShdw>
    </a:effectLst>
  </c:spPr>
  <c:txPr>
    <a:bodyPr/>
    <a:lstStyle/>
    <a:p>
      <a:pPr>
        <a:defRPr sz="1199" b="1" i="0" u="none" strike="noStrike" baseline="0">
          <a:solidFill>
            <a:srgbClr val="000000"/>
          </a:solidFill>
          <a:latin typeface="Arial"/>
          <a:ea typeface="Arial"/>
          <a:cs typeface="Arial"/>
        </a:defRPr>
      </a:pPr>
      <a:endParaRPr lang="es-CR"/>
    </a:p>
  </c:txPr>
  <c:externalData r:id="rId2"/>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CR"/>
  <c:chart>
    <c:title>
      <c:tx>
        <c:rich>
          <a:bodyPr/>
          <a:lstStyle/>
          <a:p>
            <a:pPr>
              <a:defRPr lang="es-ES" sz="950" b="1" i="0" u="none" strike="noStrike" baseline="0">
                <a:solidFill>
                  <a:srgbClr val="000000"/>
                </a:solidFill>
                <a:latin typeface="Times New Roman"/>
                <a:ea typeface="Times New Roman"/>
                <a:cs typeface="Times New Roman"/>
              </a:defRPr>
            </a:pPr>
            <a:r>
              <a:rPr lang="es-CR"/>
              <a:t>Gráfico Nº 4 
Porcentaje del presupuesto devengado respecto del presupuestado según año 2011 -2015</a:t>
            </a:r>
          </a:p>
        </c:rich>
      </c:tx>
      <c:layout>
        <c:manualLayout>
          <c:xMode val="edge"/>
          <c:yMode val="edge"/>
          <c:x val="0.18806509945750499"/>
          <c:y val="1.9662921348314669E-2"/>
        </c:manualLayout>
      </c:layout>
      <c:spPr>
        <a:noFill/>
        <a:ln w="25400">
          <a:noFill/>
        </a:ln>
      </c:spPr>
    </c:title>
    <c:view3D>
      <c:hPercent val="46"/>
      <c:depthPercent val="100"/>
      <c:rAngAx val="1"/>
    </c:view3D>
    <c:floor>
      <c:spPr>
        <a:solidFill>
          <a:srgbClr val="C0C0C0"/>
        </a:solidFill>
        <a:ln w="3175">
          <a:solidFill>
            <a:srgbClr val="000000"/>
          </a:solidFill>
          <a:prstDash val="solid"/>
        </a:ln>
      </c:spPr>
    </c:floor>
    <c:sideWall>
      <c:spPr>
        <a:gradFill rotWithShape="0">
          <a:gsLst>
            <a:gs pos="0">
              <a:srgbClr val="FFFFCC">
                <a:gamma/>
                <a:shade val="72941"/>
                <a:invGamma/>
              </a:srgbClr>
            </a:gs>
            <a:gs pos="50000">
              <a:srgbClr val="FFFFCC"/>
            </a:gs>
            <a:gs pos="100000">
              <a:srgbClr val="FFFFCC">
                <a:gamma/>
                <a:shade val="72941"/>
                <a:invGamma/>
              </a:srgbClr>
            </a:gs>
          </a:gsLst>
          <a:lin ang="18900000" scaled="1"/>
        </a:gradFill>
        <a:ln w="12700">
          <a:solidFill>
            <a:srgbClr val="808080"/>
          </a:solidFill>
          <a:prstDash val="solid"/>
        </a:ln>
      </c:spPr>
    </c:sideWall>
    <c:backWall>
      <c:spPr>
        <a:gradFill rotWithShape="0">
          <a:gsLst>
            <a:gs pos="0">
              <a:srgbClr val="FFFFCC">
                <a:gamma/>
                <a:shade val="72941"/>
                <a:invGamma/>
              </a:srgbClr>
            </a:gs>
            <a:gs pos="50000">
              <a:srgbClr val="FFFFCC"/>
            </a:gs>
            <a:gs pos="100000">
              <a:srgbClr val="FFFFCC">
                <a:gamma/>
                <a:shade val="72941"/>
                <a:invGamma/>
              </a:srgbClr>
            </a:gs>
          </a:gsLst>
          <a:lin ang="18900000" scaled="1"/>
        </a:gradFill>
        <a:ln w="12700">
          <a:solidFill>
            <a:srgbClr val="808080"/>
          </a:solidFill>
          <a:prstDash val="solid"/>
        </a:ln>
      </c:spPr>
    </c:backWall>
    <c:plotArea>
      <c:layout>
        <c:manualLayout>
          <c:layoutTarget val="inner"/>
          <c:xMode val="edge"/>
          <c:yMode val="edge"/>
          <c:x val="0.10669077757685386"/>
          <c:y val="0.30898876404494563"/>
          <c:w val="0.88788426763110362"/>
          <c:h val="0.53651685393258419"/>
        </c:manualLayout>
      </c:layout>
      <c:bar3DChart>
        <c:barDir val="col"/>
        <c:grouping val="clustered"/>
        <c:ser>
          <c:idx val="0"/>
          <c:order val="0"/>
          <c:tx>
            <c:strRef>
              <c:f>Sheet1!$A$2</c:f>
              <c:strCache>
                <c:ptCount val="1"/>
              </c:strCache>
            </c:strRef>
          </c:tx>
          <c:spPr>
            <a:solidFill>
              <a:srgbClr val="FF0000"/>
            </a:solidFill>
            <a:ln w="12700">
              <a:solidFill>
                <a:srgbClr val="000000"/>
              </a:solidFill>
              <a:prstDash val="solid"/>
            </a:ln>
          </c:spPr>
          <c:dLbls>
            <c:dLbl>
              <c:idx val="0"/>
              <c:layout>
                <c:manualLayout>
                  <c:x val="1.9680643882719021E-2"/>
                  <c:y val="-2.319686196800606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DB9-4DFB-8CE9-AFB2F2A0A466}"/>
                </c:ext>
              </c:extLst>
            </c:dLbl>
            <c:dLbl>
              <c:idx val="1"/>
              <c:layout>
                <c:manualLayout>
                  <c:x val="2.1672014029992012E-2"/>
                  <c:y val="-1.675215797372920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DB9-4DFB-8CE9-AFB2F2A0A466}"/>
                </c:ext>
              </c:extLst>
            </c:dLbl>
            <c:dLbl>
              <c:idx val="2"/>
              <c:layout>
                <c:manualLayout>
                  <c:x val="1.8238429385221321E-2"/>
                  <c:y val="-1.642596471834637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DB9-4DFB-8CE9-AFB2F2A0A466}"/>
                </c:ext>
              </c:extLst>
            </c:dLbl>
            <c:dLbl>
              <c:idx val="3"/>
              <c:layout>
                <c:manualLayout>
                  <c:x val="1.8421711907488328E-2"/>
                  <c:y val="-1.625912031474499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DB9-4DFB-8CE9-AFB2F2A0A466}"/>
                </c:ext>
              </c:extLst>
            </c:dLbl>
            <c:dLbl>
              <c:idx val="4"/>
              <c:layout>
                <c:manualLayout>
                  <c:x val="2.7646355110819129E-2"/>
                  <c:y val="-1.724554841119664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DB9-4DFB-8CE9-AFB2F2A0A466}"/>
                </c:ext>
              </c:extLst>
            </c:dLbl>
            <c:dLbl>
              <c:idx val="5"/>
              <c:layout>
                <c:manualLayout>
                  <c:xMode val="edge"/>
                  <c:yMode val="edge"/>
                  <c:x val="0.83905967450271368"/>
                  <c:y val="0.30056179775281006"/>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DB9-4DFB-8CE9-AFB2F2A0A466}"/>
                </c:ext>
              </c:extLst>
            </c:dLbl>
            <c:dLbl>
              <c:idx val="6"/>
              <c:layout>
                <c:manualLayout>
                  <c:xMode val="edge"/>
                  <c:yMode val="edge"/>
                  <c:x val="0.63833634719710652"/>
                  <c:y val="0.15168539325842725"/>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DB9-4DFB-8CE9-AFB2F2A0A466}"/>
                </c:ext>
              </c:extLst>
            </c:dLbl>
            <c:dLbl>
              <c:idx val="7"/>
              <c:layout>
                <c:manualLayout>
                  <c:xMode val="edge"/>
                  <c:yMode val="edge"/>
                  <c:x val="0.64195298372513554"/>
                  <c:y val="0.1601123595505619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DB9-4DFB-8CE9-AFB2F2A0A466}"/>
                </c:ext>
              </c:extLst>
            </c:dLbl>
            <c:numFmt formatCode="0.0" sourceLinked="0"/>
            <c:spPr>
              <a:noFill/>
              <a:ln w="25400">
                <a:noFill/>
              </a:ln>
            </c:spPr>
            <c:txPr>
              <a:bodyPr/>
              <a:lstStyle/>
              <a:p>
                <a:pPr>
                  <a:defRPr lang="es-ES" sz="875"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Sheet1!$B$1:$O$1</c:f>
              <c:numCache>
                <c:formatCode>General</c:formatCode>
                <c:ptCount val="5"/>
                <c:pt idx="0">
                  <c:v>2011</c:v>
                </c:pt>
                <c:pt idx="1">
                  <c:v>2012</c:v>
                </c:pt>
                <c:pt idx="2">
                  <c:v>2013</c:v>
                </c:pt>
                <c:pt idx="3">
                  <c:v>2014</c:v>
                </c:pt>
                <c:pt idx="4">
                  <c:v>2015</c:v>
                </c:pt>
              </c:numCache>
            </c:numRef>
          </c:cat>
          <c:val>
            <c:numRef>
              <c:f>Sheet1!$B$2:$O$2</c:f>
              <c:numCache>
                <c:formatCode>General</c:formatCode>
                <c:ptCount val="5"/>
                <c:pt idx="0">
                  <c:v>94.4</c:v>
                </c:pt>
                <c:pt idx="1">
                  <c:v>94</c:v>
                </c:pt>
                <c:pt idx="2">
                  <c:v>96.9</c:v>
                </c:pt>
                <c:pt idx="3">
                  <c:v>95.8</c:v>
                </c:pt>
                <c:pt idx="4">
                  <c:v>92.2</c:v>
                </c:pt>
              </c:numCache>
            </c:numRef>
          </c:val>
          <c:shape val="cylinder"/>
          <c:extLst xmlns:c16r2="http://schemas.microsoft.com/office/drawing/2015/06/chart">
            <c:ext xmlns:c16="http://schemas.microsoft.com/office/drawing/2014/chart" uri="{C3380CC4-5D6E-409C-BE32-E72D297353CC}">
              <c16:uniqueId val="{00000008-9DB9-4DFB-8CE9-AFB2F2A0A466}"/>
            </c:ext>
          </c:extLst>
        </c:ser>
        <c:dLbls>
          <c:showVal val="1"/>
        </c:dLbls>
        <c:gapDepth val="0"/>
        <c:shape val="pyramid"/>
        <c:axId val="92318336"/>
        <c:axId val="92332800"/>
        <c:axId val="0"/>
      </c:bar3DChart>
      <c:catAx>
        <c:axId val="92318336"/>
        <c:scaling>
          <c:orientation val="minMax"/>
        </c:scaling>
        <c:axPos val="b"/>
        <c:title>
          <c:tx>
            <c:rich>
              <a:bodyPr/>
              <a:lstStyle/>
              <a:p>
                <a:pPr>
                  <a:defRPr lang="es-ES" sz="800"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55153707052441225"/>
              <c:y val="0.9157303370786517"/>
            </c:manualLayout>
          </c:layout>
          <c:spPr>
            <a:noFill/>
            <a:ln w="25400">
              <a:noFill/>
            </a:ln>
          </c:spPr>
        </c:title>
        <c:numFmt formatCode="General" sourceLinked="1"/>
        <c:tickLblPos val="low"/>
        <c:spPr>
          <a:ln w="3175">
            <a:solidFill>
              <a:srgbClr val="000000"/>
            </a:solidFill>
            <a:prstDash val="solid"/>
          </a:ln>
        </c:spPr>
        <c:txPr>
          <a:bodyPr rot="0" vert="horz"/>
          <a:lstStyle/>
          <a:p>
            <a:pPr>
              <a:defRPr lang="es-ES" sz="800" b="1" i="0" u="none" strike="noStrike" baseline="0">
                <a:solidFill>
                  <a:srgbClr val="000000"/>
                </a:solidFill>
                <a:latin typeface="Times New Roman"/>
                <a:ea typeface="Times New Roman"/>
                <a:cs typeface="Times New Roman"/>
              </a:defRPr>
            </a:pPr>
            <a:endParaRPr lang="es-CR"/>
          </a:p>
        </c:txPr>
        <c:crossAx val="92332800"/>
        <c:crossesAt val="0"/>
        <c:auto val="1"/>
        <c:lblAlgn val="ctr"/>
        <c:lblOffset val="100"/>
        <c:tickLblSkip val="1"/>
        <c:tickMarkSkip val="1"/>
      </c:catAx>
      <c:valAx>
        <c:axId val="92332800"/>
        <c:scaling>
          <c:orientation val="minMax"/>
          <c:max val="100"/>
          <c:min val="0"/>
        </c:scaling>
        <c:axPos val="l"/>
        <c:majorGridlines>
          <c:spPr>
            <a:ln w="3175">
              <a:solidFill>
                <a:srgbClr val="000000"/>
              </a:solidFill>
              <a:prstDash val="solid"/>
            </a:ln>
          </c:spPr>
        </c:majorGridlines>
        <c:title>
          <c:tx>
            <c:rich>
              <a:bodyPr rot="0" vert="wordArtVert"/>
              <a:lstStyle/>
              <a:p>
                <a:pPr algn="ctr">
                  <a:defRPr lang="es-ES" sz="700" b="1" i="0" u="none" strike="noStrike" baseline="0">
                    <a:solidFill>
                      <a:srgbClr val="000000"/>
                    </a:solidFill>
                    <a:latin typeface="Times New Roman"/>
                    <a:ea typeface="Times New Roman"/>
                    <a:cs typeface="Times New Roman"/>
                  </a:defRPr>
                </a:pPr>
                <a:r>
                  <a:rPr lang="es-CR"/>
                  <a:t>PORCENTAJE</a:t>
                </a:r>
              </a:p>
            </c:rich>
          </c:tx>
          <c:layout>
            <c:manualLayout>
              <c:xMode val="edge"/>
              <c:yMode val="edge"/>
              <c:x val="3.7974683544303806E-2"/>
              <c:y val="0.38483146067415791"/>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s-ES" sz="800" b="1" i="0" u="none" strike="noStrike" baseline="0">
                <a:solidFill>
                  <a:srgbClr val="000000"/>
                </a:solidFill>
                <a:latin typeface="Times New Roman"/>
                <a:ea typeface="Times New Roman"/>
                <a:cs typeface="Times New Roman"/>
              </a:defRPr>
            </a:pPr>
            <a:endParaRPr lang="es-CR"/>
          </a:p>
        </c:txPr>
        <c:crossAx val="92318336"/>
        <c:crosses val="autoZero"/>
        <c:crossBetween val="between"/>
        <c:majorUnit val="20"/>
        <c:minorUnit val="10"/>
      </c:valAx>
      <c:spPr>
        <a:noFill/>
        <a:ln w="25400">
          <a:noFill/>
        </a:ln>
      </c:spPr>
    </c:plotArea>
    <c:plotVisOnly val="1"/>
    <c:dispBlanksAs val="gap"/>
  </c:chart>
  <c:spPr>
    <a:gradFill rotWithShape="0">
      <a:gsLst>
        <a:gs pos="0">
          <a:srgbClr val="CCFFFF">
            <a:gamma/>
            <a:shade val="79216"/>
            <a:invGamma/>
          </a:srgbClr>
        </a:gs>
        <a:gs pos="50000">
          <a:srgbClr val="CCFFFF"/>
        </a:gs>
        <a:gs pos="100000">
          <a:srgbClr val="CCFFFF">
            <a:gamma/>
            <a:shade val="79216"/>
            <a:invGamma/>
          </a:srgbClr>
        </a:gs>
      </a:gsLst>
      <a:lin ang="5400000" scaled="1"/>
    </a:gradFill>
    <a:ln w="3175">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1"/>
  <c:userShapes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title>
      <c:tx>
        <c:rich>
          <a:bodyPr/>
          <a:lstStyle/>
          <a:p>
            <a:pPr>
              <a:defRPr lang="es-ES" sz="1046" b="1" i="0" u="none" strike="noStrike" baseline="0">
                <a:solidFill>
                  <a:srgbClr val="000000"/>
                </a:solidFill>
                <a:latin typeface="Times New Roman"/>
                <a:ea typeface="Times New Roman"/>
                <a:cs typeface="Times New Roman"/>
              </a:defRPr>
            </a:pPr>
            <a:r>
              <a:rPr lang="es-CR" sz="999" b="1" i="0" u="none" strike="noStrike" baseline="0">
                <a:solidFill>
                  <a:srgbClr val="000000"/>
                </a:solidFill>
                <a:latin typeface="Arial"/>
                <a:cs typeface="Arial"/>
              </a:rPr>
              <a:t>Gráfico Nº 39</a:t>
            </a:r>
          </a:p>
          <a:p>
            <a:pPr>
              <a:defRPr lang="es-ES" sz="1046" b="1" i="0" u="none" strike="noStrike" baseline="0">
                <a:solidFill>
                  <a:srgbClr val="000000"/>
                </a:solidFill>
                <a:latin typeface="Times New Roman"/>
                <a:ea typeface="Times New Roman"/>
                <a:cs typeface="Times New Roman"/>
              </a:defRPr>
            </a:pPr>
            <a:r>
              <a:rPr lang="es-CR" sz="999" b="1" i="0" u="none" strike="noStrike" baseline="0">
                <a:solidFill>
                  <a:srgbClr val="000000"/>
                </a:solidFill>
                <a:latin typeface="Arial"/>
                <a:cs typeface="Arial"/>
              </a:rPr>
              <a:t>Tasa de Expedientes Ingresados de menores de </a:t>
            </a:r>
          </a:p>
          <a:p>
            <a:pPr>
              <a:defRPr lang="es-ES" sz="1046" b="1" i="0" u="none" strike="noStrike" baseline="0">
                <a:solidFill>
                  <a:srgbClr val="000000"/>
                </a:solidFill>
                <a:latin typeface="Times New Roman"/>
                <a:ea typeface="Times New Roman"/>
                <a:cs typeface="Times New Roman"/>
              </a:defRPr>
            </a:pPr>
            <a:r>
              <a:rPr lang="es-CR" sz="999" b="1" i="0" u="none" strike="noStrike" baseline="0">
                <a:solidFill>
                  <a:srgbClr val="000000"/>
                </a:solidFill>
                <a:latin typeface="Arial"/>
                <a:cs typeface="Arial"/>
              </a:rPr>
              <a:t>18 años para el período 2012-2015 </a:t>
            </a:r>
          </a:p>
          <a:p>
            <a:pPr>
              <a:defRPr lang="es-ES" sz="1046" b="1" i="0" u="none" strike="noStrike" baseline="0">
                <a:solidFill>
                  <a:srgbClr val="000000"/>
                </a:solidFill>
                <a:latin typeface="Times New Roman"/>
                <a:ea typeface="Times New Roman"/>
                <a:cs typeface="Times New Roman"/>
              </a:defRPr>
            </a:pPr>
            <a:r>
              <a:rPr lang="es-CR" sz="799" b="1" i="0" u="none" strike="noStrike" baseline="0">
                <a:solidFill>
                  <a:srgbClr val="000000"/>
                </a:solidFill>
                <a:latin typeface="Arial"/>
                <a:cs typeface="Arial"/>
              </a:rPr>
              <a:t>(por cada mil menores de edad)</a:t>
            </a:r>
          </a:p>
        </c:rich>
      </c:tx>
      <c:layout>
        <c:manualLayout>
          <c:xMode val="edge"/>
          <c:yMode val="edge"/>
          <c:x val="0.22203814188215554"/>
          <c:y val="2.0642290720641051E-2"/>
        </c:manualLayout>
      </c:layout>
      <c:spPr>
        <a:noFill/>
        <a:ln w="25372">
          <a:noFill/>
        </a:ln>
      </c:spPr>
    </c:title>
    <c:plotArea>
      <c:layout>
        <c:manualLayout>
          <c:layoutTarget val="inner"/>
          <c:xMode val="edge"/>
          <c:yMode val="edge"/>
          <c:x val="0.12589134641589081"/>
          <c:y val="0.28211019288900613"/>
          <c:w val="0.77030777975404208"/>
          <c:h val="0.45871559633027531"/>
        </c:manualLayout>
      </c:layout>
      <c:lineChart>
        <c:grouping val="standard"/>
        <c:ser>
          <c:idx val="0"/>
          <c:order val="0"/>
          <c:tx>
            <c:strRef>
              <c:f>Sheet1!$A$2</c:f>
              <c:strCache>
                <c:ptCount val="1"/>
                <c:pt idx="0">
                  <c:v>Expedientes</c:v>
                </c:pt>
              </c:strCache>
            </c:strRef>
          </c:tx>
          <c:spPr>
            <a:ln w="25372">
              <a:solidFill>
                <a:srgbClr val="000000"/>
              </a:solidFill>
              <a:prstDash val="solid"/>
            </a:ln>
          </c:spPr>
          <c:marker>
            <c:symbol val="diamond"/>
            <c:size val="6"/>
            <c:spPr>
              <a:solidFill>
                <a:srgbClr val="000000"/>
              </a:solidFill>
              <a:ln>
                <a:solidFill>
                  <a:srgbClr val="000000"/>
                </a:solidFill>
                <a:prstDash val="solid"/>
              </a:ln>
            </c:spPr>
          </c:marker>
          <c:dLbls>
            <c:dLbl>
              <c:idx val="5"/>
              <c:numFmt formatCode="0.0" sourceLinked="0"/>
              <c:spPr>
                <a:noFill/>
                <a:ln w="25372">
                  <a:noFill/>
                </a:ln>
              </c:spPr>
              <c:txPr>
                <a:bodyPr/>
                <a:lstStyle/>
                <a:p>
                  <a:pPr>
                    <a:defRPr lang="es-ES" sz="900" b="1" i="0" u="none" strike="noStrike" baseline="0">
                      <a:solidFill>
                        <a:srgbClr val="000000"/>
                      </a:solidFill>
                      <a:latin typeface="Arial"/>
                      <a:ea typeface="Arial"/>
                      <a:cs typeface="Arial"/>
                    </a:defRPr>
                  </a:pPr>
                  <a:endParaRPr lang="es-CR"/>
                </a:p>
              </c:txPr>
            </c:dLbl>
            <c:dLbl>
              <c:idx val="6"/>
              <c:numFmt formatCode="0.0" sourceLinked="0"/>
              <c:spPr>
                <a:noFill/>
                <a:ln w="25372">
                  <a:noFill/>
                </a:ln>
              </c:spPr>
              <c:txPr>
                <a:bodyPr/>
                <a:lstStyle/>
                <a:p>
                  <a:pPr>
                    <a:defRPr lang="es-ES" sz="900" b="1" i="0" u="none" strike="noStrike" baseline="0">
                      <a:solidFill>
                        <a:srgbClr val="000000"/>
                      </a:solidFill>
                      <a:latin typeface="Arial"/>
                      <a:ea typeface="Arial"/>
                      <a:cs typeface="Arial"/>
                    </a:defRPr>
                  </a:pPr>
                  <a:endParaRPr lang="es-CR"/>
                </a:p>
              </c:txPr>
            </c:dLbl>
            <c:dLbl>
              <c:idx val="7"/>
              <c:numFmt formatCode="0.0" sourceLinked="0"/>
              <c:spPr>
                <a:noFill/>
                <a:ln w="25372">
                  <a:noFill/>
                </a:ln>
              </c:spPr>
              <c:txPr>
                <a:bodyPr/>
                <a:lstStyle/>
                <a:p>
                  <a:pPr>
                    <a:defRPr lang="es-ES" sz="900" b="1" i="0" u="none" strike="noStrike" baseline="0">
                      <a:solidFill>
                        <a:srgbClr val="000000"/>
                      </a:solidFill>
                      <a:latin typeface="Arial"/>
                      <a:ea typeface="Arial"/>
                      <a:cs typeface="Arial"/>
                    </a:defRPr>
                  </a:pPr>
                  <a:endParaRPr lang="es-CR"/>
                </a:p>
              </c:txPr>
            </c:dLbl>
            <c:dLbl>
              <c:idx val="8"/>
              <c:numFmt formatCode="0.0" sourceLinked="0"/>
              <c:spPr>
                <a:noFill/>
                <a:ln w="25372">
                  <a:noFill/>
                </a:ln>
              </c:spPr>
              <c:txPr>
                <a:bodyPr/>
                <a:lstStyle/>
                <a:p>
                  <a:pPr>
                    <a:defRPr lang="es-ES" sz="900" b="1" i="0" u="none" strike="noStrike" baseline="0">
                      <a:solidFill>
                        <a:srgbClr val="000000"/>
                      </a:solidFill>
                      <a:latin typeface="Arial"/>
                      <a:ea typeface="Arial"/>
                      <a:cs typeface="Arial"/>
                    </a:defRPr>
                  </a:pPr>
                  <a:endParaRPr lang="es-CR"/>
                </a:p>
              </c:txPr>
            </c:dLbl>
            <c:dLbl>
              <c:idx val="9"/>
              <c:numFmt formatCode="0.0" sourceLinked="0"/>
              <c:spPr>
                <a:noFill/>
                <a:ln w="25372">
                  <a:noFill/>
                </a:ln>
              </c:spPr>
              <c:txPr>
                <a:bodyPr/>
                <a:lstStyle/>
                <a:p>
                  <a:pPr>
                    <a:defRPr lang="es-ES" sz="900" b="1" i="0" u="none" strike="noStrike" baseline="0">
                      <a:solidFill>
                        <a:srgbClr val="000000"/>
                      </a:solidFill>
                      <a:latin typeface="Arial"/>
                      <a:ea typeface="Arial"/>
                      <a:cs typeface="Arial"/>
                    </a:defRPr>
                  </a:pPr>
                  <a:endParaRPr lang="es-CR"/>
                </a:p>
              </c:txPr>
            </c:dLbl>
            <c:numFmt formatCode="0.0" sourceLinked="0"/>
            <c:spPr>
              <a:noFill/>
              <a:ln w="25372">
                <a:noFill/>
              </a:ln>
            </c:spPr>
            <c:txPr>
              <a:bodyPr/>
              <a:lstStyle/>
              <a:p>
                <a:pPr>
                  <a:defRPr lang="es-ES" sz="900" b="1" i="0" u="none" strike="noStrike" baseline="0">
                    <a:solidFill>
                      <a:srgbClr val="000000"/>
                    </a:solidFill>
                    <a:latin typeface="Times New Roman"/>
                    <a:ea typeface="Times New Roman"/>
                    <a:cs typeface="Times New Roman"/>
                  </a:defRPr>
                </a:pPr>
                <a:endParaRPr lang="es-CR"/>
              </a:p>
            </c:txPr>
            <c:dLblPos val="b"/>
            <c:showVal val="1"/>
            <c:extLst xmlns:c16r2="http://schemas.microsoft.com/office/drawing/2015/06/chart">
              <c:ext xmlns:c15="http://schemas.microsoft.com/office/drawing/2012/chart" uri="{CE6537A1-D6FC-4f65-9D91-7224C49458BB}">
                <c15:showLeaderLines val="0"/>
              </c:ext>
            </c:extLst>
          </c:dLbls>
          <c:cat>
            <c:numRef>
              <c:f>Sheet1!$B$1:$P$1</c:f>
              <c:numCache>
                <c:formatCode>General</c:formatCode>
                <c:ptCount val="4"/>
                <c:pt idx="0">
                  <c:v>2012</c:v>
                </c:pt>
                <c:pt idx="1">
                  <c:v>2013</c:v>
                </c:pt>
                <c:pt idx="2">
                  <c:v>2014</c:v>
                </c:pt>
                <c:pt idx="3">
                  <c:v>2015</c:v>
                </c:pt>
              </c:numCache>
            </c:numRef>
          </c:cat>
          <c:val>
            <c:numRef>
              <c:f>Sheet1!$B$2:$P$2</c:f>
              <c:numCache>
                <c:formatCode>General</c:formatCode>
                <c:ptCount val="4"/>
                <c:pt idx="0">
                  <c:v>7.9</c:v>
                </c:pt>
                <c:pt idx="1">
                  <c:v>7.9</c:v>
                </c:pt>
                <c:pt idx="2">
                  <c:v>7.2</c:v>
                </c:pt>
                <c:pt idx="3">
                  <c:v>6.7</c:v>
                </c:pt>
              </c:numCache>
            </c:numRef>
          </c:val>
          <c:smooth val="1"/>
          <c:extLst xmlns:c16r2="http://schemas.microsoft.com/office/drawing/2015/06/chart">
            <c:ext xmlns:c16="http://schemas.microsoft.com/office/drawing/2014/chart" uri="{C3380CC4-5D6E-409C-BE32-E72D297353CC}">
              <c16:uniqueId val="{00000005-41A9-47BA-ADC6-982C5068B3B1}"/>
            </c:ext>
          </c:extLst>
        </c:ser>
        <c:dLbls>
          <c:showVal val="1"/>
        </c:dLbls>
        <c:marker val="1"/>
        <c:axId val="117173632"/>
        <c:axId val="117100928"/>
      </c:lineChart>
      <c:catAx>
        <c:axId val="117173632"/>
        <c:scaling>
          <c:orientation val="minMax"/>
        </c:scaling>
        <c:axPos val="b"/>
        <c:title>
          <c:tx>
            <c:rich>
              <a:bodyPr/>
              <a:lstStyle/>
              <a:p>
                <a:pPr>
                  <a:defRPr lang="es-ES" sz="974"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44700527032212795"/>
              <c:y val="0.84300406518189164"/>
            </c:manualLayout>
          </c:layout>
          <c:spPr>
            <a:noFill/>
            <a:ln w="25372">
              <a:noFill/>
            </a:ln>
          </c:spPr>
        </c:title>
        <c:numFmt formatCode="General" sourceLinked="1"/>
        <c:tickLblPos val="nextTo"/>
        <c:spPr>
          <a:ln w="3171">
            <a:solidFill>
              <a:srgbClr val="000000"/>
            </a:solidFill>
            <a:prstDash val="solid"/>
          </a:ln>
        </c:spPr>
        <c:txPr>
          <a:bodyPr rot="0" vert="horz"/>
          <a:lstStyle/>
          <a:p>
            <a:pPr>
              <a:defRPr lang="es-ES" sz="1099" b="1" i="0" u="none" strike="noStrike" baseline="0">
                <a:solidFill>
                  <a:srgbClr val="000000"/>
                </a:solidFill>
                <a:latin typeface="Times New Roman"/>
                <a:ea typeface="Times New Roman"/>
                <a:cs typeface="Times New Roman"/>
              </a:defRPr>
            </a:pPr>
            <a:endParaRPr lang="es-CR"/>
          </a:p>
        </c:txPr>
        <c:crossAx val="117100928"/>
        <c:crosses val="autoZero"/>
        <c:auto val="1"/>
        <c:lblAlgn val="ctr"/>
        <c:lblOffset val="100"/>
        <c:tickLblSkip val="1"/>
        <c:tickMarkSkip val="1"/>
      </c:catAx>
      <c:valAx>
        <c:axId val="117100928"/>
        <c:scaling>
          <c:orientation val="minMax"/>
          <c:max val="10"/>
          <c:min val="0"/>
        </c:scaling>
        <c:axPos val="l"/>
        <c:majorGridlines>
          <c:spPr>
            <a:ln w="3171">
              <a:solidFill>
                <a:srgbClr val="000000"/>
              </a:solidFill>
              <a:prstDash val="solid"/>
            </a:ln>
          </c:spPr>
        </c:majorGridlines>
        <c:title>
          <c:tx>
            <c:rich>
              <a:bodyPr rot="0" vert="wordArtVert"/>
              <a:lstStyle/>
              <a:p>
                <a:pPr algn="ctr">
                  <a:defRPr lang="es-ES" sz="799" b="1" i="0" u="none" strike="noStrike" baseline="0">
                    <a:solidFill>
                      <a:srgbClr val="000000"/>
                    </a:solidFill>
                    <a:latin typeface="Arial"/>
                    <a:ea typeface="Arial"/>
                    <a:cs typeface="Arial"/>
                  </a:defRPr>
                </a:pPr>
                <a:r>
                  <a:rPr lang="es-CR"/>
                  <a:t>TASA</a:t>
                </a:r>
              </a:p>
            </c:rich>
          </c:tx>
          <c:layout>
            <c:manualLayout>
              <c:xMode val="edge"/>
              <c:yMode val="edge"/>
              <c:x val="2.2499707243934696E-2"/>
              <c:y val="0.39885454613487187"/>
            </c:manualLayout>
          </c:layout>
          <c:spPr>
            <a:noFill/>
            <a:ln w="25372">
              <a:noFill/>
            </a:ln>
          </c:spPr>
        </c:title>
        <c:numFmt formatCode="General" sourceLinked="1"/>
        <c:tickLblPos val="nextTo"/>
        <c:spPr>
          <a:ln w="3171">
            <a:solidFill>
              <a:srgbClr val="000000"/>
            </a:solidFill>
            <a:prstDash val="solid"/>
          </a:ln>
        </c:spPr>
        <c:txPr>
          <a:bodyPr rot="0" vert="horz"/>
          <a:lstStyle/>
          <a:p>
            <a:pPr>
              <a:defRPr lang="es-ES" sz="1049" b="1" i="0" u="none" strike="noStrike" baseline="0">
                <a:solidFill>
                  <a:srgbClr val="000000"/>
                </a:solidFill>
                <a:latin typeface="Times New Roman"/>
                <a:ea typeface="Times New Roman"/>
                <a:cs typeface="Times New Roman"/>
              </a:defRPr>
            </a:pPr>
            <a:endParaRPr lang="es-CR"/>
          </a:p>
        </c:txPr>
        <c:crossAx val="117173632"/>
        <c:crosses val="autoZero"/>
        <c:crossBetween val="between"/>
        <c:majorUnit val="2"/>
        <c:minorUnit val="2"/>
      </c:valAx>
      <c:spPr>
        <a:solidFill>
          <a:srgbClr val="FFFFCC"/>
        </a:solidFill>
        <a:ln w="12686">
          <a:solidFill>
            <a:srgbClr val="808080"/>
          </a:solidFill>
          <a:prstDash val="solid"/>
        </a:ln>
      </c:spPr>
    </c:plotArea>
    <c:plotVisOnly val="1"/>
    <c:dispBlanksAs val="gap"/>
  </c:chart>
  <c:spPr>
    <a:gradFill rotWithShape="0">
      <a:gsLst>
        <a:gs pos="0">
          <a:srgbClr val="CCFFFF">
            <a:gamma/>
            <a:shade val="66667"/>
            <a:invGamma/>
          </a:srgbClr>
        </a:gs>
        <a:gs pos="50000">
          <a:srgbClr val="CCFFFF"/>
        </a:gs>
        <a:gs pos="100000">
          <a:srgbClr val="CCFFFF">
            <a:gamma/>
            <a:shade val="66667"/>
            <a:invGamma/>
          </a:srgbClr>
        </a:gs>
      </a:gsLst>
      <a:lin ang="5400000" scaled="1"/>
    </a:gradFill>
    <a:ln w="3171">
      <a:solidFill>
        <a:srgbClr val="000000"/>
      </a:solidFill>
      <a:prstDash val="solid"/>
    </a:ln>
    <a:effectLst>
      <a:outerShdw dist="35921" dir="2700000" algn="br">
        <a:srgbClr val="000000"/>
      </a:outerShdw>
    </a:effectLst>
  </c:spPr>
  <c:txPr>
    <a:bodyPr/>
    <a:lstStyle/>
    <a:p>
      <a:pPr>
        <a:defRPr sz="1448" b="1" i="0" u="none" strike="noStrike" baseline="0">
          <a:solidFill>
            <a:srgbClr val="000000"/>
          </a:solidFill>
          <a:latin typeface="Arial"/>
          <a:ea typeface="Arial"/>
          <a:cs typeface="Arial"/>
        </a:defRPr>
      </a:pPr>
      <a:endParaRPr lang="es-CR"/>
    </a:p>
  </c:txPr>
  <c:externalData r:id="rId2"/>
  <c:userShapes r:id="rId3"/>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title>
      <c:tx>
        <c:rich>
          <a:bodyPr/>
          <a:lstStyle/>
          <a:p>
            <a:pPr>
              <a:defRPr lang="es-ES" sz="975" b="1" i="0" u="none" strike="noStrike" baseline="0">
                <a:solidFill>
                  <a:srgbClr val="000000"/>
                </a:solidFill>
                <a:latin typeface="Times New Roman"/>
                <a:ea typeface="Times New Roman"/>
                <a:cs typeface="Times New Roman"/>
              </a:defRPr>
            </a:pPr>
            <a:r>
              <a:rPr lang="es-CR" sz="1000" b="1" i="0" u="none" strike="noStrike" baseline="0">
                <a:solidFill>
                  <a:srgbClr val="000000"/>
                </a:solidFill>
                <a:latin typeface="Arial"/>
                <a:cs typeface="Arial"/>
              </a:rPr>
              <a:t>Gráfico Nº 40</a:t>
            </a:r>
          </a:p>
          <a:p>
            <a:pPr>
              <a:defRPr lang="es-ES" sz="975" b="1" i="0" u="none" strike="noStrike" baseline="0">
                <a:solidFill>
                  <a:srgbClr val="000000"/>
                </a:solidFill>
                <a:latin typeface="Times New Roman"/>
                <a:ea typeface="Times New Roman"/>
                <a:cs typeface="Times New Roman"/>
              </a:defRPr>
            </a:pPr>
            <a:r>
              <a:rPr lang="es-CR" sz="1000" b="1" i="0" u="none" strike="noStrike" baseline="0">
                <a:solidFill>
                  <a:srgbClr val="000000"/>
                </a:solidFill>
                <a:latin typeface="Arial"/>
                <a:cs typeface="Arial"/>
              </a:rPr>
              <a:t>Tasa anual de Condenatoria y Tasa anual </a:t>
            </a:r>
          </a:p>
          <a:p>
            <a:pPr>
              <a:defRPr lang="es-ES" sz="975" b="1" i="0" u="none" strike="noStrike" baseline="0">
                <a:solidFill>
                  <a:srgbClr val="000000"/>
                </a:solidFill>
                <a:latin typeface="Times New Roman"/>
                <a:ea typeface="Times New Roman"/>
                <a:cs typeface="Times New Roman"/>
              </a:defRPr>
            </a:pPr>
            <a:r>
              <a:rPr lang="es-CR" sz="1000" b="1" i="0" u="none" strike="noStrike" baseline="0">
                <a:solidFill>
                  <a:srgbClr val="000000"/>
                </a:solidFill>
                <a:latin typeface="Arial"/>
                <a:cs typeface="Arial"/>
              </a:rPr>
              <a:t>de Absolutoria para el período 2010-2015</a:t>
            </a:r>
          </a:p>
          <a:p>
            <a:pPr>
              <a:defRPr lang="es-ES" sz="975" b="1" i="0" u="none" strike="noStrike" baseline="0">
                <a:solidFill>
                  <a:srgbClr val="000000"/>
                </a:solidFill>
                <a:latin typeface="Times New Roman"/>
                <a:ea typeface="Times New Roman"/>
                <a:cs typeface="Times New Roman"/>
              </a:defRPr>
            </a:pPr>
            <a:r>
              <a:rPr lang="es-CR" sz="800" b="1" i="0" u="none" strike="noStrike" baseline="0">
                <a:solidFill>
                  <a:srgbClr val="000000"/>
                </a:solidFill>
                <a:latin typeface="Calibri"/>
              </a:rPr>
              <a:t>(cifra por 100 mil habitantes)</a:t>
            </a:r>
            <a:endParaRPr lang="es-CR" sz="1000" b="1" i="0" u="none" strike="noStrike" baseline="0">
              <a:solidFill>
                <a:srgbClr val="000000"/>
              </a:solidFill>
              <a:latin typeface="Arial"/>
              <a:cs typeface="Arial"/>
            </a:endParaRPr>
          </a:p>
          <a:p>
            <a:pPr>
              <a:defRPr lang="es-ES" sz="975" b="1" i="0" u="none" strike="noStrike" baseline="0">
                <a:solidFill>
                  <a:srgbClr val="000000"/>
                </a:solidFill>
                <a:latin typeface="Times New Roman"/>
                <a:ea typeface="Times New Roman"/>
                <a:cs typeface="Times New Roman"/>
              </a:defRPr>
            </a:pPr>
            <a:endParaRPr lang="es-CR" sz="1000" b="1" i="0" u="none" strike="noStrike" baseline="0">
              <a:solidFill>
                <a:srgbClr val="000000"/>
              </a:solidFill>
              <a:latin typeface="Arial"/>
              <a:cs typeface="Arial"/>
            </a:endParaRPr>
          </a:p>
        </c:rich>
      </c:tx>
      <c:layout>
        <c:manualLayout>
          <c:xMode val="edge"/>
          <c:yMode val="edge"/>
          <c:x val="0.21283783783783969"/>
          <c:y val="9.8522167487685997E-3"/>
        </c:manualLayout>
      </c:layout>
      <c:spPr>
        <a:noFill/>
        <a:ln w="25401">
          <a:noFill/>
        </a:ln>
      </c:spPr>
    </c:title>
    <c:plotArea>
      <c:layout>
        <c:manualLayout>
          <c:layoutTarget val="inner"/>
          <c:xMode val="edge"/>
          <c:yMode val="edge"/>
          <c:x val="0.15097497064511672"/>
          <c:y val="0.24316154793447028"/>
          <c:w val="0.76858108108108103"/>
          <c:h val="0.48522167487685036"/>
        </c:manualLayout>
      </c:layout>
      <c:lineChart>
        <c:grouping val="standard"/>
        <c:ser>
          <c:idx val="0"/>
          <c:order val="0"/>
          <c:tx>
            <c:strRef>
              <c:f>Sheet1!$A$2</c:f>
              <c:strCache>
                <c:ptCount val="1"/>
                <c:pt idx="0">
                  <c:v>Tasa de Condenatoria</c:v>
                </c:pt>
              </c:strCache>
            </c:strRef>
          </c:tx>
          <c:spPr>
            <a:ln w="25401">
              <a:solidFill>
                <a:srgbClr val="008000"/>
              </a:solidFill>
              <a:prstDash val="solid"/>
            </a:ln>
          </c:spPr>
          <c:marker>
            <c:symbol val="diamond"/>
            <c:size val="5"/>
            <c:spPr>
              <a:solidFill>
                <a:srgbClr val="008000"/>
              </a:solidFill>
              <a:ln>
                <a:solidFill>
                  <a:srgbClr val="008000"/>
                </a:solidFill>
                <a:prstDash val="solid"/>
              </a:ln>
            </c:spPr>
          </c:marker>
          <c:dLbls>
            <c:spPr>
              <a:noFill/>
              <a:ln>
                <a:noFill/>
              </a:ln>
              <a:effectLst/>
            </c:spPr>
            <c:txPr>
              <a:bodyPr/>
              <a:lstStyle/>
              <a:p>
                <a:pPr>
                  <a:defRPr lang="es-ES" sz="900">
                    <a:latin typeface="Times New Roman" pitchFamily="18" charset="0"/>
                    <a:cs typeface="Times New Roman" pitchFamily="18" charset="0"/>
                  </a:defRPr>
                </a:pPr>
                <a:endParaRPr lang="es-CR"/>
              </a:p>
            </c:txPr>
            <c:dLblPos val="t"/>
            <c:showVal val="1"/>
            <c:extLst xmlns:c16r2="http://schemas.microsoft.com/office/drawing/2015/06/chart">
              <c:ext xmlns:c15="http://schemas.microsoft.com/office/drawing/2012/chart" uri="{CE6537A1-D6FC-4f65-9D91-7224C49458BB}">
                <c15:showLeaderLines val="0"/>
              </c:ext>
            </c:extLst>
          </c:dLbls>
          <c:cat>
            <c:numRef>
              <c:f>Sheet1!$B$1:$P$1</c:f>
              <c:numCache>
                <c:formatCode>General</c:formatCode>
                <c:ptCount val="6"/>
                <c:pt idx="0">
                  <c:v>2010</c:v>
                </c:pt>
                <c:pt idx="1">
                  <c:v>2011</c:v>
                </c:pt>
                <c:pt idx="2">
                  <c:v>2012</c:v>
                </c:pt>
                <c:pt idx="3">
                  <c:v>2013</c:v>
                </c:pt>
                <c:pt idx="4">
                  <c:v>2014</c:v>
                </c:pt>
                <c:pt idx="5">
                  <c:v>2015</c:v>
                </c:pt>
              </c:numCache>
            </c:numRef>
          </c:cat>
          <c:val>
            <c:numRef>
              <c:f>Sheet1!$B$2:$P$2</c:f>
              <c:numCache>
                <c:formatCode>General</c:formatCode>
                <c:ptCount val="6"/>
                <c:pt idx="0">
                  <c:v>133</c:v>
                </c:pt>
                <c:pt idx="1">
                  <c:v>154</c:v>
                </c:pt>
                <c:pt idx="2">
                  <c:v>174</c:v>
                </c:pt>
                <c:pt idx="3">
                  <c:v>186</c:v>
                </c:pt>
                <c:pt idx="4">
                  <c:v>185</c:v>
                </c:pt>
                <c:pt idx="5">
                  <c:v>184</c:v>
                </c:pt>
              </c:numCache>
            </c:numRef>
          </c:val>
          <c:smooth val="1"/>
          <c:extLst xmlns:c16r2="http://schemas.microsoft.com/office/drawing/2015/06/chart">
            <c:ext xmlns:c16="http://schemas.microsoft.com/office/drawing/2014/chart" uri="{C3380CC4-5D6E-409C-BE32-E72D297353CC}">
              <c16:uniqueId val="{00000000-5049-4F36-B579-B4014E3B6652}"/>
            </c:ext>
          </c:extLst>
        </c:ser>
        <c:ser>
          <c:idx val="1"/>
          <c:order val="1"/>
          <c:tx>
            <c:strRef>
              <c:f>Sheet1!$A$3</c:f>
              <c:strCache>
                <c:ptCount val="1"/>
                <c:pt idx="0">
                  <c:v>Tasa de Absolutoria</c:v>
                </c:pt>
              </c:strCache>
            </c:strRef>
          </c:tx>
          <c:spPr>
            <a:ln w="25401">
              <a:solidFill>
                <a:srgbClr val="0000FF"/>
              </a:solidFill>
              <a:prstDash val="solid"/>
            </a:ln>
          </c:spPr>
          <c:marker>
            <c:symbol val="square"/>
            <c:size val="5"/>
            <c:spPr>
              <a:solidFill>
                <a:srgbClr val="0000FF"/>
              </a:solidFill>
              <a:ln>
                <a:solidFill>
                  <a:srgbClr val="0000FF"/>
                </a:solidFill>
                <a:prstDash val="solid"/>
              </a:ln>
            </c:spPr>
          </c:marker>
          <c:dLbls>
            <c:spPr>
              <a:noFill/>
              <a:ln w="25401">
                <a:noFill/>
              </a:ln>
            </c:spPr>
            <c:txPr>
              <a:bodyPr/>
              <a:lstStyle/>
              <a:p>
                <a:pPr>
                  <a:defRPr lang="es-ES" sz="900" b="1" i="0" u="none" strike="noStrike" baseline="0">
                    <a:solidFill>
                      <a:srgbClr val="000000"/>
                    </a:solidFill>
                    <a:latin typeface="Times New Roman"/>
                    <a:ea typeface="Times New Roman"/>
                    <a:cs typeface="Times New Roman"/>
                  </a:defRPr>
                </a:pPr>
                <a:endParaRPr lang="es-CR"/>
              </a:p>
            </c:txPr>
            <c:dLblPos val="t"/>
            <c:showVal val="1"/>
            <c:extLst xmlns:c16r2="http://schemas.microsoft.com/office/drawing/2015/06/chart">
              <c:ext xmlns:c15="http://schemas.microsoft.com/office/drawing/2012/chart" uri="{CE6537A1-D6FC-4f65-9D91-7224C49458BB}">
                <c15:showLeaderLines val="0"/>
              </c:ext>
            </c:extLst>
          </c:dLbls>
          <c:cat>
            <c:numRef>
              <c:f>Sheet1!$B$1:$P$1</c:f>
              <c:numCache>
                <c:formatCode>General</c:formatCode>
                <c:ptCount val="6"/>
                <c:pt idx="0">
                  <c:v>2010</c:v>
                </c:pt>
                <c:pt idx="1">
                  <c:v>2011</c:v>
                </c:pt>
                <c:pt idx="2">
                  <c:v>2012</c:v>
                </c:pt>
                <c:pt idx="3">
                  <c:v>2013</c:v>
                </c:pt>
                <c:pt idx="4">
                  <c:v>2014</c:v>
                </c:pt>
                <c:pt idx="5">
                  <c:v>2015</c:v>
                </c:pt>
              </c:numCache>
            </c:numRef>
          </c:cat>
          <c:val>
            <c:numRef>
              <c:f>Sheet1!$B$3:$P$3</c:f>
              <c:numCache>
                <c:formatCode>General</c:formatCode>
                <c:ptCount val="6"/>
                <c:pt idx="0">
                  <c:v>85</c:v>
                </c:pt>
                <c:pt idx="1">
                  <c:v>85</c:v>
                </c:pt>
                <c:pt idx="2">
                  <c:v>91</c:v>
                </c:pt>
                <c:pt idx="3">
                  <c:v>95</c:v>
                </c:pt>
                <c:pt idx="4">
                  <c:v>95</c:v>
                </c:pt>
                <c:pt idx="5">
                  <c:v>85</c:v>
                </c:pt>
              </c:numCache>
            </c:numRef>
          </c:val>
          <c:smooth val="1"/>
          <c:extLst xmlns:c16r2="http://schemas.microsoft.com/office/drawing/2015/06/chart">
            <c:ext xmlns:c16="http://schemas.microsoft.com/office/drawing/2014/chart" uri="{C3380CC4-5D6E-409C-BE32-E72D297353CC}">
              <c16:uniqueId val="{00000001-5049-4F36-B579-B4014E3B6652}"/>
            </c:ext>
          </c:extLst>
        </c:ser>
        <c:dLbls>
          <c:showVal val="1"/>
        </c:dLbls>
        <c:marker val="1"/>
        <c:axId val="117228672"/>
        <c:axId val="117230592"/>
      </c:lineChart>
      <c:catAx>
        <c:axId val="117228672"/>
        <c:scaling>
          <c:orientation val="minMax"/>
        </c:scaling>
        <c:axPos val="b"/>
        <c:title>
          <c:tx>
            <c:rich>
              <a:bodyPr/>
              <a:lstStyle/>
              <a:p>
                <a:pPr>
                  <a:defRPr lang="es-ES" sz="850"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49559914180135378"/>
              <c:y val="0.81263667574728449"/>
            </c:manualLayout>
          </c:layout>
          <c:spPr>
            <a:noFill/>
            <a:ln w="25401">
              <a:noFill/>
            </a:ln>
          </c:spPr>
        </c:title>
        <c:numFmt formatCode="General" sourceLinked="1"/>
        <c:tickLblPos val="nextTo"/>
        <c:spPr>
          <a:ln w="3175">
            <a:solidFill>
              <a:srgbClr val="000000"/>
            </a:solidFill>
            <a:prstDash val="solid"/>
          </a:ln>
        </c:spPr>
        <c:txPr>
          <a:bodyPr rot="0" vert="horz"/>
          <a:lstStyle/>
          <a:p>
            <a:pPr>
              <a:defRPr lang="es-ES" sz="850" b="1" i="0" u="none" strike="noStrike" baseline="0">
                <a:solidFill>
                  <a:srgbClr val="000000"/>
                </a:solidFill>
                <a:latin typeface="Times New Roman"/>
                <a:ea typeface="Times New Roman"/>
                <a:cs typeface="Times New Roman"/>
              </a:defRPr>
            </a:pPr>
            <a:endParaRPr lang="es-CR"/>
          </a:p>
        </c:txPr>
        <c:crossAx val="117230592"/>
        <c:crosses val="autoZero"/>
        <c:auto val="1"/>
        <c:lblAlgn val="ctr"/>
        <c:lblOffset val="100"/>
        <c:tickLblSkip val="1"/>
        <c:tickMarkSkip val="1"/>
      </c:catAx>
      <c:valAx>
        <c:axId val="117230592"/>
        <c:scaling>
          <c:orientation val="minMax"/>
          <c:max val="240"/>
          <c:min val="60"/>
        </c:scaling>
        <c:axPos val="l"/>
        <c:majorGridlines>
          <c:spPr>
            <a:ln w="3175">
              <a:solidFill>
                <a:srgbClr val="000000"/>
              </a:solidFill>
              <a:prstDash val="solid"/>
            </a:ln>
          </c:spPr>
        </c:majorGridlines>
        <c:title>
          <c:tx>
            <c:rich>
              <a:bodyPr rot="0" vert="wordArtVert"/>
              <a:lstStyle/>
              <a:p>
                <a:pPr algn="ctr">
                  <a:defRPr lang="es-ES" sz="875" b="1" i="0" u="none" strike="noStrike" baseline="0">
                    <a:solidFill>
                      <a:srgbClr val="000000"/>
                    </a:solidFill>
                    <a:latin typeface="Times New Roman"/>
                    <a:ea typeface="Times New Roman"/>
                    <a:cs typeface="Times New Roman"/>
                  </a:defRPr>
                </a:pPr>
                <a:r>
                  <a:rPr lang="es-CR"/>
                  <a:t>TASA</a:t>
                </a:r>
              </a:p>
            </c:rich>
          </c:tx>
          <c:layout>
            <c:manualLayout>
              <c:xMode val="edge"/>
              <c:yMode val="edge"/>
              <c:x val="4.1370311852465813E-2"/>
              <c:y val="0.35837251682402388"/>
            </c:manualLayout>
          </c:layout>
          <c:spPr>
            <a:noFill/>
            <a:ln w="25401">
              <a:noFill/>
            </a:ln>
          </c:spPr>
        </c:title>
        <c:numFmt formatCode="General" sourceLinked="1"/>
        <c:tickLblPos val="nextTo"/>
        <c:spPr>
          <a:ln w="3175">
            <a:solidFill>
              <a:srgbClr val="000000"/>
            </a:solidFill>
            <a:prstDash val="solid"/>
          </a:ln>
        </c:spPr>
        <c:txPr>
          <a:bodyPr rot="0" vert="horz"/>
          <a:lstStyle/>
          <a:p>
            <a:pPr>
              <a:defRPr lang="es-ES" sz="850" b="1" i="0" u="none" strike="noStrike" baseline="0">
                <a:solidFill>
                  <a:srgbClr val="000000"/>
                </a:solidFill>
                <a:latin typeface="Times New Roman"/>
                <a:ea typeface="Times New Roman"/>
                <a:cs typeface="Times New Roman"/>
              </a:defRPr>
            </a:pPr>
            <a:endParaRPr lang="es-CR"/>
          </a:p>
        </c:txPr>
        <c:crossAx val="117228672"/>
        <c:crosses val="autoZero"/>
        <c:crossBetween val="between"/>
        <c:majorUnit val="240"/>
        <c:minorUnit val="40"/>
      </c:valAx>
      <c:spPr>
        <a:gradFill rotWithShape="0">
          <a:gsLst>
            <a:gs pos="0">
              <a:srgbClr val="CCFFFF"/>
            </a:gs>
            <a:gs pos="50000">
              <a:srgbClr val="CCFFFF">
                <a:gamma/>
                <a:shade val="79216"/>
                <a:invGamma/>
              </a:srgbClr>
            </a:gs>
            <a:gs pos="100000">
              <a:srgbClr val="CCFFFF"/>
            </a:gs>
          </a:gsLst>
          <a:lin ang="5400000" scaled="1"/>
        </a:gradFill>
        <a:ln w="12700">
          <a:solidFill>
            <a:srgbClr val="808080"/>
          </a:solidFill>
          <a:prstDash val="solid"/>
        </a:ln>
      </c:spPr>
    </c:plotArea>
    <c:plotVisOnly val="1"/>
    <c:dispBlanksAs val="gap"/>
  </c:chart>
  <c:spPr>
    <a:gradFill rotWithShape="0">
      <a:gsLst>
        <a:gs pos="0">
          <a:srgbClr val="FFFFCC">
            <a:gamma/>
            <a:shade val="76078"/>
            <a:invGamma/>
          </a:srgbClr>
        </a:gs>
        <a:gs pos="50000">
          <a:srgbClr val="FFFFCC"/>
        </a:gs>
        <a:gs pos="100000">
          <a:srgbClr val="FFFFCC">
            <a:gamma/>
            <a:shade val="76078"/>
            <a:invGamma/>
          </a:srgbClr>
        </a:gs>
      </a:gsLst>
      <a:lin ang="18900000" scaled="1"/>
    </a:gradFill>
    <a:ln w="3175">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2"/>
  <c:userShapes r:id="rId3"/>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title>
      <c:tx>
        <c:rich>
          <a:bodyPr/>
          <a:lstStyle/>
          <a:p>
            <a:pPr>
              <a:defRPr lang="es-ES" sz="1000" b="1" i="0" u="none" strike="noStrike" baseline="0">
                <a:solidFill>
                  <a:srgbClr val="000000"/>
                </a:solidFill>
                <a:latin typeface="Times New Roman"/>
                <a:ea typeface="Times New Roman"/>
                <a:cs typeface="Times New Roman"/>
              </a:defRPr>
            </a:pPr>
            <a:r>
              <a:rPr lang="es-CR"/>
              <a:t>Gráfico Nº 41
Edad promedio de las personas condenadas 
calculada para el período 2011-2015
</a:t>
            </a:r>
          </a:p>
        </c:rich>
      </c:tx>
      <c:layout>
        <c:manualLayout>
          <c:xMode val="edge"/>
          <c:yMode val="edge"/>
          <c:x val="0.26986754966887438"/>
          <c:y val="2.3310023310023306E-3"/>
        </c:manualLayout>
      </c:layout>
      <c:spPr>
        <a:noFill/>
        <a:ln w="25400">
          <a:noFill/>
        </a:ln>
      </c:spPr>
    </c:title>
    <c:plotArea>
      <c:layout>
        <c:manualLayout>
          <c:layoutTarget val="inner"/>
          <c:xMode val="edge"/>
          <c:yMode val="edge"/>
          <c:x val="9.6026585386504243E-2"/>
          <c:y val="0.22162847621575343"/>
          <c:w val="0.86423841059603113"/>
          <c:h val="0.54484254763218565"/>
        </c:manualLayout>
      </c:layout>
      <c:lineChart>
        <c:grouping val="standard"/>
        <c:ser>
          <c:idx val="0"/>
          <c:order val="0"/>
          <c:tx>
            <c:strRef>
              <c:f>Sheet1!$A$2</c:f>
              <c:strCache>
                <c:ptCount val="1"/>
                <c:pt idx="0">
                  <c:v>Edad</c:v>
                </c:pt>
              </c:strCache>
            </c:strRef>
          </c:tx>
          <c:spPr>
            <a:ln w="25400">
              <a:solidFill>
                <a:srgbClr val="000000"/>
              </a:solidFill>
              <a:prstDash val="solid"/>
            </a:ln>
          </c:spPr>
          <c:marker>
            <c:symbol val="diamond"/>
            <c:size val="6"/>
            <c:spPr>
              <a:solidFill>
                <a:srgbClr val="0000FF"/>
              </a:solidFill>
              <a:ln>
                <a:solidFill>
                  <a:srgbClr val="0000FF"/>
                </a:solidFill>
                <a:prstDash val="solid"/>
              </a:ln>
            </c:spPr>
          </c:marker>
          <c:dLbls>
            <c:numFmt formatCode="0.0" sourceLinked="0"/>
            <c:spPr>
              <a:noFill/>
              <a:ln w="25400">
                <a:noFill/>
              </a:ln>
            </c:spPr>
            <c:txPr>
              <a:bodyPr/>
              <a:lstStyle/>
              <a:p>
                <a:pPr>
                  <a:defRPr lang="es-ES" sz="900" b="1" i="0" u="none" strike="noStrike" baseline="0">
                    <a:solidFill>
                      <a:srgbClr val="000000"/>
                    </a:solidFill>
                    <a:latin typeface="Times New Roman"/>
                    <a:ea typeface="Times New Roman"/>
                    <a:cs typeface="Times New Roman"/>
                  </a:defRPr>
                </a:pPr>
                <a:endParaRPr lang="es-CR"/>
              </a:p>
            </c:txPr>
            <c:dLblPos val="b"/>
            <c:showVal val="1"/>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5"/>
                <c:pt idx="0">
                  <c:v>2011</c:v>
                </c:pt>
                <c:pt idx="1">
                  <c:v>2012</c:v>
                </c:pt>
                <c:pt idx="2">
                  <c:v>2013</c:v>
                </c:pt>
                <c:pt idx="3">
                  <c:v>2014</c:v>
                </c:pt>
                <c:pt idx="4">
                  <c:v>2015</c:v>
                </c:pt>
              </c:numCache>
            </c:numRef>
          </c:cat>
          <c:val>
            <c:numRef>
              <c:f>Sheet1!$B$2:$H$2</c:f>
              <c:numCache>
                <c:formatCode>General</c:formatCode>
                <c:ptCount val="5"/>
                <c:pt idx="0">
                  <c:v>33.5</c:v>
                </c:pt>
                <c:pt idx="1">
                  <c:v>34.700000000000003</c:v>
                </c:pt>
                <c:pt idx="2">
                  <c:v>33.700000000000003</c:v>
                </c:pt>
                <c:pt idx="3">
                  <c:v>34.200000000000003</c:v>
                </c:pt>
                <c:pt idx="4">
                  <c:v>34.4</c:v>
                </c:pt>
              </c:numCache>
            </c:numRef>
          </c:val>
          <c:smooth val="1"/>
          <c:extLst xmlns:c16r2="http://schemas.microsoft.com/office/drawing/2015/06/chart">
            <c:ext xmlns:c16="http://schemas.microsoft.com/office/drawing/2014/chart" uri="{C3380CC4-5D6E-409C-BE32-E72D297353CC}">
              <c16:uniqueId val="{00000000-9F3F-443A-AE62-B97FD2D86D03}"/>
            </c:ext>
          </c:extLst>
        </c:ser>
        <c:dLbls>
          <c:showVal val="1"/>
        </c:dLbls>
        <c:marker val="1"/>
        <c:axId val="119388800"/>
        <c:axId val="119558912"/>
      </c:lineChart>
      <c:catAx>
        <c:axId val="119388800"/>
        <c:scaling>
          <c:orientation val="minMax"/>
        </c:scaling>
        <c:axPos val="b"/>
        <c:title>
          <c:tx>
            <c:rich>
              <a:bodyPr/>
              <a:lstStyle/>
              <a:p>
                <a:pPr>
                  <a:defRPr lang="es-ES" sz="1050"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47642966340306042"/>
              <c:y val="0.85321603412793157"/>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s-ES" sz="925" b="1" i="0" u="none" strike="noStrike" baseline="0">
                <a:solidFill>
                  <a:srgbClr val="000000"/>
                </a:solidFill>
                <a:latin typeface="Times New Roman"/>
                <a:ea typeface="Times New Roman"/>
                <a:cs typeface="Times New Roman"/>
              </a:defRPr>
            </a:pPr>
            <a:endParaRPr lang="es-CR"/>
          </a:p>
        </c:txPr>
        <c:crossAx val="119558912"/>
        <c:crosses val="autoZero"/>
        <c:auto val="1"/>
        <c:lblAlgn val="ctr"/>
        <c:lblOffset val="100"/>
        <c:tickLblSkip val="1"/>
        <c:tickMarkSkip val="1"/>
      </c:catAx>
      <c:valAx>
        <c:axId val="119558912"/>
        <c:scaling>
          <c:orientation val="minMax"/>
          <c:max val="40"/>
          <c:min val="20"/>
        </c:scaling>
        <c:axPos val="l"/>
        <c:title>
          <c:tx>
            <c:rich>
              <a:bodyPr rot="0" vert="wordArtVert"/>
              <a:lstStyle/>
              <a:p>
                <a:pPr algn="ctr">
                  <a:defRPr lang="es-ES" sz="750" b="1" i="0" u="none" strike="noStrike" baseline="0">
                    <a:solidFill>
                      <a:srgbClr val="000000"/>
                    </a:solidFill>
                    <a:latin typeface="Arial"/>
                    <a:ea typeface="Arial"/>
                    <a:cs typeface="Arial"/>
                  </a:defRPr>
                </a:pPr>
                <a:r>
                  <a:rPr lang="es-CR"/>
                  <a:t>Edad</a:t>
                </a:r>
              </a:p>
            </c:rich>
          </c:tx>
          <c:layout>
            <c:manualLayout>
              <c:xMode val="edge"/>
              <c:yMode val="edge"/>
              <c:x val="0"/>
              <c:y val="0.37539620749653485"/>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s-ES" sz="925" b="1" i="0" u="none" strike="noStrike" baseline="0">
                <a:solidFill>
                  <a:srgbClr val="000000"/>
                </a:solidFill>
                <a:latin typeface="Times New Roman"/>
                <a:ea typeface="Times New Roman"/>
                <a:cs typeface="Times New Roman"/>
              </a:defRPr>
            </a:pPr>
            <a:endParaRPr lang="es-CR"/>
          </a:p>
        </c:txPr>
        <c:crossAx val="119388800"/>
        <c:crosses val="autoZero"/>
        <c:crossBetween val="between"/>
        <c:majorUnit val="10"/>
      </c:valAx>
      <c:spPr>
        <a:solidFill>
          <a:srgbClr val="FFFFCC"/>
        </a:solidFill>
        <a:ln w="12700">
          <a:solidFill>
            <a:srgbClr val="808080"/>
          </a:solidFill>
          <a:prstDash val="solid"/>
        </a:ln>
      </c:spPr>
    </c:plotArea>
    <c:plotVisOnly val="1"/>
    <c:dispBlanksAs val="gap"/>
  </c:chart>
  <c:spPr>
    <a:gradFill rotWithShape="0">
      <a:gsLst>
        <a:gs pos="0">
          <a:srgbClr val="CCFFFF">
            <a:gamma/>
            <a:shade val="76078"/>
            <a:invGamma/>
          </a:srgbClr>
        </a:gs>
        <a:gs pos="50000">
          <a:srgbClr val="CCFFFF"/>
        </a:gs>
        <a:gs pos="100000">
          <a:srgbClr val="CCFFFF">
            <a:gamma/>
            <a:shade val="76078"/>
            <a:invGamma/>
          </a:srgbClr>
        </a:gs>
      </a:gsLst>
      <a:lin ang="18900000" scaled="1"/>
    </a:gradFill>
    <a:ln w="3175">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2"/>
  <c:userShapes r:id="rId3"/>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s-CR"/>
  <c:chart>
    <c:title>
      <c:tx>
        <c:rich>
          <a:bodyPr/>
          <a:lstStyle/>
          <a:p>
            <a:pPr>
              <a:defRPr lang="es-ES" sz="999" b="1" i="0" u="none" strike="noStrike" baseline="0">
                <a:solidFill>
                  <a:srgbClr val="000000"/>
                </a:solidFill>
                <a:latin typeface="Times New Roman"/>
                <a:ea typeface="Times New Roman"/>
                <a:cs typeface="Times New Roman"/>
              </a:defRPr>
            </a:pPr>
            <a:r>
              <a:rPr lang="es-CR"/>
              <a:t>Gráfico 42
Histograma del número de personas condenadas
 durante el 2015 por edad</a:t>
            </a:r>
          </a:p>
        </c:rich>
      </c:tx>
      <c:layout>
        <c:manualLayout>
          <c:xMode val="edge"/>
          <c:yMode val="edge"/>
          <c:x val="0.2036423841059623"/>
          <c:y val="3.8636363636363656E-2"/>
        </c:manualLayout>
      </c:layout>
      <c:spPr>
        <a:noFill/>
        <a:ln w="25385">
          <a:noFill/>
        </a:ln>
      </c:spPr>
    </c:title>
    <c:plotArea>
      <c:layout>
        <c:manualLayout>
          <c:layoutTarget val="inner"/>
          <c:xMode val="edge"/>
          <c:yMode val="edge"/>
          <c:x val="0.1402358992306604"/>
          <c:y val="0.26818186259661331"/>
          <c:w val="0.82615894039735049"/>
          <c:h val="0.38832669150666976"/>
        </c:manualLayout>
      </c:layout>
      <c:areaChart>
        <c:grouping val="stacked"/>
        <c:ser>
          <c:idx val="0"/>
          <c:order val="0"/>
          <c:spPr>
            <a:solidFill>
              <a:srgbClr val="9999FF"/>
            </a:solidFill>
            <a:ln w="12693">
              <a:solidFill>
                <a:srgbClr val="000000"/>
              </a:solidFill>
              <a:prstDash val="solid"/>
            </a:ln>
          </c:spPr>
          <c:cat>
            <c:strRef>
              <c:f>Hoja1!$G$13:$G$25</c:f>
              <c:strCache>
                <c:ptCount val="13"/>
                <c:pt idx="0">
                  <c:v>.</c:v>
                </c:pt>
                <c:pt idx="1">
                  <c:v>Menos de 20 años</c:v>
                </c:pt>
                <c:pt idx="2">
                  <c:v>20 a 24 años</c:v>
                </c:pt>
                <c:pt idx="3">
                  <c:v>25 a 29 años</c:v>
                </c:pt>
                <c:pt idx="4">
                  <c:v>30 a 34 años</c:v>
                </c:pt>
                <c:pt idx="5">
                  <c:v>35 a 39 años</c:v>
                </c:pt>
                <c:pt idx="6">
                  <c:v>40 a 44 años</c:v>
                </c:pt>
                <c:pt idx="7">
                  <c:v>45 a 49 años</c:v>
                </c:pt>
                <c:pt idx="8">
                  <c:v>50 a 54 años</c:v>
                </c:pt>
                <c:pt idx="9">
                  <c:v>55 a 59 años</c:v>
                </c:pt>
                <c:pt idx="10">
                  <c:v>60 a 64 años</c:v>
                </c:pt>
                <c:pt idx="11">
                  <c:v>65 y más</c:v>
                </c:pt>
                <c:pt idx="12">
                  <c:v>.</c:v>
                </c:pt>
              </c:strCache>
            </c:strRef>
          </c:cat>
          <c:val>
            <c:numRef>
              <c:f>Hoja1!$H$13:$H$25</c:f>
              <c:numCache>
                <c:formatCode>General</c:formatCode>
                <c:ptCount val="13"/>
                <c:pt idx="0">
                  <c:v>0</c:v>
                </c:pt>
                <c:pt idx="1">
                  <c:v>346</c:v>
                </c:pt>
                <c:pt idx="2">
                  <c:v>1648</c:v>
                </c:pt>
                <c:pt idx="3">
                  <c:v>1790</c:v>
                </c:pt>
                <c:pt idx="4">
                  <c:v>1616</c:v>
                </c:pt>
                <c:pt idx="5">
                  <c:v>1024</c:v>
                </c:pt>
                <c:pt idx="6">
                  <c:v>701</c:v>
                </c:pt>
                <c:pt idx="7">
                  <c:v>589</c:v>
                </c:pt>
                <c:pt idx="8">
                  <c:v>444</c:v>
                </c:pt>
                <c:pt idx="9">
                  <c:v>323</c:v>
                </c:pt>
                <c:pt idx="10">
                  <c:v>156</c:v>
                </c:pt>
                <c:pt idx="11">
                  <c:v>184</c:v>
                </c:pt>
                <c:pt idx="12">
                  <c:v>0</c:v>
                </c:pt>
              </c:numCache>
            </c:numRef>
          </c:val>
          <c:extLst xmlns:c16r2="http://schemas.microsoft.com/office/drawing/2015/06/chart">
            <c:ext xmlns:c16="http://schemas.microsoft.com/office/drawing/2014/chart" uri="{C3380CC4-5D6E-409C-BE32-E72D297353CC}">
              <c16:uniqueId val="{00000000-7339-4979-A56B-D8D592B9E4E5}"/>
            </c:ext>
          </c:extLst>
        </c:ser>
        <c:axId val="117236096"/>
        <c:axId val="117238016"/>
      </c:areaChart>
      <c:catAx>
        <c:axId val="117236096"/>
        <c:scaling>
          <c:orientation val="minMax"/>
        </c:scaling>
        <c:axPos val="b"/>
        <c:title>
          <c:tx>
            <c:rich>
              <a:bodyPr/>
              <a:lstStyle/>
              <a:p>
                <a:pPr>
                  <a:defRPr lang="es-ES" sz="874" b="1" i="0" u="none" strike="noStrike" baseline="0">
                    <a:solidFill>
                      <a:srgbClr val="000000"/>
                    </a:solidFill>
                    <a:latin typeface="Times New Roman"/>
                    <a:ea typeface="Times New Roman"/>
                    <a:cs typeface="Times New Roman"/>
                  </a:defRPr>
                </a:pPr>
                <a:r>
                  <a:rPr lang="es-CR"/>
                  <a:t>Grupos de edad</a:t>
                </a:r>
              </a:p>
            </c:rich>
          </c:tx>
          <c:layout>
            <c:manualLayout>
              <c:xMode val="edge"/>
              <c:yMode val="edge"/>
              <c:x val="0.41688607344772177"/>
              <c:y val="0.85433927247018593"/>
            </c:manualLayout>
          </c:layout>
          <c:spPr>
            <a:noFill/>
            <a:ln w="25385">
              <a:noFill/>
            </a:ln>
          </c:spPr>
        </c:title>
        <c:numFmt formatCode="General" sourceLinked="1"/>
        <c:tickLblPos val="nextTo"/>
        <c:spPr>
          <a:ln w="3173">
            <a:solidFill>
              <a:srgbClr val="000000"/>
            </a:solidFill>
            <a:prstDash val="solid"/>
          </a:ln>
        </c:spPr>
        <c:txPr>
          <a:bodyPr rot="-2700000" vert="horz"/>
          <a:lstStyle/>
          <a:p>
            <a:pPr>
              <a:defRPr lang="es-ES" sz="800" b="0" i="0" u="none" strike="noStrike" baseline="0">
                <a:solidFill>
                  <a:srgbClr val="000000"/>
                </a:solidFill>
                <a:latin typeface="Times New Roman"/>
                <a:ea typeface="Times New Roman"/>
                <a:cs typeface="Times New Roman"/>
              </a:defRPr>
            </a:pPr>
            <a:endParaRPr lang="es-CR"/>
          </a:p>
        </c:txPr>
        <c:crossAx val="117238016"/>
        <c:crosses val="autoZero"/>
        <c:auto val="1"/>
        <c:lblAlgn val="ctr"/>
        <c:lblOffset val="100"/>
        <c:tickLblSkip val="1"/>
        <c:tickMarkSkip val="1"/>
      </c:catAx>
      <c:valAx>
        <c:axId val="117238016"/>
        <c:scaling>
          <c:orientation val="minMax"/>
        </c:scaling>
        <c:axPos val="l"/>
        <c:majorGridlines>
          <c:spPr>
            <a:ln w="3173">
              <a:solidFill>
                <a:srgbClr val="000000"/>
              </a:solidFill>
              <a:prstDash val="solid"/>
            </a:ln>
          </c:spPr>
        </c:majorGridlines>
        <c:title>
          <c:tx>
            <c:rich>
              <a:bodyPr/>
              <a:lstStyle/>
              <a:p>
                <a:pPr>
                  <a:defRPr lang="es-ES" sz="874" b="1" i="0" u="none" strike="noStrike" baseline="0">
                    <a:solidFill>
                      <a:srgbClr val="000000"/>
                    </a:solidFill>
                    <a:latin typeface="Times New Roman"/>
                    <a:ea typeface="Times New Roman"/>
                    <a:cs typeface="Times New Roman"/>
                  </a:defRPr>
                </a:pPr>
                <a:r>
                  <a:rPr lang="es-CR"/>
                  <a:t>Número de personas</a:t>
                </a:r>
              </a:p>
            </c:rich>
          </c:tx>
          <c:layout>
            <c:manualLayout>
              <c:xMode val="edge"/>
              <c:yMode val="edge"/>
              <c:x val="5.7947019867549722E-2"/>
              <c:y val="0.32727272727273093"/>
            </c:manualLayout>
          </c:layout>
          <c:spPr>
            <a:noFill/>
            <a:ln w="25385">
              <a:noFill/>
            </a:ln>
          </c:spPr>
        </c:title>
        <c:numFmt formatCode="General" sourceLinked="1"/>
        <c:tickLblPos val="nextTo"/>
        <c:spPr>
          <a:ln w="3173">
            <a:solidFill>
              <a:srgbClr val="000000"/>
            </a:solidFill>
            <a:prstDash val="solid"/>
          </a:ln>
        </c:spPr>
        <c:txPr>
          <a:bodyPr rot="0" vert="horz"/>
          <a:lstStyle/>
          <a:p>
            <a:pPr>
              <a:defRPr lang="es-ES" sz="874" b="0" i="0" u="none" strike="noStrike" baseline="0">
                <a:solidFill>
                  <a:srgbClr val="000000"/>
                </a:solidFill>
                <a:latin typeface="Times New Roman"/>
                <a:ea typeface="Times New Roman"/>
                <a:cs typeface="Times New Roman"/>
              </a:defRPr>
            </a:pPr>
            <a:endParaRPr lang="es-CR"/>
          </a:p>
        </c:txPr>
        <c:crossAx val="117236096"/>
        <c:crosses val="autoZero"/>
        <c:crossBetween val="midCat"/>
        <c:majorUnit val="2000"/>
      </c:valAx>
      <c:spPr>
        <a:solidFill>
          <a:srgbClr val="FFFFCC"/>
        </a:solidFill>
        <a:ln w="12693">
          <a:solidFill>
            <a:srgbClr val="808080"/>
          </a:solidFill>
          <a:prstDash val="solid"/>
        </a:ln>
      </c:spPr>
    </c:plotArea>
    <c:plotVisOnly val="1"/>
    <c:dispBlanksAs val="zero"/>
  </c:chart>
  <c:spPr>
    <a:gradFill rotWithShape="0">
      <a:gsLst>
        <a:gs pos="0">
          <a:srgbClr val="CCFFFF">
            <a:gamma/>
            <a:shade val="46275"/>
            <a:invGamma/>
          </a:srgbClr>
        </a:gs>
        <a:gs pos="50000">
          <a:srgbClr val="CCFFFF"/>
        </a:gs>
        <a:gs pos="100000">
          <a:srgbClr val="CCFFFF">
            <a:gamma/>
            <a:shade val="46275"/>
            <a:invGamma/>
          </a:srgbClr>
        </a:gs>
      </a:gsLst>
      <a:lin ang="18900000" scaled="1"/>
    </a:gradFill>
    <a:ln w="12693">
      <a:solidFill>
        <a:srgbClr val="000000"/>
      </a:solidFill>
      <a:prstDash val="solid"/>
    </a:ln>
    <a:effectLst>
      <a:outerShdw dist="35921" dir="2700000" algn="br">
        <a:srgbClr val="000000"/>
      </a:outerShdw>
    </a:effectLst>
  </c:spPr>
  <c:txPr>
    <a:bodyPr/>
    <a:lstStyle/>
    <a:p>
      <a:pPr>
        <a:defRPr sz="850" b="0" i="0" u="none" strike="noStrike" baseline="0">
          <a:solidFill>
            <a:srgbClr val="000000"/>
          </a:solidFill>
          <a:latin typeface="Times New Roman"/>
          <a:ea typeface="Times New Roman"/>
          <a:cs typeface="Times New Roman"/>
        </a:defRPr>
      </a:pPr>
      <a:endParaRPr lang="es-CR"/>
    </a:p>
  </c:txPr>
  <c:externalData r:id="rId1"/>
  <c:userShapes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title>
      <c:tx>
        <c:rich>
          <a:bodyPr/>
          <a:lstStyle/>
          <a:p>
            <a:pPr>
              <a:defRPr lang="es-CR" sz="1074" b="1" i="0" u="none" strike="noStrike" baseline="0">
                <a:solidFill>
                  <a:srgbClr val="000000"/>
                </a:solidFill>
                <a:latin typeface="Times New Roman"/>
                <a:ea typeface="Times New Roman"/>
                <a:cs typeface="Times New Roman"/>
              </a:defRPr>
            </a:pPr>
            <a:r>
              <a:rPr lang="es-CR"/>
              <a:t>Gráfico Nº 43
Tasa de criminalidad para el período 2010-2015 
(datos por 100 mil habitantes)</a:t>
            </a:r>
          </a:p>
        </c:rich>
      </c:tx>
      <c:layout>
        <c:manualLayout>
          <c:xMode val="edge"/>
          <c:yMode val="edge"/>
          <c:x val="0.22836412775135781"/>
          <c:y val="2.0151304616334752E-2"/>
        </c:manualLayout>
      </c:layout>
      <c:spPr>
        <a:noFill/>
        <a:ln w="25378">
          <a:noFill/>
        </a:ln>
      </c:spPr>
    </c:title>
    <c:plotArea>
      <c:layout>
        <c:manualLayout>
          <c:layoutTarget val="inner"/>
          <c:xMode val="edge"/>
          <c:yMode val="edge"/>
          <c:x val="0.13957307060755317"/>
          <c:y val="0.21949946934599424"/>
          <c:w val="0.78817733990147776"/>
          <c:h val="0.5088689125723691"/>
        </c:manualLayout>
      </c:layout>
      <c:lineChart>
        <c:grouping val="standard"/>
        <c:ser>
          <c:idx val="1"/>
          <c:order val="0"/>
          <c:tx>
            <c:strRef>
              <c:f>Sheet1!$A$2</c:f>
              <c:strCache>
                <c:ptCount val="1"/>
                <c:pt idx="0">
                  <c:v>Tasa Criminalidad</c:v>
                </c:pt>
              </c:strCache>
            </c:strRef>
          </c:tx>
          <c:spPr>
            <a:ln w="25378">
              <a:solidFill>
                <a:srgbClr val="000080"/>
              </a:solidFill>
              <a:prstDash val="solid"/>
            </a:ln>
          </c:spPr>
          <c:marker>
            <c:symbol val="square"/>
            <c:size val="3"/>
            <c:spPr>
              <a:solidFill>
                <a:srgbClr val="000080"/>
              </a:solidFill>
              <a:ln>
                <a:solidFill>
                  <a:srgbClr val="000080"/>
                </a:solidFill>
                <a:prstDash val="solid"/>
              </a:ln>
            </c:spPr>
          </c:marker>
          <c:dLbls>
            <c:dLbl>
              <c:idx val="0"/>
              <c:layout>
                <c:manualLayout>
                  <c:x val="-5.5717736317443679E-2"/>
                  <c:y val="-5.821386994900393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4E9-48DA-9D71-C3D06B023F40}"/>
                </c:ext>
              </c:extLst>
            </c:dLbl>
            <c:dLbl>
              <c:idx val="1"/>
              <c:layout>
                <c:manualLayout>
                  <c:x val="-4.5865537152683697E-2"/>
                  <c:y val="-4.575489840655881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4E9-48DA-9D71-C3D06B023F40}"/>
                </c:ext>
              </c:extLst>
            </c:dLbl>
            <c:dLbl>
              <c:idx val="2"/>
              <c:layout>
                <c:manualLayout>
                  <c:x val="-5.4075735360665948E-2"/>
                  <c:y val="-5.387754011216437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4E9-48DA-9D71-C3D06B023F40}"/>
                </c:ext>
              </c:extLst>
            </c:dLbl>
            <c:dLbl>
              <c:idx val="3"/>
              <c:layout>
                <c:manualLayout>
                  <c:x val="-5.5717789069469413E-2"/>
                  <c:y val="-4.138391065758350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4E9-48DA-9D71-C3D06B023F40}"/>
                </c:ext>
              </c:extLst>
            </c:dLbl>
            <c:dLbl>
              <c:idx val="4"/>
              <c:layout>
                <c:manualLayout>
                  <c:x val="-5.1929974772570775E-2"/>
                  <c:y val="-4.709609259250513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4E9-48DA-9D71-C3D06B023F40}"/>
                </c:ext>
              </c:extLst>
            </c:dLbl>
            <c:dLbl>
              <c:idx val="5"/>
              <c:layout>
                <c:manualLayout>
                  <c:xMode val="edge"/>
                  <c:yMode val="edge"/>
                  <c:x val="0.83908045977011492"/>
                  <c:y val="0.41813602015113088"/>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4E9-48DA-9D71-C3D06B023F40}"/>
                </c:ext>
              </c:extLst>
            </c:dLbl>
            <c:dLbl>
              <c:idx val="6"/>
              <c:layout>
                <c:manualLayout>
                  <c:xMode val="edge"/>
                  <c:yMode val="edge"/>
                  <c:x val="0.61412151067324172"/>
                  <c:y val="6.297229219143589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4E9-48DA-9D71-C3D06B023F40}"/>
                </c:ext>
              </c:extLst>
            </c:dLbl>
            <c:dLbl>
              <c:idx val="7"/>
              <c:layout>
                <c:manualLayout>
                  <c:xMode val="edge"/>
                  <c:yMode val="edge"/>
                  <c:x val="0.60591133004926101"/>
                  <c:y val="5.793450881612092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4E9-48DA-9D71-C3D06B023F40}"/>
                </c:ext>
              </c:extLst>
            </c:dLbl>
            <c:dLbl>
              <c:idx val="8"/>
              <c:layout>
                <c:manualLayout>
                  <c:xMode val="edge"/>
                  <c:yMode val="edge"/>
                  <c:x val="0.60262725779967885"/>
                  <c:y val="7.052896725440810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4E9-48DA-9D71-C3D06B023F40}"/>
                </c:ext>
              </c:extLst>
            </c:dLbl>
            <c:dLbl>
              <c:idx val="9"/>
              <c:layout>
                <c:manualLayout>
                  <c:xMode val="edge"/>
                  <c:yMode val="edge"/>
                  <c:x val="0.59441707717569758"/>
                  <c:y val="7.5566750629722929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4E9-48DA-9D71-C3D06B023F40}"/>
                </c:ext>
              </c:extLst>
            </c:dLbl>
            <c:numFmt formatCode="0.0" sourceLinked="0"/>
            <c:spPr>
              <a:noFill/>
              <a:ln w="25378">
                <a:noFill/>
              </a:ln>
            </c:spPr>
            <c:txPr>
              <a:bodyPr/>
              <a:lstStyle/>
              <a:p>
                <a:pPr>
                  <a:defRPr lang="es-ES" sz="899" b="0" i="0" u="none" strike="noStrike" baseline="0">
                    <a:solidFill>
                      <a:srgbClr val="000000"/>
                    </a:solidFill>
                    <a:latin typeface="Arial"/>
                    <a:ea typeface="Arial"/>
                    <a:cs typeface="Arial"/>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Sheet1!$B$1:$P$1</c:f>
              <c:numCache>
                <c:formatCode>General</c:formatCode>
                <c:ptCount val="5"/>
                <c:pt idx="0">
                  <c:v>2011</c:v>
                </c:pt>
                <c:pt idx="1">
                  <c:v>2012</c:v>
                </c:pt>
                <c:pt idx="2">
                  <c:v>2013</c:v>
                </c:pt>
                <c:pt idx="3">
                  <c:v>2014</c:v>
                </c:pt>
                <c:pt idx="4">
                  <c:v>2015</c:v>
                </c:pt>
              </c:numCache>
            </c:numRef>
          </c:cat>
          <c:val>
            <c:numRef>
              <c:f>Sheet1!$B$2:$P$2</c:f>
              <c:numCache>
                <c:formatCode>General</c:formatCode>
                <c:ptCount val="5"/>
                <c:pt idx="0">
                  <c:v>145.80000000000001</c:v>
                </c:pt>
                <c:pt idx="1">
                  <c:v>173.6</c:v>
                </c:pt>
                <c:pt idx="2">
                  <c:v>155.4</c:v>
                </c:pt>
                <c:pt idx="3">
                  <c:v>148.80000000000001</c:v>
                </c:pt>
                <c:pt idx="4">
                  <c:v>147.69999999999999</c:v>
                </c:pt>
              </c:numCache>
            </c:numRef>
          </c:val>
          <c:smooth val="1"/>
          <c:extLst xmlns:c16r2="http://schemas.microsoft.com/office/drawing/2015/06/chart">
            <c:ext xmlns:c16="http://schemas.microsoft.com/office/drawing/2014/chart" uri="{C3380CC4-5D6E-409C-BE32-E72D297353CC}">
              <c16:uniqueId val="{0000000A-E4E9-48DA-9D71-C3D06B023F40}"/>
            </c:ext>
          </c:extLst>
        </c:ser>
        <c:dLbls>
          <c:showVal val="1"/>
        </c:dLbls>
        <c:marker val="1"/>
        <c:axId val="119458048"/>
        <c:axId val="119669120"/>
      </c:lineChart>
      <c:catAx>
        <c:axId val="119458048"/>
        <c:scaling>
          <c:orientation val="minMax"/>
        </c:scaling>
        <c:axPos val="b"/>
        <c:title>
          <c:tx>
            <c:rich>
              <a:bodyPr/>
              <a:lstStyle/>
              <a:p>
                <a:pPr>
                  <a:defRPr lang="es-ES" sz="799" b="1" i="0" u="none" strike="noStrike" baseline="0">
                    <a:solidFill>
                      <a:srgbClr val="000000"/>
                    </a:solidFill>
                    <a:latin typeface="Times New Roman"/>
                    <a:ea typeface="Times New Roman"/>
                    <a:cs typeface="Times New Roman"/>
                  </a:defRPr>
                </a:pPr>
                <a:r>
                  <a:rPr lang="es-ES"/>
                  <a:t>AÑO</a:t>
                </a:r>
              </a:p>
            </c:rich>
          </c:tx>
          <c:layout>
            <c:manualLayout>
              <c:xMode val="edge"/>
              <c:yMode val="edge"/>
              <c:x val="0.51231516852472647"/>
              <c:y val="0.86901765762252103"/>
            </c:manualLayout>
          </c:layout>
          <c:spPr>
            <a:noFill/>
            <a:ln w="25378">
              <a:noFill/>
            </a:ln>
          </c:spPr>
        </c:title>
        <c:numFmt formatCode="General" sourceLinked="1"/>
        <c:tickLblPos val="nextTo"/>
        <c:spPr>
          <a:ln w="3172">
            <a:solidFill>
              <a:srgbClr val="000000"/>
            </a:solidFill>
            <a:prstDash val="solid"/>
          </a:ln>
        </c:spPr>
        <c:txPr>
          <a:bodyPr rot="0" vert="horz"/>
          <a:lstStyle/>
          <a:p>
            <a:pPr>
              <a:defRPr lang="es-ES" sz="799" b="1" i="0" u="none" strike="noStrike" baseline="0">
                <a:solidFill>
                  <a:srgbClr val="000000"/>
                </a:solidFill>
                <a:latin typeface="Times New Roman"/>
                <a:ea typeface="Times New Roman"/>
                <a:cs typeface="Times New Roman"/>
              </a:defRPr>
            </a:pPr>
            <a:endParaRPr lang="es-CR"/>
          </a:p>
        </c:txPr>
        <c:crossAx val="119669120"/>
        <c:crossesAt val="0"/>
        <c:auto val="1"/>
        <c:lblAlgn val="ctr"/>
        <c:lblOffset val="100"/>
        <c:tickLblSkip val="1"/>
        <c:tickMarkSkip val="1"/>
      </c:catAx>
      <c:valAx>
        <c:axId val="119669120"/>
        <c:scaling>
          <c:orientation val="minMax"/>
          <c:max val="200"/>
          <c:min val="130"/>
        </c:scaling>
        <c:axPos val="l"/>
        <c:majorGridlines>
          <c:spPr>
            <a:ln w="12689">
              <a:solidFill>
                <a:srgbClr val="FFCC99"/>
              </a:solidFill>
              <a:prstDash val="solid"/>
            </a:ln>
          </c:spPr>
        </c:majorGridlines>
        <c:title>
          <c:tx>
            <c:rich>
              <a:bodyPr rot="0" vert="wordArtVert"/>
              <a:lstStyle/>
              <a:p>
                <a:pPr algn="ctr">
                  <a:defRPr lang="es-ES" sz="799" b="1" i="0" u="none" strike="noStrike" baseline="0">
                    <a:solidFill>
                      <a:srgbClr val="000000"/>
                    </a:solidFill>
                    <a:latin typeface="Times New Roman"/>
                    <a:ea typeface="Times New Roman"/>
                    <a:cs typeface="Times New Roman"/>
                  </a:defRPr>
                </a:pPr>
                <a:r>
                  <a:rPr lang="es-ES"/>
                  <a:t>TASA x 100 mil</a:t>
                </a:r>
              </a:p>
            </c:rich>
          </c:tx>
          <c:layout>
            <c:manualLayout>
              <c:xMode val="edge"/>
              <c:yMode val="edge"/>
              <c:x val="1.2944985837166401E-2"/>
              <c:y val="0.20467435378627241"/>
            </c:manualLayout>
          </c:layout>
          <c:spPr>
            <a:noFill/>
            <a:ln w="25378">
              <a:noFill/>
            </a:ln>
          </c:spPr>
        </c:title>
        <c:numFmt formatCode="0" sourceLinked="0"/>
        <c:tickLblPos val="nextTo"/>
        <c:spPr>
          <a:ln w="3172">
            <a:solidFill>
              <a:srgbClr val="000000"/>
            </a:solidFill>
            <a:prstDash val="solid"/>
          </a:ln>
        </c:spPr>
        <c:txPr>
          <a:bodyPr rot="0" vert="horz"/>
          <a:lstStyle/>
          <a:p>
            <a:pPr>
              <a:defRPr lang="es-ES" sz="799" b="1" i="0" u="none" strike="noStrike" baseline="0">
                <a:solidFill>
                  <a:srgbClr val="000000"/>
                </a:solidFill>
                <a:latin typeface="Times New Roman"/>
                <a:ea typeface="Times New Roman"/>
                <a:cs typeface="Times New Roman"/>
              </a:defRPr>
            </a:pPr>
            <a:endParaRPr lang="es-CR"/>
          </a:p>
        </c:txPr>
        <c:crossAx val="119458048"/>
        <c:crosses val="autoZero"/>
        <c:crossBetween val="between"/>
      </c:valAx>
      <c:spPr>
        <a:gradFill rotWithShape="0">
          <a:gsLst>
            <a:gs pos="0">
              <a:srgbClr val="FFCC99"/>
            </a:gs>
            <a:gs pos="100000">
              <a:srgbClr val="FFCC99">
                <a:gamma/>
                <a:tint val="15294"/>
                <a:invGamma/>
              </a:srgbClr>
            </a:gs>
          </a:gsLst>
          <a:path path="rect">
            <a:fillToRect r="100000" b="100000"/>
          </a:path>
        </a:gradFill>
        <a:ln w="12689">
          <a:solidFill>
            <a:srgbClr val="808080"/>
          </a:solidFill>
          <a:prstDash val="solid"/>
        </a:ln>
      </c:spPr>
    </c:plotArea>
    <c:plotVisOnly val="1"/>
    <c:dispBlanksAs val="gap"/>
  </c:chart>
  <c:spPr>
    <a:gradFill rotWithShape="0">
      <a:gsLst>
        <a:gs pos="0">
          <a:srgbClr val="FFFFCC">
            <a:gamma/>
            <a:shade val="69804"/>
            <a:invGamma/>
          </a:srgbClr>
        </a:gs>
        <a:gs pos="50000">
          <a:srgbClr val="FFFFCC"/>
        </a:gs>
        <a:gs pos="100000">
          <a:srgbClr val="FFFFCC">
            <a:gamma/>
            <a:shade val="69804"/>
            <a:invGamma/>
          </a:srgbClr>
        </a:gs>
      </a:gsLst>
      <a:lin ang="2700000" scaled="1"/>
    </a:gradFill>
    <a:ln w="3172">
      <a:solidFill>
        <a:srgbClr val="000000"/>
      </a:solidFill>
      <a:prstDash val="solid"/>
    </a:ln>
    <a:effectLst>
      <a:outerShdw dist="35921" dir="2700000" algn="br">
        <a:srgbClr val="000000"/>
      </a:outerShdw>
    </a:effectLst>
  </c:spPr>
  <c:txPr>
    <a:bodyPr/>
    <a:lstStyle/>
    <a:p>
      <a:pPr>
        <a:defRPr sz="1199" b="1" i="0" u="none" strike="noStrike" baseline="0">
          <a:solidFill>
            <a:srgbClr val="000000"/>
          </a:solidFill>
          <a:latin typeface="Arial"/>
          <a:ea typeface="Arial"/>
          <a:cs typeface="Arial"/>
        </a:defRPr>
      </a:pPr>
      <a:endParaRPr lang="es-CR"/>
    </a:p>
  </c:txPr>
  <c:externalData r:id="rId2"/>
  <c:userShapes r:id="rId3"/>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title>
      <c:tx>
        <c:rich>
          <a:bodyPr/>
          <a:lstStyle/>
          <a:p>
            <a:pPr>
              <a:defRPr lang="es-ES" sz="1020" b="1" i="0" u="none" strike="noStrike" baseline="0">
                <a:solidFill>
                  <a:srgbClr val="333333"/>
                </a:solidFill>
                <a:latin typeface="Times New Roman"/>
                <a:ea typeface="Times New Roman"/>
                <a:cs typeface="Times New Roman"/>
              </a:defRPr>
            </a:pPr>
            <a:r>
              <a:rPr lang="es-ES"/>
              <a:t>Gráfico Nº 44
Tasa de víctimas por homicidio doloso según año. 2011-2015
(víctimas por 100 mil habitantes)</a:t>
            </a:r>
          </a:p>
        </c:rich>
      </c:tx>
      <c:layout>
        <c:manualLayout>
          <c:xMode val="edge"/>
          <c:yMode val="edge"/>
          <c:x val="0.15512385480116891"/>
          <c:y val="1.6137803133889697E-2"/>
        </c:manualLayout>
      </c:layout>
      <c:spPr>
        <a:noFill/>
        <a:ln w="25399">
          <a:noFill/>
        </a:ln>
      </c:spPr>
    </c:title>
    <c:plotArea>
      <c:layout>
        <c:manualLayout>
          <c:layoutTarget val="inner"/>
          <c:xMode val="edge"/>
          <c:yMode val="edge"/>
          <c:x val="0.13235294117647117"/>
          <c:y val="0.19619878353529238"/>
          <c:w val="0.80637254901960576"/>
          <c:h val="0.47586622031527626"/>
        </c:manualLayout>
      </c:layout>
      <c:lineChart>
        <c:grouping val="standard"/>
        <c:ser>
          <c:idx val="1"/>
          <c:order val="0"/>
          <c:tx>
            <c:strRef>
              <c:f>Sheet1!$A$2</c:f>
              <c:strCache>
                <c:ptCount val="1"/>
                <c:pt idx="0">
                  <c:v>Homicidio Doloso</c:v>
                </c:pt>
              </c:strCache>
            </c:strRef>
          </c:tx>
          <c:spPr>
            <a:ln w="25379">
              <a:solidFill>
                <a:srgbClr val="000000"/>
              </a:solidFill>
              <a:prstDash val="solid"/>
            </a:ln>
          </c:spPr>
          <c:marker>
            <c:symbol val="diamond"/>
            <c:size val="3"/>
            <c:spPr>
              <a:solidFill>
                <a:srgbClr val="000000"/>
              </a:solidFill>
              <a:ln>
                <a:solidFill>
                  <a:srgbClr val="000000"/>
                </a:solidFill>
                <a:prstDash val="solid"/>
              </a:ln>
            </c:spPr>
          </c:marker>
          <c:dLbls>
            <c:dLbl>
              <c:idx val="0"/>
              <c:layout>
                <c:manualLayout>
                  <c:x val="-4.4841500861011484E-2"/>
                  <c:y val="-6.978951212822458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CD6-40EE-9877-9DA09C9F7D5D}"/>
                </c:ext>
              </c:extLst>
            </c:dLbl>
            <c:dLbl>
              <c:idx val="1"/>
              <c:layout>
                <c:manualLayout>
                  <c:x val="-4.9711636124598918E-2"/>
                  <c:y val="-4.528318511604282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CD6-40EE-9877-9DA09C9F7D5D}"/>
                </c:ext>
              </c:extLst>
            </c:dLbl>
            <c:dLbl>
              <c:idx val="2"/>
              <c:layout>
                <c:manualLayout>
                  <c:x val="-3.8348005154419246E-2"/>
                  <c:y val="-6.108065605723292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CD6-40EE-9877-9DA09C9F7D5D}"/>
                </c:ext>
              </c:extLst>
            </c:dLbl>
            <c:dLbl>
              <c:idx val="3"/>
              <c:layout>
                <c:manualLayout>
                  <c:x val="-4.6464893664758165E-2"/>
                  <c:y val="-4.842242820913210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CD6-40EE-9877-9DA09C9F7D5D}"/>
                </c:ext>
              </c:extLst>
            </c:dLbl>
            <c:dLbl>
              <c:idx val="4"/>
              <c:layout>
                <c:manualLayout>
                  <c:x val="-3.6075669786559697E-2"/>
                  <c:y val="-7.3817806702257419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CD6-40EE-9877-9DA09C9F7D5D}"/>
                </c:ext>
              </c:extLst>
            </c:dLbl>
            <c:dLbl>
              <c:idx val="5"/>
              <c:layout>
                <c:manualLayout>
                  <c:xMode val="edge"/>
                  <c:yMode val="edge"/>
                  <c:x val="0.86363636363636376"/>
                  <c:y val="0.42278481012658231"/>
                </c:manualLayout>
              </c:layout>
              <c:numFmt formatCode="0.0" sourceLinked="0"/>
              <c:spPr>
                <a:noFill/>
                <a:ln w="25399">
                  <a:noFill/>
                </a:ln>
              </c:spPr>
              <c:txPr>
                <a:bodyPr/>
                <a:lstStyle/>
                <a:p>
                  <a:pPr>
                    <a:defRPr lang="es-ES" sz="1025" b="0" i="0" u="none" strike="noStrike" baseline="0">
                      <a:solidFill>
                        <a:srgbClr val="000000"/>
                      </a:solidFill>
                      <a:latin typeface="Bookman Old Style"/>
                      <a:ea typeface="Bookman Old Style"/>
                      <a:cs typeface="Bookman Old Style"/>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CD6-40EE-9877-9DA09C9F7D5D}"/>
                </c:ext>
              </c:extLst>
            </c:dLbl>
            <c:dLbl>
              <c:idx val="6"/>
              <c:layout>
                <c:manualLayout>
                  <c:xMode val="edge"/>
                  <c:yMode val="edge"/>
                  <c:x val="0.84253246753246758"/>
                  <c:y val="0.46075949367088631"/>
                </c:manualLayout>
              </c:layout>
              <c:numFmt formatCode="0.0" sourceLinked="0"/>
              <c:spPr>
                <a:noFill/>
                <a:ln w="25399">
                  <a:noFill/>
                </a:ln>
              </c:spPr>
              <c:txPr>
                <a:bodyPr/>
                <a:lstStyle/>
                <a:p>
                  <a:pPr>
                    <a:defRPr lang="es-ES" sz="1025" b="0" i="0" u="none" strike="noStrike" baseline="0">
                      <a:solidFill>
                        <a:srgbClr val="000000"/>
                      </a:solidFill>
                      <a:latin typeface="Bookman Old Style"/>
                      <a:ea typeface="Bookman Old Style"/>
                      <a:cs typeface="Bookman Old Style"/>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CD6-40EE-9877-9DA09C9F7D5D}"/>
                </c:ext>
              </c:extLst>
            </c:dLbl>
            <c:dLbl>
              <c:idx val="7"/>
              <c:layout>
                <c:manualLayout>
                  <c:xMode val="edge"/>
                  <c:yMode val="edge"/>
                  <c:x val="0.85551948051948545"/>
                  <c:y val="0.46582278481012912"/>
                </c:manualLayout>
              </c:layout>
              <c:numFmt formatCode="0.0" sourceLinked="0"/>
              <c:spPr>
                <a:noFill/>
                <a:ln w="25399">
                  <a:noFill/>
                </a:ln>
              </c:spPr>
              <c:txPr>
                <a:bodyPr/>
                <a:lstStyle/>
                <a:p>
                  <a:pPr>
                    <a:defRPr lang="es-ES" sz="1025" b="0" i="0" u="none" strike="noStrike" baseline="0">
                      <a:solidFill>
                        <a:srgbClr val="000000"/>
                      </a:solidFill>
                      <a:latin typeface="Bookman Old Style"/>
                      <a:ea typeface="Bookman Old Style"/>
                      <a:cs typeface="Bookman Old Style"/>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CD6-40EE-9877-9DA09C9F7D5D}"/>
                </c:ext>
              </c:extLst>
            </c:dLbl>
            <c:dLbl>
              <c:idx val="8"/>
              <c:layout>
                <c:manualLayout>
                  <c:xMode val="edge"/>
                  <c:yMode val="edge"/>
                  <c:x val="0.8733766233766237"/>
                  <c:y val="0.45063291139240802"/>
                </c:manualLayout>
              </c:layout>
              <c:numFmt formatCode="0.0" sourceLinked="0"/>
              <c:spPr>
                <a:noFill/>
                <a:ln w="25399">
                  <a:noFill/>
                </a:ln>
              </c:spPr>
              <c:txPr>
                <a:bodyPr/>
                <a:lstStyle/>
                <a:p>
                  <a:pPr>
                    <a:defRPr lang="es-ES" sz="1025" b="0" i="0" u="none" strike="noStrike" baseline="0">
                      <a:solidFill>
                        <a:srgbClr val="000000"/>
                      </a:solidFill>
                      <a:latin typeface="Bookman Old Style"/>
                      <a:ea typeface="Bookman Old Style"/>
                      <a:cs typeface="Bookman Old Style"/>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CD6-40EE-9877-9DA09C9F7D5D}"/>
                </c:ext>
              </c:extLst>
            </c:dLbl>
            <c:numFmt formatCode="0.0" sourceLinked="0"/>
            <c:spPr>
              <a:noFill/>
              <a:ln w="25399">
                <a:noFill/>
              </a:ln>
            </c:spPr>
            <c:txPr>
              <a:bodyPr/>
              <a:lstStyle/>
              <a:p>
                <a:pPr>
                  <a:defRPr lang="es-ES" sz="1000" b="0" i="0" u="none" strike="noStrike" baseline="0">
                    <a:solidFill>
                      <a:srgbClr val="000000"/>
                    </a:solidFill>
                    <a:latin typeface="Bookman Old Style"/>
                    <a:ea typeface="Bookman Old Style"/>
                    <a:cs typeface="Bookman Old Style"/>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Sheet1!$B$1:$P$1</c:f>
              <c:numCache>
                <c:formatCode>General</c:formatCode>
                <c:ptCount val="5"/>
                <c:pt idx="0">
                  <c:v>2011</c:v>
                </c:pt>
                <c:pt idx="1">
                  <c:v>2012</c:v>
                </c:pt>
                <c:pt idx="2">
                  <c:v>2013</c:v>
                </c:pt>
                <c:pt idx="3">
                  <c:v>2014</c:v>
                </c:pt>
                <c:pt idx="4">
                  <c:v>2015</c:v>
                </c:pt>
              </c:numCache>
            </c:numRef>
          </c:cat>
          <c:val>
            <c:numRef>
              <c:f>Sheet1!$B$2:$P$2</c:f>
              <c:numCache>
                <c:formatCode>General</c:formatCode>
                <c:ptCount val="5"/>
                <c:pt idx="0">
                  <c:v>10.3</c:v>
                </c:pt>
                <c:pt idx="1">
                  <c:v>8.7000000000000011</c:v>
                </c:pt>
                <c:pt idx="2">
                  <c:v>8.7000000000000011</c:v>
                </c:pt>
                <c:pt idx="3">
                  <c:v>10</c:v>
                </c:pt>
                <c:pt idx="4">
                  <c:v>11.5</c:v>
                </c:pt>
              </c:numCache>
            </c:numRef>
          </c:val>
          <c:smooth val="1"/>
          <c:extLst xmlns:c16r2="http://schemas.microsoft.com/office/drawing/2015/06/chart">
            <c:ext xmlns:c16="http://schemas.microsoft.com/office/drawing/2014/chart" uri="{C3380CC4-5D6E-409C-BE32-E72D297353CC}">
              <c16:uniqueId val="{00000009-1CD6-40EE-9877-9DA09C9F7D5D}"/>
            </c:ext>
          </c:extLst>
        </c:ser>
        <c:dLbls>
          <c:showVal val="1"/>
        </c:dLbls>
        <c:marker val="1"/>
        <c:axId val="119732096"/>
        <c:axId val="119738368"/>
      </c:lineChart>
      <c:catAx>
        <c:axId val="119732096"/>
        <c:scaling>
          <c:orientation val="minMax"/>
        </c:scaling>
        <c:axPos val="b"/>
        <c:title>
          <c:tx>
            <c:rich>
              <a:bodyPr/>
              <a:lstStyle/>
              <a:p>
                <a:pPr>
                  <a:defRPr lang="es-ES" sz="920" b="1" i="0" u="none" strike="noStrike" baseline="0">
                    <a:solidFill>
                      <a:srgbClr val="000000"/>
                    </a:solidFill>
                    <a:latin typeface="Times New Roman"/>
                    <a:ea typeface="Times New Roman"/>
                    <a:cs typeface="Times New Roman"/>
                  </a:defRPr>
                </a:pPr>
                <a:r>
                  <a:rPr lang="es-ES"/>
                  <a:t>AÑO</a:t>
                </a:r>
              </a:p>
            </c:rich>
          </c:tx>
          <c:layout>
            <c:manualLayout>
              <c:xMode val="edge"/>
              <c:yMode val="edge"/>
              <c:x val="0.5"/>
              <c:y val="0.80161943319838491"/>
            </c:manualLayout>
          </c:layout>
          <c:spPr>
            <a:noFill/>
            <a:ln w="25399">
              <a:noFill/>
            </a:ln>
          </c:spPr>
        </c:title>
        <c:numFmt formatCode="General" sourceLinked="1"/>
        <c:tickLblPos val="nextTo"/>
        <c:spPr>
          <a:ln w="3172">
            <a:solidFill>
              <a:srgbClr val="000000"/>
            </a:solidFill>
            <a:prstDash val="solid"/>
          </a:ln>
        </c:spPr>
        <c:txPr>
          <a:bodyPr rot="0" vert="horz"/>
          <a:lstStyle/>
          <a:p>
            <a:pPr>
              <a:defRPr lang="es-ES" sz="925" b="1" i="0" u="none" strike="noStrike" baseline="0">
                <a:solidFill>
                  <a:srgbClr val="000000"/>
                </a:solidFill>
                <a:latin typeface="Times New Roman"/>
                <a:ea typeface="Times New Roman"/>
                <a:cs typeface="Times New Roman"/>
              </a:defRPr>
            </a:pPr>
            <a:endParaRPr lang="es-CR"/>
          </a:p>
        </c:txPr>
        <c:crossAx val="119738368"/>
        <c:crosses val="autoZero"/>
        <c:auto val="1"/>
        <c:lblAlgn val="ctr"/>
        <c:lblOffset val="100"/>
        <c:tickLblSkip val="1"/>
        <c:tickMarkSkip val="1"/>
      </c:catAx>
      <c:valAx>
        <c:axId val="119738368"/>
        <c:scaling>
          <c:orientation val="minMax"/>
          <c:max val="13"/>
          <c:min val="8"/>
        </c:scaling>
        <c:axPos val="l"/>
        <c:majorGridlines>
          <c:spPr>
            <a:ln w="12689">
              <a:solidFill>
                <a:srgbClr val="FFFFFF"/>
              </a:solidFill>
              <a:prstDash val="solid"/>
            </a:ln>
          </c:spPr>
        </c:majorGridlines>
        <c:title>
          <c:tx>
            <c:rich>
              <a:bodyPr rot="0" vert="wordArtVert"/>
              <a:lstStyle/>
              <a:p>
                <a:pPr algn="ctr">
                  <a:defRPr lang="es-ES" sz="995" b="1" i="0" u="none" strike="noStrike" baseline="0">
                    <a:solidFill>
                      <a:srgbClr val="000000"/>
                    </a:solidFill>
                    <a:latin typeface="Times New Roman"/>
                    <a:ea typeface="Times New Roman"/>
                    <a:cs typeface="Times New Roman"/>
                  </a:defRPr>
                </a:pPr>
                <a:r>
                  <a:rPr lang="es-ES"/>
                  <a:t>TASA</a:t>
                </a:r>
              </a:p>
            </c:rich>
          </c:tx>
          <c:layout>
            <c:manualLayout>
              <c:xMode val="edge"/>
              <c:yMode val="edge"/>
              <c:x val="1.7156862745098041E-2"/>
              <c:y val="0.34412955465587042"/>
            </c:manualLayout>
          </c:layout>
          <c:spPr>
            <a:noFill/>
            <a:ln w="25399">
              <a:noFill/>
            </a:ln>
          </c:spPr>
        </c:title>
        <c:numFmt formatCode="General" sourceLinked="1"/>
        <c:tickLblPos val="nextTo"/>
        <c:spPr>
          <a:ln w="3172">
            <a:solidFill>
              <a:srgbClr val="000000"/>
            </a:solidFill>
            <a:prstDash val="solid"/>
          </a:ln>
        </c:spPr>
        <c:txPr>
          <a:bodyPr rot="0" vert="horz"/>
          <a:lstStyle/>
          <a:p>
            <a:pPr>
              <a:defRPr lang="es-ES" sz="925" b="1" i="0" u="none" strike="noStrike" baseline="0">
                <a:solidFill>
                  <a:srgbClr val="000000"/>
                </a:solidFill>
                <a:latin typeface="Times New Roman"/>
                <a:ea typeface="Times New Roman"/>
                <a:cs typeface="Times New Roman"/>
              </a:defRPr>
            </a:pPr>
            <a:endParaRPr lang="es-CR"/>
          </a:p>
        </c:txPr>
        <c:crossAx val="119732096"/>
        <c:crosses val="autoZero"/>
        <c:crossBetween val="between"/>
        <c:majorUnit val="1"/>
        <c:minorUnit val="1"/>
      </c:valAx>
      <c:spPr>
        <a:gradFill rotWithShape="0">
          <a:gsLst>
            <a:gs pos="0">
              <a:srgbClr val="FFFFCC">
                <a:gamma/>
                <a:shade val="72941"/>
                <a:invGamma/>
              </a:srgbClr>
            </a:gs>
            <a:gs pos="50000">
              <a:srgbClr val="FFFFCC"/>
            </a:gs>
            <a:gs pos="100000">
              <a:srgbClr val="FFFFCC">
                <a:gamma/>
                <a:shade val="72941"/>
                <a:invGamma/>
              </a:srgbClr>
            </a:gs>
          </a:gsLst>
          <a:lin ang="5400000" scaled="1"/>
        </a:gradFill>
        <a:ln w="25379">
          <a:noFill/>
        </a:ln>
      </c:spPr>
    </c:plotArea>
    <c:plotVisOnly val="1"/>
    <c:dispBlanksAs val="gap"/>
  </c:chart>
  <c:spPr>
    <a:gradFill rotWithShape="0">
      <a:gsLst>
        <a:gs pos="0">
          <a:srgbClr val="CCFFFF"/>
        </a:gs>
        <a:gs pos="50000">
          <a:srgbClr val="CCFFFF">
            <a:gamma/>
            <a:shade val="82353"/>
            <a:invGamma/>
          </a:srgbClr>
        </a:gs>
        <a:gs pos="100000">
          <a:srgbClr val="CCFFFF"/>
        </a:gs>
      </a:gsLst>
      <a:lin ang="2700000" scaled="1"/>
    </a:gradFill>
    <a:ln>
      <a:noFill/>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2"/>
  <c:userShapes r:id="rId3"/>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title>
      <c:tx>
        <c:rich>
          <a:bodyPr/>
          <a:lstStyle/>
          <a:p>
            <a:pPr>
              <a:defRPr lang="es-ES" sz="950" b="1" i="0" u="none" strike="noStrike" baseline="0">
                <a:solidFill>
                  <a:srgbClr val="000000"/>
                </a:solidFill>
                <a:latin typeface="Times New Roman"/>
                <a:ea typeface="Times New Roman"/>
                <a:cs typeface="Times New Roman"/>
              </a:defRPr>
            </a:pPr>
            <a:r>
              <a:rPr lang="es-ES"/>
              <a:t>Gráfico Nº 45
Tasa de víctimas por secuestro extorsivo según año. 2010-2014
(víctimas por 100 mil habitantes)</a:t>
            </a:r>
          </a:p>
        </c:rich>
      </c:tx>
      <c:layout>
        <c:manualLayout>
          <c:xMode val="edge"/>
          <c:yMode val="edge"/>
          <c:x val="0.17489469183583733"/>
          <c:y val="2.0833427340207142E-2"/>
        </c:manualLayout>
      </c:layout>
      <c:spPr>
        <a:noFill/>
        <a:ln w="25400">
          <a:noFill/>
        </a:ln>
      </c:spPr>
    </c:title>
    <c:view3D>
      <c:hPercent val="56"/>
      <c:depthPercent val="5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3196336333664521"/>
          <c:y val="0.13151757176484738"/>
          <c:w val="0.81662591687041886"/>
          <c:h val="0.6325555580624056"/>
        </c:manualLayout>
      </c:layout>
      <c:bar3DChart>
        <c:barDir val="col"/>
        <c:grouping val="standard"/>
        <c:varyColors val="1"/>
        <c:ser>
          <c:idx val="0"/>
          <c:order val="0"/>
          <c:tx>
            <c:strRef>
              <c:f>Sheet1!$A$2</c:f>
              <c:strCache>
                <c:ptCount val="1"/>
                <c:pt idx="0">
                  <c:v>Secuestro Extorsivo</c:v>
                </c:pt>
              </c:strCache>
            </c:strRef>
          </c:tx>
          <c:spPr>
            <a:solidFill>
              <a:srgbClr val="00FFFF"/>
            </a:solidFill>
            <a:ln w="12700">
              <a:solidFill>
                <a:srgbClr val="000000"/>
              </a:solidFill>
              <a:prstDash val="solid"/>
            </a:ln>
          </c:spPr>
          <c:dLbls>
            <c:dLbl>
              <c:idx val="0"/>
              <c:layout>
                <c:manualLayout>
                  <c:x val="1.6655670862547583E-2"/>
                  <c:y val="0.1806964638984138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BBE-4AF8-B6D5-0D9868CDA4D8}"/>
                </c:ext>
              </c:extLst>
            </c:dLbl>
            <c:dLbl>
              <c:idx val="1"/>
              <c:layout>
                <c:manualLayout>
                  <c:x val="1.5375953352894838E-2"/>
                  <c:y val="8.258336522307850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BBE-4AF8-B6D5-0D9868CDA4D8}"/>
                </c:ext>
              </c:extLst>
            </c:dLbl>
            <c:dLbl>
              <c:idx val="2"/>
              <c:layout>
                <c:manualLayout>
                  <c:x val="1.8986013677965641E-2"/>
                  <c:y val="9.74666728573278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BBE-4AF8-B6D5-0D9868CDA4D8}"/>
                </c:ext>
              </c:extLst>
            </c:dLbl>
            <c:dLbl>
              <c:idx val="3"/>
              <c:layout>
                <c:manualLayout>
                  <c:x val="2.0151086227975751E-2"/>
                  <c:y val="7.3771315641225077E-2"/>
                </c:manualLayout>
              </c:layout>
              <c:numFmt formatCode="0.00" sourceLinked="0"/>
              <c:spPr>
                <a:noFill/>
                <a:ln w="25400">
                  <a:noFill/>
                </a:ln>
              </c:spPr>
              <c:txPr>
                <a:bodyPr/>
                <a:lstStyle/>
                <a:p>
                  <a:pPr>
                    <a:defRPr lang="es-ES" sz="850" b="0" i="0" u="none" strike="noStrike" baseline="0">
                      <a:solidFill>
                        <a:srgbClr val="000000"/>
                      </a:solidFill>
                      <a:latin typeface="Arial"/>
                      <a:ea typeface="Arial"/>
                      <a:cs typeface="Arial"/>
                    </a:defRPr>
                  </a:pPr>
                  <a:endParaRPr lang="es-CR"/>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BBE-4AF8-B6D5-0D9868CDA4D8}"/>
                </c:ext>
              </c:extLst>
            </c:dLbl>
            <c:dLbl>
              <c:idx val="4"/>
              <c:layout>
                <c:manualLayout>
                  <c:x val="2.1316158777985709E-2"/>
                  <c:y val="0.14871869197253376"/>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BBE-4AF8-B6D5-0D9868CDA4D8}"/>
                </c:ext>
              </c:extLst>
            </c:dLbl>
            <c:dLbl>
              <c:idx val="5"/>
              <c:layout>
                <c:manualLayout>
                  <c:xMode val="edge"/>
                  <c:yMode val="edge"/>
                  <c:x val="0.86736474694589871"/>
                  <c:y val="0.51562500000000455"/>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BBE-4AF8-B6D5-0D9868CDA4D8}"/>
                </c:ext>
              </c:extLst>
            </c:dLbl>
            <c:dLbl>
              <c:idx val="6"/>
              <c:layout>
                <c:manualLayout>
                  <c:xMode val="edge"/>
                  <c:yMode val="edge"/>
                  <c:x val="0.89179755671902272"/>
                  <c:y val="0.5546875"/>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BBE-4AF8-B6D5-0D9868CDA4D8}"/>
                </c:ext>
              </c:extLst>
            </c:dLbl>
            <c:dLbl>
              <c:idx val="7"/>
              <c:layout>
                <c:manualLayout>
                  <c:xMode val="edge"/>
                  <c:yMode val="edge"/>
                  <c:x val="0.9109947643979055"/>
                  <c:y val="0.5260416666666666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BBE-4AF8-B6D5-0D9868CDA4D8}"/>
                </c:ext>
              </c:extLst>
            </c:dLbl>
            <c:dLbl>
              <c:idx val="8"/>
              <c:layout>
                <c:manualLayout>
                  <c:xMode val="edge"/>
                  <c:yMode val="edge"/>
                  <c:x val="0.92495636998254127"/>
                  <c:y val="0.5651041666666665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BBE-4AF8-B6D5-0D9868CDA4D8}"/>
                </c:ext>
              </c:extLst>
            </c:dLbl>
            <c:dLbl>
              <c:idx val="9"/>
              <c:layout>
                <c:manualLayout>
                  <c:xMode val="edge"/>
                  <c:yMode val="edge"/>
                  <c:x val="0.92670157068062864"/>
                  <c:y val="0.5546875"/>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BBE-4AF8-B6D5-0D9868CDA4D8}"/>
                </c:ext>
              </c:extLst>
            </c:dLbl>
            <c:spPr>
              <a:noFill/>
              <a:ln w="25400">
                <a:noFill/>
              </a:ln>
            </c:spPr>
            <c:txPr>
              <a:bodyPr/>
              <a:lstStyle/>
              <a:p>
                <a:pPr>
                  <a:defRPr lang="es-ES" sz="850" b="0" i="0" u="none" strike="noStrike" baseline="0">
                    <a:solidFill>
                      <a:srgbClr val="000000"/>
                    </a:solidFill>
                    <a:latin typeface="Arial"/>
                    <a:ea typeface="Arial"/>
                    <a:cs typeface="Arial"/>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Sheet1!$B$1:$O$1</c:f>
              <c:numCache>
                <c:formatCode>General</c:formatCode>
                <c:ptCount val="5"/>
                <c:pt idx="0">
                  <c:v>2011</c:v>
                </c:pt>
                <c:pt idx="1">
                  <c:v>2012</c:v>
                </c:pt>
                <c:pt idx="2">
                  <c:v>2013</c:v>
                </c:pt>
                <c:pt idx="3">
                  <c:v>2014</c:v>
                </c:pt>
                <c:pt idx="4">
                  <c:v>2015</c:v>
                </c:pt>
              </c:numCache>
            </c:numRef>
          </c:cat>
          <c:val>
            <c:numRef>
              <c:f>Sheet1!$B$2:$O$2</c:f>
              <c:numCache>
                <c:formatCode>General</c:formatCode>
                <c:ptCount val="5"/>
                <c:pt idx="0">
                  <c:v>0.26</c:v>
                </c:pt>
                <c:pt idx="1">
                  <c:v>0.11</c:v>
                </c:pt>
                <c:pt idx="2">
                  <c:v>0.13</c:v>
                </c:pt>
                <c:pt idx="3">
                  <c:v>8.0000000000000043E-2</c:v>
                </c:pt>
                <c:pt idx="4">
                  <c:v>0.23</c:v>
                </c:pt>
              </c:numCache>
            </c:numRef>
          </c:val>
          <c:shape val="cylinder"/>
          <c:extLst xmlns:c16r2="http://schemas.microsoft.com/office/drawing/2015/06/chart">
            <c:ext xmlns:c16="http://schemas.microsoft.com/office/drawing/2014/chart" uri="{C3380CC4-5D6E-409C-BE32-E72D297353CC}">
              <c16:uniqueId val="{0000000A-DBBE-4AF8-B6D5-0D9868CDA4D8}"/>
            </c:ext>
          </c:extLst>
        </c:ser>
        <c:dLbls>
          <c:showVal val="1"/>
        </c:dLbls>
        <c:gapWidth val="80"/>
        <c:gapDepth val="0"/>
        <c:shape val="cone"/>
        <c:axId val="119862016"/>
        <c:axId val="119863936"/>
        <c:axId val="117083648"/>
      </c:bar3DChart>
      <c:catAx>
        <c:axId val="119862016"/>
        <c:scaling>
          <c:orientation val="minMax"/>
        </c:scaling>
        <c:axPos val="b"/>
        <c:title>
          <c:tx>
            <c:rich>
              <a:bodyPr/>
              <a:lstStyle/>
              <a:p>
                <a:pPr>
                  <a:defRPr lang="es-ES" sz="900" b="1" i="0" u="none" strike="noStrike" baseline="0">
                    <a:solidFill>
                      <a:srgbClr val="000000"/>
                    </a:solidFill>
                    <a:latin typeface="Times New Roman"/>
                    <a:ea typeface="Times New Roman"/>
                    <a:cs typeface="Times New Roman"/>
                  </a:defRPr>
                </a:pPr>
                <a:r>
                  <a:rPr lang="es-ES"/>
                  <a:t>AÑO</a:t>
                </a:r>
              </a:p>
            </c:rich>
          </c:tx>
          <c:layout>
            <c:manualLayout>
              <c:xMode val="edge"/>
              <c:yMode val="edge"/>
              <c:x val="0.49144258097681442"/>
              <c:y val="0.78825320187412107"/>
            </c:manualLayout>
          </c:layout>
          <c:spPr>
            <a:noFill/>
            <a:ln w="25400">
              <a:noFill/>
            </a:ln>
          </c:spPr>
        </c:title>
        <c:numFmt formatCode="General" sourceLinked="1"/>
        <c:tickLblPos val="low"/>
        <c:spPr>
          <a:ln w="3175">
            <a:solidFill>
              <a:srgbClr val="000000"/>
            </a:solidFill>
            <a:prstDash val="solid"/>
          </a:ln>
        </c:spPr>
        <c:txPr>
          <a:bodyPr rot="0" vert="horz"/>
          <a:lstStyle/>
          <a:p>
            <a:pPr>
              <a:defRPr lang="es-ES" sz="900" b="1" i="0" u="none" strike="noStrike" baseline="0">
                <a:solidFill>
                  <a:srgbClr val="000000"/>
                </a:solidFill>
                <a:latin typeface="Times New Roman"/>
                <a:ea typeface="Times New Roman"/>
                <a:cs typeface="Times New Roman"/>
              </a:defRPr>
            </a:pPr>
            <a:endParaRPr lang="es-CR"/>
          </a:p>
        </c:txPr>
        <c:crossAx val="119863936"/>
        <c:crosses val="autoZero"/>
        <c:auto val="1"/>
        <c:lblAlgn val="ctr"/>
        <c:lblOffset val="100"/>
        <c:tickLblSkip val="1"/>
        <c:tickMarkSkip val="1"/>
      </c:catAx>
      <c:valAx>
        <c:axId val="119863936"/>
        <c:scaling>
          <c:orientation val="minMax"/>
          <c:max val="0.30000000000000032"/>
        </c:scaling>
        <c:axPos val="l"/>
        <c:majorGridlines>
          <c:spPr>
            <a:ln w="3175">
              <a:solidFill>
                <a:srgbClr val="000000"/>
              </a:solidFill>
              <a:prstDash val="solid"/>
            </a:ln>
          </c:spPr>
        </c:majorGridlines>
        <c:title>
          <c:tx>
            <c:rich>
              <a:bodyPr rot="0" vert="wordArtVert"/>
              <a:lstStyle/>
              <a:p>
                <a:pPr algn="ctr">
                  <a:defRPr lang="es-ES" sz="800" b="1" i="0" u="none" strike="noStrike" baseline="0">
                    <a:solidFill>
                      <a:srgbClr val="000000"/>
                    </a:solidFill>
                    <a:latin typeface="Times New Roman"/>
                    <a:ea typeface="Times New Roman"/>
                    <a:cs typeface="Times New Roman"/>
                  </a:defRPr>
                </a:pPr>
                <a:r>
                  <a:rPr lang="es-ES"/>
                  <a:t>TASA</a:t>
                </a:r>
              </a:p>
            </c:rich>
          </c:tx>
          <c:layout>
            <c:manualLayout>
              <c:xMode val="edge"/>
              <c:yMode val="edge"/>
              <c:x val="2.2004932999194409E-2"/>
              <c:y val="0.36269085275515345"/>
            </c:manualLayout>
          </c:layout>
          <c:spPr>
            <a:noFill/>
            <a:ln w="25400">
              <a:noFill/>
            </a:ln>
          </c:spPr>
        </c:title>
        <c:numFmt formatCode="0.00" sourceLinked="0"/>
        <c:tickLblPos val="nextTo"/>
        <c:spPr>
          <a:ln w="3175">
            <a:solidFill>
              <a:srgbClr val="000000"/>
            </a:solidFill>
            <a:prstDash val="solid"/>
          </a:ln>
        </c:spPr>
        <c:txPr>
          <a:bodyPr rot="0" vert="horz"/>
          <a:lstStyle/>
          <a:p>
            <a:pPr>
              <a:defRPr lang="es-ES" sz="825" b="1" i="0" u="none" strike="noStrike" baseline="0">
                <a:solidFill>
                  <a:srgbClr val="000000"/>
                </a:solidFill>
                <a:latin typeface="Times New Roman"/>
                <a:ea typeface="Times New Roman"/>
                <a:cs typeface="Times New Roman"/>
              </a:defRPr>
            </a:pPr>
            <a:endParaRPr lang="es-CR"/>
          </a:p>
        </c:txPr>
        <c:crossAx val="119862016"/>
        <c:crosses val="autoZero"/>
        <c:crossBetween val="between"/>
      </c:valAx>
      <c:serAx>
        <c:axId val="117083648"/>
        <c:scaling>
          <c:orientation val="minMax"/>
        </c:scaling>
        <c:delete val="1"/>
        <c:axPos val="b"/>
        <c:tickLblPos val="nextTo"/>
        <c:crossAx val="119863936"/>
        <c:crosses val="autoZero"/>
      </c:serAx>
      <c:spPr>
        <a:noFill/>
        <a:ln w="25400">
          <a:noFill/>
        </a:ln>
      </c:spPr>
    </c:plotArea>
    <c:plotVisOnly val="1"/>
    <c:dispBlanksAs val="gap"/>
  </c:chart>
  <c:spPr>
    <a:gradFill rotWithShape="0">
      <a:gsLst>
        <a:gs pos="0">
          <a:srgbClr val="FFFFCC">
            <a:gamma/>
            <a:shade val="76078"/>
            <a:invGamma/>
          </a:srgbClr>
        </a:gs>
        <a:gs pos="50000">
          <a:srgbClr val="FFFFCC"/>
        </a:gs>
        <a:gs pos="100000">
          <a:srgbClr val="FFFFCC">
            <a:gamma/>
            <a:shade val="76078"/>
            <a:invGamma/>
          </a:srgbClr>
        </a:gs>
      </a:gsLst>
      <a:lin ang="5400000" scaled="1"/>
    </a:gradFill>
    <a:ln w="3175">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2"/>
  <c:userShapes r:id="rId3"/>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title>
      <c:tx>
        <c:rich>
          <a:bodyPr/>
          <a:lstStyle/>
          <a:p>
            <a:pPr>
              <a:defRPr lang="es-ES" sz="1025" b="1" i="0" u="none" strike="noStrike" baseline="0">
                <a:solidFill>
                  <a:srgbClr val="000000"/>
                </a:solidFill>
                <a:latin typeface="Times New Roman"/>
                <a:ea typeface="Times New Roman"/>
                <a:cs typeface="Times New Roman"/>
              </a:defRPr>
            </a:pPr>
            <a:r>
              <a:rPr lang="es-ES"/>
              <a:t>Gráfico Nº 46
Tasa de delincuencia durante el período 2011-2015
(datos por 100 mil habitantes)
</a:t>
            </a:r>
          </a:p>
        </c:rich>
      </c:tx>
      <c:layout>
        <c:manualLayout>
          <c:xMode val="edge"/>
          <c:yMode val="edge"/>
          <c:x val="0.20990250509801586"/>
          <c:y val="1.9802071483274286E-2"/>
        </c:manualLayout>
      </c:layout>
      <c:spPr>
        <a:noFill/>
        <a:ln w="25400">
          <a:noFill/>
        </a:ln>
      </c:spPr>
    </c:title>
    <c:plotArea>
      <c:layout>
        <c:manualLayout>
          <c:layoutTarget val="inner"/>
          <c:xMode val="edge"/>
          <c:yMode val="edge"/>
          <c:x val="0.12865497076023388"/>
          <c:y val="0.21621621621621678"/>
          <c:w val="0.8167641325536088"/>
          <c:h val="0.54054054054054068"/>
        </c:manualLayout>
      </c:layout>
      <c:lineChart>
        <c:grouping val="standard"/>
        <c:ser>
          <c:idx val="0"/>
          <c:order val="0"/>
          <c:tx>
            <c:strRef>
              <c:f>Sheet1!$A$2</c:f>
              <c:strCache>
                <c:ptCount val="1"/>
                <c:pt idx="0">
                  <c:v>Tasa Delincuencia</c:v>
                </c:pt>
              </c:strCache>
            </c:strRef>
          </c:tx>
          <c:spPr>
            <a:ln w="25400">
              <a:solidFill>
                <a:srgbClr val="000080"/>
              </a:solidFill>
              <a:prstDash val="solid"/>
            </a:ln>
          </c:spPr>
          <c:marker>
            <c:symbol val="diamond"/>
            <c:size val="4"/>
            <c:spPr>
              <a:solidFill>
                <a:srgbClr val="000080"/>
              </a:solidFill>
              <a:ln>
                <a:solidFill>
                  <a:srgbClr val="000080"/>
                </a:solidFill>
                <a:prstDash val="solid"/>
              </a:ln>
              <a:effectLst>
                <a:outerShdw dist="35921" dir="2700000" algn="br">
                  <a:srgbClr val="000000"/>
                </a:outerShdw>
              </a:effectLst>
            </c:spPr>
          </c:marker>
          <c:dLbls>
            <c:dLbl>
              <c:idx val="0"/>
              <c:layout>
                <c:manualLayout>
                  <c:x val="-5.5292452354177714E-2"/>
                  <c:y val="-5.014965580110209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568-4459-A2E4-871C1FEC41BA}"/>
                </c:ext>
              </c:extLst>
            </c:dLbl>
            <c:dLbl>
              <c:idx val="1"/>
              <c:layout>
                <c:manualLayout>
                  <c:x val="-4.9054641393054051E-2"/>
                  <c:y val="-5.347540576645407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568-4459-A2E4-871C1FEC41BA}"/>
                </c:ext>
              </c:extLst>
            </c:dLbl>
            <c:dLbl>
              <c:idx val="2"/>
              <c:layout>
                <c:manualLayout>
                  <c:x val="-4.6715465909513205E-2"/>
                  <c:y val="-5.034475353317222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568-4459-A2E4-871C1FEC41BA}"/>
                </c:ext>
              </c:extLst>
            </c:dLbl>
            <c:dLbl>
              <c:idx val="3"/>
              <c:layout>
                <c:manualLayout>
                  <c:x val="-4.6325608164763867E-2"/>
                  <c:y val="-5.005221143161427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568-4459-A2E4-871C1FEC41BA}"/>
                </c:ext>
              </c:extLst>
            </c:dLbl>
            <c:dLbl>
              <c:idx val="4"/>
              <c:layout>
                <c:manualLayout>
                  <c:x val="-5.1783703636388734E-2"/>
                  <c:y val="-5.076540304217592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568-4459-A2E4-871C1FEC41BA}"/>
                </c:ext>
              </c:extLst>
            </c:dLbl>
            <c:dLbl>
              <c:idx val="5"/>
              <c:layout>
                <c:manualLayout>
                  <c:xMode val="edge"/>
                  <c:yMode val="edge"/>
                  <c:x val="0.85618729096989965"/>
                  <c:y val="0.35643564356435642"/>
                </c:manualLayout>
              </c:layout>
              <c:numFmt formatCode="0.0" sourceLinked="0"/>
              <c:spPr>
                <a:noFill/>
                <a:ln w="25400">
                  <a:noFill/>
                </a:ln>
              </c:spPr>
              <c:txPr>
                <a:bodyPr/>
                <a:lstStyle/>
                <a:p>
                  <a:pPr>
                    <a:defRPr lang="es-ES" sz="1025" b="0" i="0" u="none" strike="noStrike" baseline="0">
                      <a:solidFill>
                        <a:srgbClr val="000000"/>
                      </a:solidFill>
                      <a:latin typeface="Arial"/>
                      <a:ea typeface="Arial"/>
                      <a:cs typeface="Arial"/>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568-4459-A2E4-871C1FEC41BA}"/>
                </c:ext>
              </c:extLst>
            </c:dLbl>
            <c:dLbl>
              <c:idx val="6"/>
              <c:layout>
                <c:manualLayout>
                  <c:xMode val="edge"/>
                  <c:yMode val="edge"/>
                  <c:x val="0.8193979933110368"/>
                  <c:y val="0.22029702970297041"/>
                </c:manualLayout>
              </c:layout>
              <c:numFmt formatCode="0.0" sourceLinked="0"/>
              <c:spPr>
                <a:noFill/>
                <a:ln w="25400">
                  <a:noFill/>
                </a:ln>
              </c:spPr>
              <c:txPr>
                <a:bodyPr/>
                <a:lstStyle/>
                <a:p>
                  <a:pPr>
                    <a:defRPr lang="es-ES" sz="1025" b="0" i="0" u="none" strike="noStrike" baseline="0">
                      <a:solidFill>
                        <a:srgbClr val="000000"/>
                      </a:solidFill>
                      <a:latin typeface="Arial"/>
                      <a:ea typeface="Arial"/>
                      <a:cs typeface="Arial"/>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568-4459-A2E4-871C1FEC41BA}"/>
                </c:ext>
              </c:extLst>
            </c:dLbl>
            <c:dLbl>
              <c:idx val="7"/>
              <c:layout>
                <c:manualLayout>
                  <c:xMode val="edge"/>
                  <c:yMode val="edge"/>
                  <c:x val="0.6137123745819395"/>
                  <c:y val="0.27722772277227731"/>
                </c:manualLayout>
              </c:layout>
              <c:numFmt formatCode="0.0" sourceLinked="0"/>
              <c:spPr>
                <a:noFill/>
                <a:ln w="25400">
                  <a:noFill/>
                </a:ln>
              </c:spPr>
              <c:txPr>
                <a:bodyPr/>
                <a:lstStyle/>
                <a:p>
                  <a:pPr>
                    <a:defRPr lang="es-ES" sz="1025" b="0" i="0" u="none" strike="noStrike" baseline="0">
                      <a:solidFill>
                        <a:srgbClr val="000000"/>
                      </a:solidFill>
                      <a:latin typeface="Arial"/>
                      <a:ea typeface="Arial"/>
                      <a:cs typeface="Arial"/>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568-4459-A2E4-871C1FEC41BA}"/>
                </c:ext>
              </c:extLst>
            </c:dLbl>
            <c:dLbl>
              <c:idx val="8"/>
              <c:layout>
                <c:manualLayout>
                  <c:xMode val="edge"/>
                  <c:yMode val="edge"/>
                  <c:x val="0.56354515050167264"/>
                  <c:y val="0.18564356435643684"/>
                </c:manualLayout>
              </c:layout>
              <c:numFmt formatCode="0.0" sourceLinked="0"/>
              <c:spPr>
                <a:noFill/>
                <a:ln w="25400">
                  <a:noFill/>
                </a:ln>
              </c:spPr>
              <c:txPr>
                <a:bodyPr/>
                <a:lstStyle/>
                <a:p>
                  <a:pPr>
                    <a:defRPr lang="es-ES" sz="1025" b="0" i="0" u="none" strike="noStrike" baseline="0">
                      <a:solidFill>
                        <a:srgbClr val="000000"/>
                      </a:solidFill>
                      <a:latin typeface="Arial"/>
                      <a:ea typeface="Arial"/>
                      <a:cs typeface="Arial"/>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568-4459-A2E4-871C1FEC41BA}"/>
                </c:ext>
              </c:extLst>
            </c:dLbl>
            <c:dLbl>
              <c:idx val="9"/>
              <c:layout>
                <c:manualLayout>
                  <c:xMode val="edge"/>
                  <c:yMode val="edge"/>
                  <c:x val="0.57190635451505023"/>
                  <c:y val="0.17079207920792094"/>
                </c:manualLayout>
              </c:layout>
              <c:numFmt formatCode="0.0" sourceLinked="0"/>
              <c:spPr>
                <a:noFill/>
                <a:ln w="25400">
                  <a:noFill/>
                </a:ln>
              </c:spPr>
              <c:txPr>
                <a:bodyPr/>
                <a:lstStyle/>
                <a:p>
                  <a:pPr>
                    <a:defRPr lang="es-ES" sz="1025" b="0" i="0" u="none" strike="noStrike" baseline="0">
                      <a:solidFill>
                        <a:srgbClr val="000000"/>
                      </a:solidFill>
                      <a:latin typeface="Arial"/>
                      <a:ea typeface="Arial"/>
                      <a:cs typeface="Arial"/>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568-4459-A2E4-871C1FEC41BA}"/>
                </c:ext>
              </c:extLst>
            </c:dLbl>
            <c:numFmt formatCode="0.0" sourceLinked="0"/>
            <c:spPr>
              <a:noFill/>
              <a:ln w="25400">
                <a:noFill/>
              </a:ln>
            </c:spPr>
            <c:txPr>
              <a:bodyPr/>
              <a:lstStyle/>
              <a:p>
                <a:pPr>
                  <a:defRPr lang="es-ES" sz="9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Sheet1!$B$1:$P$1</c:f>
              <c:numCache>
                <c:formatCode>General</c:formatCode>
                <c:ptCount val="5"/>
                <c:pt idx="0">
                  <c:v>2011</c:v>
                </c:pt>
                <c:pt idx="1">
                  <c:v>2012</c:v>
                </c:pt>
                <c:pt idx="2">
                  <c:v>2013</c:v>
                </c:pt>
                <c:pt idx="3">
                  <c:v>2014</c:v>
                </c:pt>
                <c:pt idx="4">
                  <c:v>2015</c:v>
                </c:pt>
              </c:numCache>
            </c:numRef>
          </c:cat>
          <c:val>
            <c:numRef>
              <c:f>Sheet1!$B$2:$P$2</c:f>
              <c:numCache>
                <c:formatCode>General</c:formatCode>
                <c:ptCount val="5"/>
                <c:pt idx="0">
                  <c:v>1510.7</c:v>
                </c:pt>
                <c:pt idx="1">
                  <c:v>1768</c:v>
                </c:pt>
                <c:pt idx="2">
                  <c:v>1879.3</c:v>
                </c:pt>
                <c:pt idx="3">
                  <c:v>2026.4</c:v>
                </c:pt>
                <c:pt idx="4">
                  <c:v>1900.9</c:v>
                </c:pt>
              </c:numCache>
            </c:numRef>
          </c:val>
          <c:smooth val="1"/>
          <c:extLst xmlns:c16r2="http://schemas.microsoft.com/office/drawing/2015/06/chart">
            <c:ext xmlns:c16="http://schemas.microsoft.com/office/drawing/2014/chart" uri="{C3380CC4-5D6E-409C-BE32-E72D297353CC}">
              <c16:uniqueId val="{0000000A-D568-4459-A2E4-871C1FEC41BA}"/>
            </c:ext>
          </c:extLst>
        </c:ser>
        <c:dLbls>
          <c:showVal val="1"/>
        </c:dLbls>
        <c:marker val="1"/>
        <c:axId val="120076160"/>
        <c:axId val="120111104"/>
      </c:lineChart>
      <c:catAx>
        <c:axId val="120076160"/>
        <c:scaling>
          <c:orientation val="minMax"/>
        </c:scaling>
        <c:axPos val="b"/>
        <c:title>
          <c:tx>
            <c:rich>
              <a:bodyPr/>
              <a:lstStyle/>
              <a:p>
                <a:pPr>
                  <a:defRPr lang="es-ES" sz="925" b="1" i="0" u="none" strike="noStrike" baseline="0">
                    <a:solidFill>
                      <a:srgbClr val="000000"/>
                    </a:solidFill>
                    <a:latin typeface="Times New Roman"/>
                    <a:ea typeface="Times New Roman"/>
                    <a:cs typeface="Times New Roman"/>
                  </a:defRPr>
                </a:pPr>
                <a:r>
                  <a:rPr lang="es-ES"/>
                  <a:t>AÑO</a:t>
                </a:r>
              </a:p>
            </c:rich>
          </c:tx>
          <c:layout>
            <c:manualLayout>
              <c:xMode val="edge"/>
              <c:yMode val="edge"/>
              <c:x val="0.5048732943469787"/>
              <c:y val="0.84684684684684763"/>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s-ES" sz="925" b="1" i="0" u="none" strike="noStrike" baseline="0">
                <a:solidFill>
                  <a:srgbClr val="000000"/>
                </a:solidFill>
                <a:latin typeface="Times New Roman"/>
                <a:ea typeface="Times New Roman"/>
                <a:cs typeface="Times New Roman"/>
              </a:defRPr>
            </a:pPr>
            <a:endParaRPr lang="es-CR"/>
          </a:p>
        </c:txPr>
        <c:crossAx val="120111104"/>
        <c:crossesAt val="0"/>
        <c:auto val="1"/>
        <c:lblAlgn val="ctr"/>
        <c:lblOffset val="100"/>
        <c:tickLblSkip val="1"/>
        <c:tickMarkSkip val="1"/>
      </c:catAx>
      <c:valAx>
        <c:axId val="120111104"/>
        <c:scaling>
          <c:orientation val="minMax"/>
          <c:max val="2200"/>
          <c:min val="1400"/>
        </c:scaling>
        <c:axPos val="l"/>
        <c:majorGridlines>
          <c:spPr>
            <a:ln w="3175">
              <a:solidFill>
                <a:srgbClr val="000000"/>
              </a:solidFill>
              <a:prstDash val="solid"/>
            </a:ln>
          </c:spPr>
        </c:majorGridlines>
        <c:title>
          <c:tx>
            <c:rich>
              <a:bodyPr rot="0" vert="wordArtVert"/>
              <a:lstStyle/>
              <a:p>
                <a:pPr algn="ctr">
                  <a:defRPr lang="es-ES" sz="1025" b="1" i="0" u="none" strike="noStrike" baseline="0">
                    <a:solidFill>
                      <a:srgbClr val="000000"/>
                    </a:solidFill>
                    <a:latin typeface="Times New Roman"/>
                    <a:ea typeface="Times New Roman"/>
                    <a:cs typeface="Times New Roman"/>
                  </a:defRPr>
                </a:pPr>
                <a:r>
                  <a:rPr lang="es-ES"/>
                  <a:t>TASA</a:t>
                </a:r>
              </a:p>
            </c:rich>
          </c:tx>
          <c:layout>
            <c:manualLayout>
              <c:xMode val="edge"/>
              <c:yMode val="edge"/>
              <c:x val="1.5594541910331383E-2"/>
              <c:y val="0.38138138138138328"/>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s-ES" sz="925" b="1" i="0" u="none" strike="noStrike" baseline="0">
                <a:solidFill>
                  <a:srgbClr val="000000"/>
                </a:solidFill>
                <a:latin typeface="Times New Roman"/>
                <a:ea typeface="Times New Roman"/>
                <a:cs typeface="Times New Roman"/>
              </a:defRPr>
            </a:pPr>
            <a:endParaRPr lang="es-CR"/>
          </a:p>
        </c:txPr>
        <c:crossAx val="120076160"/>
        <c:crosses val="autoZero"/>
        <c:crossBetween val="between"/>
        <c:majorUnit val="200"/>
        <c:minorUnit val="200"/>
      </c:valAx>
      <c:spPr>
        <a:solidFill>
          <a:srgbClr val="C0C0C0"/>
        </a:solidFill>
        <a:ln w="12700">
          <a:solidFill>
            <a:srgbClr val="808080"/>
          </a:solidFill>
          <a:prstDash val="solid"/>
        </a:ln>
      </c:spPr>
    </c:plotArea>
    <c:plotVisOnly val="1"/>
    <c:dispBlanksAs val="gap"/>
  </c:chart>
  <c:spPr>
    <a:gradFill rotWithShape="0">
      <a:gsLst>
        <a:gs pos="0">
          <a:srgbClr val="FFFFCC">
            <a:gamma/>
            <a:shade val="76078"/>
            <a:invGamma/>
          </a:srgbClr>
        </a:gs>
        <a:gs pos="50000">
          <a:srgbClr val="FFFFCC"/>
        </a:gs>
        <a:gs pos="100000">
          <a:srgbClr val="FFFFCC">
            <a:gamma/>
            <a:shade val="76078"/>
            <a:invGamma/>
          </a:srgbClr>
        </a:gs>
      </a:gsLst>
      <a:lin ang="18900000" scaled="1"/>
    </a:gradFill>
    <a:ln w="3175">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2"/>
  <c:userShapes r:id="rId3"/>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title>
      <c:tx>
        <c:rich>
          <a:bodyPr/>
          <a:lstStyle/>
          <a:p>
            <a:pPr>
              <a:defRPr lang="es-ES" sz="975" b="1" i="0" u="none" strike="noStrike" baseline="0">
                <a:solidFill>
                  <a:srgbClr val="000000"/>
                </a:solidFill>
                <a:latin typeface="Times New Roman"/>
                <a:ea typeface="Times New Roman"/>
                <a:cs typeface="Times New Roman"/>
              </a:defRPr>
            </a:pPr>
            <a:r>
              <a:rPr lang="es-ES"/>
              <a:t>Gráfico Nº 47
Tasa de denuncias por hurto durante el período 2011-2015
(datos por 100 mil habitantes)
</a:t>
            </a:r>
          </a:p>
        </c:rich>
      </c:tx>
      <c:layout>
        <c:manualLayout>
          <c:xMode val="edge"/>
          <c:yMode val="edge"/>
          <c:x val="0.16028025602828752"/>
          <c:y val="2.0618637623568092E-2"/>
        </c:manualLayout>
      </c:layout>
      <c:spPr>
        <a:noFill/>
        <a:ln w="25400">
          <a:noFill/>
        </a:ln>
      </c:spPr>
    </c:title>
    <c:plotArea>
      <c:layout>
        <c:manualLayout>
          <c:layoutTarget val="inner"/>
          <c:xMode val="edge"/>
          <c:yMode val="edge"/>
          <c:x val="0.12688172043010737"/>
          <c:y val="0.22259136212624633"/>
          <c:w val="0.81720430107526676"/>
          <c:h val="0.48504983388704453"/>
        </c:manualLayout>
      </c:layout>
      <c:lineChart>
        <c:grouping val="standard"/>
        <c:ser>
          <c:idx val="0"/>
          <c:order val="0"/>
          <c:tx>
            <c:strRef>
              <c:f>Sheet1!$A$2</c:f>
              <c:strCache>
                <c:ptCount val="1"/>
                <c:pt idx="0">
                  <c:v>Denuncias Hurto</c:v>
                </c:pt>
              </c:strCache>
            </c:strRef>
          </c:tx>
          <c:spPr>
            <a:ln w="25389">
              <a:solidFill>
                <a:srgbClr val="000080"/>
              </a:solidFill>
              <a:prstDash val="solid"/>
            </a:ln>
          </c:spPr>
          <c:marker>
            <c:symbol val="diamond"/>
            <c:size val="3"/>
            <c:spPr>
              <a:solidFill>
                <a:srgbClr val="000080"/>
              </a:solidFill>
              <a:ln>
                <a:solidFill>
                  <a:srgbClr val="000080"/>
                </a:solidFill>
                <a:prstDash val="solid"/>
              </a:ln>
              <a:effectLst>
                <a:outerShdw dist="35921" dir="2700000" algn="br">
                  <a:srgbClr val="000000"/>
                </a:outerShdw>
              </a:effectLst>
            </c:spPr>
          </c:marker>
          <c:dLbls>
            <c:dLbl>
              <c:idx val="0"/>
              <c:layout>
                <c:manualLayout>
                  <c:x val="-3.8280471127816781E-2"/>
                  <c:y val="-6.446426102844536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CFD-4519-A720-B87A5F03708A}"/>
                </c:ext>
              </c:extLst>
            </c:dLbl>
            <c:dLbl>
              <c:idx val="1"/>
              <c:layout>
                <c:manualLayout>
                  <c:x val="-4.4732217808164186E-2"/>
                  <c:y val="-5.232748101662281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CFD-4519-A720-B87A5F03708A}"/>
                </c:ext>
              </c:extLst>
            </c:dLbl>
            <c:dLbl>
              <c:idx val="2"/>
              <c:layout>
                <c:manualLayout>
                  <c:x val="-4.2581595682941988E-2"/>
                  <c:y val="-4.487752549731541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CFD-4519-A720-B87A5F03708A}"/>
                </c:ext>
              </c:extLst>
            </c:dLbl>
            <c:dLbl>
              <c:idx val="3"/>
              <c:layout>
                <c:manualLayout>
                  <c:x val="-4.0430973557719824E-2"/>
                  <c:y val="-7.399110755580673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CFD-4519-A720-B87A5F03708A}"/>
                </c:ext>
              </c:extLst>
            </c:dLbl>
            <c:dLbl>
              <c:idx val="4"/>
              <c:layout>
                <c:manualLayout>
                  <c:x val="-3.8280569700432657E-2"/>
                  <c:y val="-4.712742900182473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CFD-4519-A720-B87A5F03708A}"/>
                </c:ext>
              </c:extLst>
            </c:dLbl>
            <c:dLbl>
              <c:idx val="5"/>
              <c:layout>
                <c:manualLayout>
                  <c:xMode val="edge"/>
                  <c:yMode val="edge"/>
                  <c:x val="0.89649122807018045"/>
                  <c:y val="0.23195876288659908"/>
                </c:manualLayout>
              </c:layout>
              <c:numFmt formatCode="0.0" sourceLinked="0"/>
              <c:spPr>
                <a:noFill/>
                <a:ln w="25400">
                  <a:noFill/>
                </a:ln>
              </c:spPr>
              <c:txPr>
                <a:bodyPr/>
                <a:lstStyle/>
                <a:p>
                  <a:pPr>
                    <a:defRPr lang="es-ES" sz="975" b="0" i="0" u="none" strike="noStrike" baseline="0">
                      <a:solidFill>
                        <a:srgbClr val="000000"/>
                      </a:solidFill>
                      <a:latin typeface="Arial"/>
                      <a:ea typeface="Arial"/>
                      <a:cs typeface="Arial"/>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CFD-4519-A720-B87A5F03708A}"/>
                </c:ext>
              </c:extLst>
            </c:dLbl>
            <c:dLbl>
              <c:idx val="6"/>
              <c:layout>
                <c:manualLayout>
                  <c:xMode val="edge"/>
                  <c:yMode val="edge"/>
                  <c:x val="0.91929824561403561"/>
                  <c:y val="0.49742268041237447"/>
                </c:manualLayout>
              </c:layout>
              <c:numFmt formatCode="0.0" sourceLinked="0"/>
              <c:spPr>
                <a:noFill/>
                <a:ln w="25400">
                  <a:noFill/>
                </a:ln>
              </c:spPr>
              <c:txPr>
                <a:bodyPr/>
                <a:lstStyle/>
                <a:p>
                  <a:pPr>
                    <a:defRPr lang="es-ES" sz="975" b="0" i="0" u="none" strike="noStrike" baseline="0">
                      <a:solidFill>
                        <a:srgbClr val="000000"/>
                      </a:solidFill>
                      <a:latin typeface="Arial"/>
                      <a:ea typeface="Arial"/>
                      <a:cs typeface="Arial"/>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CFD-4519-A720-B87A5F03708A}"/>
                </c:ext>
              </c:extLst>
            </c:dLbl>
            <c:dLbl>
              <c:idx val="7"/>
              <c:layout>
                <c:manualLayout>
                  <c:xMode val="edge"/>
                  <c:yMode val="edge"/>
                  <c:x val="0.5491228070175439"/>
                  <c:y val="0.40463917525773196"/>
                </c:manualLayout>
              </c:layout>
              <c:numFmt formatCode="0.0" sourceLinked="0"/>
              <c:spPr>
                <a:noFill/>
                <a:ln w="25400">
                  <a:noFill/>
                </a:ln>
              </c:spPr>
              <c:txPr>
                <a:bodyPr/>
                <a:lstStyle/>
                <a:p>
                  <a:pPr>
                    <a:defRPr lang="es-ES" sz="975" b="0" i="0" u="none" strike="noStrike" baseline="0">
                      <a:solidFill>
                        <a:srgbClr val="000000"/>
                      </a:solidFill>
                      <a:latin typeface="Arial"/>
                      <a:ea typeface="Arial"/>
                      <a:cs typeface="Arial"/>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CFD-4519-A720-B87A5F03708A}"/>
                </c:ext>
              </c:extLst>
            </c:dLbl>
            <c:dLbl>
              <c:idx val="8"/>
              <c:layout>
                <c:manualLayout>
                  <c:xMode val="edge"/>
                  <c:yMode val="edge"/>
                  <c:x val="0.54736842105262595"/>
                  <c:y val="0.30670103092783507"/>
                </c:manualLayout>
              </c:layout>
              <c:numFmt formatCode="0.0" sourceLinked="0"/>
              <c:spPr>
                <a:noFill/>
                <a:ln w="25400">
                  <a:noFill/>
                </a:ln>
              </c:spPr>
              <c:txPr>
                <a:bodyPr/>
                <a:lstStyle/>
                <a:p>
                  <a:pPr>
                    <a:defRPr lang="es-ES" sz="975" b="0" i="0" u="none" strike="noStrike" baseline="0">
                      <a:solidFill>
                        <a:srgbClr val="000000"/>
                      </a:solidFill>
                      <a:latin typeface="Arial"/>
                      <a:ea typeface="Arial"/>
                      <a:cs typeface="Arial"/>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CFD-4519-A720-B87A5F03708A}"/>
                </c:ext>
              </c:extLst>
            </c:dLbl>
            <c:dLbl>
              <c:idx val="9"/>
              <c:layout>
                <c:manualLayout>
                  <c:xMode val="edge"/>
                  <c:yMode val="edge"/>
                  <c:x val="0.6140350877192986"/>
                  <c:y val="0.1907216494845361"/>
                </c:manualLayout>
              </c:layout>
              <c:numFmt formatCode="0.0" sourceLinked="0"/>
              <c:spPr>
                <a:noFill/>
                <a:ln w="25400">
                  <a:noFill/>
                </a:ln>
              </c:spPr>
              <c:txPr>
                <a:bodyPr/>
                <a:lstStyle/>
                <a:p>
                  <a:pPr>
                    <a:defRPr lang="es-ES" sz="975" b="0" i="0" u="none" strike="noStrike" baseline="0">
                      <a:solidFill>
                        <a:srgbClr val="000000"/>
                      </a:solidFill>
                      <a:latin typeface="Arial"/>
                      <a:ea typeface="Arial"/>
                      <a:cs typeface="Arial"/>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CFD-4519-A720-B87A5F03708A}"/>
                </c:ext>
              </c:extLst>
            </c:dLbl>
            <c:numFmt formatCode="0.0" sourceLinked="0"/>
            <c:spPr>
              <a:noFill/>
              <a:ln w="25400">
                <a:noFill/>
              </a:ln>
            </c:spPr>
            <c:txPr>
              <a:bodyPr/>
              <a:lstStyle/>
              <a:p>
                <a:pPr>
                  <a:defRPr lang="es-ES" sz="975"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Sheet1!$B$1:$J$1</c:f>
              <c:numCache>
                <c:formatCode>General</c:formatCode>
                <c:ptCount val="5"/>
                <c:pt idx="0">
                  <c:v>2011</c:v>
                </c:pt>
                <c:pt idx="1">
                  <c:v>2012</c:v>
                </c:pt>
                <c:pt idx="2">
                  <c:v>2013</c:v>
                </c:pt>
                <c:pt idx="3">
                  <c:v>2014</c:v>
                </c:pt>
                <c:pt idx="4">
                  <c:v>2015</c:v>
                </c:pt>
              </c:numCache>
            </c:numRef>
          </c:cat>
          <c:val>
            <c:numRef>
              <c:f>Sheet1!$B$2:$J$2</c:f>
              <c:numCache>
                <c:formatCode>General</c:formatCode>
                <c:ptCount val="5"/>
                <c:pt idx="0" formatCode="0.0">
                  <c:v>467.5</c:v>
                </c:pt>
                <c:pt idx="1">
                  <c:v>589.6</c:v>
                </c:pt>
                <c:pt idx="2" formatCode="0.0">
                  <c:v>641.79999999999995</c:v>
                </c:pt>
                <c:pt idx="3">
                  <c:v>752.2</c:v>
                </c:pt>
                <c:pt idx="4" formatCode="0.0">
                  <c:v>697.7</c:v>
                </c:pt>
              </c:numCache>
            </c:numRef>
          </c:val>
          <c:smooth val="1"/>
          <c:extLst xmlns:c16r2="http://schemas.microsoft.com/office/drawing/2015/06/chart">
            <c:ext xmlns:c16="http://schemas.microsoft.com/office/drawing/2014/chart" uri="{C3380CC4-5D6E-409C-BE32-E72D297353CC}">
              <c16:uniqueId val="{0000000A-7CFD-4519-A720-B87A5F03708A}"/>
            </c:ext>
          </c:extLst>
        </c:ser>
        <c:dLbls>
          <c:showVal val="1"/>
        </c:dLbls>
        <c:marker val="1"/>
        <c:axId val="120264576"/>
        <c:axId val="120270848"/>
      </c:lineChart>
      <c:catAx>
        <c:axId val="120264576"/>
        <c:scaling>
          <c:orientation val="minMax"/>
        </c:scaling>
        <c:axPos val="b"/>
        <c:title>
          <c:tx>
            <c:rich>
              <a:bodyPr/>
              <a:lstStyle/>
              <a:p>
                <a:pPr>
                  <a:defRPr lang="es-ES" sz="900" b="1" i="0" u="none" strike="noStrike" baseline="0">
                    <a:solidFill>
                      <a:srgbClr val="000000"/>
                    </a:solidFill>
                    <a:latin typeface="Times New Roman"/>
                    <a:ea typeface="Times New Roman"/>
                    <a:cs typeface="Times New Roman"/>
                  </a:defRPr>
                </a:pPr>
                <a:r>
                  <a:rPr lang="es-ES"/>
                  <a:t>AÑO</a:t>
                </a:r>
              </a:p>
            </c:rich>
          </c:tx>
          <c:layout>
            <c:manualLayout>
              <c:xMode val="edge"/>
              <c:yMode val="edge"/>
              <c:x val="0.50752688172042726"/>
              <c:y val="0.81063122923588282"/>
            </c:manualLayout>
          </c:layout>
          <c:spPr>
            <a:noFill/>
            <a:ln w="25400">
              <a:noFill/>
            </a:ln>
          </c:spPr>
        </c:title>
        <c:numFmt formatCode="General" sourceLinked="1"/>
        <c:tickLblPos val="nextTo"/>
        <c:spPr>
          <a:ln w="3174">
            <a:solidFill>
              <a:srgbClr val="000000"/>
            </a:solidFill>
            <a:prstDash val="solid"/>
          </a:ln>
        </c:spPr>
        <c:txPr>
          <a:bodyPr rot="0" vert="horz"/>
          <a:lstStyle/>
          <a:p>
            <a:pPr>
              <a:defRPr lang="es-ES" sz="900" b="1" i="0" u="none" strike="noStrike" baseline="0">
                <a:solidFill>
                  <a:srgbClr val="000000"/>
                </a:solidFill>
                <a:latin typeface="Times New Roman"/>
                <a:ea typeface="Times New Roman"/>
                <a:cs typeface="Times New Roman"/>
              </a:defRPr>
            </a:pPr>
            <a:endParaRPr lang="es-CR"/>
          </a:p>
        </c:txPr>
        <c:crossAx val="120270848"/>
        <c:crossesAt val="0"/>
        <c:auto val="1"/>
        <c:lblAlgn val="ctr"/>
        <c:lblOffset val="100"/>
        <c:tickLblSkip val="1"/>
        <c:tickMarkSkip val="1"/>
      </c:catAx>
      <c:valAx>
        <c:axId val="120270848"/>
        <c:scaling>
          <c:orientation val="minMax"/>
          <c:max val="900"/>
          <c:min val="400"/>
        </c:scaling>
        <c:axPos val="l"/>
        <c:majorGridlines>
          <c:spPr>
            <a:ln w="3174">
              <a:solidFill>
                <a:srgbClr val="000000"/>
              </a:solidFill>
              <a:prstDash val="solid"/>
            </a:ln>
          </c:spPr>
        </c:majorGridlines>
        <c:title>
          <c:tx>
            <c:rich>
              <a:bodyPr rot="0" vert="wordArtVert"/>
              <a:lstStyle/>
              <a:p>
                <a:pPr algn="ctr">
                  <a:defRPr lang="es-ES" sz="975" b="1" i="0" u="none" strike="noStrike" baseline="0">
                    <a:solidFill>
                      <a:srgbClr val="000000"/>
                    </a:solidFill>
                    <a:latin typeface="Times New Roman"/>
                    <a:ea typeface="Times New Roman"/>
                    <a:cs typeface="Times New Roman"/>
                  </a:defRPr>
                </a:pPr>
                <a:r>
                  <a:rPr lang="es-ES"/>
                  <a:t>TASA</a:t>
                </a:r>
              </a:p>
            </c:rich>
          </c:tx>
          <c:layout>
            <c:manualLayout>
              <c:xMode val="edge"/>
              <c:yMode val="edge"/>
              <c:x val="1.7204301075268821E-2"/>
              <c:y val="0.36544850498338882"/>
            </c:manualLayout>
          </c:layout>
          <c:spPr>
            <a:noFill/>
            <a:ln w="25400">
              <a:noFill/>
            </a:ln>
          </c:spPr>
        </c:title>
        <c:numFmt formatCode="0" sourceLinked="0"/>
        <c:tickLblPos val="nextTo"/>
        <c:spPr>
          <a:ln w="3174">
            <a:solidFill>
              <a:srgbClr val="000000"/>
            </a:solidFill>
            <a:prstDash val="solid"/>
          </a:ln>
        </c:spPr>
        <c:txPr>
          <a:bodyPr rot="0" vert="horz"/>
          <a:lstStyle/>
          <a:p>
            <a:pPr>
              <a:defRPr lang="es-ES" sz="900" b="1" i="0" u="none" strike="noStrike" baseline="0">
                <a:solidFill>
                  <a:srgbClr val="000000"/>
                </a:solidFill>
                <a:latin typeface="Times New Roman"/>
                <a:ea typeface="Times New Roman"/>
                <a:cs typeface="Times New Roman"/>
              </a:defRPr>
            </a:pPr>
            <a:endParaRPr lang="es-CR"/>
          </a:p>
        </c:txPr>
        <c:crossAx val="120264576"/>
        <c:crosses val="autoZero"/>
        <c:crossBetween val="between"/>
        <c:majorUnit val="100"/>
        <c:minorUnit val="50"/>
      </c:valAx>
      <c:spPr>
        <a:solidFill>
          <a:srgbClr val="C0C0C0"/>
        </a:solidFill>
        <a:ln w="12695">
          <a:solidFill>
            <a:srgbClr val="808080"/>
          </a:solidFill>
          <a:prstDash val="solid"/>
        </a:ln>
      </c:spPr>
    </c:plotArea>
    <c:plotVisOnly val="1"/>
    <c:dispBlanksAs val="gap"/>
  </c:chart>
  <c:spPr>
    <a:gradFill rotWithShape="0">
      <a:gsLst>
        <a:gs pos="0">
          <a:srgbClr val="CCFFFF"/>
        </a:gs>
        <a:gs pos="50000">
          <a:srgbClr val="CCFFFF">
            <a:gamma/>
            <a:shade val="72941"/>
            <a:invGamma/>
          </a:srgbClr>
        </a:gs>
        <a:gs pos="100000">
          <a:srgbClr val="CCFFFF"/>
        </a:gs>
      </a:gsLst>
      <a:lin ang="5400000" scaled="1"/>
    </a:gradFill>
    <a:ln w="3174">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title>
      <c:tx>
        <c:rich>
          <a:bodyPr/>
          <a:lstStyle/>
          <a:p>
            <a:pPr>
              <a:defRPr lang="es-ES" sz="995" b="1" i="0" u="none" strike="noStrike" baseline="0">
                <a:solidFill>
                  <a:srgbClr val="000000"/>
                </a:solidFill>
                <a:latin typeface="Times New Roman"/>
                <a:ea typeface="Times New Roman"/>
                <a:cs typeface="Times New Roman"/>
              </a:defRPr>
            </a:pPr>
            <a:r>
              <a:rPr lang="es-ES"/>
              <a:t>Gráfico Nº 48
Tasa de denuncias por robo durante el período 2011-2015
(datos por 100 mil habitantes)
</a:t>
            </a:r>
          </a:p>
        </c:rich>
      </c:tx>
      <c:layout>
        <c:manualLayout>
          <c:xMode val="edge"/>
          <c:yMode val="edge"/>
          <c:x val="0.15570931052973302"/>
          <c:y val="2.1276764746511946E-2"/>
        </c:manualLayout>
      </c:layout>
      <c:spPr>
        <a:noFill/>
        <a:ln w="25399">
          <a:noFill/>
        </a:ln>
      </c:spPr>
    </c:title>
    <c:plotArea>
      <c:layout>
        <c:manualLayout>
          <c:layoutTarget val="inner"/>
          <c:xMode val="edge"/>
          <c:yMode val="edge"/>
          <c:x val="0.12948207171314738"/>
          <c:y val="0.23127035830618892"/>
          <c:w val="0.81274900398406602"/>
          <c:h val="0.4926536476518425"/>
        </c:manualLayout>
      </c:layout>
      <c:lineChart>
        <c:grouping val="standard"/>
        <c:ser>
          <c:idx val="0"/>
          <c:order val="0"/>
          <c:tx>
            <c:strRef>
              <c:f>Sheet1!$A$2</c:f>
              <c:strCache>
                <c:ptCount val="1"/>
                <c:pt idx="0">
                  <c:v>Denuncias por Robo</c:v>
                </c:pt>
              </c:strCache>
            </c:strRef>
          </c:tx>
          <c:spPr>
            <a:ln w="25366">
              <a:solidFill>
                <a:srgbClr val="000080"/>
              </a:solidFill>
              <a:prstDash val="solid"/>
            </a:ln>
          </c:spPr>
          <c:marker>
            <c:symbol val="diamond"/>
            <c:size val="2"/>
            <c:spPr>
              <a:solidFill>
                <a:srgbClr val="000080"/>
              </a:solidFill>
              <a:ln>
                <a:solidFill>
                  <a:srgbClr val="000080"/>
                </a:solidFill>
                <a:prstDash val="solid"/>
              </a:ln>
              <a:effectLst>
                <a:outerShdw dist="35921" dir="2700000" algn="br">
                  <a:srgbClr val="000000"/>
                </a:outerShdw>
              </a:effectLst>
            </c:spPr>
          </c:marker>
          <c:dLbls>
            <c:dLbl>
              <c:idx val="0"/>
              <c:layout>
                <c:manualLayout>
                  <c:x val="-4.1770040401028219E-2"/>
                  <c:y val="-4.5242979089556809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5ED-4AD4-9132-998EE09F360F}"/>
                </c:ext>
              </c:extLst>
            </c:dLbl>
            <c:dLbl>
              <c:idx val="1"/>
              <c:layout>
                <c:manualLayout>
                  <c:x val="-4.8941438312458105E-2"/>
                  <c:y val="-4.353684011714110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5ED-4AD4-9132-998EE09F360F}"/>
                </c:ext>
              </c:extLst>
            </c:dLbl>
            <c:dLbl>
              <c:idx val="2"/>
              <c:layout>
                <c:manualLayout>
                  <c:x val="-4.8144708733848095E-2"/>
                  <c:y val="-4.782441237967497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5ED-4AD4-9132-998EE09F360F}"/>
                </c:ext>
              </c:extLst>
            </c:dLbl>
            <c:dLbl>
              <c:idx val="3"/>
              <c:layout>
                <c:manualLayout>
                  <c:x val="-4.7347776477870293E-2"/>
                  <c:y val="-4.650921667992344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5ED-4AD4-9132-998EE09F360F}"/>
                </c:ext>
              </c:extLst>
            </c:dLbl>
            <c:dLbl>
              <c:idx val="4"/>
              <c:layout>
                <c:manualLayout>
                  <c:x val="-3.8582919409220442E-2"/>
                  <c:y val="-5.5645900700866759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5ED-4AD4-9132-998EE09F360F}"/>
                </c:ext>
              </c:extLst>
            </c:dLbl>
            <c:dLbl>
              <c:idx val="5"/>
              <c:layout>
                <c:manualLayout>
                  <c:xMode val="edge"/>
                  <c:yMode val="edge"/>
                  <c:x val="0.85986159169550735"/>
                  <c:y val="0.48936170212766417"/>
                </c:manualLayout>
              </c:layout>
              <c:numFmt formatCode="#,##0.0" sourceLinked="0"/>
              <c:spPr>
                <a:noFill/>
                <a:ln w="25399">
                  <a:noFill/>
                </a:ln>
              </c:spPr>
              <c:txPr>
                <a:bodyPr/>
                <a:lstStyle/>
                <a:p>
                  <a:pPr>
                    <a:defRPr lang="es-ES" sz="1000" b="0" i="0" u="none" strike="noStrike" baseline="0">
                      <a:solidFill>
                        <a:srgbClr val="000000"/>
                      </a:solidFill>
                      <a:latin typeface="Arial"/>
                      <a:ea typeface="Arial"/>
                      <a:cs typeface="Arial"/>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5ED-4AD4-9132-998EE09F360F}"/>
                </c:ext>
              </c:extLst>
            </c:dLbl>
            <c:dLbl>
              <c:idx val="6"/>
              <c:layout>
                <c:manualLayout>
                  <c:xMode val="edge"/>
                  <c:yMode val="edge"/>
                  <c:x val="0.89965397923875445"/>
                  <c:y val="0.56117021276595769"/>
                </c:manualLayout>
              </c:layout>
              <c:numFmt formatCode="#,##0.0" sourceLinked="0"/>
              <c:spPr>
                <a:noFill/>
                <a:ln w="25399">
                  <a:noFill/>
                </a:ln>
              </c:spPr>
              <c:txPr>
                <a:bodyPr/>
                <a:lstStyle/>
                <a:p>
                  <a:pPr>
                    <a:defRPr lang="es-ES" sz="1000" b="0" i="0" u="none" strike="noStrike" baseline="0">
                      <a:solidFill>
                        <a:srgbClr val="000000"/>
                      </a:solidFill>
                      <a:latin typeface="Arial"/>
                      <a:ea typeface="Arial"/>
                      <a:cs typeface="Arial"/>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5ED-4AD4-9132-998EE09F360F}"/>
                </c:ext>
              </c:extLst>
            </c:dLbl>
            <c:dLbl>
              <c:idx val="7"/>
              <c:layout>
                <c:manualLayout>
                  <c:xMode val="edge"/>
                  <c:yMode val="edge"/>
                  <c:x val="0.53287197231834493"/>
                  <c:y val="0.40159574468085107"/>
                </c:manualLayout>
              </c:layout>
              <c:numFmt formatCode="#,##0.0" sourceLinked="0"/>
              <c:spPr>
                <a:noFill/>
                <a:ln w="25399">
                  <a:noFill/>
                </a:ln>
              </c:spPr>
              <c:txPr>
                <a:bodyPr/>
                <a:lstStyle/>
                <a:p>
                  <a:pPr>
                    <a:defRPr lang="es-ES" sz="1000" b="0" i="0" u="none" strike="noStrike" baseline="0">
                      <a:solidFill>
                        <a:srgbClr val="000000"/>
                      </a:solidFill>
                      <a:latin typeface="Arial"/>
                      <a:ea typeface="Arial"/>
                      <a:cs typeface="Arial"/>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5ED-4AD4-9132-998EE09F360F}"/>
                </c:ext>
              </c:extLst>
            </c:dLbl>
            <c:dLbl>
              <c:idx val="8"/>
              <c:layout>
                <c:manualLayout>
                  <c:xMode val="edge"/>
                  <c:yMode val="edge"/>
                  <c:x val="0.53114186851211165"/>
                  <c:y val="0.30319148936170232"/>
                </c:manualLayout>
              </c:layout>
              <c:numFmt formatCode="#,##0.0" sourceLinked="0"/>
              <c:spPr>
                <a:noFill/>
                <a:ln w="25399">
                  <a:noFill/>
                </a:ln>
              </c:spPr>
              <c:txPr>
                <a:bodyPr/>
                <a:lstStyle/>
                <a:p>
                  <a:pPr>
                    <a:defRPr lang="es-ES" sz="1000" b="0" i="0" u="none" strike="noStrike" baseline="0">
                      <a:solidFill>
                        <a:srgbClr val="000000"/>
                      </a:solidFill>
                      <a:latin typeface="Arial"/>
                      <a:ea typeface="Arial"/>
                      <a:cs typeface="Arial"/>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5ED-4AD4-9132-998EE09F360F}"/>
                </c:ext>
              </c:extLst>
            </c:dLbl>
            <c:dLbl>
              <c:idx val="9"/>
              <c:layout>
                <c:manualLayout>
                  <c:xMode val="edge"/>
                  <c:yMode val="edge"/>
                  <c:x val="0.5986159169550177"/>
                  <c:y val="0.19680851063829788"/>
                </c:manualLayout>
              </c:layout>
              <c:numFmt formatCode="#,##0.0" sourceLinked="0"/>
              <c:spPr>
                <a:noFill/>
                <a:ln w="25399">
                  <a:noFill/>
                </a:ln>
              </c:spPr>
              <c:txPr>
                <a:bodyPr/>
                <a:lstStyle/>
                <a:p>
                  <a:pPr>
                    <a:defRPr lang="es-ES" sz="1000" b="0" i="0" u="none" strike="noStrike" baseline="0">
                      <a:solidFill>
                        <a:srgbClr val="000000"/>
                      </a:solidFill>
                      <a:latin typeface="Arial"/>
                      <a:ea typeface="Arial"/>
                      <a:cs typeface="Arial"/>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5ED-4AD4-9132-998EE09F360F}"/>
                </c:ext>
              </c:extLst>
            </c:dLbl>
            <c:numFmt formatCode="#,##0.0" sourceLinked="0"/>
            <c:spPr>
              <a:noFill/>
              <a:ln w="25399">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Sheet1!$B$1:$J$1</c:f>
              <c:numCache>
                <c:formatCode>General</c:formatCode>
                <c:ptCount val="5"/>
                <c:pt idx="0">
                  <c:v>2011</c:v>
                </c:pt>
                <c:pt idx="1">
                  <c:v>2012</c:v>
                </c:pt>
                <c:pt idx="2">
                  <c:v>2013</c:v>
                </c:pt>
                <c:pt idx="3">
                  <c:v>2014</c:v>
                </c:pt>
                <c:pt idx="4">
                  <c:v>2015</c:v>
                </c:pt>
              </c:numCache>
            </c:numRef>
          </c:cat>
          <c:val>
            <c:numRef>
              <c:f>Sheet1!$B$2:$J$2</c:f>
              <c:numCache>
                <c:formatCode>0.0</c:formatCode>
                <c:ptCount val="5"/>
                <c:pt idx="0">
                  <c:v>918.8</c:v>
                </c:pt>
                <c:pt idx="1">
                  <c:v>1033.7</c:v>
                </c:pt>
                <c:pt idx="2">
                  <c:v>1017.4</c:v>
                </c:pt>
                <c:pt idx="3" formatCode="General">
                  <c:v>1090.7</c:v>
                </c:pt>
                <c:pt idx="4">
                  <c:v>998.3</c:v>
                </c:pt>
              </c:numCache>
            </c:numRef>
          </c:val>
          <c:smooth val="1"/>
          <c:extLst xmlns:c16r2="http://schemas.microsoft.com/office/drawing/2015/06/chart">
            <c:ext xmlns:c16="http://schemas.microsoft.com/office/drawing/2014/chart" uri="{C3380CC4-5D6E-409C-BE32-E72D297353CC}">
              <c16:uniqueId val="{0000000A-95ED-4AD4-9132-998EE09F360F}"/>
            </c:ext>
          </c:extLst>
        </c:ser>
        <c:dLbls>
          <c:showVal val="1"/>
        </c:dLbls>
        <c:marker val="1"/>
        <c:axId val="120346496"/>
        <c:axId val="120365056"/>
      </c:lineChart>
      <c:catAx>
        <c:axId val="120346496"/>
        <c:scaling>
          <c:orientation val="minMax"/>
        </c:scaling>
        <c:axPos val="b"/>
        <c:title>
          <c:tx>
            <c:rich>
              <a:bodyPr/>
              <a:lstStyle/>
              <a:p>
                <a:pPr>
                  <a:defRPr lang="es-ES" sz="895" b="1" i="0" u="none" strike="noStrike" baseline="0">
                    <a:solidFill>
                      <a:srgbClr val="000000"/>
                    </a:solidFill>
                    <a:latin typeface="Times New Roman"/>
                    <a:ea typeface="Times New Roman"/>
                    <a:cs typeface="Times New Roman"/>
                  </a:defRPr>
                </a:pPr>
                <a:r>
                  <a:rPr lang="es-ES"/>
                  <a:t>AÑO</a:t>
                </a:r>
              </a:p>
            </c:rich>
          </c:tx>
          <c:layout>
            <c:manualLayout>
              <c:xMode val="edge"/>
              <c:yMode val="edge"/>
              <c:x val="0.50398406374501958"/>
              <c:y val="0.82410423452768922"/>
            </c:manualLayout>
          </c:layout>
          <c:spPr>
            <a:noFill/>
            <a:ln w="25399">
              <a:noFill/>
            </a:ln>
          </c:spPr>
        </c:title>
        <c:numFmt formatCode="General" sourceLinked="1"/>
        <c:tickLblPos val="nextTo"/>
        <c:spPr>
          <a:ln w="3171">
            <a:solidFill>
              <a:srgbClr val="000000"/>
            </a:solidFill>
            <a:prstDash val="solid"/>
          </a:ln>
        </c:spPr>
        <c:txPr>
          <a:bodyPr rot="0" vert="horz"/>
          <a:lstStyle/>
          <a:p>
            <a:pPr>
              <a:defRPr lang="es-ES" sz="900" b="1" i="0" u="none" strike="noStrike" baseline="0">
                <a:solidFill>
                  <a:srgbClr val="000000"/>
                </a:solidFill>
                <a:latin typeface="Times New Roman"/>
                <a:ea typeface="Times New Roman"/>
                <a:cs typeface="Times New Roman"/>
              </a:defRPr>
            </a:pPr>
            <a:endParaRPr lang="es-CR"/>
          </a:p>
        </c:txPr>
        <c:crossAx val="120365056"/>
        <c:crossesAt val="0"/>
        <c:auto val="1"/>
        <c:lblAlgn val="ctr"/>
        <c:lblOffset val="100"/>
        <c:tickLblSkip val="1"/>
        <c:tickMarkSkip val="1"/>
      </c:catAx>
      <c:valAx>
        <c:axId val="120365056"/>
        <c:scaling>
          <c:orientation val="minMax"/>
          <c:max val="1200"/>
          <c:min val="800"/>
        </c:scaling>
        <c:axPos val="l"/>
        <c:majorGridlines>
          <c:spPr>
            <a:ln w="3171">
              <a:solidFill>
                <a:srgbClr val="000000"/>
              </a:solidFill>
              <a:prstDash val="solid"/>
            </a:ln>
          </c:spPr>
        </c:majorGridlines>
        <c:title>
          <c:tx>
            <c:rich>
              <a:bodyPr rot="0" vert="wordArtVert"/>
              <a:lstStyle/>
              <a:p>
                <a:pPr algn="ctr">
                  <a:defRPr lang="es-ES" sz="970" b="1" i="0" u="none" strike="noStrike" baseline="0">
                    <a:solidFill>
                      <a:srgbClr val="000000"/>
                    </a:solidFill>
                    <a:latin typeface="Times New Roman"/>
                    <a:ea typeface="Times New Roman"/>
                    <a:cs typeface="Times New Roman"/>
                  </a:defRPr>
                </a:pPr>
                <a:r>
                  <a:rPr lang="es-ES"/>
                  <a:t>TASA</a:t>
                </a:r>
              </a:p>
            </c:rich>
          </c:tx>
          <c:layout>
            <c:manualLayout>
              <c:xMode val="edge"/>
              <c:yMode val="edge"/>
              <c:x val="1.9920318725099601E-2"/>
              <c:y val="0.36156351791530988"/>
            </c:manualLayout>
          </c:layout>
          <c:spPr>
            <a:noFill/>
            <a:ln w="25399">
              <a:noFill/>
            </a:ln>
          </c:spPr>
        </c:title>
        <c:numFmt formatCode="0" sourceLinked="0"/>
        <c:tickLblPos val="nextTo"/>
        <c:spPr>
          <a:ln w="3171">
            <a:solidFill>
              <a:srgbClr val="000000"/>
            </a:solidFill>
            <a:prstDash val="solid"/>
          </a:ln>
        </c:spPr>
        <c:txPr>
          <a:bodyPr rot="0" vert="horz"/>
          <a:lstStyle/>
          <a:p>
            <a:pPr>
              <a:defRPr lang="es-ES" sz="900" b="1" i="0" u="none" strike="noStrike" baseline="0">
                <a:solidFill>
                  <a:srgbClr val="000000"/>
                </a:solidFill>
                <a:latin typeface="Times New Roman"/>
                <a:ea typeface="Times New Roman"/>
                <a:cs typeface="Times New Roman"/>
              </a:defRPr>
            </a:pPr>
            <a:endParaRPr lang="es-CR"/>
          </a:p>
        </c:txPr>
        <c:crossAx val="120346496"/>
        <c:crosses val="autoZero"/>
        <c:crossBetween val="between"/>
        <c:majorUnit val="100"/>
        <c:minorUnit val="100"/>
      </c:valAx>
      <c:spPr>
        <a:solidFill>
          <a:srgbClr val="99CCFF"/>
        </a:solidFill>
        <a:ln w="12684">
          <a:solidFill>
            <a:srgbClr val="808080"/>
          </a:solidFill>
          <a:prstDash val="solid"/>
        </a:ln>
      </c:spPr>
    </c:plotArea>
    <c:plotVisOnly val="1"/>
    <c:dispBlanksAs val="gap"/>
  </c:chart>
  <c:spPr>
    <a:gradFill rotWithShape="0">
      <a:gsLst>
        <a:gs pos="0">
          <a:srgbClr val="FFFFCC">
            <a:gamma/>
            <a:shade val="76078"/>
            <a:invGamma/>
          </a:srgbClr>
        </a:gs>
        <a:gs pos="50000">
          <a:srgbClr val="FFFFCC"/>
        </a:gs>
        <a:gs pos="100000">
          <a:srgbClr val="FFFFCC">
            <a:gamma/>
            <a:shade val="76078"/>
            <a:invGamma/>
          </a:srgbClr>
        </a:gs>
      </a:gsLst>
      <a:lin ang="2700000" scaled="1"/>
    </a:gradFill>
    <a:ln w="3171">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CR"/>
  <c:chart>
    <c:title>
      <c:tx>
        <c:rich>
          <a:bodyPr/>
          <a:lstStyle/>
          <a:p>
            <a:pPr>
              <a:defRPr lang="es-ES" sz="950" b="1" i="0" u="none" strike="noStrike" baseline="0">
                <a:solidFill>
                  <a:srgbClr val="000000"/>
                </a:solidFill>
                <a:latin typeface="Times New Roman"/>
                <a:ea typeface="Times New Roman"/>
                <a:cs typeface="Times New Roman"/>
              </a:defRPr>
            </a:pPr>
            <a:r>
              <a:rPr lang="es-CR"/>
              <a:t>Gráfico Nº 5
Costo medio en dólares por asunto terminado según año 
2011 - 2015</a:t>
            </a:r>
          </a:p>
        </c:rich>
      </c:tx>
      <c:layout>
        <c:manualLayout>
          <c:xMode val="edge"/>
          <c:yMode val="edge"/>
          <c:x val="0.17132867132867102"/>
          <c:y val="1.9553072625698345E-2"/>
        </c:manualLayout>
      </c:layout>
      <c:spPr>
        <a:noFill/>
        <a:ln w="25400">
          <a:noFill/>
        </a:ln>
      </c:spPr>
    </c:title>
    <c:plotArea>
      <c:layout>
        <c:manualLayout>
          <c:layoutTarget val="inner"/>
          <c:xMode val="edge"/>
          <c:yMode val="edge"/>
          <c:x val="0.16958041958041989"/>
          <c:y val="0.28770949720670386"/>
          <c:w val="0.79020979020979065"/>
          <c:h val="0.46368715083798878"/>
        </c:manualLayout>
      </c:layout>
      <c:lineChart>
        <c:grouping val="standard"/>
        <c:ser>
          <c:idx val="1"/>
          <c:order val="0"/>
          <c:tx>
            <c:strRef>
              <c:f>Sheet1!$A$2</c:f>
              <c:strCache>
                <c:ptCount val="1"/>
                <c:pt idx="0">
                  <c:v>Sin Tránsito</c:v>
                </c:pt>
              </c:strCache>
            </c:strRef>
          </c:tx>
          <c:spPr>
            <a:ln w="25400">
              <a:solidFill>
                <a:srgbClr val="008000"/>
              </a:solidFill>
              <a:prstDash val="solid"/>
            </a:ln>
          </c:spPr>
          <c:marker>
            <c:symbol val="square"/>
            <c:size val="7"/>
            <c:spPr>
              <a:solidFill>
                <a:srgbClr val="008000"/>
              </a:solidFill>
              <a:ln>
                <a:solidFill>
                  <a:srgbClr val="008000"/>
                </a:solidFill>
                <a:prstDash val="solid"/>
              </a:ln>
            </c:spPr>
          </c:marker>
          <c:dLbls>
            <c:dLbl>
              <c:idx val="0"/>
              <c:layout>
                <c:manualLayout>
                  <c:x val="-7.2969383135299881E-2"/>
                  <c:y val="-7.951368608051959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08D-4DED-9722-70EA5AA04C3E}"/>
                </c:ext>
              </c:extLst>
            </c:dLbl>
            <c:dLbl>
              <c:idx val="1"/>
              <c:layout>
                <c:manualLayout>
                  <c:x val="-6.3179290400887558E-2"/>
                  <c:y val="-6.072617543516288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08D-4DED-9722-70EA5AA04C3E}"/>
                </c:ext>
              </c:extLst>
            </c:dLbl>
            <c:dLbl>
              <c:idx val="2"/>
              <c:layout>
                <c:manualLayout>
                  <c:x val="-6.5626736717850326E-2"/>
                  <c:y val="-6.180978079798405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08D-4DED-9722-70EA5AA04C3E}"/>
                </c:ext>
              </c:extLst>
            </c:dLbl>
            <c:dLbl>
              <c:idx val="3"/>
              <c:layout>
                <c:manualLayout>
                  <c:x val="-6.9822434783064422E-2"/>
                  <c:y val="-6.219485434768479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08D-4DED-9722-70EA5AA04C3E}"/>
                </c:ext>
              </c:extLst>
            </c:dLbl>
            <c:dLbl>
              <c:idx val="4"/>
              <c:layout>
                <c:manualLayout>
                  <c:x val="-6.0032342048652411E-2"/>
                  <c:y val="-6.156759280974932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08D-4DED-9722-70EA5AA04C3E}"/>
                </c:ext>
              </c:extLst>
            </c:dLbl>
            <c:dLbl>
              <c:idx val="5"/>
              <c:layout>
                <c:manualLayout>
                  <c:xMode val="edge"/>
                  <c:yMode val="edge"/>
                  <c:x val="0.9493006993006996"/>
                  <c:y val="0.30446927374301747"/>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08D-4DED-9722-70EA5AA04C3E}"/>
                </c:ext>
              </c:extLst>
            </c:dLbl>
            <c:dLbl>
              <c:idx val="6"/>
              <c:layout>
                <c:manualLayout>
                  <c:xMode val="edge"/>
                  <c:yMode val="edge"/>
                  <c:x val="0.63636363636363769"/>
                  <c:y val="0.25418994413407831"/>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08D-4DED-9722-70EA5AA04C3E}"/>
                </c:ext>
              </c:extLst>
            </c:dLbl>
            <c:dLbl>
              <c:idx val="7"/>
              <c:layout>
                <c:manualLayout>
                  <c:xMode val="edge"/>
                  <c:yMode val="edge"/>
                  <c:x val="0.63461538461538602"/>
                  <c:y val="0.25418994413407831"/>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08D-4DED-9722-70EA5AA04C3E}"/>
                </c:ext>
              </c:extLst>
            </c:dLbl>
            <c:dLbl>
              <c:idx val="8"/>
              <c:layout>
                <c:manualLayout>
                  <c:xMode val="edge"/>
                  <c:yMode val="edge"/>
                  <c:x val="0.64335664335664344"/>
                  <c:y val="0.25418994413407831"/>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08D-4DED-9722-70EA5AA04C3E}"/>
                </c:ext>
              </c:extLst>
            </c:dLbl>
            <c:dLbl>
              <c:idx val="9"/>
              <c:layout>
                <c:manualLayout>
                  <c:xMode val="edge"/>
                  <c:yMode val="edge"/>
                  <c:x val="0.65034965034965231"/>
                  <c:y val="0.23184357541899439"/>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08D-4DED-9722-70EA5AA04C3E}"/>
                </c:ext>
              </c:extLst>
            </c:dLbl>
            <c:numFmt formatCode="#,##0.0" sourceLinked="0"/>
            <c:spPr>
              <a:noFill/>
              <a:ln w="25400">
                <a:noFill/>
              </a:ln>
            </c:spPr>
            <c:txPr>
              <a:bodyPr/>
              <a:lstStyle/>
              <a:p>
                <a:pPr>
                  <a:defRPr lang="es-ES" sz="95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Sheet1!$B$1:$Q$1</c:f>
              <c:numCache>
                <c:formatCode>General</c:formatCode>
                <c:ptCount val="5"/>
                <c:pt idx="0">
                  <c:v>2011</c:v>
                </c:pt>
                <c:pt idx="1">
                  <c:v>2012</c:v>
                </c:pt>
                <c:pt idx="2">
                  <c:v>2013</c:v>
                </c:pt>
                <c:pt idx="3">
                  <c:v>2014</c:v>
                </c:pt>
                <c:pt idx="4">
                  <c:v>2015</c:v>
                </c:pt>
              </c:numCache>
            </c:numRef>
          </c:cat>
          <c:val>
            <c:numRef>
              <c:f>Sheet1!$B$2:$Q$2</c:f>
              <c:numCache>
                <c:formatCode>0.0</c:formatCode>
                <c:ptCount val="5"/>
                <c:pt idx="0" formatCode="General">
                  <c:v>779.5</c:v>
                </c:pt>
                <c:pt idx="1">
                  <c:v>1030.2</c:v>
                </c:pt>
                <c:pt idx="2">
                  <c:v>1119.7</c:v>
                </c:pt>
                <c:pt idx="3">
                  <c:v>1034.2</c:v>
                </c:pt>
                <c:pt idx="4">
                  <c:v>1162.5999999999999</c:v>
                </c:pt>
              </c:numCache>
            </c:numRef>
          </c:val>
          <c:smooth val="1"/>
          <c:extLst xmlns:c16r2="http://schemas.microsoft.com/office/drawing/2015/06/chart">
            <c:ext xmlns:c16="http://schemas.microsoft.com/office/drawing/2014/chart" uri="{C3380CC4-5D6E-409C-BE32-E72D297353CC}">
              <c16:uniqueId val="{0000000A-C08D-4DED-9722-70EA5AA04C3E}"/>
            </c:ext>
          </c:extLst>
        </c:ser>
        <c:dLbls>
          <c:showVal val="1"/>
        </c:dLbls>
        <c:marker val="1"/>
        <c:axId val="98644736"/>
        <c:axId val="98646656"/>
      </c:lineChart>
      <c:catAx>
        <c:axId val="98644736"/>
        <c:scaling>
          <c:orientation val="minMax"/>
        </c:scaling>
        <c:axPos val="b"/>
        <c:title>
          <c:tx>
            <c:rich>
              <a:bodyPr/>
              <a:lstStyle/>
              <a:p>
                <a:pPr>
                  <a:defRPr lang="es-ES" sz="875"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53671328671328666"/>
              <c:y val="0.87150837988826757"/>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s-ES" sz="975" b="1" i="0" u="none" strike="noStrike" baseline="0">
                <a:solidFill>
                  <a:srgbClr val="000000"/>
                </a:solidFill>
                <a:latin typeface="Times New Roman"/>
                <a:ea typeface="Times New Roman"/>
                <a:cs typeface="Times New Roman"/>
              </a:defRPr>
            </a:pPr>
            <a:endParaRPr lang="es-CR"/>
          </a:p>
        </c:txPr>
        <c:crossAx val="98646656"/>
        <c:crosses val="autoZero"/>
        <c:auto val="1"/>
        <c:lblAlgn val="ctr"/>
        <c:lblOffset val="100"/>
        <c:tickLblSkip val="1"/>
        <c:tickMarkSkip val="1"/>
      </c:catAx>
      <c:valAx>
        <c:axId val="98646656"/>
        <c:scaling>
          <c:orientation val="minMax"/>
          <c:max val="1400"/>
          <c:min val="0"/>
        </c:scaling>
        <c:axPos val="l"/>
        <c:majorGridlines>
          <c:spPr>
            <a:ln w="3175">
              <a:solidFill>
                <a:srgbClr val="000000"/>
              </a:solidFill>
              <a:prstDash val="solid"/>
            </a:ln>
          </c:spPr>
        </c:majorGridlines>
        <c:title>
          <c:tx>
            <c:rich>
              <a:bodyPr rot="0" vert="wordArtVert"/>
              <a:lstStyle/>
              <a:p>
                <a:pPr algn="ctr">
                  <a:defRPr lang="es-ES" sz="725" b="1" i="0" u="none" strike="noStrike" baseline="0">
                    <a:solidFill>
                      <a:srgbClr val="000000"/>
                    </a:solidFill>
                    <a:latin typeface="Times New Roman"/>
                    <a:ea typeface="Times New Roman"/>
                    <a:cs typeface="Times New Roman"/>
                  </a:defRPr>
                </a:pPr>
                <a:r>
                  <a:rPr lang="es-CR"/>
                  <a:t>COSTO</a:t>
                </a:r>
              </a:p>
            </c:rich>
          </c:tx>
          <c:layout>
            <c:manualLayout>
              <c:xMode val="edge"/>
              <c:yMode val="edge"/>
              <c:x val="3.1468531468531465E-2"/>
              <c:y val="0.41340782122905156"/>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s-ES" sz="975" b="1" i="0" u="none" strike="noStrike" baseline="0">
                <a:solidFill>
                  <a:srgbClr val="000000"/>
                </a:solidFill>
                <a:latin typeface="Times New Roman"/>
                <a:ea typeface="Times New Roman"/>
                <a:cs typeface="Times New Roman"/>
              </a:defRPr>
            </a:pPr>
            <a:endParaRPr lang="es-CR"/>
          </a:p>
        </c:txPr>
        <c:crossAx val="98644736"/>
        <c:crosses val="autoZero"/>
        <c:crossBetween val="between"/>
        <c:majorUnit val="200"/>
        <c:minorUnit val="50"/>
      </c:valAx>
      <c:spPr>
        <a:gradFill rotWithShape="0">
          <a:gsLst>
            <a:gs pos="0">
              <a:srgbClr val="FFFFCC">
                <a:gamma/>
                <a:shade val="69804"/>
                <a:invGamma/>
              </a:srgbClr>
            </a:gs>
            <a:gs pos="50000">
              <a:srgbClr val="FFFFCC"/>
            </a:gs>
            <a:gs pos="100000">
              <a:srgbClr val="FFFFCC">
                <a:gamma/>
                <a:shade val="69804"/>
                <a:invGamma/>
              </a:srgbClr>
            </a:gs>
          </a:gsLst>
          <a:lin ang="2700000" scaled="1"/>
        </a:gradFill>
        <a:ln w="12700">
          <a:solidFill>
            <a:srgbClr val="808080"/>
          </a:solidFill>
          <a:prstDash val="solid"/>
        </a:ln>
      </c:spPr>
    </c:plotArea>
    <c:plotVisOnly val="1"/>
    <c:dispBlanksAs val="gap"/>
  </c:chart>
  <c:spPr>
    <a:gradFill rotWithShape="0">
      <a:gsLst>
        <a:gs pos="0">
          <a:srgbClr val="CCFFFF">
            <a:gamma/>
            <a:shade val="69804"/>
            <a:invGamma/>
          </a:srgbClr>
        </a:gs>
        <a:gs pos="50000">
          <a:srgbClr val="CCFFFF"/>
        </a:gs>
        <a:gs pos="100000">
          <a:srgbClr val="CCFFFF">
            <a:gamma/>
            <a:shade val="69804"/>
            <a:invGamma/>
          </a:srgbClr>
        </a:gs>
      </a:gsLst>
      <a:lin ang="5400000" scaled="1"/>
    </a:gradFill>
    <a:ln w="3175">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1"/>
  <c:userShapes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title>
      <c:tx>
        <c:rich>
          <a:bodyPr/>
          <a:lstStyle/>
          <a:p>
            <a:pPr>
              <a:defRPr lang="es-ES" sz="1000" b="1" i="0" u="none" strike="noStrike" baseline="0">
                <a:solidFill>
                  <a:srgbClr val="000000"/>
                </a:solidFill>
                <a:latin typeface="Times New Roman"/>
                <a:ea typeface="Times New Roman"/>
                <a:cs typeface="Times New Roman"/>
              </a:defRPr>
            </a:pPr>
            <a:r>
              <a:rPr lang="es-ES"/>
              <a:t>Gráfico Nº 49
Tasa de muertes por arma de fuego durante el período 2011-2015
(datos por 100 mil habitantes)
</a:t>
            </a:r>
          </a:p>
        </c:rich>
      </c:tx>
      <c:layout>
        <c:manualLayout>
          <c:xMode val="edge"/>
          <c:yMode val="edge"/>
          <c:x val="0.14434788524004694"/>
          <c:y val="1.8716518051137703E-2"/>
        </c:manualLayout>
      </c:layout>
      <c:spPr>
        <a:noFill/>
        <a:ln w="25399">
          <a:noFill/>
        </a:ln>
      </c:spPr>
    </c:title>
    <c:plotArea>
      <c:layout>
        <c:manualLayout>
          <c:layoutTarget val="inner"/>
          <c:xMode val="edge"/>
          <c:yMode val="edge"/>
          <c:x val="9.47580645161296E-2"/>
          <c:y val="0.22772277227722773"/>
          <c:w val="0.84879032258064724"/>
          <c:h val="0.49834983498349888"/>
        </c:manualLayout>
      </c:layout>
      <c:lineChart>
        <c:grouping val="standard"/>
        <c:ser>
          <c:idx val="0"/>
          <c:order val="0"/>
          <c:tx>
            <c:strRef>
              <c:f>Sheet1!$A$2</c:f>
              <c:strCache>
                <c:ptCount val="1"/>
                <c:pt idx="0">
                  <c:v>Muerte Arma Fuego</c:v>
                </c:pt>
              </c:strCache>
            </c:strRef>
          </c:tx>
          <c:spPr>
            <a:ln w="25388">
              <a:solidFill>
                <a:srgbClr val="000080"/>
              </a:solidFill>
              <a:prstDash val="solid"/>
            </a:ln>
          </c:spPr>
          <c:marker>
            <c:symbol val="diamond"/>
            <c:size val="2"/>
            <c:spPr>
              <a:solidFill>
                <a:srgbClr val="000080"/>
              </a:solidFill>
              <a:ln>
                <a:solidFill>
                  <a:srgbClr val="000080"/>
                </a:solidFill>
                <a:prstDash val="solid"/>
              </a:ln>
              <a:effectLst>
                <a:outerShdw dist="35921" dir="2700000" algn="br">
                  <a:srgbClr val="000000"/>
                </a:outerShdw>
              </a:effectLst>
            </c:spPr>
          </c:marker>
          <c:dLbls>
            <c:dLbl>
              <c:idx val="0"/>
              <c:layout>
                <c:manualLayout>
                  <c:x val="-3.682791730166806E-2"/>
                  <c:y val="-5.203052481450607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01C-4A70-8246-6633BCB93184}"/>
                </c:ext>
              </c:extLst>
            </c:dLbl>
            <c:dLbl>
              <c:idx val="1"/>
              <c:layout>
                <c:manualLayout>
                  <c:x val="-3.3198858585216991E-2"/>
                  <c:y val="-6.490183286142671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01C-4A70-8246-6633BCB93184}"/>
                </c:ext>
              </c:extLst>
            </c:dLbl>
            <c:dLbl>
              <c:idx val="2"/>
              <c:layout>
                <c:manualLayout>
                  <c:x val="-3.6709123288522882E-2"/>
                  <c:y val="-5.221011554962467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01C-4A70-8246-6633BCB93184}"/>
                </c:ext>
              </c:extLst>
            </c:dLbl>
            <c:dLbl>
              <c:idx val="3"/>
              <c:layout>
                <c:manualLayout>
                  <c:x val="-2.9973204269325149E-2"/>
                  <c:y val="-5.357046535691323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01C-4A70-8246-6633BCB93184}"/>
                </c:ext>
              </c:extLst>
            </c:dLbl>
            <c:dLbl>
              <c:idx val="4"/>
              <c:layout>
                <c:manualLayout>
                  <c:x val="-2.8360274585132336E-2"/>
                  <c:y val="-5.698079941828069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01C-4A70-8246-6633BCB93184}"/>
                </c:ext>
              </c:extLst>
            </c:dLbl>
            <c:dLbl>
              <c:idx val="5"/>
              <c:layout>
                <c:manualLayout>
                  <c:xMode val="edge"/>
                  <c:yMode val="edge"/>
                  <c:x val="0.89043478260869569"/>
                  <c:y val="0.42245989304812831"/>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01C-4A70-8246-6633BCB93184}"/>
                </c:ext>
              </c:extLst>
            </c:dLbl>
            <c:dLbl>
              <c:idx val="6"/>
              <c:layout>
                <c:manualLayout>
                  <c:xMode val="edge"/>
                  <c:yMode val="edge"/>
                  <c:x val="0.8713043478260869"/>
                  <c:y val="0.44652406417112295"/>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01C-4A70-8246-6633BCB93184}"/>
                </c:ext>
              </c:extLst>
            </c:dLbl>
            <c:dLbl>
              <c:idx val="7"/>
              <c:layout>
                <c:manualLayout>
                  <c:xMode val="edge"/>
                  <c:yMode val="edge"/>
                  <c:x val="0.53739130434782612"/>
                  <c:y val="0.40909090909091156"/>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01C-4A70-8246-6633BCB93184}"/>
                </c:ext>
              </c:extLst>
            </c:dLbl>
            <c:dLbl>
              <c:idx val="8"/>
              <c:layout>
                <c:manualLayout>
                  <c:xMode val="edge"/>
                  <c:yMode val="edge"/>
                  <c:x val="0.53739130434782612"/>
                  <c:y val="0.30748663101604773"/>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01C-4A70-8246-6633BCB93184}"/>
                </c:ext>
              </c:extLst>
            </c:dLbl>
            <c:dLbl>
              <c:idx val="9"/>
              <c:layout>
                <c:manualLayout>
                  <c:xMode val="edge"/>
                  <c:yMode val="edge"/>
                  <c:x val="0.60521739130434749"/>
                  <c:y val="0.20053475935828877"/>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01C-4A70-8246-6633BCB93184}"/>
                </c:ext>
              </c:extLst>
            </c:dLbl>
            <c:numFmt formatCode="0.0" sourceLinked="0"/>
            <c:spPr>
              <a:noFill/>
              <a:ln w="25399">
                <a:noFill/>
              </a:ln>
            </c:spPr>
            <c:txPr>
              <a:bodyPr/>
              <a:lstStyle/>
              <a:p>
                <a:pPr>
                  <a:defRPr lang="es-ES" sz="1000" b="0" i="0" u="none" strike="noStrike" baseline="0">
                    <a:solidFill>
                      <a:srgbClr val="000000"/>
                    </a:solidFill>
                    <a:latin typeface="Arial"/>
                    <a:ea typeface="Arial"/>
                    <a:cs typeface="Arial"/>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Sheet1!$B$1:$J$1</c:f>
              <c:numCache>
                <c:formatCode>General</c:formatCode>
                <c:ptCount val="5"/>
                <c:pt idx="0">
                  <c:v>2011</c:v>
                </c:pt>
                <c:pt idx="1">
                  <c:v>2012</c:v>
                </c:pt>
                <c:pt idx="2">
                  <c:v>2013</c:v>
                </c:pt>
                <c:pt idx="3">
                  <c:v>2014</c:v>
                </c:pt>
                <c:pt idx="4">
                  <c:v>2015</c:v>
                </c:pt>
              </c:numCache>
            </c:numRef>
          </c:cat>
          <c:val>
            <c:numRef>
              <c:f>Sheet1!$B$2:$J$2</c:f>
              <c:numCache>
                <c:formatCode>General</c:formatCode>
                <c:ptCount val="5"/>
                <c:pt idx="0">
                  <c:v>6.5</c:v>
                </c:pt>
                <c:pt idx="1">
                  <c:v>6.8</c:v>
                </c:pt>
                <c:pt idx="2">
                  <c:v>7.1</c:v>
                </c:pt>
                <c:pt idx="3">
                  <c:v>8.1</c:v>
                </c:pt>
                <c:pt idx="4">
                  <c:v>8</c:v>
                </c:pt>
              </c:numCache>
            </c:numRef>
          </c:val>
          <c:smooth val="1"/>
          <c:extLst xmlns:c16r2="http://schemas.microsoft.com/office/drawing/2015/06/chart">
            <c:ext xmlns:c16="http://schemas.microsoft.com/office/drawing/2014/chart" uri="{C3380CC4-5D6E-409C-BE32-E72D297353CC}">
              <c16:uniqueId val="{0000000A-801C-4A70-8246-6633BCB93184}"/>
            </c:ext>
          </c:extLst>
        </c:ser>
        <c:dLbls>
          <c:showVal val="1"/>
        </c:dLbls>
        <c:marker val="1"/>
        <c:axId val="120471552"/>
        <c:axId val="120473472"/>
      </c:lineChart>
      <c:catAx>
        <c:axId val="120471552"/>
        <c:scaling>
          <c:orientation val="minMax"/>
        </c:scaling>
        <c:axPos val="b"/>
        <c:title>
          <c:tx>
            <c:rich>
              <a:bodyPr/>
              <a:lstStyle/>
              <a:p>
                <a:pPr>
                  <a:defRPr lang="es-ES" sz="900" b="1" i="0" u="none" strike="noStrike" baseline="0">
                    <a:solidFill>
                      <a:srgbClr val="000000"/>
                    </a:solidFill>
                    <a:latin typeface="Times New Roman"/>
                    <a:ea typeface="Times New Roman"/>
                    <a:cs typeface="Times New Roman"/>
                  </a:defRPr>
                </a:pPr>
                <a:r>
                  <a:rPr lang="es-ES"/>
                  <a:t>AÑO</a:t>
                </a:r>
              </a:p>
            </c:rich>
          </c:tx>
          <c:layout>
            <c:manualLayout>
              <c:xMode val="edge"/>
              <c:yMode val="edge"/>
              <c:x val="0.48269479986876734"/>
              <c:y val="0.81848191576672058"/>
            </c:manualLayout>
          </c:layout>
          <c:spPr>
            <a:noFill/>
            <a:ln w="25399">
              <a:noFill/>
            </a:ln>
          </c:spPr>
        </c:title>
        <c:numFmt formatCode="General" sourceLinked="1"/>
        <c:tickLblPos val="nextTo"/>
        <c:spPr>
          <a:ln w="3174">
            <a:solidFill>
              <a:srgbClr val="000000"/>
            </a:solidFill>
            <a:prstDash val="solid"/>
          </a:ln>
        </c:spPr>
        <c:txPr>
          <a:bodyPr rot="0" vert="horz"/>
          <a:lstStyle/>
          <a:p>
            <a:pPr>
              <a:defRPr lang="es-ES" sz="900" b="1" i="0" u="none" strike="noStrike" baseline="0">
                <a:solidFill>
                  <a:srgbClr val="000000"/>
                </a:solidFill>
                <a:latin typeface="Times New Roman"/>
                <a:ea typeface="Times New Roman"/>
                <a:cs typeface="Times New Roman"/>
              </a:defRPr>
            </a:pPr>
            <a:endParaRPr lang="es-CR"/>
          </a:p>
        </c:txPr>
        <c:crossAx val="120473472"/>
        <c:crossesAt val="0"/>
        <c:auto val="1"/>
        <c:lblAlgn val="ctr"/>
        <c:lblOffset val="100"/>
        <c:tickLblSkip val="1"/>
        <c:tickMarkSkip val="1"/>
      </c:catAx>
      <c:valAx>
        <c:axId val="120473472"/>
        <c:scaling>
          <c:orientation val="minMax"/>
          <c:max val="9"/>
          <c:min val="6"/>
        </c:scaling>
        <c:axPos val="l"/>
        <c:majorGridlines>
          <c:spPr>
            <a:ln w="3174">
              <a:solidFill>
                <a:srgbClr val="000000"/>
              </a:solidFill>
              <a:prstDash val="solid"/>
            </a:ln>
          </c:spPr>
        </c:majorGridlines>
        <c:title>
          <c:tx>
            <c:rich>
              <a:bodyPr rot="0" vert="wordArtVert"/>
              <a:lstStyle/>
              <a:p>
                <a:pPr algn="ctr">
                  <a:defRPr lang="es-ES" sz="950" b="1" i="0" u="none" strike="noStrike" baseline="0">
                    <a:solidFill>
                      <a:srgbClr val="000000"/>
                    </a:solidFill>
                    <a:latin typeface="Times New Roman"/>
                    <a:ea typeface="Times New Roman"/>
                    <a:cs typeface="Times New Roman"/>
                  </a:defRPr>
                </a:pPr>
                <a:r>
                  <a:rPr lang="es-ES"/>
                  <a:t>TASA</a:t>
                </a:r>
              </a:p>
            </c:rich>
          </c:tx>
          <c:layout>
            <c:manualLayout>
              <c:xMode val="edge"/>
              <c:yMode val="edge"/>
              <c:x val="2.0161290322580638E-2"/>
              <c:y val="0.33993399339934266"/>
            </c:manualLayout>
          </c:layout>
          <c:spPr>
            <a:noFill/>
            <a:ln w="25399">
              <a:noFill/>
            </a:ln>
          </c:spPr>
        </c:title>
        <c:numFmt formatCode="0" sourceLinked="0"/>
        <c:tickLblPos val="nextTo"/>
        <c:spPr>
          <a:ln w="3174">
            <a:solidFill>
              <a:srgbClr val="000000"/>
            </a:solidFill>
            <a:prstDash val="solid"/>
          </a:ln>
        </c:spPr>
        <c:txPr>
          <a:bodyPr rot="0" vert="horz"/>
          <a:lstStyle/>
          <a:p>
            <a:pPr>
              <a:defRPr lang="es-ES" sz="900" b="1" i="0" u="none" strike="noStrike" baseline="0">
                <a:solidFill>
                  <a:srgbClr val="000000"/>
                </a:solidFill>
                <a:latin typeface="Times New Roman"/>
                <a:ea typeface="Times New Roman"/>
                <a:cs typeface="Times New Roman"/>
              </a:defRPr>
            </a:pPr>
            <a:endParaRPr lang="es-CR"/>
          </a:p>
        </c:txPr>
        <c:crossAx val="120471552"/>
        <c:crosses val="autoZero"/>
        <c:crossBetween val="between"/>
        <c:majorUnit val="1"/>
        <c:minorUnit val="1"/>
      </c:valAx>
      <c:spPr>
        <a:solidFill>
          <a:srgbClr val="C0C0C0"/>
        </a:solidFill>
        <a:ln w="12694">
          <a:solidFill>
            <a:srgbClr val="808080"/>
          </a:solidFill>
          <a:prstDash val="solid"/>
        </a:ln>
      </c:spPr>
    </c:plotArea>
    <c:plotVisOnly val="1"/>
    <c:dispBlanksAs val="gap"/>
  </c:chart>
  <c:spPr>
    <a:gradFill rotWithShape="0">
      <a:gsLst>
        <a:gs pos="0">
          <a:srgbClr val="CCFFFF">
            <a:gamma/>
            <a:shade val="66667"/>
            <a:invGamma/>
          </a:srgbClr>
        </a:gs>
        <a:gs pos="50000">
          <a:srgbClr val="CCFFFF"/>
        </a:gs>
        <a:gs pos="100000">
          <a:srgbClr val="CCFFFF">
            <a:gamma/>
            <a:shade val="66667"/>
            <a:invGamma/>
          </a:srgbClr>
        </a:gs>
      </a:gsLst>
      <a:lin ang="0" scaled="1"/>
    </a:gradFill>
    <a:ln w="3174">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title>
      <c:tx>
        <c:rich>
          <a:bodyPr/>
          <a:lstStyle/>
          <a:p>
            <a:pPr>
              <a:defRPr lang="es-ES" sz="975" b="1" i="0" u="none" strike="noStrike" baseline="0">
                <a:solidFill>
                  <a:srgbClr val="000000"/>
                </a:solidFill>
                <a:latin typeface="Times New Roman"/>
                <a:ea typeface="Times New Roman"/>
                <a:cs typeface="Times New Roman"/>
              </a:defRPr>
            </a:pPr>
            <a:r>
              <a:rPr lang="es-ES"/>
              <a:t>Gráfico Nº 50
Tasa de víctimas por accidentes de tránsito año 2011-2015
(víctimas por 100 mil habitantes)</a:t>
            </a:r>
          </a:p>
        </c:rich>
      </c:tx>
      <c:layout>
        <c:manualLayout>
          <c:xMode val="edge"/>
          <c:yMode val="edge"/>
          <c:x val="0.19774929133858274"/>
          <c:y val="2.5707073240048808E-2"/>
        </c:manualLayout>
      </c:layout>
      <c:spPr>
        <a:noFill/>
        <a:ln w="25399">
          <a:noFill/>
        </a:ln>
      </c:spPr>
    </c:title>
    <c:plotArea>
      <c:layout>
        <c:manualLayout>
          <c:layoutTarget val="inner"/>
          <c:xMode val="edge"/>
          <c:yMode val="edge"/>
          <c:x val="0.12185686653771755"/>
          <c:y val="0.20578778135048287"/>
          <c:w val="0.82205029013539765"/>
          <c:h val="0.55948553054662353"/>
        </c:manualLayout>
      </c:layout>
      <c:barChart>
        <c:barDir val="bar"/>
        <c:grouping val="clustered"/>
        <c:ser>
          <c:idx val="1"/>
          <c:order val="0"/>
          <c:tx>
            <c:strRef>
              <c:f>Sheet1!$A$2</c:f>
              <c:strCache>
                <c:ptCount val="1"/>
                <c:pt idx="0">
                  <c:v>Accidentes Tránsito</c:v>
                </c:pt>
              </c:strCache>
            </c:strRef>
          </c:tx>
          <c:spPr>
            <a:pattFill prst="pct30">
              <a:fgClr>
                <a:srgbClr val="993366"/>
              </a:fgClr>
              <a:bgClr>
                <a:srgbClr val="FFFFFF"/>
              </a:bgClr>
            </a:pattFill>
            <a:ln w="12699">
              <a:solidFill>
                <a:srgbClr val="000000"/>
              </a:solidFill>
              <a:prstDash val="solid"/>
            </a:ln>
          </c:spPr>
          <c:dLbls>
            <c:numFmt formatCode="0.0" sourceLinked="0"/>
            <c:spPr>
              <a:solidFill>
                <a:srgbClr val="FFFF99"/>
              </a:solidFill>
              <a:ln w="25398">
                <a:noFill/>
              </a:ln>
            </c:spPr>
            <c:txPr>
              <a:bodyPr/>
              <a:lstStyle/>
              <a:p>
                <a:pPr>
                  <a:defRPr lang="es-ES" sz="1075" b="1"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Sheet1!$B$1:$O$1</c:f>
              <c:numCache>
                <c:formatCode>General</c:formatCode>
                <c:ptCount val="5"/>
                <c:pt idx="0">
                  <c:v>2011</c:v>
                </c:pt>
                <c:pt idx="1">
                  <c:v>2012</c:v>
                </c:pt>
                <c:pt idx="2">
                  <c:v>2013</c:v>
                </c:pt>
                <c:pt idx="3">
                  <c:v>2014</c:v>
                </c:pt>
                <c:pt idx="4">
                  <c:v>2015</c:v>
                </c:pt>
              </c:numCache>
            </c:numRef>
          </c:cat>
          <c:val>
            <c:numRef>
              <c:f>Sheet1!$B$2:$O$2</c:f>
              <c:numCache>
                <c:formatCode>General</c:formatCode>
                <c:ptCount val="5"/>
                <c:pt idx="0">
                  <c:v>12.9</c:v>
                </c:pt>
                <c:pt idx="1">
                  <c:v>14.5</c:v>
                </c:pt>
                <c:pt idx="2">
                  <c:v>13.7</c:v>
                </c:pt>
                <c:pt idx="3">
                  <c:v>14.3</c:v>
                </c:pt>
                <c:pt idx="4">
                  <c:v>12.6</c:v>
                </c:pt>
              </c:numCache>
            </c:numRef>
          </c:val>
          <c:extLst xmlns:c16r2="http://schemas.microsoft.com/office/drawing/2015/06/chart">
            <c:ext xmlns:c16="http://schemas.microsoft.com/office/drawing/2014/chart" uri="{C3380CC4-5D6E-409C-BE32-E72D297353CC}">
              <c16:uniqueId val="{00000000-EDD2-4098-A9F9-C7895CBAA053}"/>
            </c:ext>
          </c:extLst>
        </c:ser>
        <c:dLbls>
          <c:showVal val="1"/>
        </c:dLbls>
        <c:gapWidth val="70"/>
        <c:axId val="120256384"/>
        <c:axId val="120528896"/>
      </c:barChart>
      <c:catAx>
        <c:axId val="120256384"/>
        <c:scaling>
          <c:orientation val="minMax"/>
        </c:scaling>
        <c:axPos val="l"/>
        <c:majorGridlines>
          <c:spPr>
            <a:ln w="3175">
              <a:solidFill>
                <a:srgbClr val="000000"/>
              </a:solidFill>
              <a:prstDash val="solid"/>
            </a:ln>
          </c:spPr>
        </c:majorGridlines>
        <c:title>
          <c:tx>
            <c:rich>
              <a:bodyPr rot="0" vert="wordArtVert"/>
              <a:lstStyle/>
              <a:p>
                <a:pPr algn="ctr">
                  <a:defRPr lang="es-ES" sz="925" b="1" i="0" u="none" strike="noStrike" baseline="0">
                    <a:solidFill>
                      <a:srgbClr val="000000"/>
                    </a:solidFill>
                    <a:latin typeface="Times New Roman"/>
                    <a:ea typeface="Times New Roman"/>
                    <a:cs typeface="Times New Roman"/>
                  </a:defRPr>
                </a:pPr>
                <a:r>
                  <a:rPr lang="es-ES"/>
                  <a:t>AÑO</a:t>
                </a:r>
              </a:p>
            </c:rich>
          </c:tx>
          <c:layout>
            <c:manualLayout>
              <c:xMode val="edge"/>
              <c:yMode val="edge"/>
              <c:x val="1.353965183752418E-2"/>
              <c:y val="0.40192926045016081"/>
            </c:manualLayout>
          </c:layout>
          <c:spPr>
            <a:noFill/>
            <a:ln w="25399">
              <a:noFill/>
            </a:ln>
          </c:spPr>
        </c:title>
        <c:numFmt formatCode="General" sourceLinked="1"/>
        <c:tickLblPos val="nextTo"/>
        <c:spPr>
          <a:ln w="3175">
            <a:solidFill>
              <a:srgbClr val="000000"/>
            </a:solidFill>
            <a:prstDash val="solid"/>
          </a:ln>
        </c:spPr>
        <c:txPr>
          <a:bodyPr rot="0" vert="horz"/>
          <a:lstStyle/>
          <a:p>
            <a:pPr>
              <a:defRPr lang="es-ES" sz="850" b="1" i="0" u="none" strike="noStrike" baseline="0">
                <a:solidFill>
                  <a:srgbClr val="000000"/>
                </a:solidFill>
                <a:latin typeface="Times New Roman"/>
                <a:ea typeface="Times New Roman"/>
                <a:cs typeface="Times New Roman"/>
              </a:defRPr>
            </a:pPr>
            <a:endParaRPr lang="es-CR"/>
          </a:p>
        </c:txPr>
        <c:crossAx val="120528896"/>
        <c:crosses val="autoZero"/>
        <c:auto val="1"/>
        <c:lblAlgn val="ctr"/>
        <c:lblOffset val="100"/>
        <c:tickLblSkip val="1"/>
        <c:tickMarkSkip val="1"/>
      </c:catAx>
      <c:valAx>
        <c:axId val="120528896"/>
        <c:scaling>
          <c:orientation val="minMax"/>
        </c:scaling>
        <c:axPos val="b"/>
        <c:title>
          <c:tx>
            <c:rich>
              <a:bodyPr/>
              <a:lstStyle/>
              <a:p>
                <a:pPr>
                  <a:defRPr lang="es-ES" sz="850" b="1" i="0" u="none" strike="noStrike" baseline="0">
                    <a:solidFill>
                      <a:srgbClr val="000000"/>
                    </a:solidFill>
                    <a:latin typeface="Times New Roman"/>
                    <a:ea typeface="Times New Roman"/>
                    <a:cs typeface="Times New Roman"/>
                  </a:defRPr>
                </a:pPr>
                <a:r>
                  <a:rPr lang="es-ES"/>
                  <a:t>TASA</a:t>
                </a:r>
              </a:p>
            </c:rich>
          </c:tx>
          <c:layout>
            <c:manualLayout>
              <c:xMode val="edge"/>
              <c:yMode val="edge"/>
              <c:x val="0.50483558994197086"/>
              <c:y val="0.83922829581993552"/>
            </c:manualLayout>
          </c:layout>
          <c:spPr>
            <a:noFill/>
            <a:ln w="25399">
              <a:noFill/>
            </a:ln>
          </c:spPr>
        </c:title>
        <c:numFmt formatCode="General" sourceLinked="1"/>
        <c:tickLblPos val="nextTo"/>
        <c:spPr>
          <a:ln w="3175">
            <a:solidFill>
              <a:srgbClr val="000000"/>
            </a:solidFill>
            <a:prstDash val="solid"/>
          </a:ln>
        </c:spPr>
        <c:txPr>
          <a:bodyPr rot="0" vert="horz"/>
          <a:lstStyle/>
          <a:p>
            <a:pPr>
              <a:defRPr lang="es-ES" sz="850" b="1" i="0" u="none" strike="noStrike" baseline="0">
                <a:solidFill>
                  <a:srgbClr val="000000"/>
                </a:solidFill>
                <a:latin typeface="Times New Roman"/>
                <a:ea typeface="Times New Roman"/>
                <a:cs typeface="Times New Roman"/>
              </a:defRPr>
            </a:pPr>
            <a:endParaRPr lang="es-CR"/>
          </a:p>
        </c:txPr>
        <c:crossAx val="120256384"/>
        <c:crosses val="autoZero"/>
        <c:crossBetween val="between"/>
      </c:valAx>
      <c:spPr>
        <a:gradFill rotWithShape="0">
          <a:gsLst>
            <a:gs pos="0">
              <a:srgbClr val="C0C0C0"/>
            </a:gs>
            <a:gs pos="100000">
              <a:srgbClr val="C0C0C0">
                <a:gamma/>
                <a:shade val="76078"/>
                <a:invGamma/>
              </a:srgbClr>
            </a:gs>
          </a:gsLst>
          <a:path path="rect">
            <a:fillToRect l="100000" t="100000"/>
          </a:path>
        </a:gradFill>
        <a:ln w="12699">
          <a:solidFill>
            <a:srgbClr val="808080"/>
          </a:solidFill>
          <a:prstDash val="solid"/>
        </a:ln>
      </c:spPr>
    </c:plotArea>
    <c:plotVisOnly val="1"/>
    <c:dispBlanksAs val="gap"/>
  </c:chart>
  <c:spPr>
    <a:gradFill rotWithShape="0">
      <a:gsLst>
        <a:gs pos="0">
          <a:srgbClr val="CCFFFF">
            <a:gamma/>
            <a:shade val="54118"/>
            <a:invGamma/>
          </a:srgbClr>
        </a:gs>
        <a:gs pos="50000">
          <a:srgbClr val="CCFFFF"/>
        </a:gs>
        <a:gs pos="100000">
          <a:srgbClr val="CCFFFF">
            <a:gamma/>
            <a:shade val="54118"/>
            <a:invGamma/>
          </a:srgbClr>
        </a:gs>
      </a:gsLst>
      <a:lin ang="2700000" scaled="1"/>
    </a:gradFill>
    <a:ln w="3175">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title>
      <c:tx>
        <c:rich>
          <a:bodyPr/>
          <a:lstStyle/>
          <a:p>
            <a:pPr>
              <a:defRPr lang="es-ES" sz="925" b="1" i="0" u="none" strike="noStrike" baseline="0">
                <a:solidFill>
                  <a:srgbClr val="000000"/>
                </a:solidFill>
                <a:latin typeface="Times New Roman"/>
                <a:ea typeface="Times New Roman"/>
                <a:cs typeface="Times New Roman"/>
              </a:defRPr>
            </a:pPr>
            <a:r>
              <a:rPr lang="es-CR"/>
              <a:t>Gráfico Nº 51
Porcentaje anual de casos</a:t>
            </a:r>
            <a:r>
              <a:rPr lang="es-CR" baseline="0"/>
              <a:t> terminados en </a:t>
            </a:r>
            <a:r>
              <a:rPr lang="es-CR" u="sng" baseline="0"/>
              <a:t>juzgados penales </a:t>
            </a:r>
            <a:r>
              <a:rPr lang="es-CR" baseline="0"/>
              <a:t>por infracción a la Ley de Penalización de la Violencia contra la mujer desde el 2012</a:t>
            </a:r>
            <a:endParaRPr lang="es-CR"/>
          </a:p>
        </c:rich>
      </c:tx>
      <c:layout>
        <c:manualLayout>
          <c:xMode val="edge"/>
          <c:yMode val="edge"/>
          <c:x val="0.15111111111111172"/>
          <c:y val="2.0000000000000011E-2"/>
        </c:manualLayout>
      </c:layout>
      <c:spPr>
        <a:noFill/>
        <a:ln w="25410">
          <a:noFill/>
        </a:ln>
      </c:spPr>
    </c:title>
    <c:plotArea>
      <c:layout>
        <c:manualLayout>
          <c:layoutTarget val="inner"/>
          <c:xMode val="edge"/>
          <c:yMode val="edge"/>
          <c:x val="0.1466666666666667"/>
          <c:y val="0.22"/>
          <c:w val="0.80444444444444463"/>
          <c:h val="0.54"/>
        </c:manualLayout>
      </c:layout>
      <c:lineChart>
        <c:grouping val="standard"/>
        <c:ser>
          <c:idx val="0"/>
          <c:order val="0"/>
          <c:tx>
            <c:strRef>
              <c:f>Sheet1!$A$2</c:f>
              <c:strCache>
                <c:ptCount val="1"/>
                <c:pt idx="0">
                  <c:v>n</c:v>
                </c:pt>
              </c:strCache>
            </c:strRef>
          </c:tx>
          <c:spPr>
            <a:ln w="25410">
              <a:solidFill>
                <a:srgbClr val="0000FF"/>
              </a:solidFill>
              <a:prstDash val="solid"/>
            </a:ln>
          </c:spPr>
          <c:marker>
            <c:symbol val="diamond"/>
            <c:size val="5"/>
            <c:spPr>
              <a:solidFill>
                <a:srgbClr val="0000FF"/>
              </a:solidFill>
              <a:ln>
                <a:solidFill>
                  <a:srgbClr val="0000FF"/>
                </a:solidFill>
                <a:prstDash val="solid"/>
              </a:ln>
            </c:spPr>
          </c:marker>
          <c:dLbls>
            <c:dLbl>
              <c:idx val="0"/>
              <c:layout>
                <c:manualLayout>
                  <c:x val="-4.7421601507946796E-2"/>
                  <c:y val="-4.724021044454652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7A1-473F-BBD3-107BE0750B1F}"/>
                </c:ext>
              </c:extLst>
            </c:dLbl>
            <c:dLbl>
              <c:idx val="1"/>
              <c:layout>
                <c:manualLayout>
                  <c:x val="-3.0532691418765252E-2"/>
                  <c:y val="-5.024022221437566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7A1-473F-BBD3-107BE0750B1F}"/>
                </c:ext>
              </c:extLst>
            </c:dLbl>
            <c:dLbl>
              <c:idx val="2"/>
              <c:layout>
                <c:manualLayout>
                  <c:x val="-4.4754892440694992E-2"/>
                  <c:y val="-5.85732781160202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7A1-473F-BBD3-107BE0750B1F}"/>
                </c:ext>
              </c:extLst>
            </c:dLbl>
            <c:dLbl>
              <c:idx val="3"/>
              <c:layout>
                <c:manualLayout>
                  <c:x val="-3.45326490181804E-2"/>
                  <c:y val="-5.390687711121302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7A1-473F-BBD3-107BE0750B1F}"/>
                </c:ext>
              </c:extLst>
            </c:dLbl>
            <c:dLbl>
              <c:idx val="4"/>
              <c:layout>
                <c:manualLayout>
                  <c:x val="-3.3199294484554512E-2"/>
                  <c:y val="-4.837352730011892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7A1-473F-BBD3-107BE0750B1F}"/>
                </c:ext>
              </c:extLst>
            </c:dLbl>
            <c:dLbl>
              <c:idx val="5"/>
              <c:layout>
                <c:manualLayout>
                  <c:xMode val="edge"/>
                  <c:yMode val="edge"/>
                  <c:x val="0.91333333333333333"/>
                  <c:y val="0.53"/>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7A1-473F-BBD3-107BE0750B1F}"/>
                </c:ext>
              </c:extLst>
            </c:dLbl>
            <c:dLbl>
              <c:idx val="6"/>
              <c:layout>
                <c:manualLayout>
                  <c:xMode val="edge"/>
                  <c:yMode val="edge"/>
                  <c:x val="0.68222222222222217"/>
                  <c:y val="0.46666666666666795"/>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7A1-473F-BBD3-107BE0750B1F}"/>
                </c:ext>
              </c:extLst>
            </c:dLbl>
            <c:dLbl>
              <c:idx val="7"/>
              <c:layout>
                <c:manualLayout>
                  <c:xMode val="edge"/>
                  <c:yMode val="edge"/>
                  <c:x val="0.68444444444444463"/>
                  <c:y val="0.46666666666666795"/>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7A1-473F-BBD3-107BE0750B1F}"/>
                </c:ext>
              </c:extLst>
            </c:dLbl>
            <c:dLbl>
              <c:idx val="8"/>
              <c:layout>
                <c:manualLayout>
                  <c:xMode val="edge"/>
                  <c:yMode val="edge"/>
                  <c:x val="0.6888888888888911"/>
                  <c:y val="0.46"/>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7A1-473F-BBD3-107BE0750B1F}"/>
                </c:ext>
              </c:extLst>
            </c:dLbl>
            <c:dLbl>
              <c:idx val="9"/>
              <c:layout>
                <c:manualLayout>
                  <c:xMode val="edge"/>
                  <c:yMode val="edge"/>
                  <c:x val="0.70000000000000062"/>
                  <c:y val="0.46333333333333326"/>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7A1-473F-BBD3-107BE0750B1F}"/>
                </c:ext>
              </c:extLst>
            </c:dLbl>
            <c:numFmt formatCode="0.0" sourceLinked="0"/>
            <c:spPr>
              <a:noFill/>
              <a:ln w="25410">
                <a:noFill/>
              </a:ln>
            </c:spPr>
            <c:txPr>
              <a:bodyPr/>
              <a:lstStyle/>
              <a:p>
                <a:pPr>
                  <a:defRPr lang="es-ES" sz="925"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Sheet1!$E$1:$I$1</c:f>
              <c:numCache>
                <c:formatCode>General</c:formatCode>
                <c:ptCount val="4"/>
                <c:pt idx="0">
                  <c:v>2012</c:v>
                </c:pt>
                <c:pt idx="1">
                  <c:v>2013</c:v>
                </c:pt>
                <c:pt idx="2">
                  <c:v>2014</c:v>
                </c:pt>
                <c:pt idx="3">
                  <c:v>2015</c:v>
                </c:pt>
              </c:numCache>
            </c:numRef>
          </c:cat>
          <c:val>
            <c:numRef>
              <c:f>Sheet1!$E$2:$I$2</c:f>
              <c:numCache>
                <c:formatCode>General</c:formatCode>
                <c:ptCount val="4"/>
                <c:pt idx="0">
                  <c:v>13.2</c:v>
                </c:pt>
                <c:pt idx="1">
                  <c:v>11.4</c:v>
                </c:pt>
                <c:pt idx="2">
                  <c:v>14.9</c:v>
                </c:pt>
                <c:pt idx="3">
                  <c:v>14.5</c:v>
                </c:pt>
              </c:numCache>
            </c:numRef>
          </c:val>
          <c:smooth val="1"/>
          <c:extLst xmlns:c16r2="http://schemas.microsoft.com/office/drawing/2015/06/chart">
            <c:ext xmlns:c16="http://schemas.microsoft.com/office/drawing/2014/chart" uri="{C3380CC4-5D6E-409C-BE32-E72D297353CC}">
              <c16:uniqueId val="{0000000A-57A1-473F-BBD3-107BE0750B1F}"/>
            </c:ext>
          </c:extLst>
        </c:ser>
        <c:dLbls>
          <c:showVal val="1"/>
        </c:dLbls>
        <c:marker val="1"/>
        <c:axId val="120184832"/>
        <c:axId val="120186752"/>
      </c:lineChart>
      <c:catAx>
        <c:axId val="120184832"/>
        <c:scaling>
          <c:orientation val="minMax"/>
        </c:scaling>
        <c:axPos val="b"/>
        <c:title>
          <c:tx>
            <c:rich>
              <a:bodyPr/>
              <a:lstStyle/>
              <a:p>
                <a:pPr>
                  <a:defRPr lang="es-ES" sz="825"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5"/>
              <c:y val="0.84666666666666668"/>
            </c:manualLayout>
          </c:layout>
          <c:spPr>
            <a:noFill/>
            <a:ln w="25410">
              <a:noFill/>
            </a:ln>
          </c:spPr>
        </c:title>
        <c:numFmt formatCode="General" sourceLinked="1"/>
        <c:tickLblPos val="nextTo"/>
        <c:spPr>
          <a:ln w="3176">
            <a:solidFill>
              <a:srgbClr val="000000"/>
            </a:solidFill>
            <a:prstDash val="solid"/>
          </a:ln>
        </c:spPr>
        <c:txPr>
          <a:bodyPr rot="0" vert="horz"/>
          <a:lstStyle/>
          <a:p>
            <a:pPr>
              <a:defRPr lang="es-ES" sz="925" b="1" i="0" u="none" strike="noStrike" baseline="0">
                <a:solidFill>
                  <a:srgbClr val="000000"/>
                </a:solidFill>
                <a:latin typeface="Times New Roman"/>
                <a:ea typeface="Times New Roman"/>
                <a:cs typeface="Times New Roman"/>
              </a:defRPr>
            </a:pPr>
            <a:endParaRPr lang="es-CR"/>
          </a:p>
        </c:txPr>
        <c:crossAx val="120186752"/>
        <c:crosses val="autoZero"/>
        <c:auto val="1"/>
        <c:lblAlgn val="ctr"/>
        <c:lblOffset val="100"/>
        <c:tickLblSkip val="1"/>
        <c:tickMarkSkip val="1"/>
      </c:catAx>
      <c:valAx>
        <c:axId val="120186752"/>
        <c:scaling>
          <c:orientation val="minMax"/>
          <c:max val="20"/>
        </c:scaling>
        <c:axPos val="l"/>
        <c:majorGridlines>
          <c:spPr>
            <a:ln w="3176">
              <a:solidFill>
                <a:srgbClr val="000000"/>
              </a:solidFill>
              <a:prstDash val="solid"/>
            </a:ln>
          </c:spPr>
        </c:majorGridlines>
        <c:title>
          <c:tx>
            <c:rich>
              <a:bodyPr rot="0" vert="wordArtVert"/>
              <a:lstStyle/>
              <a:p>
                <a:pPr algn="ctr">
                  <a:defRPr lang="es-ES" sz="800" b="1" i="0" u="none" strike="noStrike" baseline="0">
                    <a:solidFill>
                      <a:srgbClr val="000000"/>
                    </a:solidFill>
                    <a:latin typeface="Times New Roman"/>
                    <a:ea typeface="Times New Roman"/>
                    <a:cs typeface="Times New Roman"/>
                  </a:defRPr>
                </a:pPr>
                <a:r>
                  <a:rPr lang="es-CR"/>
                  <a:t>PORCENTAJE</a:t>
                </a:r>
              </a:p>
            </c:rich>
          </c:tx>
          <c:layout>
            <c:manualLayout>
              <c:xMode val="edge"/>
              <c:yMode val="edge"/>
              <c:x val="4.0000000000000022E-2"/>
              <c:y val="0.25"/>
            </c:manualLayout>
          </c:layout>
          <c:spPr>
            <a:noFill/>
            <a:ln w="25410">
              <a:noFill/>
            </a:ln>
          </c:spPr>
        </c:title>
        <c:numFmt formatCode="General" sourceLinked="1"/>
        <c:tickLblPos val="nextTo"/>
        <c:spPr>
          <a:ln w="3176">
            <a:solidFill>
              <a:srgbClr val="000000"/>
            </a:solidFill>
            <a:prstDash val="solid"/>
          </a:ln>
        </c:spPr>
        <c:txPr>
          <a:bodyPr rot="0" vert="horz"/>
          <a:lstStyle/>
          <a:p>
            <a:pPr>
              <a:defRPr lang="es-ES" sz="925" b="1" i="0" u="none" strike="noStrike" baseline="0">
                <a:solidFill>
                  <a:srgbClr val="000000"/>
                </a:solidFill>
                <a:latin typeface="Times New Roman"/>
                <a:ea typeface="Times New Roman"/>
                <a:cs typeface="Times New Roman"/>
              </a:defRPr>
            </a:pPr>
            <a:endParaRPr lang="es-CR"/>
          </a:p>
        </c:txPr>
        <c:crossAx val="120184832"/>
        <c:crosses val="autoZero"/>
        <c:crossBetween val="between"/>
        <c:majorUnit val="20"/>
        <c:minorUnit val="20"/>
      </c:valAx>
      <c:spPr>
        <a:solidFill>
          <a:srgbClr val="FFFFCC"/>
        </a:solidFill>
        <a:ln w="12705">
          <a:solidFill>
            <a:srgbClr val="808080"/>
          </a:solidFill>
          <a:prstDash val="solid"/>
        </a:ln>
      </c:spPr>
    </c:plotArea>
    <c:plotVisOnly val="1"/>
    <c:dispBlanksAs val="gap"/>
  </c:chart>
  <c:spPr>
    <a:gradFill rotWithShape="0">
      <a:gsLst>
        <a:gs pos="0">
          <a:srgbClr val="9999FF"/>
        </a:gs>
        <a:gs pos="100000">
          <a:srgbClr val="CCFFFF"/>
        </a:gs>
      </a:gsLst>
      <a:path path="rect">
        <a:fillToRect r="100000" b="100000"/>
      </a:path>
    </a:gradFill>
    <a:ln w="3176">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2"/>
  <c:userShapes r:id="rId3"/>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title>
      <c:tx>
        <c:rich>
          <a:bodyPr/>
          <a:lstStyle/>
          <a:p>
            <a:pPr>
              <a:defRPr lang="es-ES" sz="925" b="1" i="0" u="none" strike="noStrike" baseline="0">
                <a:solidFill>
                  <a:srgbClr val="000000"/>
                </a:solidFill>
                <a:latin typeface="Times New Roman"/>
                <a:ea typeface="Times New Roman"/>
                <a:cs typeface="Times New Roman"/>
              </a:defRPr>
            </a:pPr>
            <a:r>
              <a:rPr lang="es-CR"/>
              <a:t>Gráfico Nº 52
Porcentaje anual de casos</a:t>
            </a:r>
            <a:r>
              <a:rPr lang="es-CR" baseline="0"/>
              <a:t> terminados en </a:t>
            </a:r>
            <a:r>
              <a:rPr lang="es-CR" u="sng" baseline="0"/>
              <a:t>tribunales penales </a:t>
            </a:r>
            <a:r>
              <a:rPr lang="es-CR" baseline="0"/>
              <a:t>por infracción a la Ley de Penalización de la Violencia contra la mujer desde el 2012</a:t>
            </a:r>
            <a:endParaRPr lang="es-CR"/>
          </a:p>
        </c:rich>
      </c:tx>
      <c:layout>
        <c:manualLayout>
          <c:xMode val="edge"/>
          <c:yMode val="edge"/>
          <c:x val="0.15111111111111178"/>
          <c:y val="2.0000000000000011E-2"/>
        </c:manualLayout>
      </c:layout>
      <c:spPr>
        <a:noFill/>
        <a:ln w="25410">
          <a:noFill/>
        </a:ln>
      </c:spPr>
    </c:title>
    <c:plotArea>
      <c:layout>
        <c:manualLayout>
          <c:layoutTarget val="inner"/>
          <c:xMode val="edge"/>
          <c:yMode val="edge"/>
          <c:x val="0.1466666666666667"/>
          <c:y val="0.22"/>
          <c:w val="0.80444444444444463"/>
          <c:h val="0.54"/>
        </c:manualLayout>
      </c:layout>
      <c:lineChart>
        <c:grouping val="standard"/>
        <c:ser>
          <c:idx val="0"/>
          <c:order val="0"/>
          <c:tx>
            <c:strRef>
              <c:f>Sheet1!$A$2</c:f>
              <c:strCache>
                <c:ptCount val="1"/>
                <c:pt idx="0">
                  <c:v>n</c:v>
                </c:pt>
              </c:strCache>
            </c:strRef>
          </c:tx>
          <c:spPr>
            <a:ln w="25410">
              <a:solidFill>
                <a:srgbClr val="0000FF"/>
              </a:solidFill>
              <a:prstDash val="solid"/>
            </a:ln>
          </c:spPr>
          <c:marker>
            <c:symbol val="diamond"/>
            <c:size val="5"/>
            <c:spPr>
              <a:solidFill>
                <a:srgbClr val="0000FF"/>
              </a:solidFill>
              <a:ln>
                <a:solidFill>
                  <a:srgbClr val="0000FF"/>
                </a:solidFill>
                <a:prstDash val="solid"/>
              </a:ln>
            </c:spPr>
          </c:marker>
          <c:dLbls>
            <c:numFmt formatCode="0.0" sourceLinked="0"/>
            <c:spPr>
              <a:noFill/>
              <a:ln w="25410">
                <a:noFill/>
              </a:ln>
            </c:spPr>
            <c:txPr>
              <a:bodyPr/>
              <a:lstStyle/>
              <a:p>
                <a:pPr>
                  <a:defRPr lang="es-ES" sz="925" b="0" i="0" u="none" strike="noStrike" baseline="0">
                    <a:solidFill>
                      <a:srgbClr val="000000"/>
                    </a:solidFill>
                    <a:latin typeface="Times New Roman"/>
                    <a:ea typeface="Times New Roman"/>
                    <a:cs typeface="Times New Roman"/>
                  </a:defRPr>
                </a:pPr>
                <a:endParaRPr lang="es-CR"/>
              </a:p>
            </c:txPr>
            <c:dLblPos val="b"/>
            <c:showVal val="1"/>
            <c:extLst xmlns:c16r2="http://schemas.microsoft.com/office/drawing/2015/06/chart">
              <c:ext xmlns:c15="http://schemas.microsoft.com/office/drawing/2012/chart" uri="{CE6537A1-D6FC-4f65-9D91-7224C49458BB}">
                <c15:showLeaderLines val="0"/>
              </c:ext>
            </c:extLst>
          </c:dLbls>
          <c:cat>
            <c:numRef>
              <c:f>Sheet1!$E$1:$I$1</c:f>
              <c:numCache>
                <c:formatCode>General</c:formatCode>
                <c:ptCount val="4"/>
                <c:pt idx="0">
                  <c:v>2012</c:v>
                </c:pt>
                <c:pt idx="1">
                  <c:v>2013</c:v>
                </c:pt>
                <c:pt idx="2">
                  <c:v>2014</c:v>
                </c:pt>
                <c:pt idx="3">
                  <c:v>2015</c:v>
                </c:pt>
              </c:numCache>
            </c:numRef>
          </c:cat>
          <c:val>
            <c:numRef>
              <c:f>Sheet1!$E$2:$I$2</c:f>
              <c:numCache>
                <c:formatCode>General</c:formatCode>
                <c:ptCount val="4"/>
                <c:pt idx="0">
                  <c:v>6.7</c:v>
                </c:pt>
                <c:pt idx="1">
                  <c:v>7.5</c:v>
                </c:pt>
                <c:pt idx="2">
                  <c:v>7.9</c:v>
                </c:pt>
                <c:pt idx="3">
                  <c:v>8.7000000000000011</c:v>
                </c:pt>
              </c:numCache>
            </c:numRef>
          </c:val>
          <c:smooth val="1"/>
          <c:extLst xmlns:c16r2="http://schemas.microsoft.com/office/drawing/2015/06/chart">
            <c:ext xmlns:c16="http://schemas.microsoft.com/office/drawing/2014/chart" uri="{C3380CC4-5D6E-409C-BE32-E72D297353CC}">
              <c16:uniqueId val="{00000000-78F6-4BA8-A986-65C3707F8855}"/>
            </c:ext>
          </c:extLst>
        </c:ser>
        <c:dLbls>
          <c:showVal val="1"/>
        </c:dLbls>
        <c:marker val="1"/>
        <c:axId val="120592640"/>
        <c:axId val="120639872"/>
      </c:lineChart>
      <c:catAx>
        <c:axId val="120592640"/>
        <c:scaling>
          <c:orientation val="minMax"/>
        </c:scaling>
        <c:axPos val="b"/>
        <c:title>
          <c:tx>
            <c:rich>
              <a:bodyPr/>
              <a:lstStyle/>
              <a:p>
                <a:pPr>
                  <a:defRPr lang="es-ES" sz="825"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5"/>
              <c:y val="0.84666666666666668"/>
            </c:manualLayout>
          </c:layout>
          <c:spPr>
            <a:noFill/>
            <a:ln w="25410">
              <a:noFill/>
            </a:ln>
          </c:spPr>
        </c:title>
        <c:numFmt formatCode="General" sourceLinked="1"/>
        <c:tickLblPos val="nextTo"/>
        <c:spPr>
          <a:ln w="3176">
            <a:solidFill>
              <a:srgbClr val="000000"/>
            </a:solidFill>
            <a:prstDash val="solid"/>
          </a:ln>
        </c:spPr>
        <c:txPr>
          <a:bodyPr rot="0" vert="horz"/>
          <a:lstStyle/>
          <a:p>
            <a:pPr>
              <a:defRPr lang="es-ES" sz="925" b="1" i="0" u="none" strike="noStrike" baseline="0">
                <a:solidFill>
                  <a:srgbClr val="000000"/>
                </a:solidFill>
                <a:latin typeface="Times New Roman"/>
                <a:ea typeface="Times New Roman"/>
                <a:cs typeface="Times New Roman"/>
              </a:defRPr>
            </a:pPr>
            <a:endParaRPr lang="es-CR"/>
          </a:p>
        </c:txPr>
        <c:crossAx val="120639872"/>
        <c:crosses val="autoZero"/>
        <c:auto val="1"/>
        <c:lblAlgn val="ctr"/>
        <c:lblOffset val="100"/>
        <c:tickLblSkip val="1"/>
        <c:tickMarkSkip val="1"/>
      </c:catAx>
      <c:valAx>
        <c:axId val="120639872"/>
        <c:scaling>
          <c:orientation val="minMax"/>
          <c:max val="10"/>
        </c:scaling>
        <c:axPos val="l"/>
        <c:majorGridlines>
          <c:spPr>
            <a:ln w="3176">
              <a:solidFill>
                <a:srgbClr val="000000"/>
              </a:solidFill>
              <a:prstDash val="solid"/>
            </a:ln>
          </c:spPr>
        </c:majorGridlines>
        <c:title>
          <c:tx>
            <c:rich>
              <a:bodyPr rot="0" vert="wordArtVert"/>
              <a:lstStyle/>
              <a:p>
                <a:pPr algn="ctr">
                  <a:defRPr lang="es-ES" sz="800" b="1" i="0" u="none" strike="noStrike" baseline="0">
                    <a:solidFill>
                      <a:srgbClr val="000000"/>
                    </a:solidFill>
                    <a:latin typeface="Times New Roman"/>
                    <a:ea typeface="Times New Roman"/>
                    <a:cs typeface="Times New Roman"/>
                  </a:defRPr>
                </a:pPr>
                <a:r>
                  <a:rPr lang="es-CR"/>
                  <a:t>PORCENTAJE</a:t>
                </a:r>
              </a:p>
            </c:rich>
          </c:tx>
          <c:layout>
            <c:manualLayout>
              <c:xMode val="edge"/>
              <c:yMode val="edge"/>
              <c:x val="4.0000000000000022E-2"/>
              <c:y val="0.25"/>
            </c:manualLayout>
          </c:layout>
          <c:spPr>
            <a:noFill/>
            <a:ln w="25410">
              <a:noFill/>
            </a:ln>
          </c:spPr>
        </c:title>
        <c:numFmt formatCode="General" sourceLinked="1"/>
        <c:tickLblPos val="nextTo"/>
        <c:spPr>
          <a:ln w="3176">
            <a:solidFill>
              <a:srgbClr val="000000"/>
            </a:solidFill>
            <a:prstDash val="solid"/>
          </a:ln>
        </c:spPr>
        <c:txPr>
          <a:bodyPr rot="0" vert="horz"/>
          <a:lstStyle/>
          <a:p>
            <a:pPr>
              <a:defRPr lang="es-ES" sz="925" b="1" i="0" u="none" strike="noStrike" baseline="0">
                <a:solidFill>
                  <a:srgbClr val="000000"/>
                </a:solidFill>
                <a:latin typeface="Times New Roman"/>
                <a:ea typeface="Times New Roman"/>
                <a:cs typeface="Times New Roman"/>
              </a:defRPr>
            </a:pPr>
            <a:endParaRPr lang="es-CR"/>
          </a:p>
        </c:txPr>
        <c:crossAx val="120592640"/>
        <c:crosses val="autoZero"/>
        <c:crossBetween val="between"/>
        <c:majorUnit val="10"/>
        <c:minorUnit val="10"/>
      </c:valAx>
      <c:spPr>
        <a:solidFill>
          <a:srgbClr val="FFFFCC"/>
        </a:solidFill>
        <a:ln w="12705">
          <a:solidFill>
            <a:srgbClr val="808080"/>
          </a:solidFill>
          <a:prstDash val="solid"/>
        </a:ln>
      </c:spPr>
    </c:plotArea>
    <c:plotVisOnly val="1"/>
    <c:dispBlanksAs val="gap"/>
  </c:chart>
  <c:spPr>
    <a:gradFill rotWithShape="0">
      <a:gsLst>
        <a:gs pos="0">
          <a:srgbClr val="9999FF"/>
        </a:gs>
        <a:gs pos="100000">
          <a:srgbClr val="CCFFFF"/>
        </a:gs>
      </a:gsLst>
      <a:path path="rect">
        <a:fillToRect r="100000" b="100000"/>
      </a:path>
    </a:gradFill>
    <a:ln w="3176">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2"/>
  <c:userShapes r:id="rId3"/>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title>
      <c:tx>
        <c:rich>
          <a:bodyPr/>
          <a:lstStyle/>
          <a:p>
            <a:pPr>
              <a:defRPr lang="es-ES" sz="975" b="1" i="0" u="none" strike="noStrike" baseline="0">
                <a:solidFill>
                  <a:srgbClr val="000000"/>
                </a:solidFill>
                <a:latin typeface="Times New Roman"/>
                <a:ea typeface="Times New Roman"/>
                <a:cs typeface="Times New Roman"/>
              </a:defRPr>
            </a:pPr>
            <a:r>
              <a:rPr lang="es-CR"/>
              <a:t>Gráfico Nº 53
Tasa de denuncia por violencia intrafamiliar/familiar para el período 2011-2015
(datos por 100 mil habitantes)
</a:t>
            </a:r>
          </a:p>
        </c:rich>
      </c:tx>
      <c:layout>
        <c:manualLayout>
          <c:xMode val="edge"/>
          <c:yMode val="edge"/>
          <c:x val="0.13465783664459161"/>
          <c:y val="1.9607843137254902E-2"/>
        </c:manualLayout>
      </c:layout>
      <c:spPr>
        <a:noFill/>
        <a:ln w="25397">
          <a:noFill/>
        </a:ln>
      </c:spPr>
    </c:title>
    <c:plotArea>
      <c:layout>
        <c:manualLayout>
          <c:layoutTarget val="inner"/>
          <c:xMode val="edge"/>
          <c:yMode val="edge"/>
          <c:x val="0.15584589781166999"/>
          <c:y val="0.24441617959288792"/>
          <c:w val="0.8123620309050773"/>
          <c:h val="0.53009365344102721"/>
        </c:manualLayout>
      </c:layout>
      <c:lineChart>
        <c:grouping val="standard"/>
        <c:ser>
          <c:idx val="0"/>
          <c:order val="0"/>
          <c:tx>
            <c:strRef>
              <c:f>Sheet1!$A$3</c:f>
              <c:strCache>
                <c:ptCount val="1"/>
              </c:strCache>
            </c:strRef>
          </c:tx>
          <c:spPr>
            <a:ln w="25397">
              <a:solidFill>
                <a:srgbClr val="000080"/>
              </a:solidFill>
              <a:prstDash val="solid"/>
            </a:ln>
          </c:spPr>
          <c:marker>
            <c:symbol val="diamond"/>
            <c:size val="4"/>
            <c:spPr>
              <a:solidFill>
                <a:srgbClr val="000080"/>
              </a:solidFill>
              <a:ln>
                <a:solidFill>
                  <a:srgbClr val="000080"/>
                </a:solidFill>
                <a:prstDash val="solid"/>
              </a:ln>
              <a:effectLst>
                <a:outerShdw dist="35921" dir="2700000" algn="br">
                  <a:srgbClr val="000000"/>
                </a:outerShdw>
              </a:effectLst>
            </c:spPr>
          </c:marker>
          <c:dLbls>
            <c:dLbl>
              <c:idx val="0"/>
              <c:layout>
                <c:manualLayout>
                  <c:x val="-6.2462591644648145E-2"/>
                  <c:y val="-3.528976696894644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777-42ED-A71D-7994B76A0D19}"/>
                </c:ext>
              </c:extLst>
            </c:dLbl>
            <c:dLbl>
              <c:idx val="1"/>
              <c:layout>
                <c:manualLayout>
                  <c:x val="-4.6126954599511882E-2"/>
                  <c:y val="-4.539433818600541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777-42ED-A71D-7994B76A0D19}"/>
                </c:ext>
              </c:extLst>
            </c:dLbl>
            <c:dLbl>
              <c:idx val="2"/>
              <c:layout>
                <c:manualLayout>
                  <c:x val="-5.8489115108909258E-2"/>
                  <c:y val="-5.694958075151295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777-42ED-A71D-7994B76A0D19}"/>
                </c:ext>
              </c:extLst>
            </c:dLbl>
            <c:dLbl>
              <c:idx val="3"/>
              <c:layout>
                <c:manualLayout>
                  <c:x val="-6.2021027732647532E-2"/>
                  <c:y val="-5.853155524191850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777-42ED-A71D-7994B76A0D19}"/>
                </c:ext>
              </c:extLst>
            </c:dLbl>
            <c:dLbl>
              <c:idx val="4"/>
              <c:layout>
                <c:manualLayout>
                  <c:x val="-3.9062874131220657E-2"/>
                  <c:y val="-4.609999229816749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777-42ED-A71D-7994B76A0D19}"/>
                </c:ext>
              </c:extLst>
            </c:dLbl>
            <c:dLbl>
              <c:idx val="5"/>
              <c:layout>
                <c:manualLayout>
                  <c:xMode val="edge"/>
                  <c:yMode val="edge"/>
                  <c:x val="0.86313465783664467"/>
                  <c:y val="0.52614379084967322"/>
                </c:manualLayout>
              </c:layout>
              <c:numFmt formatCode="#,##0" sourceLinked="0"/>
              <c:spPr>
                <a:noFill/>
                <a:ln w="25397">
                  <a:noFill/>
                </a:ln>
              </c:spPr>
              <c:txPr>
                <a:bodyPr/>
                <a:lstStyle/>
                <a:p>
                  <a:pPr>
                    <a:defRPr lang="es-ES" sz="975" b="0" i="0" u="none" strike="noStrike" baseline="0">
                      <a:solidFill>
                        <a:srgbClr val="000000"/>
                      </a:solidFill>
                      <a:latin typeface="Arial"/>
                      <a:ea typeface="Arial"/>
                      <a:cs typeface="Arial"/>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777-42ED-A71D-7994B76A0D19}"/>
                </c:ext>
              </c:extLst>
            </c:dLbl>
            <c:dLbl>
              <c:idx val="6"/>
              <c:layout>
                <c:manualLayout>
                  <c:xMode val="edge"/>
                  <c:yMode val="edge"/>
                  <c:x val="0.90286975717439488"/>
                  <c:y val="0.41830065359477275"/>
                </c:manualLayout>
              </c:layout>
              <c:numFmt formatCode="#,##0" sourceLinked="0"/>
              <c:spPr>
                <a:noFill/>
                <a:ln w="25397">
                  <a:noFill/>
                </a:ln>
              </c:spPr>
              <c:txPr>
                <a:bodyPr/>
                <a:lstStyle/>
                <a:p>
                  <a:pPr>
                    <a:defRPr lang="es-ES" sz="975" b="0" i="0" u="none" strike="noStrike" baseline="0">
                      <a:solidFill>
                        <a:srgbClr val="000000"/>
                      </a:solidFill>
                      <a:latin typeface="Arial"/>
                      <a:ea typeface="Arial"/>
                      <a:cs typeface="Arial"/>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777-42ED-A71D-7994B76A0D19}"/>
                </c:ext>
              </c:extLst>
            </c:dLbl>
            <c:dLbl>
              <c:idx val="7"/>
              <c:layout>
                <c:manualLayout>
                  <c:xMode val="edge"/>
                  <c:yMode val="edge"/>
                  <c:x val="0.56512141280353634"/>
                  <c:y val="0.41830065359477275"/>
                </c:manualLayout>
              </c:layout>
              <c:numFmt formatCode="#,##0" sourceLinked="0"/>
              <c:spPr>
                <a:noFill/>
                <a:ln w="25397">
                  <a:noFill/>
                </a:ln>
              </c:spPr>
              <c:txPr>
                <a:bodyPr/>
                <a:lstStyle/>
                <a:p>
                  <a:pPr>
                    <a:defRPr lang="es-ES" sz="975" b="0" i="0" u="none" strike="noStrike" baseline="0">
                      <a:solidFill>
                        <a:srgbClr val="000000"/>
                      </a:solidFill>
                      <a:latin typeface="Arial"/>
                      <a:ea typeface="Arial"/>
                      <a:cs typeface="Arial"/>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777-42ED-A71D-7994B76A0D19}"/>
                </c:ext>
              </c:extLst>
            </c:dLbl>
            <c:dLbl>
              <c:idx val="8"/>
              <c:layout>
                <c:manualLayout>
                  <c:xMode val="edge"/>
                  <c:yMode val="edge"/>
                  <c:x val="0.56070640176600439"/>
                  <c:y val="0.32026143790849682"/>
                </c:manualLayout>
              </c:layout>
              <c:numFmt formatCode="#,##0" sourceLinked="0"/>
              <c:spPr>
                <a:noFill/>
                <a:ln w="25397">
                  <a:noFill/>
                </a:ln>
              </c:spPr>
              <c:txPr>
                <a:bodyPr/>
                <a:lstStyle/>
                <a:p>
                  <a:pPr>
                    <a:defRPr lang="es-ES" sz="975" b="0" i="0" u="none" strike="noStrike" baseline="0">
                      <a:solidFill>
                        <a:srgbClr val="000000"/>
                      </a:solidFill>
                      <a:latin typeface="Arial"/>
                      <a:ea typeface="Arial"/>
                      <a:cs typeface="Arial"/>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777-42ED-A71D-7994B76A0D19}"/>
                </c:ext>
              </c:extLst>
            </c:dLbl>
            <c:dLbl>
              <c:idx val="9"/>
              <c:layout>
                <c:manualLayout>
                  <c:xMode val="edge"/>
                  <c:yMode val="edge"/>
                  <c:x val="0.63355408388520951"/>
                  <c:y val="0.20588235294117646"/>
                </c:manualLayout>
              </c:layout>
              <c:numFmt formatCode="#,##0" sourceLinked="0"/>
              <c:spPr>
                <a:noFill/>
                <a:ln w="25397">
                  <a:noFill/>
                </a:ln>
              </c:spPr>
              <c:txPr>
                <a:bodyPr/>
                <a:lstStyle/>
                <a:p>
                  <a:pPr>
                    <a:defRPr lang="es-ES" sz="975" b="0" i="0" u="none" strike="noStrike" baseline="0">
                      <a:solidFill>
                        <a:srgbClr val="000000"/>
                      </a:solidFill>
                      <a:latin typeface="Arial"/>
                      <a:ea typeface="Arial"/>
                      <a:cs typeface="Arial"/>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777-42ED-A71D-7994B76A0D19}"/>
                </c:ext>
              </c:extLst>
            </c:dLbl>
            <c:numFmt formatCode="#,##0" sourceLinked="0"/>
            <c:spPr>
              <a:noFill/>
              <a:ln w="25397">
                <a:noFill/>
              </a:ln>
            </c:spPr>
            <c:txPr>
              <a:bodyPr/>
              <a:lstStyle/>
              <a:p>
                <a:pPr>
                  <a:defRPr lang="es-ES" sz="975"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Sheet1!$G$1:$K$1</c:f>
              <c:numCache>
                <c:formatCode>General</c:formatCode>
                <c:ptCount val="5"/>
                <c:pt idx="0">
                  <c:v>2011</c:v>
                </c:pt>
                <c:pt idx="1">
                  <c:v>2012</c:v>
                </c:pt>
                <c:pt idx="2">
                  <c:v>2013</c:v>
                </c:pt>
                <c:pt idx="3">
                  <c:v>2014</c:v>
                </c:pt>
                <c:pt idx="4">
                  <c:v>2015</c:v>
                </c:pt>
              </c:numCache>
            </c:numRef>
          </c:cat>
          <c:val>
            <c:numRef>
              <c:f>Sheet1!$G$3:$K$3</c:f>
              <c:numCache>
                <c:formatCode>#,##0.00</c:formatCode>
                <c:ptCount val="5"/>
                <c:pt idx="0">
                  <c:v>1040.5999999999999</c:v>
                </c:pt>
                <c:pt idx="1">
                  <c:v>1035</c:v>
                </c:pt>
                <c:pt idx="2" formatCode="General">
                  <c:v>996.3</c:v>
                </c:pt>
                <c:pt idx="3">
                  <c:v>1004.7</c:v>
                </c:pt>
                <c:pt idx="4">
                  <c:v>1003.4</c:v>
                </c:pt>
              </c:numCache>
            </c:numRef>
          </c:val>
          <c:smooth val="1"/>
          <c:extLst xmlns:c16r2="http://schemas.microsoft.com/office/drawing/2015/06/chart">
            <c:ext xmlns:c16="http://schemas.microsoft.com/office/drawing/2014/chart" uri="{C3380CC4-5D6E-409C-BE32-E72D297353CC}">
              <c16:uniqueId val="{0000000A-4777-42ED-A71D-7994B76A0D19}"/>
            </c:ext>
          </c:extLst>
        </c:ser>
        <c:dLbls>
          <c:showVal val="1"/>
        </c:dLbls>
        <c:marker val="1"/>
        <c:axId val="120715904"/>
        <c:axId val="120791808"/>
      </c:lineChart>
      <c:catAx>
        <c:axId val="120715904"/>
        <c:scaling>
          <c:orientation val="minMax"/>
        </c:scaling>
        <c:axPos val="b"/>
        <c:title>
          <c:tx>
            <c:rich>
              <a:bodyPr/>
              <a:lstStyle/>
              <a:p>
                <a:pPr>
                  <a:defRPr lang="es-ES" sz="875"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5364238410596025"/>
              <c:y val="0.8856209150326797"/>
            </c:manualLayout>
          </c:layout>
          <c:spPr>
            <a:noFill/>
            <a:ln w="25397">
              <a:noFill/>
            </a:ln>
          </c:spPr>
        </c:title>
        <c:numFmt formatCode="General" sourceLinked="1"/>
        <c:tickLblPos val="nextTo"/>
        <c:spPr>
          <a:ln w="3175">
            <a:solidFill>
              <a:srgbClr val="000000"/>
            </a:solidFill>
            <a:prstDash val="solid"/>
          </a:ln>
        </c:spPr>
        <c:txPr>
          <a:bodyPr rot="0" vert="horz"/>
          <a:lstStyle/>
          <a:p>
            <a:pPr>
              <a:defRPr lang="es-ES" sz="875" b="1" i="0" u="none" strike="noStrike" baseline="0">
                <a:solidFill>
                  <a:srgbClr val="000000"/>
                </a:solidFill>
                <a:latin typeface="Times New Roman"/>
                <a:ea typeface="Times New Roman"/>
                <a:cs typeface="Times New Roman"/>
              </a:defRPr>
            </a:pPr>
            <a:endParaRPr lang="es-CR"/>
          </a:p>
        </c:txPr>
        <c:crossAx val="120791808"/>
        <c:crossesAt val="0"/>
        <c:auto val="1"/>
        <c:lblAlgn val="ctr"/>
        <c:lblOffset val="100"/>
        <c:tickLblSkip val="1"/>
        <c:tickMarkSkip val="1"/>
      </c:catAx>
      <c:valAx>
        <c:axId val="120791808"/>
        <c:scaling>
          <c:orientation val="minMax"/>
          <c:max val="1500"/>
          <c:min val="0"/>
        </c:scaling>
        <c:axPos val="l"/>
        <c:majorGridlines>
          <c:spPr>
            <a:ln w="3175">
              <a:solidFill>
                <a:srgbClr val="000000"/>
              </a:solidFill>
              <a:prstDash val="solid"/>
            </a:ln>
          </c:spPr>
        </c:majorGridlines>
        <c:title>
          <c:tx>
            <c:rich>
              <a:bodyPr rot="0" vert="wordArtVert"/>
              <a:lstStyle/>
              <a:p>
                <a:pPr algn="ctr">
                  <a:defRPr lang="es-ES" sz="950" b="1" i="0" u="none" strike="noStrike" baseline="0">
                    <a:solidFill>
                      <a:srgbClr val="000000"/>
                    </a:solidFill>
                    <a:latin typeface="Times New Roman"/>
                    <a:ea typeface="Times New Roman"/>
                    <a:cs typeface="Times New Roman"/>
                  </a:defRPr>
                </a:pPr>
                <a:r>
                  <a:rPr lang="es-CR"/>
                  <a:t>TASA</a:t>
                </a:r>
              </a:p>
            </c:rich>
          </c:tx>
          <c:layout>
            <c:manualLayout>
              <c:xMode val="edge"/>
              <c:yMode val="edge"/>
              <c:x val="3.0905077262693297E-2"/>
              <c:y val="0.43790849673202764"/>
            </c:manualLayout>
          </c:layout>
          <c:spPr>
            <a:noFill/>
            <a:ln w="25397">
              <a:noFill/>
            </a:ln>
          </c:spPr>
        </c:title>
        <c:numFmt formatCode="0" sourceLinked="0"/>
        <c:tickLblPos val="nextTo"/>
        <c:spPr>
          <a:ln w="3175">
            <a:solidFill>
              <a:srgbClr val="000000"/>
            </a:solidFill>
            <a:prstDash val="solid"/>
          </a:ln>
        </c:spPr>
        <c:txPr>
          <a:bodyPr rot="0" vert="horz"/>
          <a:lstStyle/>
          <a:p>
            <a:pPr>
              <a:defRPr lang="es-ES" sz="875" b="1" i="0" u="none" strike="noStrike" baseline="0">
                <a:solidFill>
                  <a:srgbClr val="000000"/>
                </a:solidFill>
                <a:latin typeface="Times New Roman"/>
                <a:ea typeface="Times New Roman"/>
                <a:cs typeface="Times New Roman"/>
              </a:defRPr>
            </a:pPr>
            <a:endParaRPr lang="es-CR"/>
          </a:p>
        </c:txPr>
        <c:crossAx val="120715904"/>
        <c:crosses val="autoZero"/>
        <c:crossBetween val="between"/>
        <c:majorUnit val="1500"/>
        <c:minorUnit val="50"/>
      </c:valAx>
      <c:spPr>
        <a:gradFill rotWithShape="0">
          <a:gsLst>
            <a:gs pos="0">
              <a:srgbClr val="FFFFCC">
                <a:gamma/>
                <a:shade val="60392"/>
                <a:invGamma/>
              </a:srgbClr>
            </a:gs>
            <a:gs pos="50000">
              <a:srgbClr val="FFFFCC"/>
            </a:gs>
            <a:gs pos="100000">
              <a:srgbClr val="FFFFCC">
                <a:gamma/>
                <a:shade val="60392"/>
                <a:invGamma/>
              </a:srgbClr>
            </a:gs>
          </a:gsLst>
          <a:lin ang="2700000" scaled="1"/>
        </a:gradFill>
        <a:ln w="12698">
          <a:solidFill>
            <a:srgbClr val="808080"/>
          </a:solidFill>
          <a:prstDash val="solid"/>
        </a:ln>
      </c:spPr>
    </c:plotArea>
    <c:plotVisOnly val="1"/>
    <c:dispBlanksAs val="gap"/>
  </c:chart>
  <c:spPr>
    <a:gradFill rotWithShape="0">
      <a:gsLst>
        <a:gs pos="0">
          <a:srgbClr val="CCFFFF">
            <a:gamma/>
            <a:shade val="63529"/>
            <a:invGamma/>
          </a:srgbClr>
        </a:gs>
        <a:gs pos="100000">
          <a:srgbClr val="CCFFFF"/>
        </a:gs>
      </a:gsLst>
      <a:lin ang="5400000" scaled="1"/>
    </a:gradFill>
    <a:ln w="3175">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title>
      <c:tx>
        <c:rich>
          <a:bodyPr/>
          <a:lstStyle/>
          <a:p>
            <a:pPr>
              <a:defRPr lang="es-ES" sz="925" b="1" i="0" u="none" strike="noStrike" baseline="0">
                <a:solidFill>
                  <a:srgbClr val="000000"/>
                </a:solidFill>
                <a:latin typeface="Times New Roman"/>
                <a:ea typeface="Times New Roman"/>
                <a:cs typeface="Times New Roman"/>
              </a:defRPr>
            </a:pPr>
            <a:r>
              <a:rPr lang="es-CR"/>
              <a:t>Gráfico Nº 54
Cantidad anual</a:t>
            </a:r>
            <a:r>
              <a:rPr lang="es-CR" baseline="0"/>
              <a:t> </a:t>
            </a:r>
            <a:r>
              <a:rPr lang="es-CR"/>
              <a:t>de casos terminados en los juzgados competentes en materia de Violencia Doméstica desde 2011</a:t>
            </a:r>
          </a:p>
        </c:rich>
      </c:tx>
      <c:layout>
        <c:manualLayout>
          <c:xMode val="edge"/>
          <c:yMode val="edge"/>
          <c:x val="0.13777777777777778"/>
          <c:y val="0"/>
        </c:manualLayout>
      </c:layout>
      <c:spPr>
        <a:noFill/>
        <a:ln w="25387">
          <a:noFill/>
        </a:ln>
      </c:spPr>
    </c:title>
    <c:plotArea>
      <c:layout>
        <c:manualLayout>
          <c:layoutTarget val="inner"/>
          <c:xMode val="edge"/>
          <c:yMode val="edge"/>
          <c:x val="0.16888888888888892"/>
          <c:y val="0.20760933118131303"/>
          <c:w val="0.78888888888888964"/>
          <c:h val="0.5774125333043908"/>
        </c:manualLayout>
      </c:layout>
      <c:lineChart>
        <c:grouping val="standard"/>
        <c:ser>
          <c:idx val="0"/>
          <c:order val="0"/>
          <c:tx>
            <c:strRef>
              <c:f>Sheet1!$A$2</c:f>
              <c:strCache>
                <c:ptCount val="1"/>
                <c:pt idx="0">
                  <c:v>Tasa</c:v>
                </c:pt>
              </c:strCache>
            </c:strRef>
          </c:tx>
          <c:spPr>
            <a:ln w="25387">
              <a:solidFill>
                <a:srgbClr val="0000FF"/>
              </a:solidFill>
              <a:prstDash val="solid"/>
            </a:ln>
          </c:spPr>
          <c:marker>
            <c:symbol val="diamond"/>
            <c:size val="6"/>
            <c:spPr>
              <a:solidFill>
                <a:srgbClr val="0000FF"/>
              </a:solidFill>
              <a:ln>
                <a:solidFill>
                  <a:srgbClr val="000080"/>
                </a:solidFill>
                <a:prstDash val="solid"/>
              </a:ln>
            </c:spPr>
          </c:marker>
          <c:dLbls>
            <c:dLbl>
              <c:idx val="0"/>
              <c:layout>
                <c:manualLayout>
                  <c:x val="-0.10060068757091233"/>
                  <c:y val="2.055051588982681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128-478E-AD2A-97E9E697A5B7}"/>
                </c:ext>
              </c:extLst>
            </c:dLbl>
            <c:dLbl>
              <c:idx val="1"/>
              <c:layout>
                <c:manualLayout>
                  <c:x val="-5.7012053501966524E-2"/>
                  <c:y val="3.626808765400545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128-478E-AD2A-97E9E697A5B7}"/>
                </c:ext>
              </c:extLst>
            </c:dLbl>
            <c:dLbl>
              <c:idx val="2"/>
              <c:layout>
                <c:manualLayout>
                  <c:x val="-0.11167042025415359"/>
                  <c:y val="-2.887162448402270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128-478E-AD2A-97E9E697A5B7}"/>
                </c:ext>
              </c:extLst>
            </c:dLbl>
            <c:dLbl>
              <c:idx val="3"/>
              <c:layout>
                <c:manualLayout>
                  <c:x val="-5.9316903863867086E-2"/>
                  <c:y val="-4.0539102243166689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128-478E-AD2A-97E9E697A5B7}"/>
                </c:ext>
              </c:extLst>
            </c:dLbl>
            <c:dLbl>
              <c:idx val="4"/>
              <c:layout>
                <c:manualLayout>
                  <c:x val="-5.1987811346169352E-2"/>
                  <c:y val="-4.215696915164407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128-478E-AD2A-97E9E697A5B7}"/>
                </c:ext>
              </c:extLst>
            </c:dLbl>
            <c:dLbl>
              <c:idx val="5"/>
              <c:layout>
                <c:manualLayout>
                  <c:xMode val="edge"/>
                  <c:yMode val="edge"/>
                  <c:x val="0.88000000000000012"/>
                  <c:y val="0.34722222222222232"/>
                </c:manualLayout>
              </c:layout>
              <c:numFmt formatCode="#,##0" sourceLinked="0"/>
              <c:spPr>
                <a:noFill/>
                <a:ln w="25387">
                  <a:noFill/>
                </a:ln>
              </c:spPr>
              <c:txPr>
                <a:bodyPr/>
                <a:lstStyle/>
                <a:p>
                  <a:pPr>
                    <a:defRPr lang="es-ES" sz="825" b="1" i="0" u="none" strike="noStrike" baseline="0">
                      <a:solidFill>
                        <a:srgbClr val="000000"/>
                      </a:solidFill>
                      <a:latin typeface="Arial"/>
                      <a:ea typeface="Arial"/>
                      <a:cs typeface="Arial"/>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128-478E-AD2A-97E9E697A5B7}"/>
                </c:ext>
              </c:extLst>
            </c:dLbl>
            <c:dLbl>
              <c:idx val="6"/>
              <c:layout>
                <c:manualLayout>
                  <c:xMode val="edge"/>
                  <c:yMode val="edge"/>
                  <c:x val="0.67333333333333556"/>
                  <c:y val="0.22222222222222224"/>
                </c:manualLayout>
              </c:layout>
              <c:numFmt formatCode="#,##0" sourceLinked="0"/>
              <c:spPr>
                <a:noFill/>
                <a:ln w="25387">
                  <a:noFill/>
                </a:ln>
              </c:spPr>
              <c:txPr>
                <a:bodyPr/>
                <a:lstStyle/>
                <a:p>
                  <a:pPr>
                    <a:defRPr lang="es-ES" sz="825" b="1" i="0" u="none" strike="noStrike" baseline="0">
                      <a:solidFill>
                        <a:srgbClr val="000000"/>
                      </a:solidFill>
                      <a:latin typeface="Arial"/>
                      <a:ea typeface="Arial"/>
                      <a:cs typeface="Arial"/>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128-478E-AD2A-97E9E697A5B7}"/>
                </c:ext>
              </c:extLst>
            </c:dLbl>
            <c:dLbl>
              <c:idx val="7"/>
              <c:layout>
                <c:manualLayout>
                  <c:xMode val="edge"/>
                  <c:yMode val="edge"/>
                  <c:x val="0.6800000000000006"/>
                  <c:y val="0.15277777777777779"/>
                </c:manualLayout>
              </c:layout>
              <c:numFmt formatCode="#,##0" sourceLinked="0"/>
              <c:spPr>
                <a:noFill/>
                <a:ln w="25387">
                  <a:noFill/>
                </a:ln>
              </c:spPr>
              <c:txPr>
                <a:bodyPr/>
                <a:lstStyle/>
                <a:p>
                  <a:pPr>
                    <a:defRPr lang="es-ES" sz="825" b="1" i="0" u="none" strike="noStrike" baseline="0">
                      <a:solidFill>
                        <a:srgbClr val="000000"/>
                      </a:solidFill>
                      <a:latin typeface="Arial"/>
                      <a:ea typeface="Arial"/>
                      <a:cs typeface="Arial"/>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128-478E-AD2A-97E9E697A5B7}"/>
                </c:ext>
              </c:extLst>
            </c:dLbl>
            <c:dLbl>
              <c:idx val="8"/>
              <c:layout>
                <c:manualLayout>
                  <c:xMode val="edge"/>
                  <c:yMode val="edge"/>
                  <c:x val="0.68888888888889099"/>
                  <c:y val="0.2326388888888889"/>
                </c:manualLayout>
              </c:layout>
              <c:numFmt formatCode="#,##0" sourceLinked="0"/>
              <c:spPr>
                <a:noFill/>
                <a:ln w="25387">
                  <a:noFill/>
                </a:ln>
              </c:spPr>
              <c:txPr>
                <a:bodyPr/>
                <a:lstStyle/>
                <a:p>
                  <a:pPr>
                    <a:defRPr lang="es-ES" sz="825" b="1" i="0" u="none" strike="noStrike" baseline="0">
                      <a:solidFill>
                        <a:srgbClr val="000000"/>
                      </a:solidFill>
                      <a:latin typeface="Arial"/>
                      <a:ea typeface="Arial"/>
                      <a:cs typeface="Arial"/>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128-478E-AD2A-97E9E697A5B7}"/>
                </c:ext>
              </c:extLst>
            </c:dLbl>
            <c:dLbl>
              <c:idx val="9"/>
              <c:layout>
                <c:manualLayout>
                  <c:xMode val="edge"/>
                  <c:yMode val="edge"/>
                  <c:x val="0.67555555555555791"/>
                  <c:y val="0.14583333333333395"/>
                </c:manualLayout>
              </c:layout>
              <c:numFmt formatCode="#,##0" sourceLinked="0"/>
              <c:spPr>
                <a:noFill/>
                <a:ln w="25387">
                  <a:noFill/>
                </a:ln>
              </c:spPr>
              <c:txPr>
                <a:bodyPr/>
                <a:lstStyle/>
                <a:p>
                  <a:pPr>
                    <a:defRPr lang="es-ES" sz="825" b="1" i="0" u="none" strike="noStrike" baseline="0">
                      <a:solidFill>
                        <a:srgbClr val="000000"/>
                      </a:solidFill>
                      <a:latin typeface="Arial"/>
                      <a:ea typeface="Arial"/>
                      <a:cs typeface="Arial"/>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128-478E-AD2A-97E9E697A5B7}"/>
                </c:ext>
              </c:extLst>
            </c:dLbl>
            <c:numFmt formatCode="#,##0" sourceLinked="0"/>
            <c:spPr>
              <a:noFill/>
              <a:ln w="25387">
                <a:noFill/>
              </a:ln>
            </c:spPr>
            <c:txPr>
              <a:bodyPr/>
              <a:lstStyle/>
              <a:p>
                <a:pPr>
                  <a:defRPr lang="es-ES" sz="825"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Sheet1!$M$1:$Q$1</c:f>
              <c:numCache>
                <c:formatCode>General</c:formatCode>
                <c:ptCount val="5"/>
                <c:pt idx="0">
                  <c:v>2011</c:v>
                </c:pt>
                <c:pt idx="1">
                  <c:v>2012</c:v>
                </c:pt>
                <c:pt idx="2">
                  <c:v>2013</c:v>
                </c:pt>
                <c:pt idx="3">
                  <c:v>2014</c:v>
                </c:pt>
                <c:pt idx="4">
                  <c:v>2015</c:v>
                </c:pt>
              </c:numCache>
            </c:numRef>
          </c:cat>
          <c:val>
            <c:numRef>
              <c:f>Sheet1!$M$2:$Q$2</c:f>
              <c:numCache>
                <c:formatCode>General</c:formatCode>
                <c:ptCount val="5"/>
                <c:pt idx="0">
                  <c:v>54951</c:v>
                </c:pt>
                <c:pt idx="1">
                  <c:v>41182</c:v>
                </c:pt>
                <c:pt idx="2">
                  <c:v>59452</c:v>
                </c:pt>
                <c:pt idx="3">
                  <c:v>57291</c:v>
                </c:pt>
                <c:pt idx="4" formatCode="#,##0">
                  <c:v>62125</c:v>
                </c:pt>
              </c:numCache>
            </c:numRef>
          </c:val>
          <c:smooth val="1"/>
          <c:extLst xmlns:c16r2="http://schemas.microsoft.com/office/drawing/2015/06/chart">
            <c:ext xmlns:c16="http://schemas.microsoft.com/office/drawing/2014/chart" uri="{C3380CC4-5D6E-409C-BE32-E72D297353CC}">
              <c16:uniqueId val="{0000000A-A128-478E-AD2A-97E9E697A5B7}"/>
            </c:ext>
          </c:extLst>
        </c:ser>
        <c:dLbls>
          <c:showVal val="1"/>
        </c:dLbls>
        <c:marker val="1"/>
        <c:axId val="120969856"/>
        <c:axId val="120857344"/>
      </c:lineChart>
      <c:catAx>
        <c:axId val="120969856"/>
        <c:scaling>
          <c:orientation val="minMax"/>
        </c:scaling>
        <c:axPos val="b"/>
        <c:title>
          <c:tx>
            <c:rich>
              <a:bodyPr/>
              <a:lstStyle/>
              <a:p>
                <a:pPr>
                  <a:defRPr lang="es-ES" sz="925"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58000002271459905"/>
              <c:y val="0.86445839445702899"/>
            </c:manualLayout>
          </c:layout>
          <c:spPr>
            <a:noFill/>
            <a:ln w="25387">
              <a:noFill/>
            </a:ln>
          </c:spPr>
        </c:title>
        <c:numFmt formatCode="General" sourceLinked="1"/>
        <c:tickLblPos val="nextTo"/>
        <c:spPr>
          <a:ln w="3173">
            <a:solidFill>
              <a:srgbClr val="000000"/>
            </a:solidFill>
            <a:prstDash val="solid"/>
          </a:ln>
        </c:spPr>
        <c:txPr>
          <a:bodyPr rot="0" vert="horz"/>
          <a:lstStyle/>
          <a:p>
            <a:pPr>
              <a:defRPr lang="es-ES" sz="925" b="1" i="0" u="none" strike="noStrike" baseline="0">
                <a:solidFill>
                  <a:srgbClr val="000000"/>
                </a:solidFill>
                <a:latin typeface="Times New Roman"/>
                <a:ea typeface="Times New Roman"/>
                <a:cs typeface="Times New Roman"/>
              </a:defRPr>
            </a:pPr>
            <a:endParaRPr lang="es-CR"/>
          </a:p>
        </c:txPr>
        <c:crossAx val="120857344"/>
        <c:crosses val="autoZero"/>
        <c:auto val="1"/>
        <c:lblAlgn val="ctr"/>
        <c:lblOffset val="100"/>
        <c:tickLblSkip val="1"/>
        <c:tickMarkSkip val="1"/>
      </c:catAx>
      <c:valAx>
        <c:axId val="120857344"/>
        <c:scaling>
          <c:orientation val="minMax"/>
          <c:max val="70000"/>
          <c:min val="0"/>
        </c:scaling>
        <c:axPos val="l"/>
        <c:majorGridlines>
          <c:spPr>
            <a:ln w="3173">
              <a:solidFill>
                <a:srgbClr val="000000"/>
              </a:solidFill>
              <a:prstDash val="solid"/>
            </a:ln>
          </c:spPr>
        </c:majorGridlines>
        <c:title>
          <c:tx>
            <c:rich>
              <a:bodyPr rot="0" vert="wordArtVert"/>
              <a:lstStyle/>
              <a:p>
                <a:pPr algn="ctr">
                  <a:defRPr lang="es-ES" sz="775" b="1" i="0" u="none" strike="noStrike" baseline="0">
                    <a:solidFill>
                      <a:srgbClr val="000000"/>
                    </a:solidFill>
                    <a:latin typeface="Times New Roman"/>
                    <a:ea typeface="Times New Roman"/>
                    <a:cs typeface="Times New Roman"/>
                  </a:defRPr>
                </a:pPr>
                <a:r>
                  <a:rPr lang="es-CR"/>
                  <a:t>TERMINADOS</a:t>
                </a:r>
              </a:p>
            </c:rich>
          </c:tx>
          <c:layout>
            <c:manualLayout>
              <c:xMode val="edge"/>
              <c:yMode val="edge"/>
              <c:x val="2.2222222222222251E-2"/>
              <c:y val="0.2673611111111111"/>
            </c:manualLayout>
          </c:layout>
          <c:spPr>
            <a:noFill/>
            <a:ln w="25387">
              <a:noFill/>
            </a:ln>
          </c:spPr>
        </c:title>
        <c:numFmt formatCode="General" sourceLinked="1"/>
        <c:tickLblPos val="nextTo"/>
        <c:spPr>
          <a:ln w="3173">
            <a:solidFill>
              <a:srgbClr val="000000"/>
            </a:solidFill>
            <a:prstDash val="solid"/>
          </a:ln>
        </c:spPr>
        <c:txPr>
          <a:bodyPr rot="0" vert="horz"/>
          <a:lstStyle/>
          <a:p>
            <a:pPr>
              <a:defRPr lang="es-ES" sz="925" b="1" i="0" u="none" strike="noStrike" baseline="0">
                <a:solidFill>
                  <a:srgbClr val="000000"/>
                </a:solidFill>
                <a:latin typeface="Times New Roman"/>
                <a:ea typeface="Times New Roman"/>
                <a:cs typeface="Times New Roman"/>
              </a:defRPr>
            </a:pPr>
            <a:endParaRPr lang="es-CR"/>
          </a:p>
        </c:txPr>
        <c:crossAx val="120969856"/>
        <c:crosses val="autoZero"/>
        <c:crossBetween val="between"/>
        <c:majorUnit val="70000"/>
      </c:valAx>
      <c:spPr>
        <a:gradFill rotWithShape="0">
          <a:gsLst>
            <a:gs pos="0">
              <a:srgbClr val="C0C0C0"/>
            </a:gs>
            <a:gs pos="50000">
              <a:srgbClr val="FFFF99"/>
            </a:gs>
            <a:gs pos="100000">
              <a:srgbClr val="C0C0C0"/>
            </a:gs>
          </a:gsLst>
          <a:lin ang="5400000" scaled="1"/>
        </a:gradFill>
        <a:ln w="12694">
          <a:solidFill>
            <a:srgbClr val="808080"/>
          </a:solidFill>
          <a:prstDash val="solid"/>
        </a:ln>
      </c:spPr>
    </c:plotArea>
    <c:plotVisOnly val="1"/>
    <c:dispBlanksAs val="gap"/>
  </c:chart>
  <c:spPr>
    <a:solidFill>
      <a:srgbClr val="CCFFFF"/>
    </a:solidFill>
    <a:ln w="3173">
      <a:solidFill>
        <a:srgbClr val="000000"/>
      </a:solidFill>
      <a:prstDash val="solid"/>
    </a:ln>
    <a:effectLst>
      <a:outerShdw dist="35921" dir="2700000" algn="br">
        <a:srgbClr val="000000"/>
      </a:outerShdw>
    </a:effectLst>
  </c:spPr>
  <c:txPr>
    <a:bodyPr/>
    <a:lstStyle/>
    <a:p>
      <a:pPr>
        <a:defRPr sz="1199" b="1" i="0" u="none" strike="noStrike" baseline="0">
          <a:solidFill>
            <a:srgbClr val="000000"/>
          </a:solidFill>
          <a:latin typeface="Arial"/>
          <a:ea typeface="Arial"/>
          <a:cs typeface="Arial"/>
        </a:defRPr>
      </a:pPr>
      <a:endParaRPr lang="es-CR"/>
    </a:p>
  </c:tx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es-CR"/>
  <c:chart>
    <c:title>
      <c:tx>
        <c:rich>
          <a:bodyPr/>
          <a:lstStyle/>
          <a:p>
            <a:pPr>
              <a:defRPr lang="es-ES" sz="1000" b="1" i="0" u="none" strike="noStrike" baseline="0">
                <a:solidFill>
                  <a:srgbClr val="000000"/>
                </a:solidFill>
                <a:latin typeface="Times New Roman"/>
                <a:ea typeface="Times New Roman"/>
                <a:cs typeface="Times New Roman"/>
              </a:defRPr>
            </a:pPr>
            <a:r>
              <a:rPr lang="es-CR"/>
              <a:t>Gráfico Nº 55
Tasa de menores acusados de infringir la Ley Penal 
Juvenil. 2011 - 2015
(datos por cada mil menores entre 12 y 17 años)
</a:t>
            </a:r>
          </a:p>
        </c:rich>
      </c:tx>
      <c:layout>
        <c:manualLayout>
          <c:xMode val="edge"/>
          <c:yMode val="edge"/>
          <c:x val="0.22815533980582553"/>
          <c:y val="0"/>
        </c:manualLayout>
      </c:layout>
      <c:spPr>
        <a:noFill/>
        <a:ln w="25399">
          <a:noFill/>
        </a:ln>
      </c:spPr>
    </c:title>
    <c:plotArea>
      <c:layout>
        <c:manualLayout>
          <c:layoutTarget val="inner"/>
          <c:xMode val="edge"/>
          <c:yMode val="edge"/>
          <c:x val="0.13754045307443419"/>
          <c:y val="0.3766233766233768"/>
          <c:w val="0.81877022653721765"/>
          <c:h val="0.40519480519480627"/>
        </c:manualLayout>
      </c:layout>
      <c:lineChart>
        <c:grouping val="standard"/>
        <c:ser>
          <c:idx val="0"/>
          <c:order val="0"/>
          <c:tx>
            <c:strRef>
              <c:f>Sheet1!$A$2</c:f>
              <c:strCache>
                <c:ptCount val="1"/>
                <c:pt idx="0">
                  <c:v>m</c:v>
                </c:pt>
              </c:strCache>
            </c:strRef>
          </c:tx>
          <c:spPr>
            <a:ln w="25399">
              <a:solidFill>
                <a:srgbClr val="008000"/>
              </a:solidFill>
              <a:prstDash val="solid"/>
            </a:ln>
          </c:spPr>
          <c:marker>
            <c:symbol val="diamond"/>
            <c:size val="4"/>
            <c:spPr>
              <a:solidFill>
                <a:srgbClr val="008000"/>
              </a:solidFill>
              <a:ln>
                <a:solidFill>
                  <a:srgbClr val="008000"/>
                </a:solidFill>
                <a:prstDash val="solid"/>
              </a:ln>
            </c:spPr>
          </c:marker>
          <c:dLbls>
            <c:dLbl>
              <c:idx val="0"/>
              <c:layout>
                <c:manualLayout>
                  <c:x val="-3.353233002393647E-2"/>
                  <c:y val="-4.4287689781239384E-2"/>
                </c:manualLayout>
              </c:layout>
              <c:numFmt formatCode="#.#00" sourceLinked="0"/>
              <c:spPr>
                <a:noFill/>
                <a:ln w="25399">
                  <a:noFill/>
                </a:ln>
              </c:spPr>
              <c:txPr>
                <a:bodyPr/>
                <a:lstStyle/>
                <a:p>
                  <a:pPr>
                    <a:defRPr lang="es-ES" sz="1025"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03-463A-856C-2EC7B586EAB4}"/>
                </c:ext>
              </c:extLst>
            </c:dLbl>
            <c:dLbl>
              <c:idx val="1"/>
              <c:layout>
                <c:manualLayout>
                  <c:x val="-4.3564714589537527E-2"/>
                  <c:y val="3.2491571629946404E-2"/>
                </c:manualLayout>
              </c:layout>
              <c:numFmt formatCode="#.#00" sourceLinked="0"/>
              <c:spPr>
                <a:noFill/>
                <a:ln w="25399">
                  <a:noFill/>
                </a:ln>
              </c:spPr>
              <c:txPr>
                <a:bodyPr/>
                <a:lstStyle/>
                <a:p>
                  <a:pPr>
                    <a:defRPr lang="es-ES" sz="1025"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03-463A-856C-2EC7B586EAB4}"/>
                </c:ext>
              </c:extLst>
            </c:dLbl>
            <c:dLbl>
              <c:idx val="2"/>
              <c:layout>
                <c:manualLayout>
                  <c:x val="-4.7124607245753736E-2"/>
                  <c:y val="2.6507197255523498E-2"/>
                </c:manualLayout>
              </c:layout>
              <c:numFmt formatCode="#.#00" sourceLinked="0"/>
              <c:spPr>
                <a:noFill/>
                <a:ln w="25399">
                  <a:noFill/>
                </a:ln>
              </c:spPr>
              <c:txPr>
                <a:bodyPr/>
                <a:lstStyle/>
                <a:p>
                  <a:pPr>
                    <a:defRPr lang="es-ES" sz="1025"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E03-463A-856C-2EC7B586EAB4}"/>
                </c:ext>
              </c:extLst>
            </c:dLbl>
            <c:dLbl>
              <c:idx val="3"/>
              <c:layout>
                <c:manualLayout>
                  <c:x val="-5.2302622879316203E-2"/>
                  <c:y val="3.1223981835641679E-2"/>
                </c:manualLayout>
              </c:layout>
              <c:numFmt formatCode="#.#00" sourceLinked="0"/>
              <c:spPr>
                <a:noFill/>
                <a:ln w="25399">
                  <a:noFill/>
                </a:ln>
              </c:spPr>
              <c:txPr>
                <a:bodyPr/>
                <a:lstStyle/>
                <a:p>
                  <a:pPr>
                    <a:defRPr lang="es-ES" sz="1025"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03-463A-856C-2EC7B586EAB4}"/>
                </c:ext>
              </c:extLst>
            </c:dLbl>
            <c:dLbl>
              <c:idx val="4"/>
              <c:layout>
                <c:manualLayout>
                  <c:x val="-4.1299408739415476E-2"/>
                  <c:y val="3.2159282062084085E-2"/>
                </c:manualLayout>
              </c:layout>
              <c:numFmt formatCode="#.#00" sourceLinked="0"/>
              <c:spPr>
                <a:noFill/>
                <a:ln w="25399">
                  <a:noFill/>
                </a:ln>
              </c:spPr>
              <c:txPr>
                <a:bodyPr/>
                <a:lstStyle/>
                <a:p>
                  <a:pPr>
                    <a:defRPr lang="es-ES" sz="1025"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E03-463A-856C-2EC7B586EAB4}"/>
                </c:ext>
              </c:extLst>
            </c:dLbl>
            <c:dLbl>
              <c:idx val="5"/>
              <c:layout>
                <c:manualLayout>
                  <c:xMode val="edge"/>
                  <c:yMode val="edge"/>
                  <c:x val="0.86731391585760398"/>
                  <c:y val="0.55584415584415592"/>
                </c:manualLayout>
              </c:layout>
              <c:numFmt formatCode="#.#00" sourceLinked="0"/>
              <c:spPr>
                <a:noFill/>
                <a:ln w="25399">
                  <a:noFill/>
                </a:ln>
              </c:spPr>
              <c:txPr>
                <a:bodyPr/>
                <a:lstStyle/>
                <a:p>
                  <a:pPr>
                    <a:defRPr lang="es-ES" sz="1025"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E03-463A-856C-2EC7B586EAB4}"/>
                </c:ext>
              </c:extLst>
            </c:dLbl>
            <c:dLbl>
              <c:idx val="6"/>
              <c:layout>
                <c:manualLayout>
                  <c:xMode val="edge"/>
                  <c:yMode val="edge"/>
                  <c:x val="0.88187702265372303"/>
                  <c:y val="0.46753246753246824"/>
                </c:manualLayout>
              </c:layout>
              <c:numFmt formatCode="#.#00" sourceLinked="0"/>
              <c:spPr>
                <a:noFill/>
                <a:ln w="25399">
                  <a:noFill/>
                </a:ln>
              </c:spPr>
              <c:txPr>
                <a:bodyPr/>
                <a:lstStyle/>
                <a:p>
                  <a:pPr>
                    <a:defRPr lang="es-ES" sz="1025"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03-463A-856C-2EC7B586EAB4}"/>
                </c:ext>
              </c:extLst>
            </c:dLbl>
            <c:dLbl>
              <c:idx val="7"/>
              <c:layout>
                <c:manualLayout>
                  <c:xMode val="edge"/>
                  <c:yMode val="edge"/>
                  <c:x val="0.50161812297734509"/>
                  <c:y val="0.71688311688311812"/>
                </c:manualLayout>
              </c:layout>
              <c:numFmt formatCode="#.#00" sourceLinked="0"/>
              <c:spPr>
                <a:noFill/>
                <a:ln w="25399">
                  <a:noFill/>
                </a:ln>
              </c:spPr>
              <c:txPr>
                <a:bodyPr/>
                <a:lstStyle/>
                <a:p>
                  <a:pPr>
                    <a:defRPr lang="es-ES" sz="1025"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03-463A-856C-2EC7B586EAB4}"/>
                </c:ext>
              </c:extLst>
            </c:dLbl>
            <c:dLbl>
              <c:idx val="8"/>
              <c:layout>
                <c:manualLayout>
                  <c:xMode val="edge"/>
                  <c:yMode val="edge"/>
                  <c:x val="0.53074433656958253"/>
                  <c:y val="0.71688311688311812"/>
                </c:manualLayout>
              </c:layout>
              <c:numFmt formatCode="#.#00" sourceLinked="0"/>
              <c:spPr>
                <a:noFill/>
                <a:ln w="25399">
                  <a:noFill/>
                </a:ln>
              </c:spPr>
              <c:txPr>
                <a:bodyPr/>
                <a:lstStyle/>
                <a:p>
                  <a:pPr>
                    <a:defRPr lang="es-ES" sz="1025"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03-463A-856C-2EC7B586EAB4}"/>
                </c:ext>
              </c:extLst>
            </c:dLbl>
            <c:dLbl>
              <c:idx val="9"/>
              <c:layout>
                <c:manualLayout>
                  <c:xMode val="edge"/>
                  <c:yMode val="edge"/>
                  <c:x val="0.60679611650485643"/>
                  <c:y val="0.71688311688311812"/>
                </c:manualLayout>
              </c:layout>
              <c:numFmt formatCode="#.#00" sourceLinked="0"/>
              <c:spPr>
                <a:noFill/>
                <a:ln w="25399">
                  <a:noFill/>
                </a:ln>
              </c:spPr>
              <c:txPr>
                <a:bodyPr/>
                <a:lstStyle/>
                <a:p>
                  <a:pPr>
                    <a:defRPr lang="es-ES" sz="1025"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03-463A-856C-2EC7B586EAB4}"/>
                </c:ext>
              </c:extLst>
            </c:dLbl>
            <c:numFmt formatCode="#.#00" sourceLinked="0"/>
            <c:spPr>
              <a:noFill/>
              <a:ln w="25399">
                <a:noFill/>
              </a:ln>
            </c:spPr>
            <c:txPr>
              <a:bodyPr wrap="square" lIns="38100" tIns="19050" rIns="38100" bIns="19050" anchor="ctr">
                <a:spAutoFit/>
              </a:bodyPr>
              <a:lstStyle/>
              <a:p>
                <a:pPr>
                  <a:defRPr lang="es-ES" sz="1025"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Sheet1!$B$1:$K$1</c:f>
              <c:numCache>
                <c:formatCode>General</c:formatCode>
                <c:ptCount val="5"/>
                <c:pt idx="0">
                  <c:v>2011</c:v>
                </c:pt>
                <c:pt idx="1">
                  <c:v>2012</c:v>
                </c:pt>
                <c:pt idx="2">
                  <c:v>2013</c:v>
                </c:pt>
                <c:pt idx="3">
                  <c:v>2014</c:v>
                </c:pt>
                <c:pt idx="4">
                  <c:v>2015</c:v>
                </c:pt>
              </c:numCache>
            </c:numRef>
          </c:cat>
          <c:val>
            <c:numRef>
              <c:f>Sheet1!$B$2:$K$2</c:f>
              <c:numCache>
                <c:formatCode>General</c:formatCode>
                <c:ptCount val="5"/>
                <c:pt idx="0">
                  <c:v>38.5</c:v>
                </c:pt>
                <c:pt idx="1">
                  <c:v>26.5</c:v>
                </c:pt>
                <c:pt idx="2">
                  <c:v>24.8</c:v>
                </c:pt>
                <c:pt idx="3">
                  <c:v>24.1</c:v>
                </c:pt>
                <c:pt idx="4">
                  <c:v>27.1</c:v>
                </c:pt>
              </c:numCache>
            </c:numRef>
          </c:val>
          <c:extLst xmlns:c16r2="http://schemas.microsoft.com/office/drawing/2015/06/chart">
            <c:ext xmlns:c16="http://schemas.microsoft.com/office/drawing/2014/chart" uri="{C3380CC4-5D6E-409C-BE32-E72D297353CC}">
              <c16:uniqueId val="{0000000A-8E03-463A-856C-2EC7B586EAB4}"/>
            </c:ext>
          </c:extLst>
        </c:ser>
        <c:dLbls>
          <c:showVal val="1"/>
        </c:dLbls>
        <c:marker val="1"/>
        <c:axId val="120996608"/>
        <c:axId val="120998528"/>
      </c:lineChart>
      <c:catAx>
        <c:axId val="120996608"/>
        <c:scaling>
          <c:orientation val="minMax"/>
        </c:scaling>
        <c:axPos val="b"/>
        <c:title>
          <c:tx>
            <c:rich>
              <a:bodyPr/>
              <a:lstStyle/>
              <a:p>
                <a:pPr>
                  <a:defRPr lang="es-ES" sz="950"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529126213592233"/>
              <c:y val="0.8805194805194807"/>
            </c:manualLayout>
          </c:layout>
          <c:spPr>
            <a:noFill/>
            <a:ln w="25399">
              <a:noFill/>
            </a:ln>
          </c:spPr>
        </c:title>
        <c:numFmt formatCode="General" sourceLinked="1"/>
        <c:tickLblPos val="nextTo"/>
        <c:spPr>
          <a:ln w="3175">
            <a:solidFill>
              <a:srgbClr val="000000"/>
            </a:solidFill>
            <a:prstDash val="solid"/>
          </a:ln>
        </c:spPr>
        <c:txPr>
          <a:bodyPr rot="0" vert="horz"/>
          <a:lstStyle/>
          <a:p>
            <a:pPr>
              <a:defRPr lang="es-ES" sz="950" b="1" i="0" u="none" strike="noStrike" baseline="0">
                <a:solidFill>
                  <a:srgbClr val="000000"/>
                </a:solidFill>
                <a:latin typeface="Times New Roman"/>
                <a:ea typeface="Times New Roman"/>
                <a:cs typeface="Times New Roman"/>
              </a:defRPr>
            </a:pPr>
            <a:endParaRPr lang="es-CR"/>
          </a:p>
        </c:txPr>
        <c:crossAx val="120998528"/>
        <c:crosses val="autoZero"/>
        <c:auto val="1"/>
        <c:lblAlgn val="ctr"/>
        <c:lblOffset val="100"/>
        <c:tickLblSkip val="1"/>
        <c:tickMarkSkip val="1"/>
      </c:catAx>
      <c:valAx>
        <c:axId val="120998528"/>
        <c:scaling>
          <c:orientation val="minMax"/>
          <c:max val="50"/>
          <c:min val="0"/>
        </c:scaling>
        <c:axPos val="l"/>
        <c:majorGridlines>
          <c:spPr>
            <a:ln w="3175">
              <a:solidFill>
                <a:srgbClr val="000000"/>
              </a:solidFill>
              <a:prstDash val="solid"/>
            </a:ln>
          </c:spPr>
        </c:majorGridlines>
        <c:title>
          <c:tx>
            <c:rich>
              <a:bodyPr rot="0" vert="wordArtVert"/>
              <a:lstStyle/>
              <a:p>
                <a:pPr algn="ctr">
                  <a:defRPr lang="es-ES" sz="950" b="1" i="0" u="none" strike="noStrike" baseline="0">
                    <a:solidFill>
                      <a:srgbClr val="000000"/>
                    </a:solidFill>
                    <a:latin typeface="Times New Roman"/>
                    <a:ea typeface="Times New Roman"/>
                    <a:cs typeface="Times New Roman"/>
                  </a:defRPr>
                </a:pPr>
                <a:r>
                  <a:rPr lang="es-CR"/>
                  <a:t>TASA</a:t>
                </a:r>
              </a:p>
            </c:rich>
          </c:tx>
          <c:layout>
            <c:manualLayout>
              <c:xMode val="edge"/>
              <c:yMode val="edge"/>
              <c:x val="1.941747572815539E-2"/>
              <c:y val="0.45974025974025978"/>
            </c:manualLayout>
          </c:layout>
          <c:spPr>
            <a:noFill/>
            <a:ln w="25399">
              <a:noFill/>
            </a:ln>
          </c:spPr>
        </c:title>
        <c:numFmt formatCode="General" sourceLinked="1"/>
        <c:tickLblPos val="nextTo"/>
        <c:spPr>
          <a:ln w="3175">
            <a:solidFill>
              <a:srgbClr val="000000"/>
            </a:solidFill>
            <a:prstDash val="solid"/>
          </a:ln>
        </c:spPr>
        <c:txPr>
          <a:bodyPr rot="0" vert="horz"/>
          <a:lstStyle/>
          <a:p>
            <a:pPr>
              <a:defRPr lang="es-ES" sz="950" b="1" i="0" u="none" strike="noStrike" baseline="0">
                <a:solidFill>
                  <a:srgbClr val="000000"/>
                </a:solidFill>
                <a:latin typeface="Times New Roman"/>
                <a:ea typeface="Times New Roman"/>
                <a:cs typeface="Times New Roman"/>
              </a:defRPr>
            </a:pPr>
            <a:endParaRPr lang="es-CR"/>
          </a:p>
        </c:txPr>
        <c:crossAx val="120996608"/>
        <c:crosses val="autoZero"/>
        <c:crossBetween val="between"/>
      </c:valAx>
      <c:spPr>
        <a:gradFill rotWithShape="0">
          <a:gsLst>
            <a:gs pos="0">
              <a:srgbClr val="020202">
                <a:gamma/>
                <a:shade val="82353"/>
                <a:invGamma/>
              </a:srgbClr>
            </a:gs>
            <a:gs pos="50000">
              <a:srgbClr val="FFFFCC"/>
            </a:gs>
            <a:gs pos="100000">
              <a:srgbClr val="020202">
                <a:gamma/>
                <a:shade val="82353"/>
                <a:invGamma/>
              </a:srgbClr>
            </a:gs>
          </a:gsLst>
          <a:lin ang="18900000" scaled="1"/>
        </a:gradFill>
        <a:ln w="12700">
          <a:solidFill>
            <a:srgbClr val="808080"/>
          </a:solidFill>
          <a:prstDash val="solid"/>
        </a:ln>
      </c:spPr>
    </c:plotArea>
    <c:plotVisOnly val="1"/>
    <c:dispBlanksAs val="gap"/>
  </c:chart>
  <c:spPr>
    <a:gradFill rotWithShape="0">
      <a:gsLst>
        <a:gs pos="0">
          <a:srgbClr val="010101">
            <a:gamma/>
            <a:shade val="63529"/>
            <a:invGamma/>
          </a:srgbClr>
        </a:gs>
        <a:gs pos="50000">
          <a:srgbClr val="CCFFFF"/>
        </a:gs>
        <a:gs pos="100000">
          <a:srgbClr val="010101">
            <a:gamma/>
            <a:shade val="63529"/>
            <a:invGamma/>
          </a:srgbClr>
        </a:gs>
      </a:gsLst>
      <a:lin ang="5400000" scaled="1"/>
    </a:gradFill>
    <a:ln w="3175">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1"/>
  <c:userShapes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es-CR"/>
  <c:chart>
    <c:title>
      <c:tx>
        <c:rich>
          <a:bodyPr/>
          <a:lstStyle/>
          <a:p>
            <a:pPr>
              <a:defRPr lang="es-ES" sz="1000" b="1" i="0" u="none" strike="noStrike" baseline="0">
                <a:solidFill>
                  <a:srgbClr val="000000"/>
                </a:solidFill>
                <a:latin typeface="Times New Roman"/>
                <a:ea typeface="Times New Roman"/>
                <a:cs typeface="Times New Roman"/>
              </a:defRPr>
            </a:pPr>
            <a:r>
              <a:rPr lang="es-CR"/>
              <a:t>Gráfico Nº 56
Tasa de hombres y mujeres menores acusados de infringir la Ley Penal Juvenil. 2011 - 2015
(datos por cada mil menores entre 12 y 17 años)
</a:t>
            </a:r>
          </a:p>
        </c:rich>
      </c:tx>
      <c:layout>
        <c:manualLayout>
          <c:xMode val="edge"/>
          <c:yMode val="edge"/>
          <c:x val="0.14309210526315788"/>
          <c:y val="0"/>
        </c:manualLayout>
      </c:layout>
      <c:spPr>
        <a:noFill/>
        <a:ln w="25400">
          <a:noFill/>
        </a:ln>
      </c:spPr>
    </c:title>
    <c:plotArea>
      <c:layout>
        <c:manualLayout>
          <c:layoutTarget val="inner"/>
          <c:xMode val="edge"/>
          <c:yMode val="edge"/>
          <c:x val="0.14638157894736845"/>
          <c:y val="0.37037037037037157"/>
          <c:w val="0.8125"/>
          <c:h val="0.41728395061728396"/>
        </c:manualLayout>
      </c:layout>
      <c:lineChart>
        <c:grouping val="standard"/>
        <c:ser>
          <c:idx val="0"/>
          <c:order val="0"/>
          <c:tx>
            <c:strRef>
              <c:f>Sheet1!$A$2</c:f>
              <c:strCache>
                <c:ptCount val="1"/>
                <c:pt idx="0">
                  <c:v>Hombres</c:v>
                </c:pt>
              </c:strCache>
            </c:strRef>
          </c:tx>
          <c:spPr>
            <a:ln w="25400">
              <a:solidFill>
                <a:srgbClr val="008000"/>
              </a:solidFill>
              <a:prstDash val="solid"/>
            </a:ln>
          </c:spPr>
          <c:marker>
            <c:symbol val="diamond"/>
            <c:size val="5"/>
            <c:spPr>
              <a:solidFill>
                <a:srgbClr val="008000"/>
              </a:solidFill>
              <a:ln>
                <a:solidFill>
                  <a:srgbClr val="008000"/>
                </a:solidFill>
                <a:prstDash val="solid"/>
              </a:ln>
            </c:spPr>
          </c:marker>
          <c:dLbls>
            <c:dLbl>
              <c:idx val="0"/>
              <c:layout>
                <c:manualLayout>
                  <c:x val="-3.5084940989157723E-2"/>
                  <c:y val="-4.6297450810203394E-2"/>
                </c:manualLayout>
              </c:layout>
              <c:numFmt formatCode="#.#00" sourceLinked="0"/>
              <c:spPr>
                <a:noFill/>
                <a:ln w="25400">
                  <a:noFill/>
                </a:ln>
              </c:spPr>
              <c:txPr>
                <a:bodyPr/>
                <a:lstStyle/>
                <a:p>
                  <a:pPr>
                    <a:defRPr lang="es-ES" sz="11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CE7-4493-9EDD-6C8F69CDC842}"/>
                </c:ext>
              </c:extLst>
            </c:dLbl>
            <c:dLbl>
              <c:idx val="1"/>
              <c:layout>
                <c:manualLayout>
                  <c:x val="-3.8045467304947074E-2"/>
                  <c:y val="-4.868649798294894E-2"/>
                </c:manualLayout>
              </c:layout>
              <c:numFmt formatCode="#.#00" sourceLinked="0"/>
              <c:spPr>
                <a:noFill/>
                <a:ln w="25400">
                  <a:noFill/>
                </a:ln>
              </c:spPr>
              <c:txPr>
                <a:bodyPr/>
                <a:lstStyle/>
                <a:p>
                  <a:pPr>
                    <a:defRPr lang="es-ES" sz="11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CE7-4493-9EDD-6C8F69CDC842}"/>
                </c:ext>
              </c:extLst>
            </c:dLbl>
            <c:dLbl>
              <c:idx val="2"/>
              <c:layout>
                <c:manualLayout>
                  <c:x val="-3.4427046252315636E-2"/>
                  <c:y val="-4.0130995765935713E-2"/>
                </c:manualLayout>
              </c:layout>
              <c:numFmt formatCode="#.#00" sourceLinked="0"/>
              <c:spPr>
                <a:noFill/>
                <a:ln w="25400">
                  <a:noFill/>
                </a:ln>
              </c:spPr>
              <c:txPr>
                <a:bodyPr/>
                <a:lstStyle/>
                <a:p>
                  <a:pPr>
                    <a:defRPr lang="es-ES" sz="11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CE7-4493-9EDD-6C8F69CDC842}"/>
                </c:ext>
              </c:extLst>
            </c:dLbl>
            <c:dLbl>
              <c:idx val="3"/>
              <c:layout>
                <c:manualLayout>
                  <c:x val="-2.7519151515473534E-2"/>
                  <c:y val="-4.6668026684049096E-2"/>
                </c:manualLayout>
              </c:layout>
              <c:numFmt formatCode="#.#00" sourceLinked="0"/>
              <c:spPr>
                <a:noFill/>
                <a:ln w="25400">
                  <a:noFill/>
                </a:ln>
              </c:spPr>
              <c:txPr>
                <a:bodyPr/>
                <a:lstStyle/>
                <a:p>
                  <a:pPr>
                    <a:defRPr lang="es-ES" sz="11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CE7-4493-9EDD-6C8F69CDC842}"/>
                </c:ext>
              </c:extLst>
            </c:dLbl>
            <c:dLbl>
              <c:idx val="4"/>
              <c:layout>
                <c:manualLayout>
                  <c:x val="-2.2255993620736662E-2"/>
                  <c:y val="-4.0445623895851823E-2"/>
                </c:manualLayout>
              </c:layout>
              <c:numFmt formatCode="#.#00" sourceLinked="0"/>
              <c:spPr>
                <a:noFill/>
                <a:ln w="25400">
                  <a:noFill/>
                </a:ln>
              </c:spPr>
              <c:txPr>
                <a:bodyPr/>
                <a:lstStyle/>
                <a:p>
                  <a:pPr>
                    <a:defRPr lang="es-ES" sz="11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CE7-4493-9EDD-6C8F69CDC842}"/>
                </c:ext>
              </c:extLst>
            </c:dLbl>
            <c:dLbl>
              <c:idx val="5"/>
              <c:layout>
                <c:manualLayout>
                  <c:xMode val="edge"/>
                  <c:yMode val="edge"/>
                  <c:x val="0.88486842105263042"/>
                  <c:y val="0.51604938271604939"/>
                </c:manualLayout>
              </c:layout>
              <c:numFmt formatCode="#.#00" sourceLinked="0"/>
              <c:spPr>
                <a:noFill/>
                <a:ln w="25400">
                  <a:noFill/>
                </a:ln>
              </c:spPr>
              <c:txPr>
                <a:bodyPr/>
                <a:lstStyle/>
                <a:p>
                  <a:pPr>
                    <a:defRPr lang="es-ES" sz="11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CE7-4493-9EDD-6C8F69CDC842}"/>
                </c:ext>
              </c:extLst>
            </c:dLbl>
            <c:dLbl>
              <c:idx val="6"/>
              <c:layout>
                <c:manualLayout>
                  <c:xMode val="edge"/>
                  <c:yMode val="edge"/>
                  <c:x val="0.90789473684210564"/>
                  <c:y val="0.47160493827160532"/>
                </c:manualLayout>
              </c:layout>
              <c:numFmt formatCode="#.#00" sourceLinked="0"/>
              <c:spPr>
                <a:noFill/>
                <a:ln w="25400">
                  <a:noFill/>
                </a:ln>
              </c:spPr>
              <c:txPr>
                <a:bodyPr/>
                <a:lstStyle/>
                <a:p>
                  <a:pPr>
                    <a:defRPr lang="es-ES" sz="11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CE7-4493-9EDD-6C8F69CDC842}"/>
                </c:ext>
              </c:extLst>
            </c:dLbl>
            <c:dLbl>
              <c:idx val="7"/>
              <c:layout>
                <c:manualLayout>
                  <c:xMode val="edge"/>
                  <c:yMode val="edge"/>
                  <c:x val="0.51151315789473539"/>
                  <c:y val="0.70123456790123317"/>
                </c:manualLayout>
              </c:layout>
              <c:numFmt formatCode="#.#00" sourceLinked="0"/>
              <c:spPr>
                <a:noFill/>
                <a:ln w="25400">
                  <a:noFill/>
                </a:ln>
              </c:spPr>
              <c:txPr>
                <a:bodyPr/>
                <a:lstStyle/>
                <a:p>
                  <a:pPr>
                    <a:defRPr lang="es-ES" sz="11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CE7-4493-9EDD-6C8F69CDC842}"/>
                </c:ext>
              </c:extLst>
            </c:dLbl>
            <c:dLbl>
              <c:idx val="8"/>
              <c:layout>
                <c:manualLayout>
                  <c:xMode val="edge"/>
                  <c:yMode val="edge"/>
                  <c:x val="0.54111842105263031"/>
                  <c:y val="0.70123456790123317"/>
                </c:manualLayout>
              </c:layout>
              <c:numFmt formatCode="#.#00" sourceLinked="0"/>
              <c:spPr>
                <a:noFill/>
                <a:ln w="25400">
                  <a:noFill/>
                </a:ln>
              </c:spPr>
              <c:txPr>
                <a:bodyPr/>
                <a:lstStyle/>
                <a:p>
                  <a:pPr>
                    <a:defRPr lang="es-ES" sz="11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CE7-4493-9EDD-6C8F69CDC842}"/>
                </c:ext>
              </c:extLst>
            </c:dLbl>
            <c:dLbl>
              <c:idx val="9"/>
              <c:layout>
                <c:manualLayout>
                  <c:xMode val="edge"/>
                  <c:yMode val="edge"/>
                  <c:x val="0.62993421052631726"/>
                  <c:y val="0.70123456790123317"/>
                </c:manualLayout>
              </c:layout>
              <c:numFmt formatCode="#.#00" sourceLinked="0"/>
              <c:spPr>
                <a:noFill/>
                <a:ln w="25400">
                  <a:noFill/>
                </a:ln>
              </c:spPr>
              <c:txPr>
                <a:bodyPr/>
                <a:lstStyle/>
                <a:p>
                  <a:pPr>
                    <a:defRPr lang="es-ES" sz="11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CE7-4493-9EDD-6C8F69CDC842}"/>
                </c:ext>
              </c:extLst>
            </c:dLbl>
            <c:numFmt formatCode="#.#00" sourceLinked="0"/>
            <c:spPr>
              <a:noFill/>
              <a:ln w="25400">
                <a:noFill/>
              </a:ln>
            </c:spPr>
            <c:txPr>
              <a:bodyPr wrap="square" lIns="38100" tIns="19050" rIns="38100" bIns="19050" anchor="ctr">
                <a:spAutoFit/>
              </a:bodyPr>
              <a:lstStyle/>
              <a:p>
                <a:pPr>
                  <a:defRPr lang="es-ES" sz="11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Sheet1!$B$1:$K$1</c:f>
              <c:numCache>
                <c:formatCode>General</c:formatCode>
                <c:ptCount val="5"/>
                <c:pt idx="0">
                  <c:v>2011</c:v>
                </c:pt>
                <c:pt idx="1">
                  <c:v>2012</c:v>
                </c:pt>
                <c:pt idx="2">
                  <c:v>2013</c:v>
                </c:pt>
                <c:pt idx="3">
                  <c:v>2014</c:v>
                </c:pt>
                <c:pt idx="4">
                  <c:v>2015</c:v>
                </c:pt>
              </c:numCache>
            </c:numRef>
          </c:cat>
          <c:val>
            <c:numRef>
              <c:f>Sheet1!$B$2:$K$2</c:f>
              <c:numCache>
                <c:formatCode>General</c:formatCode>
                <c:ptCount val="5"/>
                <c:pt idx="0">
                  <c:v>61.4</c:v>
                </c:pt>
                <c:pt idx="1">
                  <c:v>36.800000000000004</c:v>
                </c:pt>
                <c:pt idx="2">
                  <c:v>35.6</c:v>
                </c:pt>
                <c:pt idx="3">
                  <c:v>33.4</c:v>
                </c:pt>
                <c:pt idx="4">
                  <c:v>39.800000000000004</c:v>
                </c:pt>
              </c:numCache>
            </c:numRef>
          </c:val>
          <c:extLst xmlns:c16r2="http://schemas.microsoft.com/office/drawing/2015/06/chart">
            <c:ext xmlns:c16="http://schemas.microsoft.com/office/drawing/2014/chart" uri="{C3380CC4-5D6E-409C-BE32-E72D297353CC}">
              <c16:uniqueId val="{0000000A-CCE7-4493-9EDD-6C8F69CDC842}"/>
            </c:ext>
          </c:extLst>
        </c:ser>
        <c:ser>
          <c:idx val="1"/>
          <c:order val="1"/>
          <c:tx>
            <c:strRef>
              <c:f>Sheet1!$A$3</c:f>
              <c:strCache>
                <c:ptCount val="1"/>
                <c:pt idx="0">
                  <c:v>Mujeres</c:v>
                </c:pt>
              </c:strCache>
            </c:strRef>
          </c:tx>
          <c:spPr>
            <a:ln w="25400">
              <a:solidFill>
                <a:srgbClr val="0000FF"/>
              </a:solidFill>
              <a:prstDash val="solid"/>
            </a:ln>
          </c:spPr>
          <c:marker>
            <c:symbol val="square"/>
            <c:size val="5"/>
            <c:spPr>
              <a:solidFill>
                <a:srgbClr val="0000FF"/>
              </a:solidFill>
              <a:ln>
                <a:solidFill>
                  <a:srgbClr val="0000FF"/>
                </a:solidFill>
                <a:prstDash val="solid"/>
              </a:ln>
            </c:spPr>
          </c:marker>
          <c:dLbls>
            <c:dLbl>
              <c:idx val="0"/>
              <c:layout>
                <c:manualLayout>
                  <c:x val="-6.4690204147052524E-2"/>
                  <c:y val="-4.8223295458350107E-2"/>
                </c:manualLayout>
              </c:layout>
              <c:numFmt formatCode="#.#00" sourceLinked="0"/>
              <c:spPr>
                <a:noFill/>
                <a:ln w="25400">
                  <a:noFill/>
                </a:ln>
              </c:spPr>
              <c:txPr>
                <a:bodyPr/>
                <a:lstStyle/>
                <a:p>
                  <a:pPr>
                    <a:defRPr lang="es-ES" sz="11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CE7-4493-9EDD-6C8F69CDC842}"/>
                </c:ext>
              </c:extLst>
            </c:dLbl>
            <c:dLbl>
              <c:idx val="1"/>
              <c:layout>
                <c:manualLayout>
                  <c:x val="-3.9690204147052321E-2"/>
                  <c:y val="-5.9769750673485694E-2"/>
                </c:manualLayout>
              </c:layout>
              <c:numFmt formatCode="#.#00" sourceLinked="0"/>
              <c:spPr>
                <a:noFill/>
                <a:ln w="25400">
                  <a:noFill/>
                </a:ln>
              </c:spPr>
              <c:txPr>
                <a:bodyPr/>
                <a:lstStyle/>
                <a:p>
                  <a:pPr>
                    <a:defRPr lang="es-ES" sz="11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CCE7-4493-9EDD-6C8F69CDC842}"/>
                </c:ext>
              </c:extLst>
            </c:dLbl>
            <c:dLbl>
              <c:idx val="2"/>
              <c:layout>
                <c:manualLayout>
                  <c:x val="-3.9361256778631344E-2"/>
                  <c:y val="-4.4988867022395483E-2"/>
                </c:manualLayout>
              </c:layout>
              <c:numFmt formatCode="#.#00" sourceLinked="0"/>
              <c:spPr>
                <a:noFill/>
                <a:ln w="25400">
                  <a:noFill/>
                </a:ln>
              </c:spPr>
              <c:txPr>
                <a:bodyPr/>
                <a:lstStyle/>
                <a:p>
                  <a:pPr>
                    <a:defRPr lang="es-ES" sz="11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CCE7-4493-9EDD-6C8F69CDC842}"/>
                </c:ext>
              </c:extLst>
            </c:dLbl>
            <c:dLbl>
              <c:idx val="3"/>
              <c:layout>
                <c:manualLayout>
                  <c:x val="-3.5742835725999816E-2"/>
                  <c:y val="-4.6275976851534284E-2"/>
                </c:manualLayout>
              </c:layout>
              <c:numFmt formatCode="#.#00" sourceLinked="0"/>
              <c:spPr>
                <a:noFill/>
                <a:ln w="25400">
                  <a:noFill/>
                </a:ln>
              </c:spPr>
              <c:txPr>
                <a:bodyPr/>
                <a:lstStyle/>
                <a:p>
                  <a:pPr>
                    <a:defRPr lang="es-ES" sz="11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CCE7-4493-9EDD-6C8F69CDC842}"/>
                </c:ext>
              </c:extLst>
            </c:dLbl>
            <c:dLbl>
              <c:idx val="4"/>
              <c:layout>
                <c:manualLayout>
                  <c:x val="-2.719020414705231E-2"/>
                  <c:y val="-4.446736154549704E-2"/>
                </c:manualLayout>
              </c:layout>
              <c:numFmt formatCode="#.#00" sourceLinked="0"/>
              <c:spPr>
                <a:noFill/>
                <a:ln w="25400">
                  <a:noFill/>
                </a:ln>
              </c:spPr>
              <c:txPr>
                <a:bodyPr/>
                <a:lstStyle/>
                <a:p>
                  <a:pPr>
                    <a:defRPr lang="es-ES" sz="11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CCE7-4493-9EDD-6C8F69CDC842}"/>
                </c:ext>
              </c:extLst>
            </c:dLbl>
            <c:numFmt formatCode="#.#00" sourceLinked="0"/>
            <c:spPr>
              <a:noFill/>
              <a:ln w="25400">
                <a:noFill/>
              </a:ln>
            </c:spPr>
            <c:txPr>
              <a:bodyPr wrap="square" lIns="38100" tIns="19050" rIns="38100" bIns="19050" anchor="ctr">
                <a:spAutoFit/>
              </a:bodyPr>
              <a:lstStyle/>
              <a:p>
                <a:pPr>
                  <a:defRPr lang="es-ES" sz="11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Sheet1!$B$1:$K$1</c:f>
              <c:numCache>
                <c:formatCode>General</c:formatCode>
                <c:ptCount val="5"/>
                <c:pt idx="0">
                  <c:v>2011</c:v>
                </c:pt>
                <c:pt idx="1">
                  <c:v>2012</c:v>
                </c:pt>
                <c:pt idx="2">
                  <c:v>2013</c:v>
                </c:pt>
                <c:pt idx="3">
                  <c:v>2014</c:v>
                </c:pt>
                <c:pt idx="4">
                  <c:v>2015</c:v>
                </c:pt>
              </c:numCache>
            </c:numRef>
          </c:cat>
          <c:val>
            <c:numRef>
              <c:f>Sheet1!$B$3:$K$3</c:f>
              <c:numCache>
                <c:formatCode>General</c:formatCode>
                <c:ptCount val="5"/>
                <c:pt idx="0">
                  <c:v>11.8</c:v>
                </c:pt>
                <c:pt idx="1">
                  <c:v>12.9</c:v>
                </c:pt>
                <c:pt idx="2">
                  <c:v>11</c:v>
                </c:pt>
                <c:pt idx="3">
                  <c:v>11.7</c:v>
                </c:pt>
                <c:pt idx="4">
                  <c:v>11.1</c:v>
                </c:pt>
              </c:numCache>
            </c:numRef>
          </c:val>
          <c:extLst xmlns:c16r2="http://schemas.microsoft.com/office/drawing/2015/06/chart">
            <c:ext xmlns:c16="http://schemas.microsoft.com/office/drawing/2014/chart" uri="{C3380CC4-5D6E-409C-BE32-E72D297353CC}">
              <c16:uniqueId val="{00000010-CCE7-4493-9EDD-6C8F69CDC842}"/>
            </c:ext>
          </c:extLst>
        </c:ser>
        <c:dLbls>
          <c:showVal val="1"/>
        </c:dLbls>
        <c:marker val="1"/>
        <c:axId val="121132928"/>
        <c:axId val="121155584"/>
      </c:lineChart>
      <c:catAx>
        <c:axId val="121132928"/>
        <c:scaling>
          <c:orientation val="minMax"/>
        </c:scaling>
        <c:axPos val="b"/>
        <c:title>
          <c:tx>
            <c:rich>
              <a:bodyPr/>
              <a:lstStyle/>
              <a:p>
                <a:pPr>
                  <a:defRPr lang="es-ES" sz="1000"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53125000000000011"/>
              <c:y val="0.88395061728395063"/>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s-ES" sz="1000" b="1" i="0" u="none" strike="noStrike" baseline="0">
                <a:solidFill>
                  <a:srgbClr val="000000"/>
                </a:solidFill>
                <a:latin typeface="Times New Roman"/>
                <a:ea typeface="Times New Roman"/>
                <a:cs typeface="Times New Roman"/>
              </a:defRPr>
            </a:pPr>
            <a:endParaRPr lang="es-CR"/>
          </a:p>
        </c:txPr>
        <c:crossAx val="121155584"/>
        <c:crosses val="autoZero"/>
        <c:auto val="1"/>
        <c:lblAlgn val="ctr"/>
        <c:lblOffset val="100"/>
        <c:tickLblSkip val="1"/>
        <c:tickMarkSkip val="1"/>
      </c:catAx>
      <c:valAx>
        <c:axId val="121155584"/>
        <c:scaling>
          <c:orientation val="minMax"/>
          <c:max val="80"/>
          <c:min val="0"/>
        </c:scaling>
        <c:axPos val="l"/>
        <c:majorGridlines>
          <c:spPr>
            <a:ln w="3175">
              <a:solidFill>
                <a:srgbClr val="000000"/>
              </a:solidFill>
              <a:prstDash val="solid"/>
            </a:ln>
          </c:spPr>
        </c:majorGridlines>
        <c:title>
          <c:tx>
            <c:rich>
              <a:bodyPr rot="0" vert="wordArtVert"/>
              <a:lstStyle/>
              <a:p>
                <a:pPr algn="ctr">
                  <a:defRPr lang="es-ES" sz="1000" b="1" i="0" u="none" strike="noStrike" baseline="0">
                    <a:solidFill>
                      <a:srgbClr val="000000"/>
                    </a:solidFill>
                    <a:latin typeface="Times New Roman"/>
                    <a:ea typeface="Times New Roman"/>
                    <a:cs typeface="Times New Roman"/>
                  </a:defRPr>
                </a:pPr>
                <a:r>
                  <a:rPr lang="es-CR"/>
                  <a:t>TASA</a:t>
                </a:r>
              </a:p>
            </c:rich>
          </c:tx>
          <c:layout>
            <c:manualLayout>
              <c:xMode val="edge"/>
              <c:yMode val="edge"/>
              <c:x val="1.6447368421052641E-2"/>
              <c:y val="0.45925925925925931"/>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s-ES" sz="1000" b="1" i="0" u="none" strike="noStrike" baseline="0">
                <a:solidFill>
                  <a:srgbClr val="000000"/>
                </a:solidFill>
                <a:latin typeface="Times New Roman"/>
                <a:ea typeface="Times New Roman"/>
                <a:cs typeface="Times New Roman"/>
              </a:defRPr>
            </a:pPr>
            <a:endParaRPr lang="es-CR"/>
          </a:p>
        </c:txPr>
        <c:crossAx val="121132928"/>
        <c:crosses val="autoZero"/>
        <c:crossBetween val="between"/>
      </c:valAx>
      <c:spPr>
        <a:solidFill>
          <a:srgbClr val="FFFFCC"/>
        </a:solidFill>
        <a:ln w="12700">
          <a:solidFill>
            <a:srgbClr val="808080"/>
          </a:solidFill>
          <a:prstDash val="solid"/>
        </a:ln>
      </c:spPr>
    </c:plotArea>
    <c:legend>
      <c:legendPos val="r"/>
      <c:layout>
        <c:manualLayout>
          <c:xMode val="edge"/>
          <c:yMode val="edge"/>
          <c:x val="0.55098684210526327"/>
          <c:y val="0.41728395061728396"/>
          <c:w val="0.38157894736842229"/>
          <c:h val="5.1851851851851864E-2"/>
        </c:manualLayout>
      </c:layout>
      <c:spPr>
        <a:solidFill>
          <a:srgbClr val="FFFFCC"/>
        </a:solidFill>
        <a:ln w="3175">
          <a:solidFill>
            <a:srgbClr val="000000"/>
          </a:solidFill>
          <a:prstDash val="solid"/>
        </a:ln>
        <a:effectLst>
          <a:outerShdw dist="35921" dir="2700000" algn="br">
            <a:srgbClr val="000000"/>
          </a:outerShdw>
        </a:effectLst>
      </c:spPr>
      <c:txPr>
        <a:bodyPr/>
        <a:lstStyle/>
        <a:p>
          <a:pPr>
            <a:defRPr lang="es-ES" sz="825" b="0" i="0" u="none" strike="noStrike" baseline="0">
              <a:solidFill>
                <a:srgbClr val="000000"/>
              </a:solidFill>
              <a:latin typeface="Times New Roman"/>
              <a:ea typeface="Times New Roman"/>
              <a:cs typeface="Times New Roman"/>
            </a:defRPr>
          </a:pPr>
          <a:endParaRPr lang="es-CR"/>
        </a:p>
      </c:txPr>
    </c:legend>
    <c:plotVisOnly val="1"/>
    <c:dispBlanksAs val="gap"/>
  </c:chart>
  <c:spPr>
    <a:gradFill rotWithShape="0">
      <a:gsLst>
        <a:gs pos="0">
          <a:srgbClr val="010101">
            <a:gamma/>
            <a:shade val="69804"/>
            <a:invGamma/>
          </a:srgbClr>
        </a:gs>
        <a:gs pos="50000">
          <a:srgbClr val="CCFFFF"/>
        </a:gs>
        <a:gs pos="100000">
          <a:srgbClr val="010101">
            <a:gamma/>
            <a:shade val="69804"/>
            <a:invGamma/>
          </a:srgbClr>
        </a:gs>
      </a:gsLst>
      <a:lin ang="2700000" scaled="1"/>
    </a:gradFill>
    <a:ln w="3175">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1"/>
  <c:userShapes r:id="rId2"/>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es-CR"/>
  <c:chart>
    <c:title>
      <c:tx>
        <c:rich>
          <a:bodyPr/>
          <a:lstStyle/>
          <a:p>
            <a:pPr>
              <a:defRPr lang="es-ES" sz="975" b="1" i="0" u="none" strike="noStrike" baseline="0">
                <a:solidFill>
                  <a:srgbClr val="000000"/>
                </a:solidFill>
                <a:latin typeface="Times New Roman"/>
                <a:ea typeface="Times New Roman"/>
                <a:cs typeface="Times New Roman"/>
              </a:defRPr>
            </a:pPr>
            <a:r>
              <a:rPr lang="es-CR"/>
              <a:t>Gráfico Nº 57
Tasa de menores sentenciados. 2011 - 2015
(datos por cada mil menores entre 12 y 17 años)
</a:t>
            </a:r>
          </a:p>
        </c:rich>
      </c:tx>
      <c:layout>
        <c:manualLayout>
          <c:xMode val="edge"/>
          <c:yMode val="edge"/>
          <c:x val="0.26599326599326656"/>
          <c:y val="2.6315789473684258E-3"/>
        </c:manualLayout>
      </c:layout>
      <c:spPr>
        <a:noFill/>
        <a:ln w="25399">
          <a:noFill/>
        </a:ln>
      </c:spPr>
    </c:title>
    <c:plotArea>
      <c:layout>
        <c:manualLayout>
          <c:layoutTarget val="inner"/>
          <c:xMode val="edge"/>
          <c:yMode val="edge"/>
          <c:x val="0.15824915824915844"/>
          <c:y val="0.22105263157894736"/>
          <c:w val="0.8013468013468017"/>
          <c:h val="0.55000000000000004"/>
        </c:manualLayout>
      </c:layout>
      <c:lineChart>
        <c:grouping val="standard"/>
        <c:ser>
          <c:idx val="1"/>
          <c:order val="0"/>
          <c:tx>
            <c:strRef>
              <c:f>Sheet1!$A$2</c:f>
              <c:strCache>
                <c:ptCount val="1"/>
              </c:strCache>
            </c:strRef>
          </c:tx>
          <c:spPr>
            <a:ln w="25399">
              <a:solidFill>
                <a:srgbClr val="0000FF"/>
              </a:solidFill>
              <a:prstDash val="solid"/>
            </a:ln>
          </c:spPr>
          <c:marker>
            <c:symbol val="square"/>
            <c:size val="4"/>
            <c:spPr>
              <a:solidFill>
                <a:srgbClr val="0000FF"/>
              </a:solidFill>
              <a:ln>
                <a:solidFill>
                  <a:srgbClr val="0000FF"/>
                </a:solidFill>
                <a:prstDash val="solid"/>
              </a:ln>
            </c:spPr>
          </c:marker>
          <c:dLbls>
            <c:dLbl>
              <c:idx val="0"/>
              <c:layout>
                <c:manualLayout>
                  <c:x val="-6.0125900804873393E-2"/>
                  <c:y val="-6.5250358956326721E-2"/>
                </c:manualLayout>
              </c:layout>
              <c:numFmt formatCode="#.#00" sourceLinked="0"/>
              <c:spPr>
                <a:noFill/>
                <a:ln w="25399">
                  <a:noFill/>
                </a:ln>
              </c:spPr>
              <c:txPr>
                <a:bodyPr/>
                <a:lstStyle/>
                <a:p>
                  <a:pPr>
                    <a:defRPr lang="es-ES" sz="9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7B3-42A6-8AA4-6F3390482B9C}"/>
                </c:ext>
              </c:extLst>
            </c:dLbl>
            <c:dLbl>
              <c:idx val="1"/>
              <c:layout>
                <c:manualLayout>
                  <c:x val="-3.6893568880144424E-2"/>
                  <c:y val="-8.0864592882827782E-2"/>
                </c:manualLayout>
              </c:layout>
              <c:numFmt formatCode="#.#00" sourceLinked="0"/>
              <c:spPr>
                <a:noFill/>
                <a:ln w="25399">
                  <a:noFill/>
                </a:ln>
              </c:spPr>
              <c:txPr>
                <a:bodyPr/>
                <a:lstStyle/>
                <a:p>
                  <a:pPr>
                    <a:defRPr lang="es-ES" sz="9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7B3-42A6-8AA4-6F3390482B9C}"/>
                </c:ext>
              </c:extLst>
            </c:dLbl>
            <c:dLbl>
              <c:idx val="2"/>
              <c:layout>
                <c:manualLayout>
                  <c:x val="-3.7230260524439139E-2"/>
                  <c:y val="-5.7443407692060772E-2"/>
                </c:manualLayout>
              </c:layout>
              <c:numFmt formatCode="#.#00" sourceLinked="0"/>
              <c:spPr>
                <a:noFill/>
                <a:ln w="25399">
                  <a:noFill/>
                </a:ln>
              </c:spPr>
              <c:txPr>
                <a:bodyPr/>
                <a:lstStyle/>
                <a:p>
                  <a:pPr>
                    <a:defRPr lang="es-ES" sz="9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7B3-42A6-8AA4-6F3390482B9C}"/>
                </c:ext>
              </c:extLst>
            </c:dLbl>
            <c:dLbl>
              <c:idx val="3"/>
              <c:layout>
                <c:manualLayout>
                  <c:x val="-3.4199948801730176E-2"/>
                  <c:y val="-5.7882004183288989E-2"/>
                </c:manualLayout>
              </c:layout>
              <c:numFmt formatCode="#.#00" sourceLinked="0"/>
              <c:spPr>
                <a:noFill/>
                <a:ln w="25399">
                  <a:noFill/>
                </a:ln>
              </c:spPr>
              <c:txPr>
                <a:bodyPr/>
                <a:lstStyle/>
                <a:p>
                  <a:pPr>
                    <a:defRPr lang="es-ES" sz="9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7B3-42A6-8AA4-6F3390482B9C}"/>
                </c:ext>
              </c:extLst>
            </c:dLbl>
            <c:dLbl>
              <c:idx val="4"/>
              <c:layout>
                <c:manualLayout>
                  <c:x val="-3.4536640446024981E-2"/>
                  <c:y val="-7.3583692289659997E-2"/>
                </c:manualLayout>
              </c:layout>
              <c:numFmt formatCode="#.#00" sourceLinked="0"/>
              <c:spPr>
                <a:noFill/>
                <a:ln w="25399">
                  <a:noFill/>
                </a:ln>
              </c:spPr>
              <c:txPr>
                <a:bodyPr/>
                <a:lstStyle/>
                <a:p>
                  <a:pPr>
                    <a:defRPr lang="es-ES" sz="9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7B3-42A6-8AA4-6F3390482B9C}"/>
                </c:ext>
              </c:extLst>
            </c:dLbl>
            <c:numFmt formatCode="#.#00" sourceLinked="0"/>
            <c:spPr>
              <a:noFill/>
              <a:ln w="25399">
                <a:noFill/>
              </a:ln>
            </c:spPr>
            <c:txPr>
              <a:bodyPr wrap="square" lIns="38100" tIns="19050" rIns="38100" bIns="19050" anchor="ctr">
                <a:spAutoFit/>
              </a:bodyPr>
              <a:lstStyle/>
              <a:p>
                <a:pPr>
                  <a:defRPr lang="es-ES" sz="9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Sheet1!$B$1:$K$1</c:f>
              <c:numCache>
                <c:formatCode>General</c:formatCode>
                <c:ptCount val="5"/>
                <c:pt idx="0">
                  <c:v>2011</c:v>
                </c:pt>
                <c:pt idx="1">
                  <c:v>2012</c:v>
                </c:pt>
                <c:pt idx="2">
                  <c:v>2013</c:v>
                </c:pt>
                <c:pt idx="3">
                  <c:v>2014</c:v>
                </c:pt>
                <c:pt idx="4">
                  <c:v>2015</c:v>
                </c:pt>
              </c:numCache>
            </c:numRef>
          </c:cat>
          <c:val>
            <c:numRef>
              <c:f>Sheet1!$B$2:$K$2</c:f>
              <c:numCache>
                <c:formatCode>General</c:formatCode>
                <c:ptCount val="5"/>
                <c:pt idx="0">
                  <c:v>1.4</c:v>
                </c:pt>
                <c:pt idx="1">
                  <c:v>1.2</c:v>
                </c:pt>
                <c:pt idx="2">
                  <c:v>1.5</c:v>
                </c:pt>
                <c:pt idx="3">
                  <c:v>2</c:v>
                </c:pt>
                <c:pt idx="4">
                  <c:v>1.9000000000000001</c:v>
                </c:pt>
              </c:numCache>
            </c:numRef>
          </c:val>
          <c:smooth val="1"/>
          <c:extLst xmlns:c16r2="http://schemas.microsoft.com/office/drawing/2015/06/chart">
            <c:ext xmlns:c16="http://schemas.microsoft.com/office/drawing/2014/chart" uri="{C3380CC4-5D6E-409C-BE32-E72D297353CC}">
              <c16:uniqueId val="{00000005-B7B3-42A6-8AA4-6F3390482B9C}"/>
            </c:ext>
          </c:extLst>
        </c:ser>
        <c:dLbls>
          <c:showVal val="1"/>
        </c:dLbls>
        <c:marker val="1"/>
        <c:axId val="121198848"/>
        <c:axId val="121217408"/>
      </c:lineChart>
      <c:catAx>
        <c:axId val="121198848"/>
        <c:scaling>
          <c:orientation val="minMax"/>
        </c:scaling>
        <c:axPos val="b"/>
        <c:title>
          <c:tx>
            <c:rich>
              <a:bodyPr/>
              <a:lstStyle/>
              <a:p>
                <a:pPr>
                  <a:defRPr lang="es-ES" sz="900"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58080808080808077"/>
              <c:y val="0.85000000000000064"/>
            </c:manualLayout>
          </c:layout>
          <c:spPr>
            <a:noFill/>
            <a:ln w="25399">
              <a:noFill/>
            </a:ln>
          </c:spPr>
        </c:title>
        <c:numFmt formatCode="General" sourceLinked="1"/>
        <c:tickLblPos val="nextTo"/>
        <c:spPr>
          <a:ln w="3175">
            <a:solidFill>
              <a:srgbClr val="000000"/>
            </a:solidFill>
            <a:prstDash val="solid"/>
          </a:ln>
        </c:spPr>
        <c:txPr>
          <a:bodyPr rot="0" vert="horz"/>
          <a:lstStyle/>
          <a:p>
            <a:pPr>
              <a:defRPr lang="es-ES" sz="900" b="1" i="0" u="none" strike="noStrike" baseline="0">
                <a:solidFill>
                  <a:srgbClr val="000000"/>
                </a:solidFill>
                <a:latin typeface="Times New Roman"/>
                <a:ea typeface="Times New Roman"/>
                <a:cs typeface="Times New Roman"/>
              </a:defRPr>
            </a:pPr>
            <a:endParaRPr lang="es-CR"/>
          </a:p>
        </c:txPr>
        <c:crossAx val="121217408"/>
        <c:crosses val="autoZero"/>
        <c:auto val="1"/>
        <c:lblAlgn val="ctr"/>
        <c:lblOffset val="100"/>
        <c:tickLblSkip val="1"/>
        <c:tickMarkSkip val="1"/>
      </c:catAx>
      <c:valAx>
        <c:axId val="121217408"/>
        <c:scaling>
          <c:orientation val="minMax"/>
          <c:max val="3"/>
          <c:min val="0"/>
        </c:scaling>
        <c:axPos val="l"/>
        <c:majorGridlines>
          <c:spPr>
            <a:ln w="3175">
              <a:solidFill>
                <a:srgbClr val="000000"/>
              </a:solidFill>
              <a:prstDash val="solid"/>
            </a:ln>
          </c:spPr>
        </c:majorGridlines>
        <c:title>
          <c:tx>
            <c:rich>
              <a:bodyPr rot="0" vert="wordArtVert"/>
              <a:lstStyle/>
              <a:p>
                <a:pPr algn="ctr">
                  <a:defRPr lang="es-ES" sz="900" b="1" i="0" u="none" strike="noStrike" baseline="0">
                    <a:solidFill>
                      <a:srgbClr val="000000"/>
                    </a:solidFill>
                    <a:latin typeface="Times New Roman"/>
                    <a:ea typeface="Times New Roman"/>
                    <a:cs typeface="Times New Roman"/>
                  </a:defRPr>
                </a:pPr>
                <a:r>
                  <a:rPr lang="es-CR"/>
                  <a:t>TASA</a:t>
                </a:r>
              </a:p>
            </c:rich>
          </c:tx>
          <c:layout>
            <c:manualLayout>
              <c:xMode val="edge"/>
              <c:yMode val="edge"/>
              <c:x val="3.367003367003369E-2"/>
              <c:y val="0.38947368421052714"/>
            </c:manualLayout>
          </c:layout>
          <c:spPr>
            <a:noFill/>
            <a:ln w="25399">
              <a:noFill/>
            </a:ln>
          </c:spPr>
        </c:title>
        <c:numFmt formatCode="General" sourceLinked="1"/>
        <c:tickLblPos val="nextTo"/>
        <c:spPr>
          <a:ln w="3175">
            <a:solidFill>
              <a:srgbClr val="000000"/>
            </a:solidFill>
            <a:prstDash val="solid"/>
          </a:ln>
        </c:spPr>
        <c:txPr>
          <a:bodyPr rot="0" vert="horz"/>
          <a:lstStyle/>
          <a:p>
            <a:pPr>
              <a:defRPr lang="es-ES" sz="900" b="1" i="0" u="none" strike="noStrike" baseline="0">
                <a:solidFill>
                  <a:srgbClr val="000000"/>
                </a:solidFill>
                <a:latin typeface="Times New Roman"/>
                <a:ea typeface="Times New Roman"/>
                <a:cs typeface="Times New Roman"/>
              </a:defRPr>
            </a:pPr>
            <a:endParaRPr lang="es-CR"/>
          </a:p>
        </c:txPr>
        <c:crossAx val="121198848"/>
        <c:crosses val="autoZero"/>
        <c:crossBetween val="between"/>
        <c:majorUnit val="0.5"/>
      </c:valAx>
      <c:spPr>
        <a:solidFill>
          <a:srgbClr val="CCFFCC"/>
        </a:solidFill>
        <a:ln w="12700">
          <a:solidFill>
            <a:srgbClr val="808080"/>
          </a:solidFill>
          <a:prstDash val="solid"/>
        </a:ln>
      </c:spPr>
    </c:plotArea>
    <c:plotVisOnly val="1"/>
    <c:dispBlanksAs val="gap"/>
  </c:chart>
  <c:spPr>
    <a:gradFill rotWithShape="0">
      <a:gsLst>
        <a:gs pos="0">
          <a:srgbClr val="010101">
            <a:gamma/>
            <a:shade val="63529"/>
            <a:invGamma/>
          </a:srgbClr>
        </a:gs>
        <a:gs pos="100000">
          <a:srgbClr val="CCFFFF"/>
        </a:gs>
      </a:gsLst>
      <a:lin ang="2700000" scaled="1"/>
    </a:gradFill>
    <a:ln w="3175">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1"/>
  <c:userShapes r:id="rId2"/>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es-CR"/>
  <c:chart>
    <c:title>
      <c:tx>
        <c:rich>
          <a:bodyPr/>
          <a:lstStyle/>
          <a:p>
            <a:pPr>
              <a:defRPr lang="es-ES" sz="1000" b="1" i="0" u="none" strike="noStrike" baseline="0">
                <a:solidFill>
                  <a:srgbClr val="000000"/>
                </a:solidFill>
                <a:latin typeface="Times New Roman"/>
                <a:ea typeface="Times New Roman"/>
                <a:cs typeface="Times New Roman"/>
              </a:defRPr>
            </a:pPr>
            <a:r>
              <a:rPr lang="es-CR"/>
              <a:t>Gráfico Nº 58
Porcentaje de sentencias condenatorias y absolutorias. 
2011 - 2015
</a:t>
            </a:r>
          </a:p>
        </c:rich>
      </c:tx>
      <c:layout>
        <c:manualLayout>
          <c:xMode val="edge"/>
          <c:yMode val="edge"/>
          <c:x val="0.2023026315789474"/>
          <c:y val="0"/>
        </c:manualLayout>
      </c:layout>
      <c:spPr>
        <a:noFill/>
        <a:ln w="25400">
          <a:noFill/>
        </a:ln>
      </c:spPr>
    </c:title>
    <c:plotArea>
      <c:layout>
        <c:manualLayout>
          <c:layoutTarget val="inner"/>
          <c:xMode val="edge"/>
          <c:yMode val="edge"/>
          <c:x val="0.13651315789473714"/>
          <c:y val="0.24331550802139074"/>
          <c:w val="0.8240131578947365"/>
          <c:h val="0.54545454545454541"/>
        </c:manualLayout>
      </c:layout>
      <c:lineChart>
        <c:grouping val="standard"/>
        <c:ser>
          <c:idx val="0"/>
          <c:order val="0"/>
          <c:tx>
            <c:strRef>
              <c:f>Sheet1!$A$2</c:f>
              <c:strCache>
                <c:ptCount val="1"/>
                <c:pt idx="0">
                  <c:v>Condenatorias</c:v>
                </c:pt>
              </c:strCache>
            </c:strRef>
          </c:tx>
          <c:spPr>
            <a:ln w="25400">
              <a:solidFill>
                <a:srgbClr val="008000"/>
              </a:solidFill>
              <a:prstDash val="solid"/>
            </a:ln>
          </c:spPr>
          <c:marker>
            <c:symbol val="diamond"/>
            <c:size val="5"/>
            <c:spPr>
              <a:solidFill>
                <a:srgbClr val="008000"/>
              </a:solidFill>
              <a:ln>
                <a:solidFill>
                  <a:srgbClr val="008000"/>
                </a:solidFill>
                <a:prstDash val="solid"/>
              </a:ln>
            </c:spPr>
          </c:marker>
          <c:dLbls>
            <c:dLbl>
              <c:idx val="0"/>
              <c:layout>
                <c:manualLayout>
                  <c:x val="-6.2552001976473703E-2"/>
                  <c:y val="-5.4542901131599653E-2"/>
                </c:manualLayout>
              </c:layout>
              <c:numFmt formatCode="#.#00" sourceLinked="0"/>
              <c:spPr>
                <a:noFill/>
                <a:ln w="25400">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461-4DEF-BADA-6927E1CF1911}"/>
                </c:ext>
              </c:extLst>
            </c:dLbl>
            <c:dLbl>
              <c:idx val="1"/>
              <c:layout>
                <c:manualLayout>
                  <c:x val="-4.1499425742328733E-2"/>
                  <c:y val="-5.0300691023247975E-2"/>
                </c:manualLayout>
              </c:layout>
              <c:numFmt formatCode="#.#00" sourceLinked="0"/>
              <c:spPr>
                <a:noFill/>
                <a:ln w="25400">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461-4DEF-BADA-6927E1CF1911}"/>
                </c:ext>
              </c:extLst>
            </c:dLbl>
            <c:dLbl>
              <c:idx val="2"/>
              <c:layout>
                <c:manualLayout>
                  <c:x val="-3.5249481087131336E-2"/>
                  <c:y val="-5.4079534792828024E-2"/>
                </c:manualLayout>
              </c:layout>
              <c:numFmt formatCode="#.#00" sourceLinked="0"/>
              <c:spPr>
                <a:noFill/>
                <a:ln w="25400">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461-4DEF-BADA-6927E1CF1911}"/>
                </c:ext>
              </c:extLst>
            </c:dLbl>
            <c:dLbl>
              <c:idx val="3"/>
              <c:layout>
                <c:manualLayout>
                  <c:x val="-4.2157431168775877E-2"/>
                  <c:y val="2.6847350837624091E-2"/>
                </c:manualLayout>
              </c:layout>
              <c:numFmt formatCode="#.#00" sourceLinked="0"/>
              <c:spPr>
                <a:noFill/>
                <a:ln w="25400">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461-4DEF-BADA-6927E1CF1911}"/>
                </c:ext>
              </c:extLst>
            </c:dLbl>
            <c:dLbl>
              <c:idx val="4"/>
              <c:layout>
                <c:manualLayout>
                  <c:x val="-3.4262749671473212E-2"/>
                  <c:y val="2.8915117613589295E-2"/>
                </c:manualLayout>
              </c:layout>
              <c:numFmt formatCode="#.#00" sourceLinked="0"/>
              <c:spPr>
                <a:noFill/>
                <a:ln w="25400">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461-4DEF-BADA-6927E1CF1911}"/>
                </c:ext>
              </c:extLst>
            </c:dLbl>
            <c:dLbl>
              <c:idx val="5"/>
              <c:layout>
                <c:manualLayout>
                  <c:xMode val="edge"/>
                  <c:yMode val="edge"/>
                  <c:x val="0.89802631578947367"/>
                  <c:y val="0.51871657754010692"/>
                </c:manualLayout>
              </c:layout>
              <c:numFmt formatCode="#.#00" sourceLinked="0"/>
              <c:spPr>
                <a:noFill/>
                <a:ln w="25400">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461-4DEF-BADA-6927E1CF1911}"/>
                </c:ext>
              </c:extLst>
            </c:dLbl>
            <c:dLbl>
              <c:idx val="6"/>
              <c:layout>
                <c:manualLayout>
                  <c:xMode val="edge"/>
                  <c:yMode val="edge"/>
                  <c:x val="0.68585526315789624"/>
                  <c:y val="0.83422459893048162"/>
                </c:manualLayout>
              </c:layout>
              <c:numFmt formatCode="#.#00" sourceLinked="0"/>
              <c:spPr>
                <a:noFill/>
                <a:ln w="25400">
                  <a:noFill/>
                </a:ln>
              </c:spPr>
              <c:txPr>
                <a:bodyPr/>
                <a:lstStyle/>
                <a:p>
                  <a:pPr>
                    <a:defRPr lang="es-ES" sz="12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461-4DEF-BADA-6927E1CF1911}"/>
                </c:ext>
              </c:extLst>
            </c:dLbl>
            <c:dLbl>
              <c:idx val="7"/>
              <c:layout>
                <c:manualLayout>
                  <c:xMode val="edge"/>
                  <c:yMode val="edge"/>
                  <c:x val="0.5279605263157896"/>
                  <c:y val="0.84759358288770048"/>
                </c:manualLayout>
              </c:layout>
              <c:numFmt formatCode="#.#00" sourceLinked="0"/>
              <c:spPr>
                <a:noFill/>
                <a:ln w="25400">
                  <a:noFill/>
                </a:ln>
              </c:spPr>
              <c:txPr>
                <a:bodyPr/>
                <a:lstStyle/>
                <a:p>
                  <a:pPr>
                    <a:defRPr lang="es-ES" sz="12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461-4DEF-BADA-6927E1CF1911}"/>
                </c:ext>
              </c:extLst>
            </c:dLbl>
            <c:dLbl>
              <c:idx val="8"/>
              <c:layout>
                <c:manualLayout>
                  <c:xMode val="edge"/>
                  <c:yMode val="edge"/>
                  <c:x val="0.55756578947368429"/>
                  <c:y val="0.84759358288770048"/>
                </c:manualLayout>
              </c:layout>
              <c:numFmt formatCode="#.#00" sourceLinked="0"/>
              <c:spPr>
                <a:noFill/>
                <a:ln w="25400">
                  <a:noFill/>
                </a:ln>
              </c:spPr>
              <c:txPr>
                <a:bodyPr/>
                <a:lstStyle/>
                <a:p>
                  <a:pPr>
                    <a:defRPr lang="es-ES" sz="12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461-4DEF-BADA-6927E1CF1911}"/>
                </c:ext>
              </c:extLst>
            </c:dLbl>
            <c:dLbl>
              <c:idx val="9"/>
              <c:layout>
                <c:manualLayout>
                  <c:xMode val="edge"/>
                  <c:yMode val="edge"/>
                  <c:x val="0.65296052631579093"/>
                  <c:y val="0.84759358288770048"/>
                </c:manualLayout>
              </c:layout>
              <c:numFmt formatCode="#.#00" sourceLinked="0"/>
              <c:spPr>
                <a:noFill/>
                <a:ln w="25400">
                  <a:noFill/>
                </a:ln>
              </c:spPr>
              <c:txPr>
                <a:bodyPr/>
                <a:lstStyle/>
                <a:p>
                  <a:pPr>
                    <a:defRPr lang="es-ES" sz="12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461-4DEF-BADA-6927E1CF1911}"/>
                </c:ext>
              </c:extLst>
            </c:dLbl>
            <c:numFmt formatCode="#.#00" sourceLinked="0"/>
            <c:spPr>
              <a:noFill/>
              <a:ln w="25400">
                <a:noFill/>
              </a:ln>
            </c:spPr>
            <c:txPr>
              <a:bodyPr wrap="square" lIns="38100" tIns="19050" rIns="38100" bIns="19050" anchor="ctr">
                <a:spAutoFit/>
              </a:bodyPr>
              <a:lstStyle/>
              <a:p>
                <a:pPr>
                  <a:defRPr lang="es-ES" sz="10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Sheet1!$B$1:$K$1</c:f>
              <c:numCache>
                <c:formatCode>General</c:formatCode>
                <c:ptCount val="5"/>
                <c:pt idx="0">
                  <c:v>2011</c:v>
                </c:pt>
                <c:pt idx="1">
                  <c:v>2012</c:v>
                </c:pt>
                <c:pt idx="2">
                  <c:v>2013</c:v>
                </c:pt>
                <c:pt idx="3">
                  <c:v>2014</c:v>
                </c:pt>
                <c:pt idx="4">
                  <c:v>2015</c:v>
                </c:pt>
              </c:numCache>
            </c:numRef>
          </c:cat>
          <c:val>
            <c:numRef>
              <c:f>Sheet1!$B$2:$K$2</c:f>
              <c:numCache>
                <c:formatCode>General</c:formatCode>
                <c:ptCount val="5"/>
                <c:pt idx="0">
                  <c:v>50.3</c:v>
                </c:pt>
                <c:pt idx="1">
                  <c:v>51</c:v>
                </c:pt>
                <c:pt idx="2">
                  <c:v>51.7</c:v>
                </c:pt>
                <c:pt idx="3">
                  <c:v>45.2</c:v>
                </c:pt>
                <c:pt idx="4">
                  <c:v>45.1</c:v>
                </c:pt>
              </c:numCache>
            </c:numRef>
          </c:val>
          <c:extLst xmlns:c16r2="http://schemas.microsoft.com/office/drawing/2015/06/chart">
            <c:ext xmlns:c16="http://schemas.microsoft.com/office/drawing/2014/chart" uri="{C3380CC4-5D6E-409C-BE32-E72D297353CC}">
              <c16:uniqueId val="{0000000A-B461-4DEF-BADA-6927E1CF1911}"/>
            </c:ext>
          </c:extLst>
        </c:ser>
        <c:ser>
          <c:idx val="1"/>
          <c:order val="1"/>
          <c:tx>
            <c:strRef>
              <c:f>Sheet1!$A$3</c:f>
              <c:strCache>
                <c:ptCount val="1"/>
                <c:pt idx="0">
                  <c:v>Absolutorias</c:v>
                </c:pt>
              </c:strCache>
            </c:strRef>
          </c:tx>
          <c:spPr>
            <a:ln w="25400">
              <a:solidFill>
                <a:srgbClr val="0000FF"/>
              </a:solidFill>
              <a:prstDash val="solid"/>
            </a:ln>
          </c:spPr>
          <c:marker>
            <c:symbol val="square"/>
            <c:size val="5"/>
            <c:spPr>
              <a:solidFill>
                <a:srgbClr val="0000FF"/>
              </a:solidFill>
              <a:ln>
                <a:solidFill>
                  <a:srgbClr val="0000FF"/>
                </a:solidFill>
                <a:prstDash val="solid"/>
              </a:ln>
            </c:spPr>
          </c:marker>
          <c:dLbls>
            <c:dLbl>
              <c:idx val="0"/>
              <c:layout>
                <c:manualLayout>
                  <c:x val="-6.2552001976473703E-2"/>
                  <c:y val="2.7382079605331081E-2"/>
                </c:manualLayout>
              </c:layout>
              <c:numFmt formatCode="#.#00" sourceLinked="0"/>
              <c:spPr>
                <a:noFill/>
                <a:ln w="25400">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B461-4DEF-BADA-6927E1CF1911}"/>
                </c:ext>
              </c:extLst>
            </c:dLbl>
            <c:dLbl>
              <c:idx val="1"/>
              <c:layout>
                <c:manualLayout>
                  <c:x val="-4.1499425742328733E-2"/>
                  <c:y val="2.5813666288423166E-2"/>
                </c:manualLayout>
              </c:layout>
              <c:numFmt formatCode="#.#00" sourceLinked="0"/>
              <c:spPr>
                <a:noFill/>
                <a:ln w="25400">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461-4DEF-BADA-6927E1CF1911}"/>
                </c:ext>
              </c:extLst>
            </c:dLbl>
            <c:dLbl>
              <c:idx val="2"/>
              <c:layout>
                <c:manualLayout>
                  <c:x val="-4.5117902139762862E-2"/>
                  <c:y val="3.226630684944734E-2"/>
                </c:manualLayout>
              </c:layout>
              <c:numFmt formatCode="#.#00" sourceLinked="0"/>
              <c:spPr>
                <a:noFill/>
                <a:ln w="25400">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B461-4DEF-BADA-6927E1CF1911}"/>
                </c:ext>
              </c:extLst>
            </c:dLbl>
            <c:dLbl>
              <c:idx val="3"/>
              <c:layout>
                <c:manualLayout>
                  <c:x val="-5.0381115379302226E-2"/>
                  <c:y val="-5.4008172363892548E-2"/>
                </c:manualLayout>
              </c:layout>
              <c:numFmt formatCode="#.#00" sourceLinked="0"/>
              <c:spPr>
                <a:noFill/>
                <a:ln w="25400">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B461-4DEF-BADA-6927E1CF1911}"/>
                </c:ext>
              </c:extLst>
            </c:dLbl>
            <c:dLbl>
              <c:idx val="4"/>
              <c:layout>
                <c:manualLayout>
                  <c:x val="-3.2618012829367903E-2"/>
                  <c:y val="-5.6075939139857672E-2"/>
                </c:manualLayout>
              </c:layout>
              <c:numFmt formatCode="#.#00" sourceLinked="0"/>
              <c:spPr>
                <a:noFill/>
                <a:ln w="25400">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B461-4DEF-BADA-6927E1CF1911}"/>
                </c:ext>
              </c:extLst>
            </c:dLbl>
            <c:dLbl>
              <c:idx val="5"/>
              <c:layout>
                <c:manualLayout>
                  <c:xMode val="edge"/>
                  <c:yMode val="edge"/>
                  <c:x val="0.91118421052631582"/>
                  <c:y val="0.3770053475935829"/>
                </c:manualLayout>
              </c:layout>
              <c:numFmt formatCode="#.#00" sourceLinked="0"/>
              <c:spPr>
                <a:noFill/>
                <a:ln w="25400">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461-4DEF-BADA-6927E1CF1911}"/>
                </c:ext>
              </c:extLst>
            </c:dLbl>
            <c:numFmt formatCode="#.#00" sourceLinked="0"/>
            <c:spPr>
              <a:noFill/>
              <a:ln w="25400">
                <a:noFill/>
              </a:ln>
            </c:spPr>
            <c:txPr>
              <a:bodyPr wrap="square" lIns="38100" tIns="19050" rIns="38100" bIns="19050" anchor="ctr">
                <a:spAutoFit/>
              </a:bodyPr>
              <a:lstStyle/>
              <a:p>
                <a:pPr>
                  <a:defRPr lang="es-ES" sz="10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Sheet1!$B$1:$K$1</c:f>
              <c:numCache>
                <c:formatCode>General</c:formatCode>
                <c:ptCount val="5"/>
                <c:pt idx="0">
                  <c:v>2011</c:v>
                </c:pt>
                <c:pt idx="1">
                  <c:v>2012</c:v>
                </c:pt>
                <c:pt idx="2">
                  <c:v>2013</c:v>
                </c:pt>
                <c:pt idx="3">
                  <c:v>2014</c:v>
                </c:pt>
                <c:pt idx="4">
                  <c:v>2015</c:v>
                </c:pt>
              </c:numCache>
            </c:numRef>
          </c:cat>
          <c:val>
            <c:numRef>
              <c:f>Sheet1!$B$3:$K$3</c:f>
              <c:numCache>
                <c:formatCode>General</c:formatCode>
                <c:ptCount val="5"/>
                <c:pt idx="0">
                  <c:v>49.7</c:v>
                </c:pt>
                <c:pt idx="1">
                  <c:v>49</c:v>
                </c:pt>
                <c:pt idx="2">
                  <c:v>48.3</c:v>
                </c:pt>
                <c:pt idx="3">
                  <c:v>54.8</c:v>
                </c:pt>
                <c:pt idx="4">
                  <c:v>54.9</c:v>
                </c:pt>
              </c:numCache>
            </c:numRef>
          </c:val>
          <c:extLst xmlns:c16r2="http://schemas.microsoft.com/office/drawing/2015/06/chart">
            <c:ext xmlns:c16="http://schemas.microsoft.com/office/drawing/2014/chart" uri="{C3380CC4-5D6E-409C-BE32-E72D297353CC}">
              <c16:uniqueId val="{00000011-B461-4DEF-BADA-6927E1CF1911}"/>
            </c:ext>
          </c:extLst>
        </c:ser>
        <c:dLbls>
          <c:showVal val="1"/>
        </c:dLbls>
        <c:marker val="1"/>
        <c:axId val="121266176"/>
        <c:axId val="121268096"/>
      </c:lineChart>
      <c:catAx>
        <c:axId val="121266176"/>
        <c:scaling>
          <c:orientation val="minMax"/>
        </c:scaling>
        <c:axPos val="b"/>
        <c:title>
          <c:tx>
            <c:rich>
              <a:bodyPr/>
              <a:lstStyle/>
              <a:p>
                <a:pPr>
                  <a:defRPr lang="es-ES" sz="1000"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56907894736842235"/>
              <c:y val="0.86363636363636354"/>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s-ES" sz="900" b="1" i="0" u="none" strike="noStrike" baseline="0">
                <a:solidFill>
                  <a:srgbClr val="000000"/>
                </a:solidFill>
                <a:latin typeface="Times New Roman"/>
                <a:ea typeface="Times New Roman"/>
                <a:cs typeface="Times New Roman"/>
              </a:defRPr>
            </a:pPr>
            <a:endParaRPr lang="es-CR"/>
          </a:p>
        </c:txPr>
        <c:crossAx val="121268096"/>
        <c:crosses val="autoZero"/>
        <c:auto val="1"/>
        <c:lblAlgn val="ctr"/>
        <c:lblOffset val="100"/>
        <c:tickLblSkip val="1"/>
        <c:tickMarkSkip val="1"/>
      </c:catAx>
      <c:valAx>
        <c:axId val="121268096"/>
        <c:scaling>
          <c:orientation val="minMax"/>
          <c:max val="90"/>
          <c:min val="0"/>
        </c:scaling>
        <c:axPos val="l"/>
        <c:majorGridlines>
          <c:spPr>
            <a:ln w="3175">
              <a:solidFill>
                <a:srgbClr val="000000"/>
              </a:solidFill>
              <a:prstDash val="solid"/>
            </a:ln>
          </c:spPr>
        </c:majorGridlines>
        <c:title>
          <c:tx>
            <c:rich>
              <a:bodyPr rot="0" vert="wordArtVert"/>
              <a:lstStyle/>
              <a:p>
                <a:pPr algn="ctr">
                  <a:defRPr lang="es-ES" sz="725" b="1" i="0" u="none" strike="noStrike" baseline="0">
                    <a:solidFill>
                      <a:srgbClr val="000000"/>
                    </a:solidFill>
                    <a:latin typeface="Arial"/>
                    <a:ea typeface="Arial"/>
                    <a:cs typeface="Arial"/>
                  </a:defRPr>
                </a:pPr>
                <a:r>
                  <a:rPr lang="es-CR"/>
                  <a:t>Porcentaje</a:t>
                </a:r>
              </a:p>
            </c:rich>
          </c:tx>
          <c:layout>
            <c:manualLayout>
              <c:xMode val="edge"/>
              <c:yMode val="edge"/>
              <c:x val="3.4539473684210613E-2"/>
              <c:y val="0.28074866310160496"/>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s-ES" sz="900" b="1" i="0" u="none" strike="noStrike" baseline="0">
                <a:solidFill>
                  <a:srgbClr val="000000"/>
                </a:solidFill>
                <a:latin typeface="Times New Roman"/>
                <a:ea typeface="Times New Roman"/>
                <a:cs typeface="Times New Roman"/>
              </a:defRPr>
            </a:pPr>
            <a:endParaRPr lang="es-CR"/>
          </a:p>
        </c:txPr>
        <c:crossAx val="121266176"/>
        <c:crosses val="autoZero"/>
        <c:crossBetween val="between"/>
      </c:valAx>
      <c:spPr>
        <a:gradFill rotWithShape="0">
          <a:gsLst>
            <a:gs pos="0">
              <a:srgbClr val="FFFFCC"/>
            </a:gs>
            <a:gs pos="50000">
              <a:srgbClr val="030303">
                <a:gamma/>
                <a:shade val="85882"/>
                <a:invGamma/>
              </a:srgbClr>
            </a:gs>
            <a:gs pos="100000">
              <a:srgbClr val="FFFFCC"/>
            </a:gs>
          </a:gsLst>
          <a:lin ang="5400000" scaled="1"/>
        </a:gradFill>
        <a:ln w="12700">
          <a:solidFill>
            <a:srgbClr val="808080"/>
          </a:solidFill>
          <a:prstDash val="solid"/>
        </a:ln>
      </c:spPr>
    </c:plotArea>
    <c:legend>
      <c:legendPos val="r"/>
      <c:layout>
        <c:manualLayout>
          <c:xMode val="edge"/>
          <c:yMode val="edge"/>
          <c:x val="0.21217105263157887"/>
          <c:y val="0.2459893048128349"/>
          <c:w val="0.25"/>
          <c:h val="0.11497326203208556"/>
        </c:manualLayout>
      </c:layout>
      <c:spPr>
        <a:solidFill>
          <a:srgbClr val="FFFFCC"/>
        </a:solidFill>
        <a:ln w="3175">
          <a:solidFill>
            <a:srgbClr val="000000"/>
          </a:solidFill>
          <a:prstDash val="solid"/>
        </a:ln>
        <a:effectLst>
          <a:outerShdw dist="35921" dir="2700000" algn="br">
            <a:srgbClr val="000000"/>
          </a:outerShdw>
        </a:effectLst>
      </c:spPr>
      <c:txPr>
        <a:bodyPr/>
        <a:lstStyle/>
        <a:p>
          <a:pPr>
            <a:defRPr lang="es-ES" sz="825" b="0" i="0" u="none" strike="noStrike" baseline="0">
              <a:solidFill>
                <a:srgbClr val="000000"/>
              </a:solidFill>
              <a:latin typeface="Times New Roman"/>
              <a:ea typeface="Times New Roman"/>
              <a:cs typeface="Times New Roman"/>
            </a:defRPr>
          </a:pPr>
          <a:endParaRPr lang="es-CR"/>
        </a:p>
      </c:txPr>
    </c:legend>
    <c:plotVisOnly val="1"/>
    <c:dispBlanksAs val="gap"/>
  </c:chart>
  <c:spPr>
    <a:gradFill rotWithShape="0">
      <a:gsLst>
        <a:gs pos="0">
          <a:srgbClr val="CCFFFF"/>
        </a:gs>
        <a:gs pos="50000">
          <a:srgbClr val="020202">
            <a:gamma/>
            <a:shade val="79216"/>
            <a:invGamma/>
          </a:srgbClr>
        </a:gs>
        <a:gs pos="100000">
          <a:srgbClr val="CCFFFF"/>
        </a:gs>
      </a:gsLst>
      <a:lin ang="2700000" scaled="1"/>
    </a:gradFill>
    <a:ln w="3175">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CR"/>
  <c:chart>
    <c:title>
      <c:tx>
        <c:rich>
          <a:bodyPr/>
          <a:lstStyle/>
          <a:p>
            <a:pPr>
              <a:defRPr lang="es-ES" sz="925" b="1" i="0" u="none" strike="noStrike" baseline="0">
                <a:solidFill>
                  <a:srgbClr val="000000"/>
                </a:solidFill>
                <a:latin typeface="Times New Roman"/>
                <a:ea typeface="Times New Roman"/>
                <a:cs typeface="Times New Roman"/>
              </a:defRPr>
            </a:pPr>
            <a:r>
              <a:rPr lang="es-CR"/>
              <a:t>Gráfico Nº 6 
Porcentaje del costo administrativo respecto del costo de la justicia según año 2011 - 2015</a:t>
            </a:r>
          </a:p>
        </c:rich>
      </c:tx>
      <c:layout>
        <c:manualLayout>
          <c:xMode val="edge"/>
          <c:yMode val="edge"/>
          <c:x val="0.11228070175438599"/>
          <c:y val="2.0779220779220856E-2"/>
        </c:manualLayout>
      </c:layout>
      <c:spPr>
        <a:noFill/>
        <a:ln w="25399">
          <a:noFill/>
        </a:ln>
      </c:spPr>
    </c:title>
    <c:view3D>
      <c:hPercent val="52"/>
      <c:depthPercent val="100"/>
      <c:rAngAx val="1"/>
    </c:view3D>
    <c:floor>
      <c:spPr>
        <a:solidFill>
          <a:srgbClr val="C0C0C0"/>
        </a:solidFill>
        <a:ln w="3175">
          <a:solidFill>
            <a:srgbClr val="000000"/>
          </a:solidFill>
          <a:prstDash val="solid"/>
        </a:ln>
      </c:spPr>
    </c:floor>
    <c:sideWall>
      <c:spPr>
        <a:solidFill>
          <a:srgbClr val="FFFFCC"/>
        </a:solidFill>
        <a:ln w="12700">
          <a:solidFill>
            <a:srgbClr val="808080"/>
          </a:solidFill>
          <a:prstDash val="solid"/>
        </a:ln>
      </c:spPr>
    </c:sideWall>
    <c:backWall>
      <c:spPr>
        <a:solidFill>
          <a:srgbClr val="FFFFCC"/>
        </a:solidFill>
        <a:ln w="12700">
          <a:solidFill>
            <a:srgbClr val="808080"/>
          </a:solidFill>
          <a:prstDash val="solid"/>
        </a:ln>
      </c:spPr>
    </c:backWall>
    <c:plotArea>
      <c:layout>
        <c:manualLayout>
          <c:layoutTarget val="inner"/>
          <c:xMode val="edge"/>
          <c:yMode val="edge"/>
          <c:x val="9.582650291580469E-2"/>
          <c:y val="0.21194618440774765"/>
          <c:w val="0.90175438596491098"/>
          <c:h val="0.59740259740259738"/>
        </c:manualLayout>
      </c:layout>
      <c:bar3DChart>
        <c:barDir val="col"/>
        <c:grouping val="clustered"/>
        <c:ser>
          <c:idx val="0"/>
          <c:order val="0"/>
          <c:tx>
            <c:strRef>
              <c:f>Sheet1!$A$2</c:f>
              <c:strCache>
                <c:ptCount val="1"/>
              </c:strCache>
            </c:strRef>
          </c:tx>
          <c:spPr>
            <a:solidFill>
              <a:srgbClr val="3366FF"/>
            </a:solidFill>
            <a:ln w="12700">
              <a:solidFill>
                <a:srgbClr val="000000"/>
              </a:solidFill>
              <a:prstDash val="solid"/>
            </a:ln>
          </c:spPr>
          <c:dLbls>
            <c:dLbl>
              <c:idx val="0"/>
              <c:layout>
                <c:manualLayout>
                  <c:x val="2.0402863801356582E-2"/>
                  <c:y val="-2.403599176038160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82A-4401-9C6C-94A523651E82}"/>
                </c:ext>
              </c:extLst>
            </c:dLbl>
            <c:dLbl>
              <c:idx val="1"/>
              <c:layout>
                <c:manualLayout>
                  <c:x val="2.2812333364921812E-2"/>
                  <c:y val="-3.962040734479698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82A-4401-9C6C-94A523651E82}"/>
                </c:ext>
              </c:extLst>
            </c:dLbl>
            <c:dLbl>
              <c:idx val="2"/>
              <c:layout>
                <c:manualLayout>
                  <c:x val="1.6449873103925823E-2"/>
                  <c:y val="-3.027293459775248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82A-4401-9C6C-94A523651E82}"/>
                </c:ext>
              </c:extLst>
            </c:dLbl>
            <c:dLbl>
              <c:idx val="3"/>
              <c:layout>
                <c:manualLayout>
                  <c:x val="3.1140044421876855E-2"/>
                  <c:y val="-3.425445062395994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82A-4401-9C6C-94A523651E82}"/>
                </c:ext>
              </c:extLst>
            </c:dLbl>
            <c:dLbl>
              <c:idx val="4"/>
              <c:layout>
                <c:manualLayout>
                  <c:x val="1.97056661702108E-3"/>
                  <c:y val="-1.988332420814208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82A-4401-9C6C-94A523651E82}"/>
                </c:ext>
              </c:extLst>
            </c:dLbl>
            <c:dLbl>
              <c:idx val="5"/>
              <c:layout>
                <c:manualLayout>
                  <c:xMode val="edge"/>
                  <c:yMode val="edge"/>
                  <c:x val="0.92807017543859782"/>
                  <c:y val="0.3870129870129884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82A-4401-9C6C-94A523651E82}"/>
                </c:ext>
              </c:extLst>
            </c:dLbl>
            <c:dLbl>
              <c:idx val="6"/>
              <c:layout>
                <c:manualLayout>
                  <c:xMode val="edge"/>
                  <c:yMode val="edge"/>
                  <c:x val="0.58245614035087656"/>
                  <c:y val="0.1922077922077922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82A-4401-9C6C-94A523651E82}"/>
                </c:ext>
              </c:extLst>
            </c:dLbl>
            <c:dLbl>
              <c:idx val="7"/>
              <c:layout>
                <c:manualLayout>
                  <c:xMode val="edge"/>
                  <c:yMode val="edge"/>
                  <c:x val="0.58947368421052626"/>
                  <c:y val="0.1948051948051951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82A-4401-9C6C-94A523651E82}"/>
                </c:ext>
              </c:extLst>
            </c:dLbl>
            <c:dLbl>
              <c:idx val="8"/>
              <c:layout>
                <c:manualLayout>
                  <c:xMode val="edge"/>
                  <c:yMode val="edge"/>
                  <c:x val="0.58947368421052626"/>
                  <c:y val="0.1948051948051951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82A-4401-9C6C-94A523651E82}"/>
                </c:ext>
              </c:extLst>
            </c:dLbl>
            <c:dLbl>
              <c:idx val="9"/>
              <c:layout>
                <c:manualLayout>
                  <c:xMode val="edge"/>
                  <c:yMode val="edge"/>
                  <c:x val="0.5929824561403505"/>
                  <c:y val="0.1948051948051951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82A-4401-9C6C-94A523651E82}"/>
                </c:ext>
              </c:extLst>
            </c:dLbl>
            <c:numFmt formatCode="0.0" sourceLinked="0"/>
            <c:spPr>
              <a:noFill/>
              <a:ln w="25399">
                <a:noFill/>
              </a:ln>
            </c:spPr>
            <c:txPr>
              <a:bodyPr/>
              <a:lstStyle/>
              <a:p>
                <a:pPr>
                  <a:defRPr lang="es-ES" sz="9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Sheet1!$B$1:$Q$1</c:f>
              <c:numCache>
                <c:formatCode>General</c:formatCode>
                <c:ptCount val="5"/>
                <c:pt idx="0">
                  <c:v>2011</c:v>
                </c:pt>
                <c:pt idx="1">
                  <c:v>2012</c:v>
                </c:pt>
                <c:pt idx="2">
                  <c:v>2013</c:v>
                </c:pt>
                <c:pt idx="3">
                  <c:v>2014</c:v>
                </c:pt>
                <c:pt idx="4">
                  <c:v>2015</c:v>
                </c:pt>
              </c:numCache>
            </c:numRef>
          </c:cat>
          <c:val>
            <c:numRef>
              <c:f>Sheet1!$B$2:$Q$2</c:f>
              <c:numCache>
                <c:formatCode>General</c:formatCode>
                <c:ptCount val="5"/>
                <c:pt idx="0">
                  <c:v>19.3</c:v>
                </c:pt>
                <c:pt idx="1">
                  <c:v>19.3</c:v>
                </c:pt>
                <c:pt idx="2">
                  <c:v>19.899999999999999</c:v>
                </c:pt>
                <c:pt idx="3">
                  <c:v>19.7</c:v>
                </c:pt>
                <c:pt idx="4">
                  <c:v>19.899999999999999</c:v>
                </c:pt>
              </c:numCache>
            </c:numRef>
          </c:val>
          <c:shape val="cylinder"/>
          <c:extLst xmlns:c16r2="http://schemas.microsoft.com/office/drawing/2015/06/chart">
            <c:ext xmlns:c16="http://schemas.microsoft.com/office/drawing/2014/chart" uri="{C3380CC4-5D6E-409C-BE32-E72D297353CC}">
              <c16:uniqueId val="{0000000A-982A-4401-9C6C-94A523651E82}"/>
            </c:ext>
          </c:extLst>
        </c:ser>
        <c:dLbls>
          <c:showVal val="1"/>
        </c:dLbls>
        <c:gapDepth val="0"/>
        <c:shape val="box"/>
        <c:axId val="99138560"/>
        <c:axId val="99140736"/>
        <c:axId val="0"/>
      </c:bar3DChart>
      <c:catAx>
        <c:axId val="99138560"/>
        <c:scaling>
          <c:orientation val="minMax"/>
        </c:scaling>
        <c:axPos val="b"/>
        <c:title>
          <c:tx>
            <c:rich>
              <a:bodyPr/>
              <a:lstStyle/>
              <a:p>
                <a:pPr>
                  <a:defRPr lang="es-ES" sz="800"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56727737317818339"/>
              <c:y val="0.86856873564121151"/>
            </c:manualLayout>
          </c:layout>
          <c:spPr>
            <a:noFill/>
            <a:ln w="25399">
              <a:noFill/>
            </a:ln>
          </c:spPr>
        </c:title>
        <c:numFmt formatCode="General" sourceLinked="1"/>
        <c:tickLblPos val="low"/>
        <c:spPr>
          <a:ln w="3175">
            <a:solidFill>
              <a:srgbClr val="000000"/>
            </a:solidFill>
            <a:prstDash val="solid"/>
          </a:ln>
        </c:spPr>
        <c:txPr>
          <a:bodyPr rot="0" vert="horz"/>
          <a:lstStyle/>
          <a:p>
            <a:pPr>
              <a:defRPr lang="es-ES" sz="900" b="1" i="0" u="none" strike="noStrike" baseline="0">
                <a:solidFill>
                  <a:srgbClr val="000000"/>
                </a:solidFill>
                <a:latin typeface="Times New Roman"/>
                <a:ea typeface="Times New Roman"/>
                <a:cs typeface="Times New Roman"/>
              </a:defRPr>
            </a:pPr>
            <a:endParaRPr lang="es-CR"/>
          </a:p>
        </c:txPr>
        <c:crossAx val="99140736"/>
        <c:crossesAt val="0"/>
        <c:auto val="1"/>
        <c:lblAlgn val="ctr"/>
        <c:lblOffset val="100"/>
        <c:tickLblSkip val="1"/>
        <c:tickMarkSkip val="1"/>
      </c:catAx>
      <c:valAx>
        <c:axId val="99140736"/>
        <c:scaling>
          <c:orientation val="minMax"/>
          <c:max val="28"/>
          <c:min val="0"/>
        </c:scaling>
        <c:axPos val="l"/>
        <c:majorGridlines>
          <c:spPr>
            <a:ln w="3175">
              <a:solidFill>
                <a:srgbClr val="000000"/>
              </a:solidFill>
              <a:prstDash val="solid"/>
            </a:ln>
          </c:spPr>
        </c:majorGridlines>
        <c:title>
          <c:tx>
            <c:rich>
              <a:bodyPr rot="0" vert="wordArtVert"/>
              <a:lstStyle/>
              <a:p>
                <a:pPr algn="ctr">
                  <a:defRPr lang="es-ES" sz="725" b="1" i="0" u="none" strike="noStrike" baseline="0">
                    <a:solidFill>
                      <a:srgbClr val="000000"/>
                    </a:solidFill>
                    <a:latin typeface="Times New Roman"/>
                    <a:ea typeface="Times New Roman"/>
                    <a:cs typeface="Times New Roman"/>
                  </a:defRPr>
                </a:pPr>
                <a:r>
                  <a:rPr lang="es-CR"/>
                  <a:t>PORCENTAJE</a:t>
                </a:r>
              </a:p>
            </c:rich>
          </c:tx>
          <c:layout>
            <c:manualLayout>
              <c:xMode val="edge"/>
              <c:yMode val="edge"/>
              <c:x val="2.9824561403508771E-2"/>
              <c:y val="0.34805194805194806"/>
            </c:manualLayout>
          </c:layout>
          <c:spPr>
            <a:noFill/>
            <a:ln w="25399">
              <a:noFill/>
            </a:ln>
          </c:spPr>
        </c:title>
        <c:numFmt formatCode="General" sourceLinked="1"/>
        <c:tickLblPos val="nextTo"/>
        <c:spPr>
          <a:ln w="3175">
            <a:solidFill>
              <a:srgbClr val="000000"/>
            </a:solidFill>
            <a:prstDash val="solid"/>
          </a:ln>
        </c:spPr>
        <c:txPr>
          <a:bodyPr rot="0" vert="horz"/>
          <a:lstStyle/>
          <a:p>
            <a:pPr>
              <a:defRPr lang="es-ES" sz="800" b="1" i="0" u="none" strike="noStrike" baseline="0">
                <a:solidFill>
                  <a:srgbClr val="000000"/>
                </a:solidFill>
                <a:latin typeface="Arial"/>
                <a:ea typeface="Arial"/>
                <a:cs typeface="Arial"/>
              </a:defRPr>
            </a:pPr>
            <a:endParaRPr lang="es-CR"/>
          </a:p>
        </c:txPr>
        <c:crossAx val="99138560"/>
        <c:crosses val="autoZero"/>
        <c:crossBetween val="between"/>
        <c:majorUnit val="4"/>
        <c:minorUnit val="4"/>
      </c:valAx>
      <c:spPr>
        <a:noFill/>
        <a:ln w="25399">
          <a:noFill/>
        </a:ln>
      </c:spPr>
    </c:plotArea>
    <c:plotVisOnly val="1"/>
    <c:dispBlanksAs val="gap"/>
  </c:chart>
  <c:spPr>
    <a:gradFill rotWithShape="0">
      <a:gsLst>
        <a:gs pos="0">
          <a:srgbClr val="CCFFFF">
            <a:gamma/>
            <a:shade val="76078"/>
            <a:invGamma/>
          </a:srgbClr>
        </a:gs>
        <a:gs pos="50000">
          <a:srgbClr val="CCFFFF"/>
        </a:gs>
        <a:gs pos="100000">
          <a:srgbClr val="CCFFFF">
            <a:gamma/>
            <a:shade val="76078"/>
            <a:invGamma/>
          </a:srgbClr>
        </a:gs>
      </a:gsLst>
      <a:lin ang="18900000" scaled="1"/>
    </a:gradFill>
    <a:ln w="3175">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1"/>
  <c:userShapes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es-CR"/>
  <c:chart>
    <c:title>
      <c:tx>
        <c:rich>
          <a:bodyPr/>
          <a:lstStyle/>
          <a:p>
            <a:pPr>
              <a:defRPr lang="es-ES" sz="975" b="1" i="0" u="none" strike="noStrike" baseline="0">
                <a:solidFill>
                  <a:srgbClr val="000000"/>
                </a:solidFill>
                <a:latin typeface="Times New Roman"/>
                <a:ea typeface="Times New Roman"/>
                <a:cs typeface="Times New Roman"/>
              </a:defRPr>
            </a:pPr>
            <a:r>
              <a:rPr lang="es-CR"/>
              <a:t>Gráfico Nº 59
Porcentaje de sentencias condenatorias por sexo. 2011 - 2015
</a:t>
            </a:r>
          </a:p>
        </c:rich>
      </c:tx>
      <c:layout>
        <c:manualLayout>
          <c:xMode val="edge"/>
          <c:yMode val="edge"/>
          <c:x val="0.18991596638655492"/>
          <c:y val="0"/>
        </c:manualLayout>
      </c:layout>
      <c:spPr>
        <a:noFill/>
        <a:ln w="25400">
          <a:noFill/>
        </a:ln>
      </c:spPr>
    </c:title>
    <c:plotArea>
      <c:layout>
        <c:manualLayout>
          <c:layoutTarget val="inner"/>
          <c:xMode val="edge"/>
          <c:yMode val="edge"/>
          <c:x val="0.15126050420168066"/>
          <c:y val="0.25194805194805198"/>
          <c:w val="0.8084033613445375"/>
          <c:h val="0.54025974025974033"/>
        </c:manualLayout>
      </c:layout>
      <c:lineChart>
        <c:grouping val="standard"/>
        <c:ser>
          <c:idx val="0"/>
          <c:order val="0"/>
          <c:tx>
            <c:strRef>
              <c:f>Sheet1!$A$2</c:f>
              <c:strCache>
                <c:ptCount val="1"/>
                <c:pt idx="0">
                  <c:v>Hombres</c:v>
                </c:pt>
              </c:strCache>
            </c:strRef>
          </c:tx>
          <c:spPr>
            <a:ln w="25400">
              <a:solidFill>
                <a:srgbClr val="008000"/>
              </a:solidFill>
              <a:prstDash val="solid"/>
            </a:ln>
          </c:spPr>
          <c:marker>
            <c:symbol val="diamond"/>
            <c:size val="4"/>
            <c:spPr>
              <a:solidFill>
                <a:srgbClr val="008000"/>
              </a:solidFill>
              <a:ln>
                <a:solidFill>
                  <a:srgbClr val="008000"/>
                </a:solidFill>
                <a:prstDash val="solid"/>
              </a:ln>
            </c:spPr>
          </c:marker>
          <c:dLbls>
            <c:dLbl>
              <c:idx val="0"/>
              <c:layout>
                <c:manualLayout>
                  <c:x val="-4.4059068528631874E-2"/>
                  <c:y val="5.0870433589816376E-2"/>
                </c:manualLayout>
              </c:layout>
              <c:numFmt formatCode="#.#00" sourceLinked="0"/>
              <c:spPr>
                <a:noFill/>
                <a:ln w="25400">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80E-4479-814F-5AEB5C2B64D3}"/>
                </c:ext>
              </c:extLst>
            </c:dLbl>
            <c:dLbl>
              <c:idx val="1"/>
              <c:layout>
                <c:manualLayout>
                  <c:x val="-3.5991818534958156E-2"/>
                  <c:y val="3.6657457321348785E-2"/>
                </c:manualLayout>
              </c:layout>
              <c:numFmt formatCode="#.#00" sourceLinked="0"/>
              <c:spPr>
                <a:noFill/>
                <a:ln w="25400">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80E-4479-814F-5AEB5C2B64D3}"/>
                </c:ext>
              </c:extLst>
            </c:dLbl>
            <c:dLbl>
              <c:idx val="2"/>
              <c:layout>
                <c:manualLayout>
                  <c:x val="-3.4647472401850475E-2"/>
                  <c:y val="4.2745936229746519E-2"/>
                </c:manualLayout>
              </c:layout>
              <c:numFmt formatCode="#.#00" sourceLinked="0"/>
              <c:spPr>
                <a:noFill/>
                <a:ln w="25400">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80E-4479-814F-5AEB5C2B64D3}"/>
                </c:ext>
              </c:extLst>
            </c:dLbl>
            <c:dLbl>
              <c:idx val="3"/>
              <c:layout>
                <c:manualLayout>
                  <c:x val="-3.4983583752714494E-2"/>
                  <c:y val="3.2896641717110216E-2"/>
                </c:manualLayout>
              </c:layout>
              <c:numFmt formatCode="#.#00" sourceLinked="0"/>
              <c:spPr>
                <a:noFill/>
                <a:ln w="25400">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80E-4479-814F-5AEB5C2B64D3}"/>
                </c:ext>
              </c:extLst>
            </c:dLbl>
            <c:dLbl>
              <c:idx val="4"/>
              <c:layout>
                <c:manualLayout>
                  <c:x val="-1.8512972414502903E-2"/>
                  <c:y val="3.0174321329307918E-2"/>
                </c:manualLayout>
              </c:layout>
              <c:numFmt formatCode="#.#00" sourceLinked="0"/>
              <c:spPr>
                <a:noFill/>
                <a:ln w="25400">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80E-4479-814F-5AEB5C2B64D3}"/>
                </c:ext>
              </c:extLst>
            </c:dLbl>
            <c:dLbl>
              <c:idx val="5"/>
              <c:layout>
                <c:manualLayout>
                  <c:xMode val="edge"/>
                  <c:yMode val="edge"/>
                  <c:x val="0.88235294117647056"/>
                  <c:y val="0.27532467532467725"/>
                </c:manualLayout>
              </c:layout>
              <c:numFmt formatCode="#.#00" sourceLinked="0"/>
              <c:spPr>
                <a:noFill/>
                <a:ln w="25400">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80E-4479-814F-5AEB5C2B64D3}"/>
                </c:ext>
              </c:extLst>
            </c:dLbl>
            <c:dLbl>
              <c:idx val="6"/>
              <c:layout>
                <c:manualLayout>
                  <c:xMode val="edge"/>
                  <c:yMode val="edge"/>
                  <c:x val="0.70588235294117663"/>
                  <c:y val="0.79740259740259734"/>
                </c:manualLayout>
              </c:layout>
              <c:numFmt formatCode="#.#00" sourceLinked="0"/>
              <c:spPr>
                <a:noFill/>
                <a:ln w="25400">
                  <a:noFill/>
                </a:ln>
              </c:spPr>
              <c:txPr>
                <a:bodyPr/>
                <a:lstStyle/>
                <a:p>
                  <a:pPr>
                    <a:defRPr lang="es-ES" sz="12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80E-4479-814F-5AEB5C2B64D3}"/>
                </c:ext>
              </c:extLst>
            </c:dLbl>
            <c:dLbl>
              <c:idx val="7"/>
              <c:layout>
                <c:manualLayout>
                  <c:xMode val="edge"/>
                  <c:yMode val="edge"/>
                  <c:x val="0.53781512605042014"/>
                  <c:y val="0.81818181818181945"/>
                </c:manualLayout>
              </c:layout>
              <c:numFmt formatCode="#.#00" sourceLinked="0"/>
              <c:spPr>
                <a:noFill/>
                <a:ln w="25400">
                  <a:noFill/>
                </a:ln>
              </c:spPr>
              <c:txPr>
                <a:bodyPr/>
                <a:lstStyle/>
                <a:p>
                  <a:pPr>
                    <a:defRPr lang="es-ES" sz="12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80E-4479-814F-5AEB5C2B64D3}"/>
                </c:ext>
              </c:extLst>
            </c:dLbl>
            <c:dLbl>
              <c:idx val="8"/>
              <c:layout>
                <c:manualLayout>
                  <c:xMode val="edge"/>
                  <c:yMode val="edge"/>
                  <c:x val="0.5663865546218485"/>
                  <c:y val="0.81818181818181945"/>
                </c:manualLayout>
              </c:layout>
              <c:numFmt formatCode="#.#00" sourceLinked="0"/>
              <c:spPr>
                <a:noFill/>
                <a:ln w="25400">
                  <a:noFill/>
                </a:ln>
              </c:spPr>
              <c:txPr>
                <a:bodyPr/>
                <a:lstStyle/>
                <a:p>
                  <a:pPr>
                    <a:defRPr lang="es-ES" sz="12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80E-4479-814F-5AEB5C2B64D3}"/>
                </c:ext>
              </c:extLst>
            </c:dLbl>
            <c:dLbl>
              <c:idx val="9"/>
              <c:layout>
                <c:manualLayout>
                  <c:xMode val="edge"/>
                  <c:yMode val="edge"/>
                  <c:x val="0.67226890756302682"/>
                  <c:y val="0.81818181818181945"/>
                </c:manualLayout>
              </c:layout>
              <c:numFmt formatCode="#.#00" sourceLinked="0"/>
              <c:spPr>
                <a:noFill/>
                <a:ln w="25400">
                  <a:noFill/>
                </a:ln>
              </c:spPr>
              <c:txPr>
                <a:bodyPr/>
                <a:lstStyle/>
                <a:p>
                  <a:pPr>
                    <a:defRPr lang="es-ES" sz="12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80E-4479-814F-5AEB5C2B64D3}"/>
                </c:ext>
              </c:extLst>
            </c:dLbl>
            <c:numFmt formatCode="#.#00" sourceLinked="0"/>
            <c:spPr>
              <a:noFill/>
              <a:ln w="25400">
                <a:noFill/>
              </a:ln>
            </c:spPr>
            <c:txPr>
              <a:bodyPr wrap="square" lIns="38100" tIns="19050" rIns="38100" bIns="19050" anchor="ctr">
                <a:spAutoFit/>
              </a:bodyPr>
              <a:lstStyle/>
              <a:p>
                <a:pPr>
                  <a:defRPr lang="es-ES" sz="10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Sheet1!$B$1:$J$1</c:f>
              <c:numCache>
                <c:formatCode>General</c:formatCode>
                <c:ptCount val="5"/>
                <c:pt idx="0">
                  <c:v>2011</c:v>
                </c:pt>
                <c:pt idx="1">
                  <c:v>2012</c:v>
                </c:pt>
                <c:pt idx="2">
                  <c:v>2013</c:v>
                </c:pt>
                <c:pt idx="3">
                  <c:v>2014</c:v>
                </c:pt>
                <c:pt idx="4">
                  <c:v>2015</c:v>
                </c:pt>
              </c:numCache>
            </c:numRef>
          </c:cat>
          <c:val>
            <c:numRef>
              <c:f>Sheet1!$B$2:$J$2</c:f>
              <c:numCache>
                <c:formatCode>General</c:formatCode>
                <c:ptCount val="5"/>
                <c:pt idx="0">
                  <c:v>92.3</c:v>
                </c:pt>
                <c:pt idx="1">
                  <c:v>96.4</c:v>
                </c:pt>
                <c:pt idx="2">
                  <c:v>93.2</c:v>
                </c:pt>
                <c:pt idx="3">
                  <c:v>93.3</c:v>
                </c:pt>
                <c:pt idx="4">
                  <c:v>95.2</c:v>
                </c:pt>
              </c:numCache>
            </c:numRef>
          </c:val>
          <c:extLst xmlns:c16r2="http://schemas.microsoft.com/office/drawing/2015/06/chart">
            <c:ext xmlns:c16="http://schemas.microsoft.com/office/drawing/2014/chart" uri="{C3380CC4-5D6E-409C-BE32-E72D297353CC}">
              <c16:uniqueId val="{0000000A-780E-4479-814F-5AEB5C2B64D3}"/>
            </c:ext>
          </c:extLst>
        </c:ser>
        <c:ser>
          <c:idx val="1"/>
          <c:order val="1"/>
          <c:tx>
            <c:strRef>
              <c:f>Sheet1!$A$3</c:f>
              <c:strCache>
                <c:ptCount val="1"/>
                <c:pt idx="0">
                  <c:v>Mujeres</c:v>
                </c:pt>
              </c:strCache>
            </c:strRef>
          </c:tx>
          <c:spPr>
            <a:ln w="25400">
              <a:solidFill>
                <a:srgbClr val="0000FF"/>
              </a:solidFill>
              <a:prstDash val="solid"/>
            </a:ln>
          </c:spPr>
          <c:marker>
            <c:symbol val="square"/>
            <c:size val="4"/>
            <c:spPr>
              <a:solidFill>
                <a:srgbClr val="0000FF"/>
              </a:solidFill>
              <a:ln>
                <a:solidFill>
                  <a:srgbClr val="0000FF"/>
                </a:solidFill>
                <a:prstDash val="solid"/>
              </a:ln>
            </c:spPr>
          </c:marker>
          <c:dLbls>
            <c:dLbl>
              <c:idx val="0"/>
              <c:layout>
                <c:manualLayout>
                  <c:x val="-6.2546463486615023E-2"/>
                  <c:y val="-6.1326495942711542E-2"/>
                </c:manualLayout>
              </c:layout>
              <c:numFmt formatCode="#.#00" sourceLinked="0"/>
              <c:spPr>
                <a:noFill/>
                <a:ln w="25400">
                  <a:noFill/>
                </a:ln>
              </c:spPr>
              <c:txPr>
                <a:bodyPr/>
                <a:lstStyle/>
                <a:p>
                  <a:pPr>
                    <a:defRPr lang="es-ES" sz="975"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80E-4479-814F-5AEB5C2B64D3}"/>
                </c:ext>
              </c:extLst>
            </c:dLbl>
            <c:dLbl>
              <c:idx val="1"/>
              <c:layout>
                <c:manualLayout>
                  <c:x val="-3.7672490803865692E-2"/>
                  <c:y val="-7.5684948245672498E-2"/>
                </c:manualLayout>
              </c:layout>
              <c:numFmt formatCode="#.#00" sourceLinked="0"/>
              <c:spPr>
                <a:noFill/>
                <a:ln w="25400">
                  <a:noFill/>
                </a:ln>
              </c:spPr>
              <c:txPr>
                <a:bodyPr/>
                <a:lstStyle/>
                <a:p>
                  <a:pPr>
                    <a:defRPr lang="es-ES" sz="975"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80E-4479-814F-5AEB5C2B64D3}"/>
                </c:ext>
              </c:extLst>
            </c:dLbl>
            <c:dLbl>
              <c:idx val="2"/>
              <c:layout>
                <c:manualLayout>
                  <c:x val="-3.6328144670757956E-2"/>
                  <c:y val="-5.5799401180044388E-2"/>
                </c:manualLayout>
              </c:layout>
              <c:numFmt formatCode="#.#00" sourceLinked="0"/>
              <c:spPr>
                <a:noFill/>
                <a:ln w="25400">
                  <a:noFill/>
                </a:ln>
              </c:spPr>
              <c:txPr>
                <a:bodyPr/>
                <a:lstStyle/>
                <a:p>
                  <a:pPr>
                    <a:defRPr lang="es-ES" sz="975"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80E-4479-814F-5AEB5C2B64D3}"/>
                </c:ext>
              </c:extLst>
            </c:dLbl>
            <c:dLbl>
              <c:idx val="3"/>
              <c:layout>
                <c:manualLayout>
                  <c:x val="-3.3302911483806992E-2"/>
                  <c:y val="-5.6339717057018589E-2"/>
                </c:manualLayout>
              </c:layout>
              <c:numFmt formatCode="#.#00" sourceLinked="0"/>
              <c:spPr>
                <a:noFill/>
                <a:ln w="25400">
                  <a:noFill/>
                </a:ln>
              </c:spPr>
              <c:txPr>
                <a:bodyPr/>
                <a:lstStyle/>
                <a:p>
                  <a:pPr>
                    <a:defRPr lang="es-ES" sz="975"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780E-4479-814F-5AEB5C2B64D3}"/>
                </c:ext>
              </c:extLst>
            </c:dLbl>
            <c:dLbl>
              <c:idx val="4"/>
              <c:layout>
                <c:manualLayout>
                  <c:x val="-3.8681039641393605E-2"/>
                  <c:y val="-4.322778627960544E-2"/>
                </c:manualLayout>
              </c:layout>
              <c:numFmt formatCode="#.#00" sourceLinked="0"/>
              <c:spPr>
                <a:noFill/>
                <a:ln w="25400">
                  <a:noFill/>
                </a:ln>
              </c:spPr>
              <c:txPr>
                <a:bodyPr/>
                <a:lstStyle/>
                <a:p>
                  <a:pPr>
                    <a:defRPr lang="es-ES" sz="975"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780E-4479-814F-5AEB5C2B64D3}"/>
                </c:ext>
              </c:extLst>
            </c:dLbl>
            <c:numFmt formatCode="#.#00" sourceLinked="0"/>
            <c:spPr>
              <a:noFill/>
              <a:ln w="25400">
                <a:noFill/>
              </a:ln>
            </c:spPr>
            <c:txPr>
              <a:bodyPr wrap="square" lIns="38100" tIns="19050" rIns="38100" bIns="19050" anchor="ctr">
                <a:spAutoFit/>
              </a:bodyPr>
              <a:lstStyle/>
              <a:p>
                <a:pPr>
                  <a:defRPr lang="es-ES" sz="975"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Sheet1!$B$1:$J$1</c:f>
              <c:numCache>
                <c:formatCode>General</c:formatCode>
                <c:ptCount val="5"/>
                <c:pt idx="0">
                  <c:v>2011</c:v>
                </c:pt>
                <c:pt idx="1">
                  <c:v>2012</c:v>
                </c:pt>
                <c:pt idx="2">
                  <c:v>2013</c:v>
                </c:pt>
                <c:pt idx="3">
                  <c:v>2014</c:v>
                </c:pt>
                <c:pt idx="4">
                  <c:v>2015</c:v>
                </c:pt>
              </c:numCache>
            </c:numRef>
          </c:cat>
          <c:val>
            <c:numRef>
              <c:f>Sheet1!$B$3:$J$3</c:f>
              <c:numCache>
                <c:formatCode>General</c:formatCode>
                <c:ptCount val="5"/>
                <c:pt idx="0">
                  <c:v>7.7</c:v>
                </c:pt>
                <c:pt idx="1">
                  <c:v>3.6</c:v>
                </c:pt>
                <c:pt idx="2">
                  <c:v>6.8</c:v>
                </c:pt>
                <c:pt idx="3">
                  <c:v>6.7</c:v>
                </c:pt>
                <c:pt idx="4">
                  <c:v>4.8</c:v>
                </c:pt>
              </c:numCache>
            </c:numRef>
          </c:val>
          <c:extLst xmlns:c16r2="http://schemas.microsoft.com/office/drawing/2015/06/chart">
            <c:ext xmlns:c16="http://schemas.microsoft.com/office/drawing/2014/chart" uri="{C3380CC4-5D6E-409C-BE32-E72D297353CC}">
              <c16:uniqueId val="{00000010-780E-4479-814F-5AEB5C2B64D3}"/>
            </c:ext>
          </c:extLst>
        </c:ser>
        <c:dLbls>
          <c:showVal val="1"/>
        </c:dLbls>
        <c:marker val="1"/>
        <c:axId val="121554432"/>
        <c:axId val="121556352"/>
      </c:lineChart>
      <c:catAx>
        <c:axId val="121554432"/>
        <c:scaling>
          <c:orientation val="minMax"/>
        </c:scaling>
        <c:axPos val="b"/>
        <c:title>
          <c:tx>
            <c:rich>
              <a:bodyPr/>
              <a:lstStyle/>
              <a:p>
                <a:pPr>
                  <a:defRPr lang="es-ES" sz="975"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58655462184873819"/>
              <c:y val="0.86753246753246749"/>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s-ES" sz="875" b="1" i="0" u="none" strike="noStrike" baseline="0">
                <a:solidFill>
                  <a:srgbClr val="000000"/>
                </a:solidFill>
                <a:latin typeface="Times New Roman"/>
                <a:ea typeface="Times New Roman"/>
                <a:cs typeface="Times New Roman"/>
              </a:defRPr>
            </a:pPr>
            <a:endParaRPr lang="es-CR"/>
          </a:p>
        </c:txPr>
        <c:crossAx val="121556352"/>
        <c:crosses val="autoZero"/>
        <c:auto val="1"/>
        <c:lblAlgn val="ctr"/>
        <c:lblOffset val="100"/>
        <c:tickLblSkip val="1"/>
        <c:tickMarkSkip val="1"/>
      </c:catAx>
      <c:valAx>
        <c:axId val="121556352"/>
        <c:scaling>
          <c:orientation val="minMax"/>
          <c:max val="100"/>
          <c:min val="0"/>
        </c:scaling>
        <c:axPos val="l"/>
        <c:majorGridlines>
          <c:spPr>
            <a:ln w="3175">
              <a:solidFill>
                <a:srgbClr val="000000"/>
              </a:solidFill>
              <a:prstDash val="solid"/>
            </a:ln>
          </c:spPr>
        </c:majorGridlines>
        <c:title>
          <c:tx>
            <c:rich>
              <a:bodyPr rot="0" vert="wordArtVert"/>
              <a:lstStyle/>
              <a:p>
                <a:pPr algn="ctr">
                  <a:defRPr lang="es-ES" sz="725" b="1" i="0" u="none" strike="noStrike" baseline="0">
                    <a:solidFill>
                      <a:srgbClr val="000000"/>
                    </a:solidFill>
                    <a:latin typeface="Arial"/>
                    <a:ea typeface="Arial"/>
                    <a:cs typeface="Arial"/>
                  </a:defRPr>
                </a:pPr>
                <a:r>
                  <a:rPr lang="es-CR"/>
                  <a:t>Porcentaje</a:t>
                </a:r>
              </a:p>
            </c:rich>
          </c:tx>
          <c:layout>
            <c:manualLayout>
              <c:xMode val="edge"/>
              <c:yMode val="edge"/>
              <c:x val="3.3613445378151259E-2"/>
              <c:y val="0.29350649350649388"/>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s-ES" sz="875" b="1" i="0" u="none" strike="noStrike" baseline="0">
                <a:solidFill>
                  <a:srgbClr val="000000"/>
                </a:solidFill>
                <a:latin typeface="Times New Roman"/>
                <a:ea typeface="Times New Roman"/>
                <a:cs typeface="Times New Roman"/>
              </a:defRPr>
            </a:pPr>
            <a:endParaRPr lang="es-CR"/>
          </a:p>
        </c:txPr>
        <c:crossAx val="121554432"/>
        <c:crosses val="autoZero"/>
        <c:crossBetween val="between"/>
      </c:valAx>
      <c:spPr>
        <a:solidFill>
          <a:srgbClr val="FFFFCC"/>
        </a:solidFill>
        <a:ln w="12700">
          <a:solidFill>
            <a:srgbClr val="808080"/>
          </a:solidFill>
          <a:prstDash val="solid"/>
        </a:ln>
      </c:spPr>
    </c:plotArea>
    <c:legend>
      <c:legendPos val="r"/>
      <c:layout>
        <c:manualLayout>
          <c:xMode val="edge"/>
          <c:yMode val="edge"/>
          <c:x val="0.6857142857142855"/>
          <c:y val="0.4701298701298714"/>
          <c:w val="0.22689075630252101"/>
          <c:h val="0.11168831168831156"/>
        </c:manualLayout>
      </c:layout>
      <c:spPr>
        <a:solidFill>
          <a:srgbClr val="CCFFFF"/>
        </a:solidFill>
        <a:ln w="3175">
          <a:solidFill>
            <a:srgbClr val="000000"/>
          </a:solidFill>
          <a:prstDash val="solid"/>
        </a:ln>
        <a:effectLst>
          <a:outerShdw dist="35921" dir="2700000" algn="br">
            <a:srgbClr val="000000"/>
          </a:outerShdw>
        </a:effectLst>
      </c:spPr>
      <c:txPr>
        <a:bodyPr/>
        <a:lstStyle/>
        <a:p>
          <a:pPr>
            <a:defRPr lang="es-ES" sz="825" b="0" i="0" u="none" strike="noStrike" baseline="0">
              <a:solidFill>
                <a:srgbClr val="000000"/>
              </a:solidFill>
              <a:latin typeface="Times New Roman"/>
              <a:ea typeface="Times New Roman"/>
              <a:cs typeface="Times New Roman"/>
            </a:defRPr>
          </a:pPr>
          <a:endParaRPr lang="es-CR"/>
        </a:p>
      </c:txPr>
    </c:legend>
    <c:plotVisOnly val="1"/>
    <c:dispBlanksAs val="gap"/>
  </c:chart>
  <c:spPr>
    <a:gradFill rotWithShape="0">
      <a:gsLst>
        <a:gs pos="0">
          <a:srgbClr val="020202">
            <a:gamma/>
            <a:shade val="82353"/>
            <a:invGamma/>
          </a:srgbClr>
        </a:gs>
        <a:gs pos="100000">
          <a:srgbClr val="CCFFFF"/>
        </a:gs>
      </a:gsLst>
      <a:lin ang="5400000" scaled="1"/>
    </a:gradFill>
    <a:ln w="3175">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1"/>
  <c:userShapes r:id="rId2"/>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es-CR"/>
  <c:chart>
    <c:title>
      <c:tx>
        <c:rich>
          <a:bodyPr/>
          <a:lstStyle/>
          <a:p>
            <a:pPr>
              <a:defRPr lang="es-ES" sz="1000" b="1" i="0" u="none" strike="noStrike" baseline="0">
                <a:solidFill>
                  <a:srgbClr val="000000"/>
                </a:solidFill>
                <a:latin typeface="Times New Roman"/>
                <a:ea typeface="Times New Roman"/>
                <a:cs typeface="Times New Roman"/>
              </a:defRPr>
            </a:pPr>
            <a:r>
              <a:rPr lang="es-CR"/>
              <a:t>Gráfico Nº 60
Tasa de personas menores condenadas. 2011 - 2015
(datos por mil acusadas/acusados de infringir la Ley PJ)
</a:t>
            </a:r>
          </a:p>
        </c:rich>
      </c:tx>
      <c:layout>
        <c:manualLayout>
          <c:xMode val="edge"/>
          <c:yMode val="edge"/>
          <c:x val="0.19243421052631624"/>
          <c:y val="0"/>
        </c:manualLayout>
      </c:layout>
      <c:spPr>
        <a:noFill/>
        <a:ln w="25399">
          <a:noFill/>
        </a:ln>
      </c:spPr>
    </c:title>
    <c:plotArea>
      <c:layout>
        <c:manualLayout>
          <c:layoutTarget val="inner"/>
          <c:xMode val="edge"/>
          <c:yMode val="edge"/>
          <c:x val="0.15131578947368424"/>
          <c:y val="0.26775956284152974"/>
          <c:w val="0.8092105263157896"/>
          <c:h val="0.48087431693989197"/>
        </c:manualLayout>
      </c:layout>
      <c:lineChart>
        <c:grouping val="standard"/>
        <c:ser>
          <c:idx val="1"/>
          <c:order val="0"/>
          <c:tx>
            <c:strRef>
              <c:f>Sheet1!$A$2</c:f>
              <c:strCache>
                <c:ptCount val="1"/>
              </c:strCache>
            </c:strRef>
          </c:tx>
          <c:spPr>
            <a:ln w="25399">
              <a:solidFill>
                <a:srgbClr val="0000FF"/>
              </a:solidFill>
              <a:prstDash val="solid"/>
            </a:ln>
          </c:spPr>
          <c:marker>
            <c:symbol val="square"/>
            <c:size val="4"/>
            <c:spPr>
              <a:solidFill>
                <a:srgbClr val="0000FF"/>
              </a:solidFill>
              <a:ln>
                <a:solidFill>
                  <a:srgbClr val="0000FF"/>
                </a:solidFill>
                <a:prstDash val="solid"/>
              </a:ln>
            </c:spPr>
          </c:marker>
          <c:dLbls>
            <c:dLbl>
              <c:idx val="0"/>
              <c:layout>
                <c:manualLayout>
                  <c:x val="-6.1380950230411534E-2"/>
                  <c:y val="-5.7912582723572005E-2"/>
                </c:manualLayout>
              </c:layout>
              <c:numFmt formatCode="#.#00" sourceLinked="0"/>
              <c:spPr>
                <a:noFill/>
                <a:ln w="25399">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8E9-429F-A247-311393778B93}"/>
                </c:ext>
              </c:extLst>
            </c:dLbl>
            <c:dLbl>
              <c:idx val="1"/>
              <c:layout>
                <c:manualLayout>
                  <c:x val="-3.4078362927306233E-2"/>
                  <c:y val="-6.1980700292473663E-2"/>
                </c:manualLayout>
              </c:layout>
              <c:numFmt formatCode="#.#00" sourceLinked="0"/>
              <c:spPr>
                <a:noFill/>
                <a:ln w="25399">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8E9-429F-A247-311393778B93}"/>
                </c:ext>
              </c:extLst>
            </c:dLbl>
            <c:dLbl>
              <c:idx val="2"/>
              <c:layout>
                <c:manualLayout>
                  <c:x val="-3.8025775624200807E-2"/>
                  <c:y val="-5.3711113979605103E-2"/>
                </c:manualLayout>
              </c:layout>
              <c:numFmt formatCode="#.#00" sourceLinked="0"/>
              <c:spPr>
                <a:noFill/>
                <a:ln w="25399">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8E9-429F-A247-311393778B93}"/>
                </c:ext>
              </c:extLst>
            </c:dLbl>
            <c:dLbl>
              <c:idx val="3"/>
              <c:layout>
                <c:manualLayout>
                  <c:x val="-3.5394030642424752E-2"/>
                  <c:y val="-5.2909807343089026E-2"/>
                </c:manualLayout>
              </c:layout>
              <c:numFmt formatCode="#.#00" sourceLinked="0"/>
              <c:spPr>
                <a:noFill/>
                <a:ln w="25399">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8E9-429F-A247-311393778B93}"/>
                </c:ext>
              </c:extLst>
            </c:dLbl>
            <c:dLbl>
              <c:idx val="4"/>
              <c:layout>
                <c:manualLayout>
                  <c:x val="-4.5920390707740392E-2"/>
                  <c:y val="-4.8598990410294529E-2"/>
                </c:manualLayout>
              </c:layout>
              <c:numFmt formatCode="#.#00" sourceLinked="0"/>
              <c:spPr>
                <a:noFill/>
                <a:ln w="25399">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8E9-429F-A247-311393778B93}"/>
                </c:ext>
              </c:extLst>
            </c:dLbl>
            <c:numFmt formatCode="#.#00" sourceLinked="0"/>
            <c:spPr>
              <a:noFill/>
              <a:ln w="25399">
                <a:noFill/>
              </a:ln>
            </c:spPr>
            <c:txPr>
              <a:bodyPr wrap="square" lIns="38100" tIns="19050" rIns="38100" bIns="19050" anchor="ctr">
                <a:spAutoFit/>
              </a:bodyPr>
              <a:lstStyle/>
              <a:p>
                <a:pPr>
                  <a:defRPr lang="es-ES" sz="10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Sheet1!$B$1:$K$1</c:f>
              <c:numCache>
                <c:formatCode>General</c:formatCode>
                <c:ptCount val="5"/>
                <c:pt idx="0">
                  <c:v>2011</c:v>
                </c:pt>
                <c:pt idx="1">
                  <c:v>2012</c:v>
                </c:pt>
                <c:pt idx="2">
                  <c:v>2013</c:v>
                </c:pt>
                <c:pt idx="3">
                  <c:v>2014</c:v>
                </c:pt>
                <c:pt idx="4">
                  <c:v>2015</c:v>
                </c:pt>
              </c:numCache>
            </c:numRef>
          </c:cat>
          <c:val>
            <c:numRef>
              <c:f>Sheet1!$B$2:$K$2</c:f>
              <c:numCache>
                <c:formatCode>General</c:formatCode>
                <c:ptCount val="5"/>
                <c:pt idx="0">
                  <c:v>17.7</c:v>
                </c:pt>
                <c:pt idx="1">
                  <c:v>23.2</c:v>
                </c:pt>
                <c:pt idx="2">
                  <c:v>31.9</c:v>
                </c:pt>
                <c:pt idx="3">
                  <c:v>37.6</c:v>
                </c:pt>
                <c:pt idx="4">
                  <c:v>31.1</c:v>
                </c:pt>
              </c:numCache>
            </c:numRef>
          </c:val>
          <c:extLst xmlns:c16r2="http://schemas.microsoft.com/office/drawing/2015/06/chart">
            <c:ext xmlns:c16="http://schemas.microsoft.com/office/drawing/2014/chart" uri="{C3380CC4-5D6E-409C-BE32-E72D297353CC}">
              <c16:uniqueId val="{00000005-68E9-429F-A247-311393778B93}"/>
            </c:ext>
          </c:extLst>
        </c:ser>
        <c:dLbls>
          <c:showVal val="1"/>
        </c:dLbls>
        <c:marker val="1"/>
        <c:axId val="121481088"/>
        <c:axId val="121495552"/>
      </c:lineChart>
      <c:catAx>
        <c:axId val="121481088"/>
        <c:scaling>
          <c:orientation val="minMax"/>
        </c:scaling>
        <c:axPos val="b"/>
        <c:title>
          <c:tx>
            <c:rich>
              <a:bodyPr/>
              <a:lstStyle/>
              <a:p>
                <a:pPr>
                  <a:defRPr lang="es-ES" sz="1125"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58881578947368429"/>
              <c:y val="0.86065573770491921"/>
            </c:manualLayout>
          </c:layout>
          <c:spPr>
            <a:noFill/>
            <a:ln w="25399">
              <a:noFill/>
            </a:ln>
          </c:spPr>
        </c:title>
        <c:numFmt formatCode="General" sourceLinked="1"/>
        <c:tickLblPos val="nextTo"/>
        <c:spPr>
          <a:ln w="3175">
            <a:solidFill>
              <a:srgbClr val="000000"/>
            </a:solidFill>
            <a:prstDash val="solid"/>
          </a:ln>
        </c:spPr>
        <c:txPr>
          <a:bodyPr rot="0" vert="horz"/>
          <a:lstStyle/>
          <a:p>
            <a:pPr>
              <a:defRPr lang="es-ES" sz="1125" b="1" i="0" u="none" strike="noStrike" baseline="0">
                <a:solidFill>
                  <a:srgbClr val="000000"/>
                </a:solidFill>
                <a:latin typeface="Times New Roman"/>
                <a:ea typeface="Times New Roman"/>
                <a:cs typeface="Times New Roman"/>
              </a:defRPr>
            </a:pPr>
            <a:endParaRPr lang="es-CR"/>
          </a:p>
        </c:txPr>
        <c:crossAx val="121495552"/>
        <c:crosses val="autoZero"/>
        <c:auto val="1"/>
        <c:lblAlgn val="ctr"/>
        <c:lblOffset val="100"/>
        <c:tickLblSkip val="1"/>
        <c:tickMarkSkip val="1"/>
      </c:catAx>
      <c:valAx>
        <c:axId val="121495552"/>
        <c:scaling>
          <c:orientation val="minMax"/>
          <c:max val="45"/>
          <c:min val="0"/>
        </c:scaling>
        <c:axPos val="l"/>
        <c:majorGridlines>
          <c:spPr>
            <a:ln w="3175">
              <a:solidFill>
                <a:srgbClr val="000000"/>
              </a:solidFill>
              <a:prstDash val="solid"/>
            </a:ln>
          </c:spPr>
        </c:majorGridlines>
        <c:title>
          <c:tx>
            <c:rich>
              <a:bodyPr rot="0" vert="wordArtVert"/>
              <a:lstStyle/>
              <a:p>
                <a:pPr algn="ctr">
                  <a:defRPr lang="es-ES" sz="1125" b="1" i="0" u="none" strike="noStrike" baseline="0">
                    <a:solidFill>
                      <a:srgbClr val="000000"/>
                    </a:solidFill>
                    <a:latin typeface="Times New Roman"/>
                    <a:ea typeface="Times New Roman"/>
                    <a:cs typeface="Times New Roman"/>
                  </a:defRPr>
                </a:pPr>
                <a:r>
                  <a:rPr lang="es-CR"/>
                  <a:t>TASA</a:t>
                </a:r>
              </a:p>
            </c:rich>
          </c:tx>
          <c:layout>
            <c:manualLayout>
              <c:xMode val="edge"/>
              <c:yMode val="edge"/>
              <c:x val="9.8684210526315801E-3"/>
              <c:y val="0.35792349726776079"/>
            </c:manualLayout>
          </c:layout>
          <c:spPr>
            <a:noFill/>
            <a:ln w="25399">
              <a:noFill/>
            </a:ln>
          </c:spPr>
        </c:title>
        <c:numFmt formatCode="General" sourceLinked="1"/>
        <c:tickLblPos val="nextTo"/>
        <c:spPr>
          <a:ln w="3175">
            <a:solidFill>
              <a:srgbClr val="000000"/>
            </a:solidFill>
            <a:prstDash val="solid"/>
          </a:ln>
        </c:spPr>
        <c:txPr>
          <a:bodyPr rot="0" vert="horz"/>
          <a:lstStyle/>
          <a:p>
            <a:pPr>
              <a:defRPr lang="es-ES" sz="1125" b="1" i="0" u="none" strike="noStrike" baseline="0">
                <a:solidFill>
                  <a:srgbClr val="000000"/>
                </a:solidFill>
                <a:latin typeface="Times New Roman"/>
                <a:ea typeface="Times New Roman"/>
                <a:cs typeface="Times New Roman"/>
              </a:defRPr>
            </a:pPr>
            <a:endParaRPr lang="es-CR"/>
          </a:p>
        </c:txPr>
        <c:crossAx val="121481088"/>
        <c:crosses val="autoZero"/>
        <c:crossBetween val="between"/>
        <c:majorUnit val="5"/>
      </c:valAx>
      <c:spPr>
        <a:solidFill>
          <a:srgbClr val="CCFFCC"/>
        </a:solidFill>
        <a:ln w="12699">
          <a:solidFill>
            <a:srgbClr val="808080"/>
          </a:solidFill>
          <a:prstDash val="solid"/>
        </a:ln>
      </c:spPr>
    </c:plotArea>
    <c:plotVisOnly val="1"/>
    <c:dispBlanksAs val="gap"/>
  </c:chart>
  <c:spPr>
    <a:gradFill rotWithShape="0">
      <a:gsLst>
        <a:gs pos="0">
          <a:srgbClr val="CCFFFF"/>
        </a:gs>
        <a:gs pos="50000">
          <a:srgbClr val="010101">
            <a:gamma/>
            <a:shade val="69804"/>
            <a:invGamma/>
          </a:srgbClr>
        </a:gs>
        <a:gs pos="100000">
          <a:srgbClr val="CCFFFF"/>
        </a:gs>
      </a:gsLst>
      <a:lin ang="0" scaled="1"/>
    </a:gradFill>
    <a:ln w="3175">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1"/>
  <c:userShapes r:id="rId2"/>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es-CR"/>
  <c:chart>
    <c:title>
      <c:tx>
        <c:rich>
          <a:bodyPr/>
          <a:lstStyle/>
          <a:p>
            <a:pPr>
              <a:defRPr lang="es-ES" sz="975" b="1" i="0" u="none" strike="noStrike" baseline="0">
                <a:solidFill>
                  <a:srgbClr val="000000"/>
                </a:solidFill>
                <a:latin typeface="Times New Roman"/>
                <a:ea typeface="Times New Roman"/>
                <a:cs typeface="Times New Roman"/>
              </a:defRPr>
            </a:pPr>
            <a:r>
              <a:rPr lang="es-CR"/>
              <a:t>Gráfico Nº 61
Tasa de condena juvenil. 2011 - 2015
(datos por cada mil personas menores entre 12 y 17 años)
</a:t>
            </a:r>
          </a:p>
        </c:rich>
      </c:tx>
      <c:layout>
        <c:manualLayout>
          <c:xMode val="edge"/>
          <c:yMode val="edge"/>
          <c:x val="0.21212121212121221"/>
          <c:y val="0"/>
        </c:manualLayout>
      </c:layout>
      <c:spPr>
        <a:noFill/>
        <a:ln w="25399">
          <a:noFill/>
        </a:ln>
      </c:spPr>
    </c:title>
    <c:plotArea>
      <c:layout>
        <c:manualLayout>
          <c:layoutTarget val="inner"/>
          <c:xMode val="edge"/>
          <c:yMode val="edge"/>
          <c:x val="0.16161616161616171"/>
          <c:y val="0.29974811083123426"/>
          <c:w val="0.79797979797979923"/>
          <c:h val="0.47103274559193953"/>
        </c:manualLayout>
      </c:layout>
      <c:lineChart>
        <c:grouping val="standard"/>
        <c:ser>
          <c:idx val="1"/>
          <c:order val="0"/>
          <c:tx>
            <c:strRef>
              <c:f>Sheet1!$A$2</c:f>
              <c:strCache>
                <c:ptCount val="1"/>
              </c:strCache>
            </c:strRef>
          </c:tx>
          <c:spPr>
            <a:ln w="25399">
              <a:solidFill>
                <a:srgbClr val="0000FF"/>
              </a:solidFill>
              <a:prstDash val="solid"/>
            </a:ln>
          </c:spPr>
          <c:marker>
            <c:symbol val="square"/>
            <c:size val="4"/>
            <c:spPr>
              <a:solidFill>
                <a:srgbClr val="0000FF"/>
              </a:solidFill>
              <a:ln>
                <a:solidFill>
                  <a:srgbClr val="0000FF"/>
                </a:solidFill>
                <a:prstDash val="solid"/>
              </a:ln>
            </c:spPr>
          </c:marker>
          <c:dLbls>
            <c:dLbl>
              <c:idx val="0"/>
              <c:layout>
                <c:manualLayout>
                  <c:x val="-6.1472604362109995E-2"/>
                  <c:y val="-5.8628753195117546E-2"/>
                </c:manualLayout>
              </c:layout>
              <c:numFmt formatCode="#.#00" sourceLinked="0"/>
              <c:spPr>
                <a:noFill/>
                <a:ln w="25399">
                  <a:noFill/>
                </a:ln>
              </c:spPr>
              <c:txPr>
                <a:bodyPr/>
                <a:lstStyle/>
                <a:p>
                  <a:pPr>
                    <a:defRPr lang="es-ES" sz="12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9E1-40EA-AEFD-CF4F71C788D1}"/>
                </c:ext>
              </c:extLst>
            </c:dLbl>
            <c:dLbl>
              <c:idx val="1"/>
              <c:layout>
                <c:manualLayout>
                  <c:x val="-3.4199890127991406E-2"/>
                  <c:y val="-6.2323269340297124E-2"/>
                </c:manualLayout>
              </c:layout>
              <c:numFmt formatCode="#.#00" sourceLinked="0"/>
              <c:spPr>
                <a:noFill/>
                <a:ln w="25399">
                  <a:noFill/>
                </a:ln>
              </c:spPr>
              <c:txPr>
                <a:bodyPr/>
                <a:lstStyle/>
                <a:p>
                  <a:pPr>
                    <a:defRPr lang="es-ES" sz="12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9E1-40EA-AEFD-CF4F71C788D1}"/>
                </c:ext>
              </c:extLst>
            </c:dLbl>
            <c:dLbl>
              <c:idx val="2"/>
              <c:layout>
                <c:manualLayout>
                  <c:x val="-3.7230206196903273E-2"/>
                  <c:y val="-5.4934554806828684E-2"/>
                </c:manualLayout>
              </c:layout>
              <c:numFmt formatCode="#.#00" sourceLinked="0"/>
              <c:spPr>
                <a:noFill/>
                <a:ln w="25399">
                  <a:noFill/>
                </a:ln>
              </c:spPr>
              <c:txPr>
                <a:bodyPr/>
                <a:lstStyle/>
                <a:p>
                  <a:pPr>
                    <a:defRPr lang="es-ES" sz="12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9E1-40EA-AEFD-CF4F71C788D1}"/>
                </c:ext>
              </c:extLst>
            </c:dLbl>
            <c:dLbl>
              <c:idx val="3"/>
              <c:layout>
                <c:manualLayout>
                  <c:x val="-3.3526515531807848E-2"/>
                  <c:y val="-5.3758930349306552E-2"/>
                </c:manualLayout>
              </c:layout>
              <c:numFmt formatCode="#.#00" sourceLinked="0"/>
              <c:spPr>
                <a:noFill/>
                <a:ln w="25399">
                  <a:noFill/>
                </a:ln>
              </c:spPr>
              <c:txPr>
                <a:bodyPr/>
                <a:lstStyle/>
                <a:p>
                  <a:pPr>
                    <a:defRPr lang="es-ES" sz="12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9E1-40EA-AEFD-CF4F71C788D1}"/>
                </c:ext>
              </c:extLst>
            </c:dLbl>
            <c:dLbl>
              <c:idx val="4"/>
              <c:layout>
                <c:manualLayout>
                  <c:x val="-3.318982823371619E-2"/>
                  <c:y val="-7.0047904932773283E-2"/>
                </c:manualLayout>
              </c:layout>
              <c:numFmt formatCode="#.#00" sourceLinked="0"/>
              <c:spPr>
                <a:noFill/>
                <a:ln w="25399">
                  <a:noFill/>
                </a:ln>
              </c:spPr>
              <c:txPr>
                <a:bodyPr/>
                <a:lstStyle/>
                <a:p>
                  <a:pPr>
                    <a:defRPr lang="es-ES" sz="12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9E1-40EA-AEFD-CF4F71C788D1}"/>
                </c:ext>
              </c:extLst>
            </c:dLbl>
            <c:numFmt formatCode="#.#00" sourceLinked="0"/>
            <c:spPr>
              <a:noFill/>
              <a:ln w="25399">
                <a:noFill/>
              </a:ln>
            </c:spPr>
            <c:txPr>
              <a:bodyPr wrap="square" lIns="38100" tIns="19050" rIns="38100" bIns="19050" anchor="ctr">
                <a:spAutoFit/>
              </a:bodyPr>
              <a:lstStyle/>
              <a:p>
                <a:pPr>
                  <a:defRPr lang="es-ES" sz="12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Sheet1!$B$1:$K$1</c:f>
              <c:numCache>
                <c:formatCode>General</c:formatCode>
                <c:ptCount val="5"/>
                <c:pt idx="0">
                  <c:v>2011</c:v>
                </c:pt>
                <c:pt idx="1">
                  <c:v>2012</c:v>
                </c:pt>
                <c:pt idx="2">
                  <c:v>2013</c:v>
                </c:pt>
                <c:pt idx="3">
                  <c:v>2014</c:v>
                </c:pt>
                <c:pt idx="4">
                  <c:v>2015</c:v>
                </c:pt>
              </c:numCache>
            </c:numRef>
          </c:cat>
          <c:val>
            <c:numRef>
              <c:f>Sheet1!$B$2:$K$2</c:f>
              <c:numCache>
                <c:formatCode>General</c:formatCode>
                <c:ptCount val="5"/>
                <c:pt idx="0">
                  <c:v>0.70000000000000062</c:v>
                </c:pt>
                <c:pt idx="1">
                  <c:v>0.60000000000000064</c:v>
                </c:pt>
                <c:pt idx="2">
                  <c:v>0.8</c:v>
                </c:pt>
                <c:pt idx="3">
                  <c:v>0.9</c:v>
                </c:pt>
                <c:pt idx="4">
                  <c:v>0.8</c:v>
                </c:pt>
              </c:numCache>
            </c:numRef>
          </c:val>
          <c:extLst xmlns:c16r2="http://schemas.microsoft.com/office/drawing/2015/06/chart">
            <c:ext xmlns:c16="http://schemas.microsoft.com/office/drawing/2014/chart" uri="{C3380CC4-5D6E-409C-BE32-E72D297353CC}">
              <c16:uniqueId val="{00000005-29E1-40EA-AEFD-CF4F71C788D1}"/>
            </c:ext>
          </c:extLst>
        </c:ser>
        <c:dLbls>
          <c:showVal val="1"/>
        </c:dLbls>
        <c:marker val="1"/>
        <c:axId val="121603968"/>
        <c:axId val="121638912"/>
      </c:lineChart>
      <c:catAx>
        <c:axId val="121603968"/>
        <c:scaling>
          <c:orientation val="minMax"/>
        </c:scaling>
        <c:axPos val="b"/>
        <c:title>
          <c:tx>
            <c:rich>
              <a:bodyPr/>
              <a:lstStyle/>
              <a:p>
                <a:pPr>
                  <a:defRPr lang="es-ES" sz="1100"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60437710437710435"/>
              <c:y val="0.86397984886650014"/>
            </c:manualLayout>
          </c:layout>
          <c:spPr>
            <a:noFill/>
            <a:ln w="25399">
              <a:noFill/>
            </a:ln>
          </c:spPr>
        </c:title>
        <c:numFmt formatCode="General" sourceLinked="1"/>
        <c:tickLblPos val="nextTo"/>
        <c:spPr>
          <a:ln w="3175">
            <a:solidFill>
              <a:srgbClr val="000000"/>
            </a:solidFill>
            <a:prstDash val="solid"/>
          </a:ln>
        </c:spPr>
        <c:txPr>
          <a:bodyPr rot="0" vert="horz"/>
          <a:lstStyle/>
          <a:p>
            <a:pPr>
              <a:defRPr lang="es-ES" sz="1100" b="1" i="0" u="none" strike="noStrike" baseline="0">
                <a:solidFill>
                  <a:srgbClr val="000000"/>
                </a:solidFill>
                <a:latin typeface="Times New Roman"/>
                <a:ea typeface="Times New Roman"/>
                <a:cs typeface="Times New Roman"/>
              </a:defRPr>
            </a:pPr>
            <a:endParaRPr lang="es-CR"/>
          </a:p>
        </c:txPr>
        <c:crossAx val="121638912"/>
        <c:crosses val="autoZero"/>
        <c:auto val="1"/>
        <c:lblAlgn val="ctr"/>
        <c:lblOffset val="100"/>
        <c:tickLblSkip val="1"/>
        <c:tickMarkSkip val="1"/>
      </c:catAx>
      <c:valAx>
        <c:axId val="121638912"/>
        <c:scaling>
          <c:orientation val="minMax"/>
          <c:max val="1.5"/>
          <c:min val="0"/>
        </c:scaling>
        <c:axPos val="l"/>
        <c:majorGridlines>
          <c:spPr>
            <a:ln w="3175">
              <a:solidFill>
                <a:srgbClr val="000000"/>
              </a:solidFill>
              <a:prstDash val="solid"/>
            </a:ln>
          </c:spPr>
        </c:majorGridlines>
        <c:title>
          <c:tx>
            <c:rich>
              <a:bodyPr rot="0" vert="wordArtVert"/>
              <a:lstStyle/>
              <a:p>
                <a:pPr algn="ctr">
                  <a:defRPr lang="es-ES" sz="1100" b="1" i="0" u="none" strike="noStrike" baseline="0">
                    <a:solidFill>
                      <a:srgbClr val="000000"/>
                    </a:solidFill>
                    <a:latin typeface="Times New Roman"/>
                    <a:ea typeface="Times New Roman"/>
                    <a:cs typeface="Times New Roman"/>
                  </a:defRPr>
                </a:pPr>
                <a:r>
                  <a:rPr lang="es-CR"/>
                  <a:t>TASA</a:t>
                </a:r>
              </a:p>
            </c:rich>
          </c:tx>
          <c:layout>
            <c:manualLayout>
              <c:xMode val="edge"/>
              <c:yMode val="edge"/>
              <c:x val="1.5151515151515173E-2"/>
              <c:y val="0.40806045340050384"/>
            </c:manualLayout>
          </c:layout>
          <c:spPr>
            <a:noFill/>
            <a:ln w="25399">
              <a:noFill/>
            </a:ln>
          </c:spPr>
        </c:title>
        <c:numFmt formatCode="General" sourceLinked="1"/>
        <c:tickLblPos val="nextTo"/>
        <c:spPr>
          <a:ln w="3175">
            <a:solidFill>
              <a:srgbClr val="000000"/>
            </a:solidFill>
            <a:prstDash val="solid"/>
          </a:ln>
        </c:spPr>
        <c:txPr>
          <a:bodyPr rot="0" vert="horz"/>
          <a:lstStyle/>
          <a:p>
            <a:pPr>
              <a:defRPr lang="es-ES" sz="1100" b="1" i="0" u="none" strike="noStrike" baseline="0">
                <a:solidFill>
                  <a:srgbClr val="000000"/>
                </a:solidFill>
                <a:latin typeface="Times New Roman"/>
                <a:ea typeface="Times New Roman"/>
                <a:cs typeface="Times New Roman"/>
              </a:defRPr>
            </a:pPr>
            <a:endParaRPr lang="es-CR"/>
          </a:p>
        </c:txPr>
        <c:crossAx val="121603968"/>
        <c:crosses val="autoZero"/>
        <c:crossBetween val="between"/>
        <c:majorUnit val="0.5"/>
        <c:minorUnit val="0.5"/>
      </c:valAx>
      <c:spPr>
        <a:solidFill>
          <a:srgbClr val="FFFF99"/>
        </a:solidFill>
        <a:ln w="12700">
          <a:solidFill>
            <a:srgbClr val="808080"/>
          </a:solidFill>
          <a:prstDash val="solid"/>
        </a:ln>
      </c:spPr>
    </c:plotArea>
    <c:plotVisOnly val="1"/>
    <c:dispBlanksAs val="gap"/>
  </c:chart>
  <c:spPr>
    <a:gradFill rotWithShape="0">
      <a:gsLst>
        <a:gs pos="0">
          <a:srgbClr val="CCFFFF"/>
        </a:gs>
        <a:gs pos="100000">
          <a:srgbClr val="010101">
            <a:gamma/>
            <a:shade val="69804"/>
            <a:invGamma/>
          </a:srgbClr>
        </a:gs>
      </a:gsLst>
      <a:lin ang="18900000" scaled="1"/>
    </a:gradFill>
    <a:ln w="3175">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1"/>
  <c:userShapes r:id="rId2"/>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es-CR"/>
  <c:chart>
    <c:title>
      <c:tx>
        <c:rich>
          <a:bodyPr/>
          <a:lstStyle/>
          <a:p>
            <a:pPr>
              <a:defRPr lang="es-ES" sz="1000" b="1" i="0" u="none" strike="noStrike" baseline="0">
                <a:solidFill>
                  <a:srgbClr val="000000"/>
                </a:solidFill>
                <a:latin typeface="Times New Roman"/>
                <a:ea typeface="Times New Roman"/>
                <a:cs typeface="Times New Roman"/>
              </a:defRPr>
            </a:pPr>
            <a:r>
              <a:rPr lang="es-CR"/>
              <a:t>Gráfico Nº 62
Edad promedio de las personas menores condenadas. 2011 - 2015
</a:t>
            </a:r>
          </a:p>
        </c:rich>
      </c:tx>
      <c:layout>
        <c:manualLayout>
          <c:xMode val="edge"/>
          <c:yMode val="edge"/>
          <c:x val="0.1398026315789474"/>
          <c:y val="0"/>
        </c:manualLayout>
      </c:layout>
      <c:spPr>
        <a:noFill/>
        <a:ln w="25399">
          <a:noFill/>
        </a:ln>
      </c:spPr>
    </c:title>
    <c:view3D>
      <c:hPercent val="46"/>
      <c:depthPercent val="100"/>
      <c:rAngAx val="1"/>
    </c:view3D>
    <c:floor>
      <c:spPr>
        <a:solidFill>
          <a:srgbClr val="C0C0C0"/>
        </a:solidFill>
        <a:ln w="3175">
          <a:solidFill>
            <a:srgbClr val="000000"/>
          </a:solidFill>
          <a:prstDash val="solid"/>
        </a:ln>
      </c:spPr>
    </c:floor>
    <c:sideWall>
      <c:spPr>
        <a:solidFill>
          <a:srgbClr val="FFFFCC"/>
        </a:solidFill>
        <a:ln w="12700">
          <a:solidFill>
            <a:srgbClr val="808080"/>
          </a:solidFill>
          <a:prstDash val="solid"/>
        </a:ln>
      </c:spPr>
    </c:sideWall>
    <c:backWall>
      <c:spPr>
        <a:solidFill>
          <a:srgbClr val="FFFFCC"/>
        </a:solidFill>
        <a:ln w="12700">
          <a:solidFill>
            <a:srgbClr val="808080"/>
          </a:solidFill>
          <a:prstDash val="solid"/>
        </a:ln>
      </c:spPr>
    </c:backWall>
    <c:plotArea>
      <c:layout>
        <c:manualLayout>
          <c:layoutTarget val="inner"/>
          <c:xMode val="edge"/>
          <c:yMode val="edge"/>
          <c:x val="8.3881578947368446E-2"/>
          <c:y val="0.19125683060109291"/>
          <c:w val="0.89967105263158254"/>
          <c:h val="0.55191256830600977"/>
        </c:manualLayout>
      </c:layout>
      <c:bar3DChart>
        <c:barDir val="col"/>
        <c:grouping val="clustered"/>
        <c:ser>
          <c:idx val="0"/>
          <c:order val="0"/>
          <c:tx>
            <c:strRef>
              <c:f>Sheet1!$A$2</c:f>
              <c:strCache>
                <c:ptCount val="1"/>
                <c:pt idx="0">
                  <c:v>Edad</c:v>
                </c:pt>
              </c:strCache>
            </c:strRef>
          </c:tx>
          <c:spPr>
            <a:solidFill>
              <a:srgbClr val="9999FF"/>
            </a:solidFill>
            <a:ln w="25399">
              <a:solidFill>
                <a:srgbClr val="0000FF"/>
              </a:solidFill>
              <a:prstDash val="solid"/>
            </a:ln>
          </c:spPr>
          <c:dLbls>
            <c:dLbl>
              <c:idx val="0"/>
              <c:layout>
                <c:manualLayout>
                  <c:x val="4.1988264245309437E-2"/>
                  <c:y val="-2.9569533305804807E-2"/>
                </c:manualLayout>
              </c:layout>
              <c:numFmt formatCode="#.#00" sourceLinked="0"/>
              <c:spPr>
                <a:noFill/>
                <a:ln w="25399">
                  <a:noFill/>
                </a:ln>
              </c:spPr>
              <c:txPr>
                <a:bodyPr/>
                <a:lstStyle/>
                <a:p>
                  <a:pPr>
                    <a:defRPr lang="es-ES" sz="1125"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DBD-49DC-9E99-6D73060E7620}"/>
                </c:ext>
              </c:extLst>
            </c:dLbl>
            <c:dLbl>
              <c:idx val="1"/>
              <c:layout>
                <c:manualLayout>
                  <c:x val="5.0376632450296166E-2"/>
                  <c:y val="-3.7766254617280171E-2"/>
                </c:manualLayout>
              </c:layout>
              <c:numFmt formatCode="#.#00" sourceLinked="0"/>
              <c:spPr>
                <a:noFill/>
                <a:ln w="25399">
                  <a:noFill/>
                </a:ln>
              </c:spPr>
              <c:txPr>
                <a:bodyPr/>
                <a:lstStyle/>
                <a:p>
                  <a:pPr>
                    <a:defRPr lang="es-ES" sz="1125"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DBD-49DC-9E99-6D73060E7620}"/>
                </c:ext>
              </c:extLst>
            </c:dLbl>
            <c:dLbl>
              <c:idx val="2"/>
              <c:layout>
                <c:manualLayout>
                  <c:x val="4.5606895608190652E-2"/>
                  <c:y val="-4.8695216365914056E-2"/>
                </c:manualLayout>
              </c:layout>
              <c:numFmt formatCode="#.#00" sourceLinked="0"/>
              <c:spPr>
                <a:noFill/>
                <a:ln w="25399">
                  <a:noFill/>
                </a:ln>
              </c:spPr>
              <c:txPr>
                <a:bodyPr/>
                <a:lstStyle/>
                <a:p>
                  <a:pPr>
                    <a:defRPr lang="es-ES" sz="1125"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DBD-49DC-9E99-6D73060E7620}"/>
                </c:ext>
              </c:extLst>
            </c:dLbl>
            <c:dLbl>
              <c:idx val="3"/>
              <c:layout>
                <c:manualLayout>
                  <c:x val="3.754768508187508E-2"/>
                  <c:y val="-4.4509708312467262E-2"/>
                </c:manualLayout>
              </c:layout>
              <c:numFmt formatCode="#.#00" sourceLinked="0"/>
              <c:spPr>
                <a:noFill/>
                <a:ln w="25399">
                  <a:noFill/>
                </a:ln>
              </c:spPr>
              <c:txPr>
                <a:bodyPr/>
                <a:lstStyle/>
                <a:p>
                  <a:pPr>
                    <a:defRPr lang="es-ES" sz="1125"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DBD-49DC-9E99-6D73060E7620}"/>
                </c:ext>
              </c:extLst>
            </c:dLbl>
            <c:dLbl>
              <c:idx val="4"/>
              <c:layout>
                <c:manualLayout>
                  <c:x val="4.5936053286861463E-2"/>
                  <c:y val="-2.7563583133345997E-2"/>
                </c:manualLayout>
              </c:layout>
              <c:numFmt formatCode="#.#00" sourceLinked="0"/>
              <c:spPr>
                <a:noFill/>
                <a:ln w="25399">
                  <a:noFill/>
                </a:ln>
              </c:spPr>
              <c:txPr>
                <a:bodyPr/>
                <a:lstStyle/>
                <a:p>
                  <a:pPr>
                    <a:defRPr lang="es-ES" sz="1125"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DBD-49DC-9E99-6D73060E7620}"/>
                </c:ext>
              </c:extLst>
            </c:dLbl>
            <c:dLbl>
              <c:idx val="5"/>
              <c:layout>
                <c:manualLayout>
                  <c:xMode val="edge"/>
                  <c:yMode val="edge"/>
                  <c:x val="0.73519736842105254"/>
                  <c:y val="0.30874316939890767"/>
                </c:manualLayout>
              </c:layout>
              <c:numFmt formatCode="#.#00" sourceLinked="0"/>
              <c:spPr>
                <a:noFill/>
                <a:ln w="25399">
                  <a:noFill/>
                </a:ln>
              </c:spPr>
              <c:txPr>
                <a:bodyPr/>
                <a:lstStyle/>
                <a:p>
                  <a:pPr>
                    <a:defRPr lang="es-ES" sz="12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DBD-49DC-9E99-6D73060E7620}"/>
                </c:ext>
              </c:extLst>
            </c:dLbl>
            <c:dLbl>
              <c:idx val="6"/>
              <c:layout>
                <c:manualLayout>
                  <c:xMode val="edge"/>
                  <c:yMode val="edge"/>
                  <c:x val="0.71381578947368463"/>
                  <c:y val="0.90437158469945367"/>
                </c:manualLayout>
              </c:layout>
              <c:numFmt formatCode="#.#00" sourceLinked="0"/>
              <c:spPr>
                <a:noFill/>
                <a:ln w="25399">
                  <a:noFill/>
                </a:ln>
              </c:spPr>
              <c:txPr>
                <a:bodyPr/>
                <a:lstStyle/>
                <a:p>
                  <a:pPr>
                    <a:defRPr lang="es-ES" sz="12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DBD-49DC-9E99-6D73060E7620}"/>
                </c:ext>
              </c:extLst>
            </c:dLbl>
            <c:dLbl>
              <c:idx val="7"/>
              <c:layout>
                <c:manualLayout>
                  <c:xMode val="edge"/>
                  <c:yMode val="edge"/>
                  <c:x val="0.53947368421052644"/>
                  <c:y val="0.91256830601092753"/>
                </c:manualLayout>
              </c:layout>
              <c:numFmt formatCode="#.#00" sourceLinked="0"/>
              <c:spPr>
                <a:noFill/>
                <a:ln w="25399">
                  <a:noFill/>
                </a:ln>
              </c:spPr>
              <c:txPr>
                <a:bodyPr/>
                <a:lstStyle/>
                <a:p>
                  <a:pPr>
                    <a:defRPr lang="es-ES" sz="12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DBD-49DC-9E99-6D73060E7620}"/>
                </c:ext>
              </c:extLst>
            </c:dLbl>
            <c:dLbl>
              <c:idx val="8"/>
              <c:layout>
                <c:manualLayout>
                  <c:xMode val="edge"/>
                  <c:yMode val="edge"/>
                  <c:x val="0.56743421052631582"/>
                  <c:y val="0.91256830601092753"/>
                </c:manualLayout>
              </c:layout>
              <c:numFmt formatCode="#.#00" sourceLinked="0"/>
              <c:spPr>
                <a:noFill/>
                <a:ln w="25399">
                  <a:noFill/>
                </a:ln>
              </c:spPr>
              <c:txPr>
                <a:bodyPr/>
                <a:lstStyle/>
                <a:p>
                  <a:pPr>
                    <a:defRPr lang="es-ES" sz="12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DBD-49DC-9E99-6D73060E7620}"/>
                </c:ext>
              </c:extLst>
            </c:dLbl>
            <c:dLbl>
              <c:idx val="9"/>
              <c:layout>
                <c:manualLayout>
                  <c:xMode val="edge"/>
                  <c:yMode val="edge"/>
                  <c:x val="0.68092105263158242"/>
                  <c:y val="0.91256830601092753"/>
                </c:manualLayout>
              </c:layout>
              <c:numFmt formatCode="#.#00" sourceLinked="0"/>
              <c:spPr>
                <a:noFill/>
                <a:ln w="25399">
                  <a:noFill/>
                </a:ln>
              </c:spPr>
              <c:txPr>
                <a:bodyPr/>
                <a:lstStyle/>
                <a:p>
                  <a:pPr>
                    <a:defRPr lang="es-ES" sz="12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DBD-49DC-9E99-6D73060E7620}"/>
                </c:ext>
              </c:extLst>
            </c:dLbl>
            <c:numFmt formatCode="#.#00" sourceLinked="0"/>
            <c:spPr>
              <a:noFill/>
              <a:ln w="25399">
                <a:noFill/>
              </a:ln>
            </c:spPr>
            <c:txPr>
              <a:bodyPr wrap="square" lIns="38100" tIns="19050" rIns="38100" bIns="19050" anchor="ctr">
                <a:spAutoFit/>
              </a:bodyPr>
              <a:lstStyle/>
              <a:p>
                <a:pPr>
                  <a:defRPr lang="es-ES" sz="1125"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Sheet1!$B$1:$J$1</c:f>
              <c:numCache>
                <c:formatCode>General</c:formatCode>
                <c:ptCount val="5"/>
                <c:pt idx="0">
                  <c:v>2011</c:v>
                </c:pt>
                <c:pt idx="1">
                  <c:v>2012</c:v>
                </c:pt>
                <c:pt idx="2">
                  <c:v>2013</c:v>
                </c:pt>
                <c:pt idx="3">
                  <c:v>2014</c:v>
                </c:pt>
                <c:pt idx="4">
                  <c:v>2015</c:v>
                </c:pt>
              </c:numCache>
            </c:numRef>
          </c:cat>
          <c:val>
            <c:numRef>
              <c:f>Sheet1!$B$2:$J$2</c:f>
              <c:numCache>
                <c:formatCode>General</c:formatCode>
                <c:ptCount val="5"/>
                <c:pt idx="0">
                  <c:v>16.3</c:v>
                </c:pt>
                <c:pt idx="1">
                  <c:v>16.3</c:v>
                </c:pt>
                <c:pt idx="2">
                  <c:v>16.3</c:v>
                </c:pt>
                <c:pt idx="3">
                  <c:v>16.100000000000001</c:v>
                </c:pt>
                <c:pt idx="4">
                  <c:v>16.399999999999999</c:v>
                </c:pt>
              </c:numCache>
            </c:numRef>
          </c:val>
          <c:extLst xmlns:c16r2="http://schemas.microsoft.com/office/drawing/2015/06/chart">
            <c:ext xmlns:c16="http://schemas.microsoft.com/office/drawing/2014/chart" uri="{C3380CC4-5D6E-409C-BE32-E72D297353CC}">
              <c16:uniqueId val="{0000000A-8DBD-49DC-9E99-6D73060E7620}"/>
            </c:ext>
          </c:extLst>
        </c:ser>
        <c:dLbls>
          <c:showVal val="1"/>
        </c:dLbls>
        <c:shape val="box"/>
        <c:axId val="121741696"/>
        <c:axId val="121743616"/>
        <c:axId val="0"/>
      </c:bar3DChart>
      <c:catAx>
        <c:axId val="121741696"/>
        <c:scaling>
          <c:orientation val="minMax"/>
        </c:scaling>
        <c:axPos val="b"/>
        <c:title>
          <c:tx>
            <c:rich>
              <a:bodyPr/>
              <a:lstStyle/>
              <a:p>
                <a:pPr>
                  <a:defRPr lang="es-ES" sz="1125"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57072368421052744"/>
              <c:y val="0.83879781420765065"/>
            </c:manualLayout>
          </c:layout>
          <c:spPr>
            <a:noFill/>
            <a:ln w="25399">
              <a:noFill/>
            </a:ln>
          </c:spPr>
        </c:title>
        <c:numFmt formatCode="General" sourceLinked="1"/>
        <c:tickLblPos val="low"/>
        <c:spPr>
          <a:ln w="3175">
            <a:solidFill>
              <a:srgbClr val="000000"/>
            </a:solidFill>
            <a:prstDash val="solid"/>
          </a:ln>
        </c:spPr>
        <c:txPr>
          <a:bodyPr rot="0" vert="horz"/>
          <a:lstStyle/>
          <a:p>
            <a:pPr>
              <a:defRPr lang="es-ES" sz="1025" b="1" i="0" u="none" strike="noStrike" baseline="0">
                <a:solidFill>
                  <a:srgbClr val="000000"/>
                </a:solidFill>
                <a:latin typeface="Times New Roman"/>
                <a:ea typeface="Times New Roman"/>
                <a:cs typeface="Times New Roman"/>
              </a:defRPr>
            </a:pPr>
            <a:endParaRPr lang="es-CR"/>
          </a:p>
        </c:txPr>
        <c:crossAx val="121743616"/>
        <c:crosses val="autoZero"/>
        <c:auto val="1"/>
        <c:lblAlgn val="ctr"/>
        <c:lblOffset val="100"/>
        <c:tickLblSkip val="1"/>
        <c:tickMarkSkip val="1"/>
      </c:catAx>
      <c:valAx>
        <c:axId val="121743616"/>
        <c:scaling>
          <c:orientation val="minMax"/>
          <c:max val="24"/>
          <c:min val="0"/>
        </c:scaling>
        <c:axPos val="l"/>
        <c:majorGridlines>
          <c:spPr>
            <a:ln w="3175">
              <a:solidFill>
                <a:srgbClr val="000000"/>
              </a:solidFill>
              <a:prstDash val="solid"/>
            </a:ln>
          </c:spPr>
        </c:majorGridlines>
        <c:title>
          <c:tx>
            <c:rich>
              <a:bodyPr rot="0" vert="wordArtVert"/>
              <a:lstStyle/>
              <a:p>
                <a:pPr algn="ctr">
                  <a:defRPr lang="es-ES" sz="900" b="1" i="0" u="none" strike="noStrike" baseline="0">
                    <a:solidFill>
                      <a:srgbClr val="000000"/>
                    </a:solidFill>
                    <a:latin typeface="Times New Roman"/>
                    <a:ea typeface="Times New Roman"/>
                    <a:cs typeface="Times New Roman"/>
                  </a:defRPr>
                </a:pPr>
                <a:r>
                  <a:rPr lang="es-CR"/>
                  <a:t>Edad</a:t>
                </a:r>
              </a:p>
            </c:rich>
          </c:tx>
          <c:layout>
            <c:manualLayout>
              <c:xMode val="edge"/>
              <c:yMode val="edge"/>
              <c:x val="6.25E-2"/>
              <c:y val="0.38524590163934497"/>
            </c:manualLayout>
          </c:layout>
          <c:spPr>
            <a:noFill/>
            <a:ln w="25399">
              <a:noFill/>
            </a:ln>
          </c:spPr>
        </c:title>
        <c:numFmt formatCode="General" sourceLinked="1"/>
        <c:tickLblPos val="nextTo"/>
        <c:spPr>
          <a:ln w="3175">
            <a:solidFill>
              <a:srgbClr val="000000"/>
            </a:solidFill>
            <a:prstDash val="solid"/>
          </a:ln>
        </c:spPr>
        <c:txPr>
          <a:bodyPr rot="0" vert="horz"/>
          <a:lstStyle/>
          <a:p>
            <a:pPr>
              <a:defRPr lang="es-ES" sz="1025" b="1" i="0" u="none" strike="noStrike" baseline="0">
                <a:solidFill>
                  <a:srgbClr val="000000"/>
                </a:solidFill>
                <a:latin typeface="Times New Roman"/>
                <a:ea typeface="Times New Roman"/>
                <a:cs typeface="Times New Roman"/>
              </a:defRPr>
            </a:pPr>
            <a:endParaRPr lang="es-CR"/>
          </a:p>
        </c:txPr>
        <c:crossAx val="121741696"/>
        <c:crosses val="autoZero"/>
        <c:crossBetween val="between"/>
        <c:majorUnit val="4"/>
      </c:valAx>
      <c:spPr>
        <a:noFill/>
        <a:ln w="25399">
          <a:noFill/>
        </a:ln>
      </c:spPr>
    </c:plotArea>
    <c:plotVisOnly val="1"/>
    <c:dispBlanksAs val="gap"/>
  </c:chart>
  <c:spPr>
    <a:gradFill rotWithShape="0">
      <a:gsLst>
        <a:gs pos="0">
          <a:srgbClr val="020202">
            <a:gamma/>
            <a:shade val="76078"/>
            <a:invGamma/>
          </a:srgbClr>
        </a:gs>
        <a:gs pos="50000">
          <a:srgbClr val="CCFFFF"/>
        </a:gs>
        <a:gs pos="100000">
          <a:srgbClr val="020202">
            <a:gamma/>
            <a:shade val="76078"/>
            <a:invGamma/>
          </a:srgbClr>
        </a:gs>
      </a:gsLst>
      <a:lin ang="18900000" scaled="1"/>
    </a:gradFill>
    <a:ln w="3175">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1"/>
  <c:userShapes r:id="rId2"/>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es-CR"/>
  <c:chart>
    <c:title>
      <c:tx>
        <c:rich>
          <a:bodyPr/>
          <a:lstStyle/>
          <a:p>
            <a:pPr>
              <a:defRPr lang="es-ES" sz="1000" b="1" i="0" u="none" strike="noStrike" baseline="0">
                <a:solidFill>
                  <a:srgbClr val="000000"/>
                </a:solidFill>
                <a:latin typeface="Times New Roman"/>
                <a:ea typeface="Times New Roman"/>
                <a:cs typeface="Times New Roman"/>
              </a:defRPr>
            </a:pPr>
            <a:r>
              <a:rPr lang="es-CR"/>
              <a:t>Gráfico Nº 63
Tasa de personas menores condenadas por homicidio. 
2011 - 2015
(datos por cada mil personas  acusadas de infringir la Ley PJ)
</a:t>
            </a:r>
          </a:p>
        </c:rich>
      </c:tx>
      <c:layout>
        <c:manualLayout>
          <c:xMode val="edge"/>
          <c:yMode val="edge"/>
          <c:x val="0.15953947368421093"/>
          <c:y val="0"/>
        </c:manualLayout>
      </c:layout>
      <c:spPr>
        <a:noFill/>
        <a:ln w="25399">
          <a:noFill/>
        </a:ln>
      </c:spPr>
    </c:title>
    <c:view3D>
      <c:hPercent val="38"/>
      <c:depthPercent val="100"/>
      <c:rAngAx val="1"/>
    </c:view3D>
    <c:floor>
      <c:spPr>
        <a:solidFill>
          <a:srgbClr val="C0C0C0"/>
        </a:solidFill>
        <a:ln w="3175">
          <a:solidFill>
            <a:srgbClr val="000000"/>
          </a:solidFill>
          <a:prstDash val="solid"/>
        </a:ln>
      </c:spPr>
    </c:floor>
    <c:sideWall>
      <c:spPr>
        <a:solidFill>
          <a:srgbClr val="FFFFCC"/>
        </a:solidFill>
        <a:ln w="12700">
          <a:solidFill>
            <a:srgbClr val="808080"/>
          </a:solidFill>
          <a:prstDash val="solid"/>
        </a:ln>
      </c:spPr>
    </c:sideWall>
    <c:backWall>
      <c:spPr>
        <a:solidFill>
          <a:srgbClr val="FFFFCC"/>
        </a:solidFill>
        <a:ln w="12700">
          <a:solidFill>
            <a:srgbClr val="808080"/>
          </a:solidFill>
          <a:prstDash val="solid"/>
        </a:ln>
      </c:spPr>
    </c:backWall>
    <c:plotArea>
      <c:layout>
        <c:manualLayout>
          <c:layoutTarget val="inner"/>
          <c:xMode val="edge"/>
          <c:yMode val="edge"/>
          <c:x val="0.10526315789473686"/>
          <c:y val="0.34972677595628515"/>
          <c:w val="0.85361842105263153"/>
          <c:h val="0.40983606557377106"/>
        </c:manualLayout>
      </c:layout>
      <c:bar3DChart>
        <c:barDir val="col"/>
        <c:grouping val="clustered"/>
        <c:ser>
          <c:idx val="0"/>
          <c:order val="0"/>
          <c:tx>
            <c:strRef>
              <c:f>Sheet1!$A$2</c:f>
              <c:strCache>
                <c:ptCount val="1"/>
                <c:pt idx="0">
                  <c:v>Edad</c:v>
                </c:pt>
              </c:strCache>
            </c:strRef>
          </c:tx>
          <c:spPr>
            <a:solidFill>
              <a:srgbClr val="FF0000"/>
            </a:solidFill>
            <a:ln w="25399">
              <a:solidFill>
                <a:srgbClr val="800080"/>
              </a:solidFill>
              <a:prstDash val="solid"/>
            </a:ln>
          </c:spPr>
          <c:dLbls>
            <c:dLbl>
              <c:idx val="0"/>
              <c:layout>
                <c:manualLayout>
                  <c:x val="3.8115423135367178E-2"/>
                  <c:y val="-1.5766526523468841E-2"/>
                </c:manualLayout>
              </c:layout>
              <c:numFmt formatCode="#.#00" sourceLinked="0"/>
              <c:spPr>
                <a:noFill/>
                <a:ln w="25399">
                  <a:noFill/>
                </a:ln>
              </c:spPr>
              <c:txPr>
                <a:bodyPr/>
                <a:lstStyle/>
                <a:p>
                  <a:pPr>
                    <a:defRPr lang="es-ES" sz="105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BB0-4B74-8E2F-DCB2BAA265BA}"/>
                </c:ext>
              </c:extLst>
            </c:dLbl>
            <c:dLbl>
              <c:idx val="1"/>
              <c:layout>
                <c:manualLayout>
                  <c:x val="4.6228439878719663E-2"/>
                  <c:y val="-2.3048780240552454E-2"/>
                </c:manualLayout>
              </c:layout>
              <c:numFmt formatCode="#.#00" sourceLinked="0"/>
              <c:spPr>
                <a:noFill/>
                <a:ln w="25399">
                  <a:noFill/>
                </a:ln>
              </c:spPr>
              <c:txPr>
                <a:bodyPr/>
                <a:lstStyle/>
                <a:p>
                  <a:pPr>
                    <a:defRPr lang="es-ES" sz="105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BB0-4B74-8E2F-DCB2BAA265BA}"/>
                </c:ext>
              </c:extLst>
            </c:dLbl>
            <c:dLbl>
              <c:idx val="2"/>
              <c:layout>
                <c:manualLayout>
                  <c:x val="4.118356188522998E-2"/>
                  <c:y val="-2.9699905227064321E-2"/>
                </c:manualLayout>
              </c:layout>
              <c:numFmt formatCode="#.#00" sourceLinked="0"/>
              <c:spPr>
                <a:noFill/>
                <a:ln w="25399">
                  <a:noFill/>
                </a:ln>
              </c:spPr>
              <c:txPr>
                <a:bodyPr/>
                <a:lstStyle/>
                <a:p>
                  <a:pPr>
                    <a:defRPr lang="es-ES" sz="105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BB0-4B74-8E2F-DCB2BAA265BA}"/>
                </c:ext>
              </c:extLst>
            </c:dLbl>
            <c:dLbl>
              <c:idx val="3"/>
              <c:layout>
                <c:manualLayout>
                  <c:x val="3.4494157359884814E-2"/>
                  <c:y val="-2.6695488272102608E-2"/>
                </c:manualLayout>
              </c:layout>
              <c:numFmt formatCode="#.#00" sourceLinked="0"/>
              <c:spPr>
                <a:noFill/>
                <a:ln w="25399">
                  <a:noFill/>
                </a:ln>
              </c:spPr>
              <c:txPr>
                <a:bodyPr/>
                <a:lstStyle/>
                <a:p>
                  <a:pPr>
                    <a:defRPr lang="es-ES" sz="105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BB0-4B74-8E2F-DCB2BAA265BA}"/>
                </c:ext>
              </c:extLst>
            </c:dLbl>
            <c:dLbl>
              <c:idx val="4"/>
              <c:layout>
                <c:manualLayout>
                  <c:x val="3.4383489892710888E-2"/>
                  <c:y val="-2.5508844159907888E-2"/>
                </c:manualLayout>
              </c:layout>
              <c:numFmt formatCode="#.#00" sourceLinked="0"/>
              <c:spPr>
                <a:noFill/>
                <a:ln w="25399">
                  <a:noFill/>
                </a:ln>
              </c:spPr>
              <c:txPr>
                <a:bodyPr/>
                <a:lstStyle/>
                <a:p>
                  <a:pPr>
                    <a:defRPr lang="es-ES" sz="105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BB0-4B74-8E2F-DCB2BAA265BA}"/>
                </c:ext>
              </c:extLst>
            </c:dLbl>
            <c:dLbl>
              <c:idx val="5"/>
              <c:layout>
                <c:manualLayout>
                  <c:xMode val="edge"/>
                  <c:yMode val="edge"/>
                  <c:x val="0.71381578947368463"/>
                  <c:y val="0.37158469945355288"/>
                </c:manualLayout>
              </c:layout>
              <c:numFmt formatCode="#.#00" sourceLinked="0"/>
              <c:spPr>
                <a:noFill/>
                <a:ln w="25399">
                  <a:noFill/>
                </a:ln>
              </c:spPr>
              <c:txPr>
                <a:bodyPr/>
                <a:lstStyle/>
                <a:p>
                  <a:pPr>
                    <a:defRPr lang="es-ES" sz="12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BB0-4B74-8E2F-DCB2BAA265BA}"/>
                </c:ext>
              </c:extLst>
            </c:dLbl>
            <c:dLbl>
              <c:idx val="6"/>
              <c:layout>
                <c:manualLayout>
                  <c:xMode val="edge"/>
                  <c:yMode val="edge"/>
                  <c:x val="0.73190789473684215"/>
                  <c:y val="0.94535519125683054"/>
                </c:manualLayout>
              </c:layout>
              <c:numFmt formatCode="#.#00" sourceLinked="0"/>
              <c:spPr>
                <a:noFill/>
                <a:ln w="25399">
                  <a:noFill/>
                </a:ln>
              </c:spPr>
              <c:txPr>
                <a:bodyPr/>
                <a:lstStyle/>
                <a:p>
                  <a:pPr>
                    <a:defRPr lang="es-ES" sz="12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BB0-4B74-8E2F-DCB2BAA265BA}"/>
                </c:ext>
              </c:extLst>
            </c:dLbl>
            <c:dLbl>
              <c:idx val="7"/>
              <c:layout>
                <c:manualLayout>
                  <c:xMode val="edge"/>
                  <c:yMode val="edge"/>
                  <c:x val="0.55098684210526327"/>
                  <c:y val="0.95355191256830774"/>
                </c:manualLayout>
              </c:layout>
              <c:numFmt formatCode="#.#00" sourceLinked="0"/>
              <c:spPr>
                <a:noFill/>
                <a:ln w="25399">
                  <a:noFill/>
                </a:ln>
              </c:spPr>
              <c:txPr>
                <a:bodyPr/>
                <a:lstStyle/>
                <a:p>
                  <a:pPr>
                    <a:defRPr lang="es-ES" sz="12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BB0-4B74-8E2F-DCB2BAA265BA}"/>
                </c:ext>
              </c:extLst>
            </c:dLbl>
            <c:dLbl>
              <c:idx val="8"/>
              <c:layout>
                <c:manualLayout>
                  <c:xMode val="edge"/>
                  <c:yMode val="edge"/>
                  <c:x val="0.58059210526315641"/>
                  <c:y val="0.95355191256830774"/>
                </c:manualLayout>
              </c:layout>
              <c:numFmt formatCode="#.#00" sourceLinked="0"/>
              <c:spPr>
                <a:noFill/>
                <a:ln w="25399">
                  <a:noFill/>
                </a:ln>
              </c:spPr>
              <c:txPr>
                <a:bodyPr/>
                <a:lstStyle/>
                <a:p>
                  <a:pPr>
                    <a:defRPr lang="es-ES" sz="12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BB0-4B74-8E2F-DCB2BAA265BA}"/>
                </c:ext>
              </c:extLst>
            </c:dLbl>
            <c:dLbl>
              <c:idx val="9"/>
              <c:layout>
                <c:manualLayout>
                  <c:xMode val="edge"/>
                  <c:yMode val="edge"/>
                  <c:x val="0.70065789473684215"/>
                  <c:y val="0.95355191256830774"/>
                </c:manualLayout>
              </c:layout>
              <c:numFmt formatCode="#.#00" sourceLinked="0"/>
              <c:spPr>
                <a:noFill/>
                <a:ln w="25399">
                  <a:noFill/>
                </a:ln>
              </c:spPr>
              <c:txPr>
                <a:bodyPr/>
                <a:lstStyle/>
                <a:p>
                  <a:pPr>
                    <a:defRPr lang="es-ES" sz="12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BB0-4B74-8E2F-DCB2BAA265BA}"/>
                </c:ext>
              </c:extLst>
            </c:dLbl>
            <c:numFmt formatCode="#.#00" sourceLinked="0"/>
            <c:spPr>
              <a:noFill/>
              <a:ln w="25399">
                <a:noFill/>
              </a:ln>
            </c:spPr>
            <c:txPr>
              <a:bodyPr wrap="square" lIns="38100" tIns="19050" rIns="38100" bIns="19050" anchor="ctr">
                <a:spAutoFit/>
              </a:bodyPr>
              <a:lstStyle/>
              <a:p>
                <a:pPr>
                  <a:defRPr lang="es-ES" sz="105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Sheet1!$B$1:$J$1</c:f>
              <c:numCache>
                <c:formatCode>General</c:formatCode>
                <c:ptCount val="5"/>
                <c:pt idx="0">
                  <c:v>2011</c:v>
                </c:pt>
                <c:pt idx="1">
                  <c:v>2012</c:v>
                </c:pt>
                <c:pt idx="2">
                  <c:v>2013</c:v>
                </c:pt>
                <c:pt idx="3">
                  <c:v>2014</c:v>
                </c:pt>
                <c:pt idx="4">
                  <c:v>2016</c:v>
                </c:pt>
              </c:numCache>
            </c:numRef>
          </c:cat>
          <c:val>
            <c:numRef>
              <c:f>Sheet1!$B$2:$J$2</c:f>
              <c:numCache>
                <c:formatCode>General</c:formatCode>
                <c:ptCount val="5"/>
                <c:pt idx="0">
                  <c:v>1.9000000000000001</c:v>
                </c:pt>
                <c:pt idx="1">
                  <c:v>2.9</c:v>
                </c:pt>
                <c:pt idx="2">
                  <c:v>2.2000000000000002</c:v>
                </c:pt>
                <c:pt idx="3">
                  <c:v>1.9000000000000001</c:v>
                </c:pt>
                <c:pt idx="4">
                  <c:v>2.6</c:v>
                </c:pt>
              </c:numCache>
            </c:numRef>
          </c:val>
          <c:extLst xmlns:c16r2="http://schemas.microsoft.com/office/drawing/2015/06/chart">
            <c:ext xmlns:c16="http://schemas.microsoft.com/office/drawing/2014/chart" uri="{C3380CC4-5D6E-409C-BE32-E72D297353CC}">
              <c16:uniqueId val="{0000000A-3BB0-4B74-8E2F-DCB2BAA265BA}"/>
            </c:ext>
          </c:extLst>
        </c:ser>
        <c:dLbls>
          <c:showVal val="1"/>
        </c:dLbls>
        <c:shape val="box"/>
        <c:axId val="121838208"/>
        <c:axId val="121860864"/>
        <c:axId val="0"/>
      </c:bar3DChart>
      <c:catAx>
        <c:axId val="121838208"/>
        <c:scaling>
          <c:orientation val="minMax"/>
        </c:scaling>
        <c:axPos val="b"/>
        <c:title>
          <c:tx>
            <c:rich>
              <a:bodyPr/>
              <a:lstStyle/>
              <a:p>
                <a:pPr>
                  <a:defRPr lang="es-ES" sz="1050"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56907894736842235"/>
              <c:y val="0.84426229508196549"/>
            </c:manualLayout>
          </c:layout>
          <c:spPr>
            <a:noFill/>
            <a:ln w="25399">
              <a:noFill/>
            </a:ln>
          </c:spPr>
        </c:title>
        <c:numFmt formatCode="General" sourceLinked="1"/>
        <c:tickLblPos val="low"/>
        <c:spPr>
          <a:ln w="3175">
            <a:solidFill>
              <a:srgbClr val="000000"/>
            </a:solidFill>
            <a:prstDash val="solid"/>
          </a:ln>
        </c:spPr>
        <c:txPr>
          <a:bodyPr rot="0" vert="horz"/>
          <a:lstStyle/>
          <a:p>
            <a:pPr>
              <a:defRPr lang="es-ES" sz="950" b="1" i="0" u="none" strike="noStrike" baseline="0">
                <a:solidFill>
                  <a:srgbClr val="000000"/>
                </a:solidFill>
                <a:latin typeface="Times New Roman"/>
                <a:ea typeface="Times New Roman"/>
                <a:cs typeface="Times New Roman"/>
              </a:defRPr>
            </a:pPr>
            <a:endParaRPr lang="es-CR"/>
          </a:p>
        </c:txPr>
        <c:crossAx val="121860864"/>
        <c:crosses val="autoZero"/>
        <c:auto val="1"/>
        <c:lblAlgn val="ctr"/>
        <c:lblOffset val="100"/>
        <c:tickLblSkip val="1"/>
        <c:tickMarkSkip val="1"/>
      </c:catAx>
      <c:valAx>
        <c:axId val="121860864"/>
        <c:scaling>
          <c:orientation val="minMax"/>
          <c:max val="3.5"/>
          <c:min val="0"/>
        </c:scaling>
        <c:axPos val="l"/>
        <c:majorGridlines>
          <c:spPr>
            <a:ln w="3175">
              <a:solidFill>
                <a:srgbClr val="000000"/>
              </a:solidFill>
              <a:prstDash val="solid"/>
            </a:ln>
          </c:spPr>
        </c:majorGridlines>
        <c:title>
          <c:tx>
            <c:rich>
              <a:bodyPr rot="0" vert="wordArtVert"/>
              <a:lstStyle/>
              <a:p>
                <a:pPr algn="ctr">
                  <a:defRPr lang="es-ES" sz="775" b="1" i="0" u="none" strike="noStrike" baseline="0">
                    <a:solidFill>
                      <a:srgbClr val="000000"/>
                    </a:solidFill>
                    <a:latin typeface="Arial"/>
                    <a:ea typeface="Arial"/>
                    <a:cs typeface="Arial"/>
                  </a:defRPr>
                </a:pPr>
                <a:r>
                  <a:rPr lang="es-CR"/>
                  <a:t>Tasa</a:t>
                </a:r>
              </a:p>
            </c:rich>
          </c:tx>
          <c:layout>
            <c:manualLayout>
              <c:xMode val="edge"/>
              <c:yMode val="edge"/>
              <c:x val="0.10690789473684208"/>
              <c:y val="0.47814207650273227"/>
            </c:manualLayout>
          </c:layout>
          <c:spPr>
            <a:noFill/>
            <a:ln w="25399">
              <a:noFill/>
            </a:ln>
          </c:spPr>
        </c:title>
        <c:numFmt formatCode="General" sourceLinked="1"/>
        <c:tickLblPos val="nextTo"/>
        <c:spPr>
          <a:ln w="3175">
            <a:solidFill>
              <a:srgbClr val="000000"/>
            </a:solidFill>
            <a:prstDash val="solid"/>
          </a:ln>
        </c:spPr>
        <c:txPr>
          <a:bodyPr rot="0" vert="horz"/>
          <a:lstStyle/>
          <a:p>
            <a:pPr>
              <a:defRPr lang="es-ES" sz="950" b="1" i="0" u="none" strike="noStrike" baseline="0">
                <a:solidFill>
                  <a:srgbClr val="000000"/>
                </a:solidFill>
                <a:latin typeface="Times New Roman"/>
                <a:ea typeface="Times New Roman"/>
                <a:cs typeface="Times New Roman"/>
              </a:defRPr>
            </a:pPr>
            <a:endParaRPr lang="es-CR"/>
          </a:p>
        </c:txPr>
        <c:crossAx val="121838208"/>
        <c:crosses val="autoZero"/>
        <c:crossBetween val="between"/>
        <c:majorUnit val="0.5"/>
        <c:minorUnit val="0.5"/>
      </c:valAx>
      <c:spPr>
        <a:noFill/>
        <a:ln w="25399">
          <a:noFill/>
        </a:ln>
      </c:spPr>
    </c:plotArea>
    <c:plotVisOnly val="1"/>
    <c:dispBlanksAs val="gap"/>
  </c:chart>
  <c:spPr>
    <a:gradFill rotWithShape="0">
      <a:gsLst>
        <a:gs pos="0">
          <a:srgbClr val="CCFFFF"/>
        </a:gs>
        <a:gs pos="100000">
          <a:srgbClr val="020202">
            <a:gamma/>
            <a:shade val="79216"/>
            <a:invGamma/>
          </a:srgbClr>
        </a:gs>
      </a:gsLst>
      <a:lin ang="5400000" scaled="1"/>
    </a:gradFill>
    <a:ln w="3175">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1"/>
  <c:userShapes r:id="rId2"/>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es-CR"/>
  <c:chart>
    <c:title>
      <c:tx>
        <c:rich>
          <a:bodyPr/>
          <a:lstStyle/>
          <a:p>
            <a:pPr>
              <a:defRPr lang="es-ES" sz="1000" b="1" i="0" u="none" strike="noStrike" baseline="0">
                <a:solidFill>
                  <a:srgbClr val="000000"/>
                </a:solidFill>
                <a:latin typeface="Times New Roman"/>
                <a:ea typeface="Times New Roman"/>
                <a:cs typeface="Times New Roman"/>
              </a:defRPr>
            </a:pPr>
            <a:r>
              <a:rPr lang="es-CR"/>
              <a:t>Gráfico Nº 64
Tasa de personas  menores condenadas por robo. 2011 - 2015
(datos por cada mil personas acusadas de infringir la Ley PJ)
</a:t>
            </a:r>
          </a:p>
        </c:rich>
      </c:tx>
      <c:layout>
        <c:manualLayout>
          <c:xMode val="edge"/>
          <c:yMode val="edge"/>
          <c:x val="0.16282894736842121"/>
          <c:y val="0"/>
        </c:manualLayout>
      </c:layout>
      <c:spPr>
        <a:noFill/>
        <a:ln w="25399">
          <a:noFill/>
        </a:ln>
      </c:spPr>
    </c:title>
    <c:view3D>
      <c:hPercent val="41"/>
      <c:depthPercent val="100"/>
      <c:rAngAx val="1"/>
    </c:view3D>
    <c:floor>
      <c:spPr>
        <a:solidFill>
          <a:srgbClr val="C0C0C0"/>
        </a:solidFill>
        <a:ln w="3175">
          <a:solidFill>
            <a:srgbClr val="000000"/>
          </a:solidFill>
          <a:prstDash val="solid"/>
        </a:ln>
      </c:spPr>
    </c:floor>
    <c:sideWall>
      <c:spPr>
        <a:solidFill>
          <a:srgbClr val="CCFFFF"/>
        </a:solidFill>
        <a:ln w="12700">
          <a:solidFill>
            <a:srgbClr val="808080"/>
          </a:solidFill>
          <a:prstDash val="solid"/>
        </a:ln>
      </c:spPr>
    </c:sideWall>
    <c:backWall>
      <c:spPr>
        <a:solidFill>
          <a:srgbClr val="CCFFFF"/>
        </a:solidFill>
        <a:ln w="12700">
          <a:solidFill>
            <a:srgbClr val="808080"/>
          </a:solidFill>
          <a:prstDash val="solid"/>
        </a:ln>
      </c:spPr>
    </c:backWall>
    <c:plotArea>
      <c:layout>
        <c:manualLayout>
          <c:layoutTarget val="inner"/>
          <c:xMode val="edge"/>
          <c:yMode val="edge"/>
          <c:x val="9.8684210526315805E-2"/>
          <c:y val="0.29781420765027439"/>
          <c:w val="0.86019736842105277"/>
          <c:h val="0.45901639344262363"/>
        </c:manualLayout>
      </c:layout>
      <c:bar3DChart>
        <c:barDir val="col"/>
        <c:grouping val="clustered"/>
        <c:ser>
          <c:idx val="0"/>
          <c:order val="0"/>
          <c:tx>
            <c:strRef>
              <c:f>Sheet1!$A$2</c:f>
              <c:strCache>
                <c:ptCount val="1"/>
                <c:pt idx="0">
                  <c:v>Edad</c:v>
                </c:pt>
              </c:strCache>
            </c:strRef>
          </c:tx>
          <c:spPr>
            <a:solidFill>
              <a:srgbClr val="FFFFCC"/>
            </a:solidFill>
            <a:ln w="25399">
              <a:solidFill>
                <a:srgbClr val="000000"/>
              </a:solidFill>
              <a:prstDash val="solid"/>
            </a:ln>
          </c:spPr>
          <c:dLbls>
            <c:dLbl>
              <c:idx val="0"/>
              <c:layout>
                <c:manualLayout>
                  <c:x val="3.5092578571909429E-2"/>
                  <c:y val="-2.0933436824387981E-2"/>
                </c:manualLayout>
              </c:layout>
              <c:numFmt formatCode="#.#00" sourceLinked="0"/>
              <c:spPr>
                <a:noFill/>
                <a:ln w="25399">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976-4968-9AB8-2C11641489E3}"/>
                </c:ext>
              </c:extLst>
            </c:dLbl>
            <c:dLbl>
              <c:idx val="1"/>
              <c:layout>
                <c:manualLayout>
                  <c:x val="3.7509364340591156E-2"/>
                  <c:y val="-2.8781709341520745E-2"/>
                </c:manualLayout>
              </c:layout>
              <c:numFmt formatCode="#.#00" sourceLinked="0"/>
              <c:spPr>
                <a:noFill/>
                <a:ln w="25399">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976-4968-9AB8-2C11641489E3}"/>
                </c:ext>
              </c:extLst>
            </c:dLbl>
            <c:dLbl>
              <c:idx val="2"/>
              <c:layout>
                <c:manualLayout>
                  <c:x val="4.0221359286060791E-2"/>
                  <c:y val="-4.0840270094982374E-2"/>
                </c:manualLayout>
              </c:layout>
              <c:numFmt formatCode="#.#00" sourceLinked="0"/>
              <c:spPr>
                <a:noFill/>
                <a:ln w="25399">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976-4968-9AB8-2C11641489E3}"/>
                </c:ext>
              </c:extLst>
            </c:dLbl>
            <c:dLbl>
              <c:idx val="3"/>
              <c:layout>
                <c:manualLayout>
                  <c:x val="3.2867916750791003E-2"/>
                  <c:y val="-3.5284581252079505E-2"/>
                </c:manualLayout>
              </c:layout>
              <c:numFmt formatCode="#.#00" sourceLinked="0"/>
              <c:spPr>
                <a:noFill/>
                <a:ln w="25399">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976-4968-9AB8-2C11641489E3}"/>
                </c:ext>
              </c:extLst>
            </c:dLbl>
            <c:dLbl>
              <c:idx val="4"/>
              <c:layout>
                <c:manualLayout>
                  <c:x val="3.2093631894191454E-2"/>
                  <c:y val="-3.2460789302890702E-2"/>
                </c:manualLayout>
              </c:layout>
              <c:numFmt formatCode="#.#00" sourceLinked="0"/>
              <c:spPr>
                <a:noFill/>
                <a:ln w="25399">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976-4968-9AB8-2C11641489E3}"/>
                </c:ext>
              </c:extLst>
            </c:dLbl>
            <c:dLbl>
              <c:idx val="5"/>
              <c:layout>
                <c:manualLayout>
                  <c:xMode val="edge"/>
                  <c:yMode val="edge"/>
                  <c:x val="0.71217105263158242"/>
                  <c:y val="0.37158469945355288"/>
                </c:manualLayout>
              </c:layout>
              <c:numFmt formatCode="#.#00" sourceLinked="0"/>
              <c:spPr>
                <a:noFill/>
                <a:ln w="25399">
                  <a:noFill/>
                </a:ln>
              </c:spPr>
              <c:txPr>
                <a:bodyPr/>
                <a:lstStyle/>
                <a:p>
                  <a:pPr>
                    <a:defRPr lang="es-ES" sz="12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976-4968-9AB8-2C11641489E3}"/>
                </c:ext>
              </c:extLst>
            </c:dLbl>
            <c:dLbl>
              <c:idx val="6"/>
              <c:layout>
                <c:manualLayout>
                  <c:xMode val="edge"/>
                  <c:yMode val="edge"/>
                  <c:x val="0.73519736842105254"/>
                  <c:y val="0.95081967213114893"/>
                </c:manualLayout>
              </c:layout>
              <c:numFmt formatCode="#.#00" sourceLinked="0"/>
              <c:spPr>
                <a:noFill/>
                <a:ln w="25399">
                  <a:noFill/>
                </a:ln>
              </c:spPr>
              <c:txPr>
                <a:bodyPr/>
                <a:lstStyle/>
                <a:p>
                  <a:pPr>
                    <a:defRPr lang="es-ES" sz="12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976-4968-9AB8-2C11641489E3}"/>
                </c:ext>
              </c:extLst>
            </c:dLbl>
            <c:dLbl>
              <c:idx val="7"/>
              <c:layout>
                <c:manualLayout>
                  <c:xMode val="edge"/>
                  <c:yMode val="edge"/>
                  <c:x val="0.55263157894736847"/>
                  <c:y val="0.95901639344262257"/>
                </c:manualLayout>
              </c:layout>
              <c:numFmt formatCode="#.#00" sourceLinked="0"/>
              <c:spPr>
                <a:noFill/>
                <a:ln w="25399">
                  <a:noFill/>
                </a:ln>
              </c:spPr>
              <c:txPr>
                <a:bodyPr/>
                <a:lstStyle/>
                <a:p>
                  <a:pPr>
                    <a:defRPr lang="es-ES" sz="12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976-4968-9AB8-2C11641489E3}"/>
                </c:ext>
              </c:extLst>
            </c:dLbl>
            <c:dLbl>
              <c:idx val="8"/>
              <c:layout>
                <c:manualLayout>
                  <c:xMode val="edge"/>
                  <c:yMode val="edge"/>
                  <c:x val="0.58223684210526161"/>
                  <c:y val="0.95901639344262257"/>
                </c:manualLayout>
              </c:layout>
              <c:numFmt formatCode="#.#00" sourceLinked="0"/>
              <c:spPr>
                <a:noFill/>
                <a:ln w="25399">
                  <a:noFill/>
                </a:ln>
              </c:spPr>
              <c:txPr>
                <a:bodyPr/>
                <a:lstStyle/>
                <a:p>
                  <a:pPr>
                    <a:defRPr lang="es-ES" sz="12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976-4968-9AB8-2C11641489E3}"/>
                </c:ext>
              </c:extLst>
            </c:dLbl>
            <c:dLbl>
              <c:idx val="9"/>
              <c:layout>
                <c:manualLayout>
                  <c:xMode val="edge"/>
                  <c:yMode val="edge"/>
                  <c:x val="0.70230263157894768"/>
                  <c:y val="0.95901639344262257"/>
                </c:manualLayout>
              </c:layout>
              <c:numFmt formatCode="#.#00" sourceLinked="0"/>
              <c:spPr>
                <a:noFill/>
                <a:ln w="25399">
                  <a:noFill/>
                </a:ln>
              </c:spPr>
              <c:txPr>
                <a:bodyPr/>
                <a:lstStyle/>
                <a:p>
                  <a:pPr>
                    <a:defRPr lang="es-ES" sz="12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976-4968-9AB8-2C11641489E3}"/>
                </c:ext>
              </c:extLst>
            </c:dLbl>
            <c:numFmt formatCode="#.#00" sourceLinked="0"/>
            <c:spPr>
              <a:noFill/>
              <a:ln w="25399">
                <a:noFill/>
              </a:ln>
            </c:spPr>
            <c:txPr>
              <a:bodyPr wrap="square" lIns="38100" tIns="19050" rIns="38100" bIns="19050" anchor="ctr">
                <a:spAutoFit/>
              </a:bodyPr>
              <a:lstStyle/>
              <a:p>
                <a:pPr>
                  <a:defRPr lang="es-ES" sz="10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5"/>
                <c:pt idx="0">
                  <c:v>2011</c:v>
                </c:pt>
                <c:pt idx="1">
                  <c:v>2012</c:v>
                </c:pt>
                <c:pt idx="2">
                  <c:v>2013</c:v>
                </c:pt>
                <c:pt idx="3">
                  <c:v>2014</c:v>
                </c:pt>
                <c:pt idx="4">
                  <c:v>2015</c:v>
                </c:pt>
              </c:numCache>
            </c:numRef>
          </c:cat>
          <c:val>
            <c:numRef>
              <c:f>Sheet1!$B$2:$H$2</c:f>
              <c:numCache>
                <c:formatCode>General</c:formatCode>
                <c:ptCount val="5"/>
                <c:pt idx="0">
                  <c:v>6.9</c:v>
                </c:pt>
                <c:pt idx="1">
                  <c:v>9</c:v>
                </c:pt>
                <c:pt idx="2">
                  <c:v>16.3</c:v>
                </c:pt>
                <c:pt idx="3">
                  <c:v>14.5</c:v>
                </c:pt>
                <c:pt idx="4">
                  <c:v>12.7</c:v>
                </c:pt>
              </c:numCache>
            </c:numRef>
          </c:val>
          <c:extLst xmlns:c16r2="http://schemas.microsoft.com/office/drawing/2015/06/chart">
            <c:ext xmlns:c16="http://schemas.microsoft.com/office/drawing/2014/chart" uri="{C3380CC4-5D6E-409C-BE32-E72D297353CC}">
              <c16:uniqueId val="{0000000A-4976-4968-9AB8-2C11641489E3}"/>
            </c:ext>
          </c:extLst>
        </c:ser>
        <c:dLbls>
          <c:showVal val="1"/>
        </c:dLbls>
        <c:shape val="box"/>
        <c:axId val="121959552"/>
        <c:axId val="121961472"/>
        <c:axId val="0"/>
      </c:bar3DChart>
      <c:catAx>
        <c:axId val="121959552"/>
        <c:scaling>
          <c:orientation val="minMax"/>
        </c:scaling>
        <c:axPos val="b"/>
        <c:title>
          <c:tx>
            <c:rich>
              <a:bodyPr/>
              <a:lstStyle/>
              <a:p>
                <a:pPr>
                  <a:defRPr lang="es-ES" sz="1050"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57236842105263031"/>
              <c:y val="0.83879781420765065"/>
            </c:manualLayout>
          </c:layout>
          <c:spPr>
            <a:noFill/>
            <a:ln w="25399">
              <a:noFill/>
            </a:ln>
          </c:spPr>
        </c:title>
        <c:numFmt formatCode="General" sourceLinked="1"/>
        <c:tickLblPos val="low"/>
        <c:spPr>
          <a:ln w="3175">
            <a:solidFill>
              <a:srgbClr val="000000"/>
            </a:solidFill>
            <a:prstDash val="solid"/>
          </a:ln>
        </c:spPr>
        <c:txPr>
          <a:bodyPr rot="0" vert="horz"/>
          <a:lstStyle/>
          <a:p>
            <a:pPr>
              <a:defRPr lang="es-ES" sz="950" b="1" i="0" u="none" strike="noStrike" baseline="0">
                <a:solidFill>
                  <a:srgbClr val="000000"/>
                </a:solidFill>
                <a:latin typeface="Times New Roman"/>
                <a:ea typeface="Times New Roman"/>
                <a:cs typeface="Times New Roman"/>
              </a:defRPr>
            </a:pPr>
            <a:endParaRPr lang="es-CR"/>
          </a:p>
        </c:txPr>
        <c:crossAx val="121961472"/>
        <c:crosses val="autoZero"/>
        <c:auto val="1"/>
        <c:lblAlgn val="ctr"/>
        <c:lblOffset val="100"/>
        <c:tickLblSkip val="1"/>
        <c:tickMarkSkip val="1"/>
      </c:catAx>
      <c:valAx>
        <c:axId val="121961472"/>
        <c:scaling>
          <c:orientation val="minMax"/>
          <c:max val="20"/>
          <c:min val="0"/>
        </c:scaling>
        <c:axPos val="l"/>
        <c:majorGridlines>
          <c:spPr>
            <a:ln w="3175">
              <a:solidFill>
                <a:srgbClr val="000000"/>
              </a:solidFill>
              <a:prstDash val="solid"/>
            </a:ln>
          </c:spPr>
        </c:majorGridlines>
        <c:title>
          <c:tx>
            <c:rich>
              <a:bodyPr rot="0" vert="wordArtVert"/>
              <a:lstStyle/>
              <a:p>
                <a:pPr algn="ctr">
                  <a:defRPr lang="es-ES" sz="775" b="1" i="0" u="none" strike="noStrike" baseline="0">
                    <a:solidFill>
                      <a:srgbClr val="000000"/>
                    </a:solidFill>
                    <a:latin typeface="Arial"/>
                    <a:ea typeface="Arial"/>
                    <a:cs typeface="Arial"/>
                  </a:defRPr>
                </a:pPr>
                <a:r>
                  <a:rPr lang="es-CR"/>
                  <a:t>Tasa</a:t>
                </a:r>
              </a:p>
            </c:rich>
          </c:tx>
          <c:layout>
            <c:manualLayout>
              <c:xMode val="edge"/>
              <c:yMode val="edge"/>
              <c:x val="9.5394736842105199E-2"/>
              <c:y val="0.45355191256830579"/>
            </c:manualLayout>
          </c:layout>
          <c:spPr>
            <a:noFill/>
            <a:ln w="25399">
              <a:noFill/>
            </a:ln>
          </c:spPr>
        </c:title>
        <c:numFmt formatCode="General" sourceLinked="1"/>
        <c:tickLblPos val="nextTo"/>
        <c:spPr>
          <a:ln w="3175">
            <a:solidFill>
              <a:srgbClr val="000000"/>
            </a:solidFill>
            <a:prstDash val="solid"/>
          </a:ln>
        </c:spPr>
        <c:txPr>
          <a:bodyPr rot="0" vert="horz"/>
          <a:lstStyle/>
          <a:p>
            <a:pPr>
              <a:defRPr lang="es-ES" sz="950" b="1" i="0" u="none" strike="noStrike" baseline="0">
                <a:solidFill>
                  <a:srgbClr val="000000"/>
                </a:solidFill>
                <a:latin typeface="Times New Roman"/>
                <a:ea typeface="Times New Roman"/>
                <a:cs typeface="Times New Roman"/>
              </a:defRPr>
            </a:pPr>
            <a:endParaRPr lang="es-CR"/>
          </a:p>
        </c:txPr>
        <c:crossAx val="121959552"/>
        <c:crosses val="autoZero"/>
        <c:crossBetween val="between"/>
        <c:majorUnit val="2"/>
        <c:minorUnit val="0.5"/>
      </c:valAx>
      <c:spPr>
        <a:noFill/>
        <a:ln w="25399">
          <a:noFill/>
        </a:ln>
      </c:spPr>
    </c:plotArea>
    <c:plotVisOnly val="1"/>
    <c:dispBlanksAs val="gap"/>
  </c:chart>
  <c:spPr>
    <a:gradFill rotWithShape="0">
      <a:gsLst>
        <a:gs pos="0">
          <a:srgbClr val="CCFFFF"/>
        </a:gs>
        <a:gs pos="100000">
          <a:srgbClr val="020202">
            <a:gamma/>
            <a:shade val="79216"/>
            <a:invGamma/>
          </a:srgbClr>
        </a:gs>
      </a:gsLst>
      <a:lin ang="5400000" scaled="1"/>
    </a:gradFill>
    <a:ln w="3175">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1"/>
  <c:userShapes r:id="rId2"/>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es-CR"/>
  <c:chart>
    <c:title>
      <c:tx>
        <c:rich>
          <a:bodyPr/>
          <a:lstStyle/>
          <a:p>
            <a:pPr>
              <a:defRPr lang="es-ES" sz="975" b="1" i="0" u="none" strike="noStrike" baseline="0">
                <a:solidFill>
                  <a:srgbClr val="000000"/>
                </a:solidFill>
                <a:latin typeface="Times New Roman"/>
                <a:ea typeface="Times New Roman"/>
                <a:cs typeface="Times New Roman"/>
              </a:defRPr>
            </a:pPr>
            <a:r>
              <a:rPr lang="es-CR"/>
              <a:t>Gráfico Nº 65
Porcentaje de desestimaciones dictadas a personas  menores. 
2011 - 2015
</a:t>
            </a:r>
          </a:p>
        </c:rich>
      </c:tx>
      <c:layout>
        <c:manualLayout>
          <c:xMode val="edge"/>
          <c:yMode val="edge"/>
          <c:x val="0.1902356902356902"/>
          <c:y val="0"/>
        </c:manualLayout>
      </c:layout>
      <c:spPr>
        <a:noFill/>
        <a:ln w="25399">
          <a:noFill/>
        </a:ln>
      </c:spPr>
    </c:title>
    <c:plotArea>
      <c:layout>
        <c:manualLayout>
          <c:layoutTarget val="inner"/>
          <c:xMode val="edge"/>
          <c:yMode val="edge"/>
          <c:x val="0.14646464646464644"/>
          <c:y val="0.21969696969696997"/>
          <c:w val="0.81313131313131304"/>
          <c:h val="0.54797979797979912"/>
        </c:manualLayout>
      </c:layout>
      <c:lineChart>
        <c:grouping val="standard"/>
        <c:ser>
          <c:idx val="1"/>
          <c:order val="0"/>
          <c:tx>
            <c:strRef>
              <c:f>Sheet1!$A$2</c:f>
              <c:strCache>
                <c:ptCount val="1"/>
              </c:strCache>
            </c:strRef>
          </c:tx>
          <c:spPr>
            <a:ln w="25399">
              <a:solidFill>
                <a:srgbClr val="0000FF"/>
              </a:solidFill>
              <a:prstDash val="solid"/>
            </a:ln>
          </c:spPr>
          <c:marker>
            <c:symbol val="square"/>
            <c:size val="4"/>
            <c:spPr>
              <a:solidFill>
                <a:srgbClr val="0000FF"/>
              </a:solidFill>
              <a:ln>
                <a:solidFill>
                  <a:srgbClr val="0000FF"/>
                </a:solidFill>
                <a:prstDash val="solid"/>
              </a:ln>
            </c:spPr>
          </c:marker>
          <c:dLbls>
            <c:dLbl>
              <c:idx val="0"/>
              <c:layout>
                <c:manualLayout>
                  <c:x val="-6.2987873224739171E-2"/>
                  <c:y val="-6.5289592276252306E-2"/>
                </c:manualLayout>
              </c:layout>
              <c:numFmt formatCode="#.#00" sourceLinked="0"/>
              <c:spPr>
                <a:noFill/>
                <a:ln w="25399">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BFB-4A36-80BE-11C42F6345E2}"/>
                </c:ext>
              </c:extLst>
            </c:dLbl>
            <c:dLbl>
              <c:idx val="1"/>
              <c:layout>
                <c:manualLayout>
                  <c:x val="-3.3694859180853742E-2"/>
                  <c:y val="-6.7025522405462806E-2"/>
                </c:manualLayout>
              </c:layout>
              <c:numFmt formatCode="#.#00" sourceLinked="0"/>
              <c:spPr>
                <a:noFill/>
                <a:ln w="25399">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BFB-4A36-80BE-11C42F6345E2}"/>
                </c:ext>
              </c:extLst>
            </c:dLbl>
            <c:dLbl>
              <c:idx val="2"/>
              <c:layout>
                <c:manualLayout>
                  <c:x val="-3.6388592260542689E-2"/>
                  <c:y val="-5.9459301369323536E-2"/>
                </c:manualLayout>
              </c:layout>
              <c:numFmt formatCode="#.#00" sourceLinked="0"/>
              <c:spPr>
                <a:noFill/>
                <a:ln w="25399">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BFB-4A36-80BE-11C42F6345E2}"/>
                </c:ext>
              </c:extLst>
            </c:dLbl>
            <c:dLbl>
              <c:idx val="3"/>
              <c:layout>
                <c:manualLayout>
                  <c:x val="-3.4031605152684288E-2"/>
                  <c:y val="-5.9172162725025693E-2"/>
                </c:manualLayout>
              </c:layout>
              <c:numFmt formatCode="#.#00" sourceLinked="0"/>
              <c:spPr>
                <a:noFill/>
                <a:ln w="25399">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BFB-4A36-80BE-11C42F6345E2}"/>
                </c:ext>
              </c:extLst>
            </c:dLbl>
            <c:dLbl>
              <c:idx val="4"/>
              <c:layout>
                <c:manualLayout>
                  <c:x val="-3.3358119728327695E-2"/>
                  <c:y val="-7.4803323348923992E-2"/>
                </c:manualLayout>
              </c:layout>
              <c:numFmt formatCode="#.#00" sourceLinked="0"/>
              <c:spPr>
                <a:noFill/>
                <a:ln w="25399">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BFB-4A36-80BE-11C42F6345E2}"/>
                </c:ext>
              </c:extLst>
            </c:dLbl>
            <c:numFmt formatCode="#.#00" sourceLinked="0"/>
            <c:spPr>
              <a:noFill/>
              <a:ln w="25399">
                <a:noFill/>
              </a:ln>
            </c:spPr>
            <c:txPr>
              <a:bodyPr wrap="square" lIns="38100" tIns="19050" rIns="38100" bIns="19050" anchor="ctr">
                <a:spAutoFit/>
              </a:bodyPr>
              <a:lstStyle/>
              <a:p>
                <a:pPr>
                  <a:defRPr lang="es-ES" sz="10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Sheet1!$B$1:$I$1</c:f>
              <c:numCache>
                <c:formatCode>General</c:formatCode>
                <c:ptCount val="5"/>
                <c:pt idx="0">
                  <c:v>2011</c:v>
                </c:pt>
                <c:pt idx="1">
                  <c:v>2012</c:v>
                </c:pt>
                <c:pt idx="2">
                  <c:v>2013</c:v>
                </c:pt>
                <c:pt idx="3">
                  <c:v>2014</c:v>
                </c:pt>
                <c:pt idx="4">
                  <c:v>2015</c:v>
                </c:pt>
              </c:numCache>
            </c:numRef>
          </c:cat>
          <c:val>
            <c:numRef>
              <c:f>Sheet1!$B$2:$I$2</c:f>
              <c:numCache>
                <c:formatCode>General</c:formatCode>
                <c:ptCount val="5"/>
                <c:pt idx="0">
                  <c:v>62.5</c:v>
                </c:pt>
                <c:pt idx="1">
                  <c:v>47.5</c:v>
                </c:pt>
                <c:pt idx="2">
                  <c:v>41.6</c:v>
                </c:pt>
                <c:pt idx="3">
                  <c:v>33.9</c:v>
                </c:pt>
                <c:pt idx="4">
                  <c:v>28.3</c:v>
                </c:pt>
              </c:numCache>
            </c:numRef>
          </c:val>
          <c:extLst xmlns:c16r2="http://schemas.microsoft.com/office/drawing/2015/06/chart">
            <c:ext xmlns:c16="http://schemas.microsoft.com/office/drawing/2014/chart" uri="{C3380CC4-5D6E-409C-BE32-E72D297353CC}">
              <c16:uniqueId val="{00000005-CBFB-4A36-80BE-11C42F6345E2}"/>
            </c:ext>
          </c:extLst>
        </c:ser>
        <c:dLbls>
          <c:showVal val="1"/>
        </c:dLbls>
        <c:marker val="1"/>
        <c:axId val="122107008"/>
        <c:axId val="122108928"/>
      </c:lineChart>
      <c:catAx>
        <c:axId val="122107008"/>
        <c:scaling>
          <c:orientation val="minMax"/>
        </c:scaling>
        <c:axPos val="b"/>
        <c:title>
          <c:tx>
            <c:rich>
              <a:bodyPr/>
              <a:lstStyle/>
              <a:p>
                <a:pPr>
                  <a:defRPr lang="es-ES" sz="1200"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56565656565656552"/>
              <c:y val="0.86363636363636376"/>
            </c:manualLayout>
          </c:layout>
          <c:spPr>
            <a:noFill/>
            <a:ln w="25399">
              <a:noFill/>
            </a:ln>
          </c:spPr>
        </c:title>
        <c:numFmt formatCode="General" sourceLinked="1"/>
        <c:tickLblPos val="nextTo"/>
        <c:spPr>
          <a:ln w="3175">
            <a:solidFill>
              <a:srgbClr val="000000"/>
            </a:solidFill>
            <a:prstDash val="solid"/>
          </a:ln>
        </c:spPr>
        <c:txPr>
          <a:bodyPr rot="0" vert="horz"/>
          <a:lstStyle/>
          <a:p>
            <a:pPr>
              <a:defRPr lang="es-ES" sz="1000" b="1" i="0" u="none" strike="noStrike" baseline="0">
                <a:solidFill>
                  <a:srgbClr val="000000"/>
                </a:solidFill>
                <a:latin typeface="Times New Roman"/>
                <a:ea typeface="Times New Roman"/>
                <a:cs typeface="Times New Roman"/>
              </a:defRPr>
            </a:pPr>
            <a:endParaRPr lang="es-CR"/>
          </a:p>
        </c:txPr>
        <c:crossAx val="122108928"/>
        <c:crosses val="autoZero"/>
        <c:auto val="1"/>
        <c:lblAlgn val="ctr"/>
        <c:lblOffset val="100"/>
        <c:tickLblSkip val="1"/>
        <c:tickMarkSkip val="1"/>
      </c:catAx>
      <c:valAx>
        <c:axId val="122108928"/>
        <c:scaling>
          <c:orientation val="minMax"/>
          <c:max val="80"/>
          <c:min val="0"/>
        </c:scaling>
        <c:axPos val="l"/>
        <c:majorGridlines>
          <c:spPr>
            <a:ln w="3175">
              <a:solidFill>
                <a:srgbClr val="000000"/>
              </a:solidFill>
              <a:prstDash val="solid"/>
            </a:ln>
          </c:spPr>
        </c:majorGridlines>
        <c:title>
          <c:tx>
            <c:rich>
              <a:bodyPr rot="0" vert="wordArtVert"/>
              <a:lstStyle/>
              <a:p>
                <a:pPr algn="ctr">
                  <a:defRPr lang="es-ES" sz="800" b="1" i="0" u="none" strike="noStrike" baseline="0">
                    <a:solidFill>
                      <a:srgbClr val="000000"/>
                    </a:solidFill>
                    <a:latin typeface="Times New Roman"/>
                    <a:ea typeface="Times New Roman"/>
                    <a:cs typeface="Times New Roman"/>
                  </a:defRPr>
                </a:pPr>
                <a:r>
                  <a:rPr lang="es-CR"/>
                  <a:t>Porcentaje</a:t>
                </a:r>
              </a:p>
            </c:rich>
          </c:tx>
          <c:layout>
            <c:manualLayout>
              <c:xMode val="edge"/>
              <c:yMode val="edge"/>
              <c:x val="2.3569023569023601E-2"/>
              <c:y val="0.27272727272727282"/>
            </c:manualLayout>
          </c:layout>
          <c:spPr>
            <a:noFill/>
            <a:ln w="25399">
              <a:noFill/>
            </a:ln>
          </c:spPr>
        </c:title>
        <c:numFmt formatCode="General" sourceLinked="1"/>
        <c:tickLblPos val="nextTo"/>
        <c:spPr>
          <a:ln w="3175">
            <a:solidFill>
              <a:srgbClr val="000000"/>
            </a:solidFill>
            <a:prstDash val="solid"/>
          </a:ln>
        </c:spPr>
        <c:txPr>
          <a:bodyPr rot="0" vert="horz"/>
          <a:lstStyle/>
          <a:p>
            <a:pPr>
              <a:defRPr lang="es-ES" sz="1000" b="1" i="0" u="none" strike="noStrike" baseline="0">
                <a:solidFill>
                  <a:srgbClr val="000000"/>
                </a:solidFill>
                <a:latin typeface="Times New Roman"/>
                <a:ea typeface="Times New Roman"/>
                <a:cs typeface="Times New Roman"/>
              </a:defRPr>
            </a:pPr>
            <a:endParaRPr lang="es-CR"/>
          </a:p>
        </c:txPr>
        <c:crossAx val="122107008"/>
        <c:crosses val="autoZero"/>
        <c:crossBetween val="between"/>
        <c:majorUnit val="10"/>
        <c:minorUnit val="0.5"/>
      </c:valAx>
      <c:spPr>
        <a:solidFill>
          <a:srgbClr val="FFFF99"/>
        </a:solidFill>
        <a:ln w="12700">
          <a:solidFill>
            <a:srgbClr val="808080"/>
          </a:solidFill>
          <a:prstDash val="solid"/>
        </a:ln>
      </c:spPr>
    </c:plotArea>
    <c:plotVisOnly val="1"/>
    <c:dispBlanksAs val="gap"/>
  </c:chart>
  <c:spPr>
    <a:gradFill rotWithShape="0">
      <a:gsLst>
        <a:gs pos="0">
          <a:srgbClr val="CCFFFF"/>
        </a:gs>
        <a:gs pos="100000">
          <a:srgbClr val="FFFFFF">
            <a:gamma/>
            <a:tint val="41176"/>
            <a:invGamma/>
          </a:srgbClr>
        </a:gs>
      </a:gsLst>
      <a:lin ang="5400000" scaled="1"/>
    </a:gradFill>
    <a:ln w="3175">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1"/>
  <c:userShapes r:id="rId2"/>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es-CR"/>
  <c:chart>
    <c:title>
      <c:tx>
        <c:rich>
          <a:bodyPr/>
          <a:lstStyle/>
          <a:p>
            <a:pPr>
              <a:defRPr lang="es-ES" sz="975" b="1" i="0" u="none" strike="noStrike" baseline="0">
                <a:solidFill>
                  <a:srgbClr val="000000"/>
                </a:solidFill>
                <a:latin typeface="Times New Roman"/>
                <a:ea typeface="Times New Roman"/>
                <a:cs typeface="Times New Roman"/>
              </a:defRPr>
            </a:pPr>
            <a:r>
              <a:rPr lang="es-CR"/>
              <a:t>Gráfico Nº 66
Porcentaje de sobreseimiento definitivos por prescripción dictado a  personas menores. 2011 - 2015
</a:t>
            </a:r>
          </a:p>
        </c:rich>
      </c:tx>
      <c:layout>
        <c:manualLayout>
          <c:xMode val="edge"/>
          <c:yMode val="edge"/>
          <c:x val="0.15993265993265993"/>
          <c:y val="0"/>
        </c:manualLayout>
      </c:layout>
      <c:spPr>
        <a:noFill/>
        <a:ln w="25399">
          <a:noFill/>
        </a:ln>
      </c:spPr>
    </c:title>
    <c:plotArea>
      <c:layout>
        <c:manualLayout>
          <c:layoutTarget val="inner"/>
          <c:xMode val="edge"/>
          <c:yMode val="edge"/>
          <c:x val="0.14646464646464644"/>
          <c:y val="0.22166246851385388"/>
          <c:w val="0.81313131313131304"/>
          <c:h val="0.5465994962216626"/>
        </c:manualLayout>
      </c:layout>
      <c:lineChart>
        <c:grouping val="standard"/>
        <c:ser>
          <c:idx val="1"/>
          <c:order val="0"/>
          <c:tx>
            <c:strRef>
              <c:f>Sheet1!$A$2</c:f>
              <c:strCache>
                <c:ptCount val="1"/>
              </c:strCache>
            </c:strRef>
          </c:tx>
          <c:spPr>
            <a:ln w="25399">
              <a:solidFill>
                <a:srgbClr val="0000FF"/>
              </a:solidFill>
              <a:prstDash val="solid"/>
            </a:ln>
          </c:spPr>
          <c:marker>
            <c:symbol val="square"/>
            <c:size val="4"/>
            <c:spPr>
              <a:solidFill>
                <a:srgbClr val="0000FF"/>
              </a:solidFill>
              <a:ln>
                <a:solidFill>
                  <a:srgbClr val="0000FF"/>
                </a:solidFill>
                <a:prstDash val="solid"/>
              </a:ln>
            </c:spPr>
          </c:marker>
          <c:dLbls>
            <c:dLbl>
              <c:idx val="0"/>
              <c:layout>
                <c:manualLayout>
                  <c:x val="-6.2987873224739144E-2"/>
                  <c:y val="-6.2883486744279182E-2"/>
                </c:manualLayout>
              </c:layout>
              <c:numFmt formatCode="#.#00" sourceLinked="0"/>
              <c:spPr>
                <a:noFill/>
                <a:ln w="25399">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097-4F66-A4FA-74D2AF6D1B6E}"/>
                </c:ext>
              </c:extLst>
            </c:dLbl>
            <c:dLbl>
              <c:idx val="1"/>
              <c:layout>
                <c:manualLayout>
                  <c:x val="-3.3694859180853742E-2"/>
                  <c:y val="-6.5628991120591923E-2"/>
                </c:manualLayout>
              </c:layout>
              <c:numFmt formatCode="#.#00" sourceLinked="0"/>
              <c:spPr>
                <a:noFill/>
                <a:ln w="25399">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97-4F66-A4FA-74D2AF6D1B6E}"/>
                </c:ext>
              </c:extLst>
            </c:dLbl>
            <c:dLbl>
              <c:idx val="2"/>
              <c:layout>
                <c:manualLayout>
                  <c:x val="-3.6388592260542689E-2"/>
                  <c:y val="-5.9898705026214513E-2"/>
                </c:manualLayout>
              </c:layout>
              <c:numFmt formatCode="#.#00" sourceLinked="0"/>
              <c:spPr>
                <a:noFill/>
                <a:ln w="25399">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097-4F66-A4FA-74D2AF6D1B6E}"/>
                </c:ext>
              </c:extLst>
            </c:dLbl>
            <c:dLbl>
              <c:idx val="3"/>
              <c:layout>
                <c:manualLayout>
                  <c:x val="-3.4031605152684399E-2"/>
                  <c:y val="-5.8072316057619422E-2"/>
                </c:manualLayout>
              </c:layout>
              <c:numFmt formatCode="#.#00" sourceLinked="0"/>
              <c:spPr>
                <a:noFill/>
                <a:ln w="25399">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097-4F66-A4FA-74D2AF6D1B6E}"/>
                </c:ext>
              </c:extLst>
            </c:dLbl>
            <c:dLbl>
              <c:idx val="4"/>
              <c:layout>
                <c:manualLayout>
                  <c:x val="-3.3358119728327695E-2"/>
                  <c:y val="-7.4256342823731114E-2"/>
                </c:manualLayout>
              </c:layout>
              <c:numFmt formatCode="#.#00" sourceLinked="0"/>
              <c:spPr>
                <a:noFill/>
                <a:ln w="25399">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097-4F66-A4FA-74D2AF6D1B6E}"/>
                </c:ext>
              </c:extLst>
            </c:dLbl>
            <c:numFmt formatCode="#.#00" sourceLinked="0"/>
            <c:spPr>
              <a:noFill/>
              <a:ln w="25399">
                <a:noFill/>
              </a:ln>
            </c:spPr>
            <c:txPr>
              <a:bodyPr wrap="square" lIns="38100" tIns="19050" rIns="38100" bIns="19050" anchor="ctr">
                <a:spAutoFit/>
              </a:bodyPr>
              <a:lstStyle/>
              <a:p>
                <a:pPr>
                  <a:defRPr lang="es-ES" sz="10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Sheet1!$B$1:$I$1</c:f>
              <c:numCache>
                <c:formatCode>General</c:formatCode>
                <c:ptCount val="5"/>
                <c:pt idx="0">
                  <c:v>2011</c:v>
                </c:pt>
                <c:pt idx="1">
                  <c:v>2012</c:v>
                </c:pt>
                <c:pt idx="2">
                  <c:v>2013</c:v>
                </c:pt>
                <c:pt idx="3">
                  <c:v>2014</c:v>
                </c:pt>
                <c:pt idx="4">
                  <c:v>2015</c:v>
                </c:pt>
              </c:numCache>
            </c:numRef>
          </c:cat>
          <c:val>
            <c:numRef>
              <c:f>Sheet1!$B$2:$I$2</c:f>
              <c:numCache>
                <c:formatCode>General</c:formatCode>
                <c:ptCount val="5"/>
                <c:pt idx="0">
                  <c:v>5.2</c:v>
                </c:pt>
                <c:pt idx="1">
                  <c:v>9.8000000000000007</c:v>
                </c:pt>
                <c:pt idx="2">
                  <c:v>11.3</c:v>
                </c:pt>
                <c:pt idx="3">
                  <c:v>9.8000000000000007</c:v>
                </c:pt>
                <c:pt idx="4">
                  <c:v>9.3000000000000007</c:v>
                </c:pt>
              </c:numCache>
            </c:numRef>
          </c:val>
          <c:extLst xmlns:c16r2="http://schemas.microsoft.com/office/drawing/2015/06/chart">
            <c:ext xmlns:c16="http://schemas.microsoft.com/office/drawing/2014/chart" uri="{C3380CC4-5D6E-409C-BE32-E72D297353CC}">
              <c16:uniqueId val="{00000005-F097-4F66-A4FA-74D2AF6D1B6E}"/>
            </c:ext>
          </c:extLst>
        </c:ser>
        <c:dLbls>
          <c:showVal val="1"/>
        </c:dLbls>
        <c:marker val="1"/>
        <c:axId val="122193024"/>
        <c:axId val="122194944"/>
      </c:lineChart>
      <c:catAx>
        <c:axId val="122193024"/>
        <c:scaling>
          <c:orientation val="minMax"/>
        </c:scaling>
        <c:axPos val="b"/>
        <c:title>
          <c:tx>
            <c:rich>
              <a:bodyPr/>
              <a:lstStyle/>
              <a:p>
                <a:pPr>
                  <a:defRPr lang="es-ES" sz="1200"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58249158249158262"/>
              <c:y val="0.86397984886650014"/>
            </c:manualLayout>
          </c:layout>
          <c:spPr>
            <a:noFill/>
            <a:ln w="25399">
              <a:noFill/>
            </a:ln>
          </c:spPr>
        </c:title>
        <c:numFmt formatCode="General" sourceLinked="1"/>
        <c:tickLblPos val="nextTo"/>
        <c:spPr>
          <a:ln w="3175">
            <a:solidFill>
              <a:srgbClr val="000000"/>
            </a:solidFill>
            <a:prstDash val="solid"/>
          </a:ln>
        </c:spPr>
        <c:txPr>
          <a:bodyPr rot="0" vert="horz"/>
          <a:lstStyle/>
          <a:p>
            <a:pPr>
              <a:defRPr lang="es-ES" sz="1000" b="1" i="0" u="none" strike="noStrike" baseline="0">
                <a:solidFill>
                  <a:srgbClr val="000000"/>
                </a:solidFill>
                <a:latin typeface="Times New Roman"/>
                <a:ea typeface="Times New Roman"/>
                <a:cs typeface="Times New Roman"/>
              </a:defRPr>
            </a:pPr>
            <a:endParaRPr lang="es-CR"/>
          </a:p>
        </c:txPr>
        <c:crossAx val="122194944"/>
        <c:crosses val="autoZero"/>
        <c:auto val="1"/>
        <c:lblAlgn val="ctr"/>
        <c:lblOffset val="100"/>
        <c:tickLblSkip val="1"/>
        <c:tickMarkSkip val="1"/>
      </c:catAx>
      <c:valAx>
        <c:axId val="122194944"/>
        <c:scaling>
          <c:orientation val="minMax"/>
          <c:max val="20"/>
          <c:min val="0"/>
        </c:scaling>
        <c:axPos val="l"/>
        <c:majorGridlines>
          <c:spPr>
            <a:ln w="3175">
              <a:solidFill>
                <a:srgbClr val="000000"/>
              </a:solidFill>
              <a:prstDash val="solid"/>
            </a:ln>
          </c:spPr>
        </c:majorGridlines>
        <c:title>
          <c:tx>
            <c:rich>
              <a:bodyPr rot="0" vert="wordArtVert"/>
              <a:lstStyle/>
              <a:p>
                <a:pPr algn="ctr">
                  <a:defRPr lang="es-ES" sz="800" b="1" i="0" u="none" strike="noStrike" baseline="0">
                    <a:solidFill>
                      <a:srgbClr val="000000"/>
                    </a:solidFill>
                    <a:latin typeface="Times New Roman"/>
                    <a:ea typeface="Times New Roman"/>
                    <a:cs typeface="Times New Roman"/>
                  </a:defRPr>
                </a:pPr>
                <a:r>
                  <a:rPr lang="es-CR"/>
                  <a:t>Porcentaje</a:t>
                </a:r>
              </a:p>
            </c:rich>
          </c:tx>
          <c:layout>
            <c:manualLayout>
              <c:xMode val="edge"/>
              <c:yMode val="edge"/>
              <c:x val="2.3569023569023601E-2"/>
              <c:y val="0.27455919395466111"/>
            </c:manualLayout>
          </c:layout>
          <c:spPr>
            <a:noFill/>
            <a:ln w="25399">
              <a:noFill/>
            </a:ln>
          </c:spPr>
        </c:title>
        <c:numFmt formatCode="General" sourceLinked="1"/>
        <c:tickLblPos val="nextTo"/>
        <c:spPr>
          <a:ln w="3175">
            <a:solidFill>
              <a:srgbClr val="000000"/>
            </a:solidFill>
            <a:prstDash val="solid"/>
          </a:ln>
        </c:spPr>
        <c:txPr>
          <a:bodyPr rot="0" vert="horz"/>
          <a:lstStyle/>
          <a:p>
            <a:pPr>
              <a:defRPr lang="es-ES" sz="1000" b="1" i="0" u="none" strike="noStrike" baseline="0">
                <a:solidFill>
                  <a:srgbClr val="000000"/>
                </a:solidFill>
                <a:latin typeface="Times New Roman"/>
                <a:ea typeface="Times New Roman"/>
                <a:cs typeface="Times New Roman"/>
              </a:defRPr>
            </a:pPr>
            <a:endParaRPr lang="es-CR"/>
          </a:p>
        </c:txPr>
        <c:crossAx val="122193024"/>
        <c:crosses val="autoZero"/>
        <c:crossBetween val="between"/>
        <c:majorUnit val="5"/>
        <c:minorUnit val="0.5"/>
      </c:valAx>
      <c:spPr>
        <a:solidFill>
          <a:srgbClr val="FFFF99"/>
        </a:solidFill>
        <a:ln w="12700">
          <a:solidFill>
            <a:srgbClr val="808080"/>
          </a:solidFill>
          <a:prstDash val="solid"/>
        </a:ln>
      </c:spPr>
    </c:plotArea>
    <c:plotVisOnly val="1"/>
    <c:dispBlanksAs val="gap"/>
  </c:chart>
  <c:spPr>
    <a:solidFill>
      <a:srgbClr val="99CCFF"/>
    </a:solidFill>
    <a:ln w="3175">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1"/>
  <c:userShapes r:id="rId2"/>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es-CR"/>
  <c:chart>
    <c:title>
      <c:tx>
        <c:rich>
          <a:bodyPr/>
          <a:lstStyle/>
          <a:p>
            <a:pPr>
              <a:defRPr lang="es-ES" sz="975" b="1" i="0" u="none" strike="noStrike" baseline="0">
                <a:solidFill>
                  <a:srgbClr val="000000"/>
                </a:solidFill>
                <a:latin typeface="Times New Roman"/>
                <a:ea typeface="Times New Roman"/>
                <a:cs typeface="Times New Roman"/>
              </a:defRPr>
            </a:pPr>
            <a:r>
              <a:rPr lang="es-CR"/>
              <a:t>Gráfico Nº 67
Porcentaje de sobreseimiento definitivos por conciliación dictado a menores. 2011 - 2015
</a:t>
            </a:r>
          </a:p>
        </c:rich>
      </c:tx>
      <c:layout>
        <c:manualLayout>
          <c:xMode val="edge"/>
          <c:yMode val="edge"/>
          <c:x val="0.16329966329966331"/>
          <c:y val="0"/>
        </c:manualLayout>
      </c:layout>
      <c:spPr>
        <a:noFill/>
        <a:ln w="25399">
          <a:noFill/>
        </a:ln>
      </c:spPr>
    </c:title>
    <c:plotArea>
      <c:layout>
        <c:manualLayout>
          <c:layoutTarget val="inner"/>
          <c:xMode val="edge"/>
          <c:yMode val="edge"/>
          <c:x val="0.13299663299663328"/>
          <c:y val="0.21204819277108486"/>
          <c:w val="0.82659932659932789"/>
          <c:h val="0.56626506024096357"/>
        </c:manualLayout>
      </c:layout>
      <c:lineChart>
        <c:grouping val="standard"/>
        <c:ser>
          <c:idx val="1"/>
          <c:order val="0"/>
          <c:tx>
            <c:strRef>
              <c:f>Sheet1!$A$2</c:f>
              <c:strCache>
                <c:ptCount val="1"/>
              </c:strCache>
            </c:strRef>
          </c:tx>
          <c:spPr>
            <a:ln w="25399">
              <a:solidFill>
                <a:srgbClr val="0000FF"/>
              </a:solidFill>
              <a:prstDash val="solid"/>
            </a:ln>
          </c:spPr>
          <c:marker>
            <c:symbol val="square"/>
            <c:size val="4"/>
            <c:spPr>
              <a:solidFill>
                <a:srgbClr val="0000FF"/>
              </a:solidFill>
              <a:ln>
                <a:solidFill>
                  <a:srgbClr val="0000FF"/>
                </a:solidFill>
                <a:prstDash val="solid"/>
              </a:ln>
            </c:spPr>
          </c:marker>
          <c:dLbls>
            <c:dLbl>
              <c:idx val="0"/>
              <c:layout>
                <c:manualLayout>
                  <c:x val="-6.2651133772212889E-2"/>
                  <c:y val="-6.6208062606492368E-2"/>
                </c:manualLayout>
              </c:layout>
              <c:numFmt formatCode="#.#00" sourceLinked="0"/>
              <c:spPr>
                <a:noFill/>
                <a:ln w="25399">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186-4275-B51C-0ED638EE9936}"/>
                </c:ext>
              </c:extLst>
            </c:dLbl>
            <c:dLbl>
              <c:idx val="1"/>
              <c:layout>
                <c:manualLayout>
                  <c:x val="-3.6051850634915082E-2"/>
                  <c:y val="-6.8350109061123432E-2"/>
                </c:manualLayout>
              </c:layout>
              <c:numFmt formatCode="#.#00" sourceLinked="0"/>
              <c:spPr>
                <a:noFill/>
                <a:ln w="25399">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186-4275-B51C-0ED638EE9936}"/>
                </c:ext>
              </c:extLst>
            </c:dLbl>
            <c:dLbl>
              <c:idx val="2"/>
              <c:layout>
                <c:manualLayout>
                  <c:x val="-3.8072096117145911E-2"/>
                  <c:y val="-5.8042077512233912E-2"/>
                </c:manualLayout>
              </c:layout>
              <c:numFmt formatCode="#.#00" sourceLinked="0"/>
              <c:spPr>
                <a:noFill/>
                <a:ln w="25399">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186-4275-B51C-0ED638EE9936}"/>
                </c:ext>
              </c:extLst>
            </c:dLbl>
            <c:dLbl>
              <c:idx val="3"/>
              <c:layout>
                <c:manualLayout>
                  <c:x val="-3.5041621411829281E-2"/>
                  <c:y val="-5.9782484524575623E-2"/>
                </c:manualLayout>
              </c:layout>
              <c:numFmt formatCode="#.#00" sourceLinked="0"/>
              <c:spPr>
                <a:noFill/>
                <a:ln w="25399">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186-4275-B51C-0ED638EE9936}"/>
                </c:ext>
              </c:extLst>
            </c:dLbl>
            <c:dLbl>
              <c:idx val="4"/>
              <c:layout>
                <c:manualLayout>
                  <c:x val="-3.0327860160053292E-2"/>
                  <c:y val="-5.4829288471275495E-2"/>
                </c:manualLayout>
              </c:layout>
              <c:numFmt formatCode="#.#00" sourceLinked="0"/>
              <c:spPr>
                <a:noFill/>
                <a:ln w="25399">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186-4275-B51C-0ED638EE9936}"/>
                </c:ext>
              </c:extLst>
            </c:dLbl>
            <c:numFmt formatCode="#.#00" sourceLinked="0"/>
            <c:spPr>
              <a:noFill/>
              <a:ln w="25399">
                <a:noFill/>
              </a:ln>
            </c:spPr>
            <c:txPr>
              <a:bodyPr wrap="square" lIns="38100" tIns="19050" rIns="38100" bIns="19050" anchor="ctr">
                <a:spAutoFit/>
              </a:bodyPr>
              <a:lstStyle/>
              <a:p>
                <a:pPr>
                  <a:defRPr lang="es-ES" sz="10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Sheet1!$B$1:$I$1</c:f>
              <c:numCache>
                <c:formatCode>General</c:formatCode>
                <c:ptCount val="5"/>
                <c:pt idx="0">
                  <c:v>2011</c:v>
                </c:pt>
                <c:pt idx="1">
                  <c:v>2012</c:v>
                </c:pt>
                <c:pt idx="2">
                  <c:v>2013</c:v>
                </c:pt>
                <c:pt idx="3">
                  <c:v>2014</c:v>
                </c:pt>
                <c:pt idx="4">
                  <c:v>2015</c:v>
                </c:pt>
              </c:numCache>
            </c:numRef>
          </c:cat>
          <c:val>
            <c:numRef>
              <c:f>Sheet1!$B$2:$I$2</c:f>
              <c:numCache>
                <c:formatCode>General</c:formatCode>
                <c:ptCount val="5"/>
                <c:pt idx="0">
                  <c:v>2.6</c:v>
                </c:pt>
                <c:pt idx="1">
                  <c:v>5.4</c:v>
                </c:pt>
                <c:pt idx="2">
                  <c:v>4.3</c:v>
                </c:pt>
                <c:pt idx="3">
                  <c:v>5</c:v>
                </c:pt>
                <c:pt idx="4">
                  <c:v>5.5</c:v>
                </c:pt>
              </c:numCache>
            </c:numRef>
          </c:val>
          <c:extLst xmlns:c16r2="http://schemas.microsoft.com/office/drawing/2015/06/chart">
            <c:ext xmlns:c16="http://schemas.microsoft.com/office/drawing/2014/chart" uri="{C3380CC4-5D6E-409C-BE32-E72D297353CC}">
              <c16:uniqueId val="{00000005-E186-4275-B51C-0ED638EE9936}"/>
            </c:ext>
          </c:extLst>
        </c:ser>
        <c:dLbls>
          <c:showVal val="1"/>
        </c:dLbls>
        <c:marker val="1"/>
        <c:axId val="122279040"/>
        <c:axId val="122280960"/>
      </c:lineChart>
      <c:catAx>
        <c:axId val="122279040"/>
        <c:scaling>
          <c:orientation val="minMax"/>
        </c:scaling>
        <c:axPos val="b"/>
        <c:title>
          <c:tx>
            <c:rich>
              <a:bodyPr/>
              <a:lstStyle/>
              <a:p>
                <a:pPr>
                  <a:defRPr lang="es-ES" sz="1200"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59259259259259245"/>
              <c:y val="0.8650602409638557"/>
            </c:manualLayout>
          </c:layout>
          <c:spPr>
            <a:noFill/>
            <a:ln w="25399">
              <a:noFill/>
            </a:ln>
          </c:spPr>
        </c:title>
        <c:numFmt formatCode="General" sourceLinked="1"/>
        <c:tickLblPos val="nextTo"/>
        <c:spPr>
          <a:ln w="3175">
            <a:solidFill>
              <a:srgbClr val="000000"/>
            </a:solidFill>
            <a:prstDash val="solid"/>
          </a:ln>
        </c:spPr>
        <c:txPr>
          <a:bodyPr rot="0" vert="horz"/>
          <a:lstStyle/>
          <a:p>
            <a:pPr>
              <a:defRPr lang="es-ES" sz="1000" b="1" i="0" u="none" strike="noStrike" baseline="0">
                <a:solidFill>
                  <a:srgbClr val="000000"/>
                </a:solidFill>
                <a:latin typeface="Times New Roman"/>
                <a:ea typeface="Times New Roman"/>
                <a:cs typeface="Times New Roman"/>
              </a:defRPr>
            </a:pPr>
            <a:endParaRPr lang="es-CR"/>
          </a:p>
        </c:txPr>
        <c:crossAx val="122280960"/>
        <c:crosses val="autoZero"/>
        <c:auto val="1"/>
        <c:lblAlgn val="ctr"/>
        <c:lblOffset val="100"/>
        <c:tickLblSkip val="1"/>
        <c:tickMarkSkip val="1"/>
      </c:catAx>
      <c:valAx>
        <c:axId val="122280960"/>
        <c:scaling>
          <c:orientation val="minMax"/>
          <c:max val="9"/>
          <c:min val="0"/>
        </c:scaling>
        <c:axPos val="l"/>
        <c:majorGridlines>
          <c:spPr>
            <a:ln w="3175">
              <a:solidFill>
                <a:srgbClr val="000000"/>
              </a:solidFill>
              <a:prstDash val="solid"/>
            </a:ln>
          </c:spPr>
        </c:majorGridlines>
        <c:title>
          <c:tx>
            <c:rich>
              <a:bodyPr rot="0" vert="wordArtVert"/>
              <a:lstStyle/>
              <a:p>
                <a:pPr algn="ctr">
                  <a:defRPr lang="es-ES" sz="800" b="1" i="0" u="none" strike="noStrike" baseline="0">
                    <a:solidFill>
                      <a:srgbClr val="000000"/>
                    </a:solidFill>
                    <a:latin typeface="Times New Roman"/>
                    <a:ea typeface="Times New Roman"/>
                    <a:cs typeface="Times New Roman"/>
                  </a:defRPr>
                </a:pPr>
                <a:r>
                  <a:rPr lang="es-CR"/>
                  <a:t>Porcentaje</a:t>
                </a:r>
              </a:p>
            </c:rich>
          </c:tx>
          <c:layout>
            <c:manualLayout>
              <c:xMode val="edge"/>
              <c:yMode val="edge"/>
              <c:x val="2.5252525252525249E-2"/>
              <c:y val="0.28433734939759037"/>
            </c:manualLayout>
          </c:layout>
          <c:spPr>
            <a:noFill/>
            <a:ln w="25399">
              <a:noFill/>
            </a:ln>
          </c:spPr>
        </c:title>
        <c:numFmt formatCode="General" sourceLinked="1"/>
        <c:tickLblPos val="nextTo"/>
        <c:spPr>
          <a:ln w="3175">
            <a:solidFill>
              <a:srgbClr val="000000"/>
            </a:solidFill>
            <a:prstDash val="solid"/>
          </a:ln>
        </c:spPr>
        <c:txPr>
          <a:bodyPr rot="0" vert="horz"/>
          <a:lstStyle/>
          <a:p>
            <a:pPr>
              <a:defRPr lang="es-ES" sz="1000" b="1" i="0" u="none" strike="noStrike" baseline="0">
                <a:solidFill>
                  <a:srgbClr val="000000"/>
                </a:solidFill>
                <a:latin typeface="Times New Roman"/>
                <a:ea typeface="Times New Roman"/>
                <a:cs typeface="Times New Roman"/>
              </a:defRPr>
            </a:pPr>
            <a:endParaRPr lang="es-CR"/>
          </a:p>
        </c:txPr>
        <c:crossAx val="122279040"/>
        <c:crosses val="autoZero"/>
        <c:crossBetween val="between"/>
        <c:majorUnit val="3"/>
        <c:minorUnit val="0.5"/>
      </c:valAx>
      <c:spPr>
        <a:solidFill>
          <a:srgbClr val="FFFF99"/>
        </a:solidFill>
        <a:ln w="12700">
          <a:solidFill>
            <a:srgbClr val="808080"/>
          </a:solidFill>
          <a:prstDash val="solid"/>
        </a:ln>
      </c:spPr>
    </c:plotArea>
    <c:plotVisOnly val="1"/>
    <c:dispBlanksAs val="gap"/>
  </c:chart>
  <c:spPr>
    <a:gradFill rotWithShape="0">
      <a:gsLst>
        <a:gs pos="0">
          <a:srgbClr val="99CCFF"/>
        </a:gs>
        <a:gs pos="100000">
          <a:srgbClr val="FFFFFF">
            <a:gamma/>
            <a:tint val="12549"/>
            <a:invGamma/>
          </a:srgbClr>
        </a:gs>
      </a:gsLst>
      <a:path path="rect">
        <a:fillToRect r="100000" b="100000"/>
      </a:path>
    </a:gradFill>
    <a:ln w="3175">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1"/>
  <c:userShapes r:id="rId2"/>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es-CR"/>
  <c:chart>
    <c:title>
      <c:tx>
        <c:rich>
          <a:bodyPr/>
          <a:lstStyle/>
          <a:p>
            <a:pPr>
              <a:defRPr lang="es-ES" sz="975" b="1" i="0" u="none" strike="noStrike" baseline="0">
                <a:solidFill>
                  <a:srgbClr val="000000"/>
                </a:solidFill>
                <a:latin typeface="Times New Roman"/>
                <a:ea typeface="Times New Roman"/>
                <a:cs typeface="Times New Roman"/>
              </a:defRPr>
            </a:pPr>
            <a:r>
              <a:rPr lang="es-CR"/>
              <a:t>Gráfico Nº 68
Porcentaje de personas menores con suspensión del proceso a prueba
2011 - 2011
</a:t>
            </a:r>
          </a:p>
        </c:rich>
      </c:tx>
      <c:layout>
        <c:manualLayout>
          <c:xMode val="edge"/>
          <c:yMode val="edge"/>
          <c:x val="0.14478114478114512"/>
          <c:y val="0"/>
        </c:manualLayout>
      </c:layout>
      <c:spPr>
        <a:noFill/>
        <a:ln w="25399">
          <a:noFill/>
        </a:ln>
      </c:spPr>
    </c:title>
    <c:plotArea>
      <c:layout>
        <c:manualLayout>
          <c:layoutTarget val="inner"/>
          <c:xMode val="edge"/>
          <c:yMode val="edge"/>
          <c:x val="0.14646464646464644"/>
          <c:y val="0.22857142857142893"/>
          <c:w val="0.81313131313131304"/>
          <c:h val="0.52987012987012949"/>
        </c:manualLayout>
      </c:layout>
      <c:lineChart>
        <c:grouping val="standard"/>
        <c:ser>
          <c:idx val="1"/>
          <c:order val="0"/>
          <c:tx>
            <c:strRef>
              <c:f>Sheet1!$A$2</c:f>
              <c:strCache>
                <c:ptCount val="1"/>
              </c:strCache>
            </c:strRef>
          </c:tx>
          <c:spPr>
            <a:ln w="25399">
              <a:solidFill>
                <a:srgbClr val="0000FF"/>
              </a:solidFill>
              <a:prstDash val="solid"/>
            </a:ln>
          </c:spPr>
          <c:marker>
            <c:symbol val="square"/>
            <c:size val="4"/>
            <c:spPr>
              <a:solidFill>
                <a:srgbClr val="0000FF"/>
              </a:solidFill>
              <a:ln>
                <a:solidFill>
                  <a:srgbClr val="0000FF"/>
                </a:solidFill>
                <a:prstDash val="solid"/>
              </a:ln>
            </c:spPr>
          </c:marker>
          <c:dLbls>
            <c:dLbl>
              <c:idx val="0"/>
              <c:layout>
                <c:manualLayout>
                  <c:x val="-6.2987873224739144E-2"/>
                  <c:y val="-6.4308338129690334E-2"/>
                </c:manualLayout>
              </c:layout>
              <c:numFmt formatCode="#.#00" sourceLinked="0"/>
              <c:spPr>
                <a:noFill/>
                <a:ln w="25399">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7B0-4909-B2F4-D80AA60877CA}"/>
                </c:ext>
              </c:extLst>
            </c:dLbl>
            <c:dLbl>
              <c:idx val="1"/>
              <c:layout>
                <c:manualLayout>
                  <c:x val="-3.3694859180853742E-2"/>
                  <c:y val="-6.7113652280656022E-2"/>
                </c:manualLayout>
              </c:layout>
              <c:numFmt formatCode="#.#00" sourceLinked="0"/>
              <c:spPr>
                <a:noFill/>
                <a:ln w="25399">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7B0-4909-B2F4-D80AA60877CA}"/>
                </c:ext>
              </c:extLst>
            </c:dLbl>
            <c:dLbl>
              <c:idx val="2"/>
              <c:layout>
                <c:manualLayout>
                  <c:x val="-3.6388592260542807E-2"/>
                  <c:y val="-5.8386497029063976E-2"/>
                </c:manualLayout>
              </c:layout>
              <c:numFmt formatCode="#.#00" sourceLinked="0"/>
              <c:spPr>
                <a:noFill/>
                <a:ln w="25399">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7B0-4909-B2F4-D80AA60877CA}"/>
                </c:ext>
              </c:extLst>
            </c:dLbl>
            <c:dLbl>
              <c:idx val="3"/>
              <c:layout>
                <c:manualLayout>
                  <c:x val="-3.4031605152684399E-2"/>
                  <c:y val="-5.9425217506392583E-2"/>
                </c:manualLayout>
              </c:layout>
              <c:numFmt formatCode="#.#00" sourceLinked="0"/>
              <c:spPr>
                <a:noFill/>
                <a:ln w="25399">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7B0-4909-B2F4-D80AA60877CA}"/>
                </c:ext>
              </c:extLst>
            </c:dLbl>
            <c:dLbl>
              <c:idx val="4"/>
              <c:layout>
                <c:manualLayout>
                  <c:x val="-1.989010626031433E-2"/>
                  <c:y val="-4.1762995449645117E-2"/>
                </c:manualLayout>
              </c:layout>
              <c:numFmt formatCode="#.#00" sourceLinked="0"/>
              <c:spPr>
                <a:noFill/>
                <a:ln w="25399">
                  <a:noFill/>
                </a:ln>
              </c:spPr>
              <c:txPr>
                <a:bodyPr/>
                <a:lstStyle/>
                <a:p>
                  <a:pPr>
                    <a:defRPr lang="es-ES" sz="1000" b="0" i="0" u="none" strike="noStrike" baseline="0">
                      <a:solidFill>
                        <a:srgbClr val="000000"/>
                      </a:solidFill>
                      <a:latin typeface="Times New Roman"/>
                      <a:ea typeface="Times New Roman"/>
                      <a:cs typeface="Times New Roman"/>
                    </a:defRPr>
                  </a:pPr>
                  <a:endParaRPr lang="es-CR"/>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7B0-4909-B2F4-D80AA60877CA}"/>
                </c:ext>
              </c:extLst>
            </c:dLbl>
            <c:numFmt formatCode="#.#00" sourceLinked="0"/>
            <c:spPr>
              <a:noFill/>
              <a:ln w="25399">
                <a:noFill/>
              </a:ln>
            </c:spPr>
            <c:txPr>
              <a:bodyPr wrap="square" lIns="38100" tIns="19050" rIns="38100" bIns="19050" anchor="ctr">
                <a:spAutoFit/>
              </a:bodyPr>
              <a:lstStyle/>
              <a:p>
                <a:pPr>
                  <a:defRPr lang="es-ES" sz="10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Sheet1!$B$1:$I$1</c:f>
              <c:numCache>
                <c:formatCode>General</c:formatCode>
                <c:ptCount val="5"/>
                <c:pt idx="0">
                  <c:v>2011</c:v>
                </c:pt>
                <c:pt idx="1">
                  <c:v>2012</c:v>
                </c:pt>
                <c:pt idx="2">
                  <c:v>2013</c:v>
                </c:pt>
                <c:pt idx="3">
                  <c:v>2014</c:v>
                </c:pt>
                <c:pt idx="4">
                  <c:v>2015</c:v>
                </c:pt>
              </c:numCache>
            </c:numRef>
          </c:cat>
          <c:val>
            <c:numRef>
              <c:f>Sheet1!$B$2:$I$2</c:f>
              <c:numCache>
                <c:formatCode>General</c:formatCode>
                <c:ptCount val="5"/>
                <c:pt idx="0">
                  <c:v>4.0999999999999996</c:v>
                </c:pt>
                <c:pt idx="1">
                  <c:v>3.9</c:v>
                </c:pt>
                <c:pt idx="2">
                  <c:v>4.8</c:v>
                </c:pt>
                <c:pt idx="3">
                  <c:v>6.3</c:v>
                </c:pt>
                <c:pt idx="4">
                  <c:v>8.3000000000000007</c:v>
                </c:pt>
              </c:numCache>
            </c:numRef>
          </c:val>
          <c:extLst xmlns:c16r2="http://schemas.microsoft.com/office/drawing/2015/06/chart">
            <c:ext xmlns:c16="http://schemas.microsoft.com/office/drawing/2014/chart" uri="{C3380CC4-5D6E-409C-BE32-E72D297353CC}">
              <c16:uniqueId val="{00000005-87B0-4909-B2F4-D80AA60877CA}"/>
            </c:ext>
          </c:extLst>
        </c:ser>
        <c:dLbls>
          <c:showVal val="1"/>
        </c:dLbls>
        <c:marker val="1"/>
        <c:axId val="122336384"/>
        <c:axId val="122338304"/>
      </c:lineChart>
      <c:catAx>
        <c:axId val="122336384"/>
        <c:scaling>
          <c:orientation val="minMax"/>
        </c:scaling>
        <c:axPos val="b"/>
        <c:title>
          <c:tx>
            <c:rich>
              <a:bodyPr/>
              <a:lstStyle/>
              <a:p>
                <a:pPr>
                  <a:defRPr lang="es-ES" sz="1175"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58922558922558921"/>
              <c:y val="0.85194805194805323"/>
            </c:manualLayout>
          </c:layout>
          <c:spPr>
            <a:noFill/>
            <a:ln w="25399">
              <a:noFill/>
            </a:ln>
          </c:spPr>
        </c:title>
        <c:numFmt formatCode="General" sourceLinked="1"/>
        <c:tickLblPos val="nextTo"/>
        <c:spPr>
          <a:ln w="3175">
            <a:solidFill>
              <a:srgbClr val="000000"/>
            </a:solidFill>
            <a:prstDash val="solid"/>
          </a:ln>
        </c:spPr>
        <c:txPr>
          <a:bodyPr rot="0" vert="horz"/>
          <a:lstStyle/>
          <a:p>
            <a:pPr>
              <a:defRPr lang="es-ES" sz="1000" b="1" i="0" u="none" strike="noStrike" baseline="0">
                <a:solidFill>
                  <a:srgbClr val="000000"/>
                </a:solidFill>
                <a:latin typeface="Times New Roman"/>
                <a:ea typeface="Times New Roman"/>
                <a:cs typeface="Times New Roman"/>
              </a:defRPr>
            </a:pPr>
            <a:endParaRPr lang="es-CR"/>
          </a:p>
        </c:txPr>
        <c:crossAx val="122338304"/>
        <c:crosses val="autoZero"/>
        <c:auto val="1"/>
        <c:lblAlgn val="ctr"/>
        <c:lblOffset val="100"/>
        <c:tickLblSkip val="1"/>
        <c:tickMarkSkip val="1"/>
      </c:catAx>
      <c:valAx>
        <c:axId val="122338304"/>
        <c:scaling>
          <c:orientation val="minMax"/>
          <c:max val="10"/>
          <c:min val="0"/>
        </c:scaling>
        <c:axPos val="l"/>
        <c:majorGridlines>
          <c:spPr>
            <a:ln w="3175">
              <a:solidFill>
                <a:srgbClr val="000000"/>
              </a:solidFill>
              <a:prstDash val="solid"/>
            </a:ln>
          </c:spPr>
        </c:majorGridlines>
        <c:title>
          <c:tx>
            <c:rich>
              <a:bodyPr rot="0" vert="wordArtVert"/>
              <a:lstStyle/>
              <a:p>
                <a:pPr algn="ctr">
                  <a:defRPr lang="es-ES" sz="800" b="1" i="0" u="none" strike="noStrike" baseline="0">
                    <a:solidFill>
                      <a:srgbClr val="000000"/>
                    </a:solidFill>
                    <a:latin typeface="Times New Roman"/>
                    <a:ea typeface="Times New Roman"/>
                    <a:cs typeface="Times New Roman"/>
                  </a:defRPr>
                </a:pPr>
                <a:r>
                  <a:rPr lang="es-CR"/>
                  <a:t>Porcentaje</a:t>
                </a:r>
              </a:p>
            </c:rich>
          </c:tx>
          <c:layout>
            <c:manualLayout>
              <c:xMode val="edge"/>
              <c:yMode val="edge"/>
              <c:x val="2.3569023569023601E-2"/>
              <c:y val="0.26753246753246812"/>
            </c:manualLayout>
          </c:layout>
          <c:spPr>
            <a:noFill/>
            <a:ln w="25399">
              <a:noFill/>
            </a:ln>
          </c:spPr>
        </c:title>
        <c:numFmt formatCode="General" sourceLinked="1"/>
        <c:tickLblPos val="nextTo"/>
        <c:spPr>
          <a:ln w="3175">
            <a:solidFill>
              <a:srgbClr val="000000"/>
            </a:solidFill>
            <a:prstDash val="solid"/>
          </a:ln>
        </c:spPr>
        <c:txPr>
          <a:bodyPr rot="0" vert="horz"/>
          <a:lstStyle/>
          <a:p>
            <a:pPr>
              <a:defRPr lang="es-ES" sz="1000" b="1" i="0" u="none" strike="noStrike" baseline="0">
                <a:solidFill>
                  <a:srgbClr val="000000"/>
                </a:solidFill>
                <a:latin typeface="Times New Roman"/>
                <a:ea typeface="Times New Roman"/>
                <a:cs typeface="Times New Roman"/>
              </a:defRPr>
            </a:pPr>
            <a:endParaRPr lang="es-CR"/>
          </a:p>
        </c:txPr>
        <c:crossAx val="122336384"/>
        <c:crosses val="autoZero"/>
        <c:crossBetween val="between"/>
        <c:majorUnit val="2"/>
        <c:minorUnit val="0.5"/>
      </c:valAx>
      <c:spPr>
        <a:solidFill>
          <a:srgbClr val="FFFF99"/>
        </a:solidFill>
        <a:ln w="12700">
          <a:solidFill>
            <a:srgbClr val="808080"/>
          </a:solidFill>
          <a:prstDash val="solid"/>
        </a:ln>
      </c:spPr>
    </c:plotArea>
    <c:plotVisOnly val="1"/>
    <c:dispBlanksAs val="gap"/>
  </c:chart>
  <c:spPr>
    <a:gradFill rotWithShape="0">
      <a:gsLst>
        <a:gs pos="0">
          <a:srgbClr val="99CCFF"/>
        </a:gs>
        <a:gs pos="100000">
          <a:srgbClr val="FFFFFF">
            <a:gamma/>
            <a:tint val="12549"/>
            <a:invGamma/>
          </a:srgbClr>
        </a:gs>
      </a:gsLst>
      <a:path path="rect">
        <a:fillToRect r="100000" b="100000"/>
      </a:path>
    </a:gradFill>
    <a:ln w="3175">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CR"/>
  <c:chart>
    <c:title>
      <c:tx>
        <c:rich>
          <a:bodyPr/>
          <a:lstStyle/>
          <a:p>
            <a:pPr>
              <a:defRPr lang="es-ES" sz="925" b="1" i="0" u="none" strike="noStrike" baseline="0">
                <a:solidFill>
                  <a:srgbClr val="000000"/>
                </a:solidFill>
                <a:latin typeface="Times New Roman"/>
                <a:ea typeface="Times New Roman"/>
                <a:cs typeface="Times New Roman"/>
              </a:defRPr>
            </a:pPr>
            <a:r>
              <a:rPr lang="es-CR"/>
              <a:t>Gráfico Nº 7 
Porcentaje del costo jurisdiccional respecto del costo de la justicia según año 2011 -2015</a:t>
            </a:r>
          </a:p>
        </c:rich>
      </c:tx>
      <c:layout>
        <c:manualLayout>
          <c:xMode val="edge"/>
          <c:yMode val="edge"/>
          <c:x val="0.12020905923344963"/>
          <c:y val="2.0942408376963352E-2"/>
        </c:manualLayout>
      </c:layout>
      <c:spPr>
        <a:noFill/>
        <a:ln w="25401">
          <a:noFill/>
        </a:ln>
      </c:spPr>
    </c:title>
    <c:view3D>
      <c:hPercent val="51"/>
      <c:depthPercent val="100"/>
      <c:rAngAx val="1"/>
    </c:view3D>
    <c:floor>
      <c:spPr>
        <a:solidFill>
          <a:srgbClr val="C0C0C0"/>
        </a:solidFill>
        <a:ln w="3175">
          <a:solidFill>
            <a:srgbClr val="000000"/>
          </a:solidFill>
          <a:prstDash val="solid"/>
        </a:ln>
      </c:spPr>
    </c:floor>
    <c:sideWall>
      <c:spPr>
        <a:solidFill>
          <a:srgbClr val="FFFFCC"/>
        </a:solidFill>
        <a:ln w="12700">
          <a:solidFill>
            <a:srgbClr val="808080"/>
          </a:solidFill>
          <a:prstDash val="solid"/>
        </a:ln>
      </c:spPr>
    </c:sideWall>
    <c:backWall>
      <c:spPr>
        <a:solidFill>
          <a:srgbClr val="FFFFCC"/>
        </a:solidFill>
        <a:ln w="12700">
          <a:solidFill>
            <a:srgbClr val="808080"/>
          </a:solidFill>
          <a:prstDash val="solid"/>
        </a:ln>
      </c:spPr>
    </c:backWall>
    <c:plotArea>
      <c:layout>
        <c:manualLayout>
          <c:layoutTarget val="inner"/>
          <c:xMode val="edge"/>
          <c:yMode val="edge"/>
          <c:x val="9.2993905422839168E-2"/>
          <c:y val="0.19738752819214181"/>
          <c:w val="0.90069686411149863"/>
          <c:h val="0.58638743455497389"/>
        </c:manualLayout>
      </c:layout>
      <c:bar3DChart>
        <c:barDir val="col"/>
        <c:grouping val="clustered"/>
        <c:ser>
          <c:idx val="0"/>
          <c:order val="0"/>
          <c:tx>
            <c:strRef>
              <c:f>Sheet1!$A$2</c:f>
              <c:strCache>
                <c:ptCount val="1"/>
              </c:strCache>
            </c:strRef>
          </c:tx>
          <c:spPr>
            <a:solidFill>
              <a:srgbClr val="FF6600"/>
            </a:solidFill>
            <a:ln w="12700">
              <a:solidFill>
                <a:srgbClr val="000000"/>
              </a:solidFill>
              <a:prstDash val="solid"/>
            </a:ln>
          </c:spPr>
          <c:dLbls>
            <c:dLbl>
              <c:idx val="0"/>
              <c:layout>
                <c:manualLayout>
                  <c:x val="1.9437510627418064E-2"/>
                  <c:y val="-2.318329220134288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3FD-4218-B578-9AFCED4313DC}"/>
                </c:ext>
              </c:extLst>
            </c:dLbl>
            <c:dLbl>
              <c:idx val="1"/>
              <c:layout>
                <c:manualLayout>
                  <c:x val="2.2941749116829759E-2"/>
                  <c:y val="-3.693368762157393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3FD-4218-B578-9AFCED4313DC}"/>
                </c:ext>
              </c:extLst>
            </c:dLbl>
            <c:dLbl>
              <c:idx val="2"/>
              <c:layout>
                <c:manualLayout>
                  <c:x val="2.8188370314810241E-2"/>
                  <c:y val="-4.196733278186838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3FD-4218-B578-9AFCED4313DC}"/>
                </c:ext>
              </c:extLst>
            </c:dLbl>
            <c:dLbl>
              <c:idx val="3"/>
              <c:layout>
                <c:manualLayout>
                  <c:x val="1.7755326574256939E-2"/>
                  <c:y val="-1.708434298852681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3FD-4218-B578-9AFCED4313DC}"/>
                </c:ext>
              </c:extLst>
            </c:dLbl>
            <c:dLbl>
              <c:idx val="4"/>
              <c:layout>
                <c:manualLayout>
                  <c:x val="2.4743885621159679E-2"/>
                  <c:y val="-4.280292020904853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3FD-4218-B578-9AFCED4313DC}"/>
                </c:ext>
              </c:extLst>
            </c:dLbl>
            <c:dLbl>
              <c:idx val="5"/>
              <c:layout>
                <c:manualLayout>
                  <c:xMode val="edge"/>
                  <c:yMode val="edge"/>
                  <c:x val="0.86933797909407662"/>
                  <c:y val="0.3429319371727748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3FD-4218-B578-9AFCED4313DC}"/>
                </c:ext>
              </c:extLst>
            </c:dLbl>
            <c:dLbl>
              <c:idx val="6"/>
              <c:layout>
                <c:manualLayout>
                  <c:xMode val="edge"/>
                  <c:yMode val="edge"/>
                  <c:x val="0.60975609756097693"/>
                  <c:y val="0.29581151832460845"/>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3FD-4218-B578-9AFCED4313DC}"/>
                </c:ext>
              </c:extLst>
            </c:dLbl>
            <c:dLbl>
              <c:idx val="7"/>
              <c:layout>
                <c:manualLayout>
                  <c:xMode val="edge"/>
                  <c:yMode val="edge"/>
                  <c:x val="0.60975609756097693"/>
                  <c:y val="0.298429319371728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3FD-4218-B578-9AFCED4313DC}"/>
                </c:ext>
              </c:extLst>
            </c:dLbl>
            <c:dLbl>
              <c:idx val="8"/>
              <c:layout>
                <c:manualLayout>
                  <c:xMode val="edge"/>
                  <c:yMode val="edge"/>
                  <c:x val="0.61846689895470386"/>
                  <c:y val="0.298429319371728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3FD-4218-B578-9AFCED4313DC}"/>
                </c:ext>
              </c:extLst>
            </c:dLbl>
            <c:dLbl>
              <c:idx val="9"/>
              <c:layout>
                <c:manualLayout>
                  <c:xMode val="edge"/>
                  <c:yMode val="edge"/>
                  <c:x val="0.61498257839721249"/>
                  <c:y val="0.29057591623036688"/>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3FD-4218-B578-9AFCED4313DC}"/>
                </c:ext>
              </c:extLst>
            </c:dLbl>
            <c:numFmt formatCode="0.0" sourceLinked="0"/>
            <c:spPr>
              <a:noFill/>
              <a:ln w="25401">
                <a:noFill/>
              </a:ln>
            </c:spPr>
            <c:txPr>
              <a:bodyPr/>
              <a:lstStyle/>
              <a:p>
                <a:pPr>
                  <a:defRPr lang="es-ES" sz="925"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Sheet1!$B$1:$Q$1</c:f>
              <c:numCache>
                <c:formatCode>General</c:formatCode>
                <c:ptCount val="5"/>
                <c:pt idx="0">
                  <c:v>2011</c:v>
                </c:pt>
                <c:pt idx="1">
                  <c:v>2012</c:v>
                </c:pt>
                <c:pt idx="2">
                  <c:v>2013</c:v>
                </c:pt>
                <c:pt idx="3">
                  <c:v>2014</c:v>
                </c:pt>
                <c:pt idx="4">
                  <c:v>2015</c:v>
                </c:pt>
              </c:numCache>
            </c:numRef>
          </c:cat>
          <c:val>
            <c:numRef>
              <c:f>Sheet1!$B$2:$Q$2</c:f>
              <c:numCache>
                <c:formatCode>General</c:formatCode>
                <c:ptCount val="5"/>
                <c:pt idx="0">
                  <c:v>35.9</c:v>
                </c:pt>
                <c:pt idx="1">
                  <c:v>35.6</c:v>
                </c:pt>
                <c:pt idx="2">
                  <c:v>34.9</c:v>
                </c:pt>
                <c:pt idx="3">
                  <c:v>35.5</c:v>
                </c:pt>
                <c:pt idx="4">
                  <c:v>36.5</c:v>
                </c:pt>
              </c:numCache>
            </c:numRef>
          </c:val>
          <c:shape val="cylinder"/>
          <c:extLst xmlns:c16r2="http://schemas.microsoft.com/office/drawing/2015/06/chart">
            <c:ext xmlns:c16="http://schemas.microsoft.com/office/drawing/2014/chart" uri="{C3380CC4-5D6E-409C-BE32-E72D297353CC}">
              <c16:uniqueId val="{0000000A-33FD-4218-B578-9AFCED4313DC}"/>
            </c:ext>
          </c:extLst>
        </c:ser>
        <c:dLbls>
          <c:showVal val="1"/>
        </c:dLbls>
        <c:gapDepth val="0"/>
        <c:shape val="box"/>
        <c:axId val="101053952"/>
        <c:axId val="101055872"/>
        <c:axId val="0"/>
      </c:bar3DChart>
      <c:catAx>
        <c:axId val="101053952"/>
        <c:scaling>
          <c:orientation val="minMax"/>
        </c:scaling>
        <c:axPos val="b"/>
        <c:title>
          <c:tx>
            <c:rich>
              <a:bodyPr/>
              <a:lstStyle/>
              <a:p>
                <a:pPr>
                  <a:defRPr lang="es-ES" sz="825"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54703832752613268"/>
              <c:y val="0.87696335078534038"/>
            </c:manualLayout>
          </c:layout>
          <c:spPr>
            <a:noFill/>
            <a:ln w="25401">
              <a:noFill/>
            </a:ln>
          </c:spPr>
        </c:title>
        <c:numFmt formatCode="General" sourceLinked="1"/>
        <c:tickLblPos val="low"/>
        <c:spPr>
          <a:ln w="3175">
            <a:solidFill>
              <a:srgbClr val="000000"/>
            </a:solidFill>
            <a:prstDash val="solid"/>
          </a:ln>
        </c:spPr>
        <c:txPr>
          <a:bodyPr rot="0" vert="horz"/>
          <a:lstStyle/>
          <a:p>
            <a:pPr>
              <a:defRPr lang="es-ES" sz="900" b="1" i="0" u="none" strike="noStrike" baseline="0">
                <a:solidFill>
                  <a:srgbClr val="000000"/>
                </a:solidFill>
                <a:latin typeface="Times New Roman"/>
                <a:ea typeface="Times New Roman"/>
                <a:cs typeface="Times New Roman"/>
              </a:defRPr>
            </a:pPr>
            <a:endParaRPr lang="es-CR"/>
          </a:p>
        </c:txPr>
        <c:crossAx val="101055872"/>
        <c:crossesAt val="0"/>
        <c:auto val="1"/>
        <c:lblAlgn val="ctr"/>
        <c:lblOffset val="100"/>
        <c:tickLblSkip val="1"/>
        <c:tickMarkSkip val="1"/>
      </c:catAx>
      <c:valAx>
        <c:axId val="101055872"/>
        <c:scaling>
          <c:orientation val="minMax"/>
          <c:max val="50"/>
          <c:min val="0"/>
        </c:scaling>
        <c:axPos val="l"/>
        <c:majorGridlines>
          <c:spPr>
            <a:ln w="3175">
              <a:solidFill>
                <a:srgbClr val="000000"/>
              </a:solidFill>
              <a:prstDash val="solid"/>
            </a:ln>
          </c:spPr>
        </c:majorGridlines>
        <c:title>
          <c:tx>
            <c:rich>
              <a:bodyPr rot="0" vert="wordArtVert"/>
              <a:lstStyle/>
              <a:p>
                <a:pPr algn="ctr">
                  <a:defRPr lang="es-ES" sz="750" b="1" i="0" u="none" strike="noStrike" baseline="0">
                    <a:solidFill>
                      <a:srgbClr val="000000"/>
                    </a:solidFill>
                    <a:latin typeface="Times New Roman"/>
                    <a:ea typeface="Times New Roman"/>
                    <a:cs typeface="Times New Roman"/>
                  </a:defRPr>
                </a:pPr>
                <a:r>
                  <a:rPr lang="es-CR"/>
                  <a:t>PORCENTAJE</a:t>
                </a:r>
              </a:p>
            </c:rich>
          </c:tx>
          <c:layout>
            <c:manualLayout>
              <c:xMode val="edge"/>
              <c:yMode val="edge"/>
              <c:x val="3.4843205574913022E-2"/>
              <c:y val="0.33507853403141441"/>
            </c:manualLayout>
          </c:layout>
          <c:spPr>
            <a:noFill/>
            <a:ln w="25401">
              <a:noFill/>
            </a:ln>
          </c:spPr>
        </c:title>
        <c:numFmt formatCode="General" sourceLinked="1"/>
        <c:tickLblPos val="nextTo"/>
        <c:spPr>
          <a:ln w="3175">
            <a:solidFill>
              <a:srgbClr val="000000"/>
            </a:solidFill>
            <a:prstDash val="solid"/>
          </a:ln>
        </c:spPr>
        <c:txPr>
          <a:bodyPr rot="0" vert="horz"/>
          <a:lstStyle/>
          <a:p>
            <a:pPr>
              <a:defRPr lang="es-ES" sz="825" b="1" i="0" u="none" strike="noStrike" baseline="0">
                <a:solidFill>
                  <a:srgbClr val="000000"/>
                </a:solidFill>
                <a:latin typeface="Arial"/>
                <a:ea typeface="Arial"/>
                <a:cs typeface="Arial"/>
              </a:defRPr>
            </a:pPr>
            <a:endParaRPr lang="es-CR"/>
          </a:p>
        </c:txPr>
        <c:crossAx val="101053952"/>
        <c:crosses val="autoZero"/>
        <c:crossBetween val="between"/>
        <c:majorUnit val="10"/>
        <c:minorUnit val="10"/>
      </c:valAx>
      <c:spPr>
        <a:noFill/>
        <a:ln w="25401">
          <a:noFill/>
        </a:ln>
      </c:spPr>
    </c:plotArea>
    <c:plotVisOnly val="1"/>
    <c:dispBlanksAs val="gap"/>
  </c:chart>
  <c:spPr>
    <a:gradFill rotWithShape="0">
      <a:gsLst>
        <a:gs pos="0">
          <a:srgbClr val="CCFFFF">
            <a:gamma/>
            <a:shade val="69804"/>
            <a:invGamma/>
          </a:srgbClr>
        </a:gs>
        <a:gs pos="50000">
          <a:srgbClr val="CCFFFF"/>
        </a:gs>
        <a:gs pos="100000">
          <a:srgbClr val="CCFFFF">
            <a:gamma/>
            <a:shade val="69804"/>
            <a:invGamma/>
          </a:srgbClr>
        </a:gs>
      </a:gsLst>
      <a:lin ang="5400000" scaled="1"/>
    </a:gradFill>
    <a:ln w="3175">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CR"/>
  <c:chart>
    <c:title>
      <c:tx>
        <c:rich>
          <a:bodyPr/>
          <a:lstStyle/>
          <a:p>
            <a:pPr>
              <a:defRPr lang="es-ES" sz="975" b="1" i="0" u="none" strike="noStrike" baseline="0">
                <a:solidFill>
                  <a:srgbClr val="000000"/>
                </a:solidFill>
                <a:latin typeface="Times New Roman"/>
                <a:ea typeface="Times New Roman"/>
                <a:cs typeface="Times New Roman"/>
              </a:defRPr>
            </a:pPr>
            <a:r>
              <a:rPr lang="es-CR"/>
              <a:t>Gráfico Nº 8
Porcentaje del gasto en justicia destinado al pago de personal
 durante el período 2011 - 2015</a:t>
            </a:r>
          </a:p>
        </c:rich>
      </c:tx>
      <c:layout>
        <c:manualLayout>
          <c:xMode val="edge"/>
          <c:yMode val="edge"/>
          <c:x val="0.16034482758620691"/>
          <c:y val="2.5445292620865256E-2"/>
        </c:manualLayout>
      </c:layout>
      <c:spPr>
        <a:noFill/>
        <a:ln w="25400">
          <a:noFill/>
        </a:ln>
      </c:spPr>
    </c:title>
    <c:plotArea>
      <c:layout>
        <c:manualLayout>
          <c:layoutTarget val="inner"/>
          <c:xMode val="edge"/>
          <c:yMode val="edge"/>
          <c:x val="0.13103448275862101"/>
          <c:y val="0.25954198473282442"/>
          <c:w val="0.83793103448275863"/>
          <c:h val="0.55216284987277231"/>
        </c:manualLayout>
      </c:layout>
      <c:lineChart>
        <c:grouping val="standard"/>
        <c:ser>
          <c:idx val="0"/>
          <c:order val="0"/>
          <c:tx>
            <c:strRef>
              <c:f>Sheet1!$A$2</c:f>
              <c:strCache>
                <c:ptCount val="1"/>
                <c:pt idx="0">
                  <c:v>n</c:v>
                </c:pt>
              </c:strCache>
            </c:strRef>
          </c:tx>
          <c:spPr>
            <a:ln w="25400">
              <a:solidFill>
                <a:srgbClr val="000000"/>
              </a:solidFill>
              <a:prstDash val="solid"/>
            </a:ln>
          </c:spPr>
          <c:marker>
            <c:symbol val="diamond"/>
            <c:size val="7"/>
            <c:spPr>
              <a:solidFill>
                <a:srgbClr val="000000"/>
              </a:solidFill>
              <a:ln>
                <a:solidFill>
                  <a:srgbClr val="000000"/>
                </a:solidFill>
                <a:prstDash val="solid"/>
              </a:ln>
            </c:spPr>
          </c:marker>
          <c:dLbls>
            <c:dLbl>
              <c:idx val="0"/>
              <c:layout>
                <c:manualLayout>
                  <c:x val="-4.8521609960754372E-2"/>
                  <c:y val="-5.2514835820964299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1F2-4D19-A3A8-F13DC2D93945}"/>
                </c:ext>
              </c:extLst>
            </c:dLbl>
            <c:dLbl>
              <c:idx val="1"/>
              <c:layout>
                <c:manualLayout>
                  <c:x val="-4.3693999456964464E-2"/>
                  <c:y val="-5.04578467520595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1F2-4D19-A3A8-F13DC2D93945}"/>
                </c:ext>
              </c:extLst>
            </c:dLbl>
            <c:dLbl>
              <c:idx val="2"/>
              <c:layout>
                <c:manualLayout>
                  <c:x val="-5.2659712592047395E-2"/>
                  <c:y val="-5.22986466031784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1F2-4D19-A3A8-F13DC2D93945}"/>
                </c:ext>
              </c:extLst>
            </c:dLbl>
            <c:dLbl>
              <c:idx val="3"/>
              <c:layout>
                <c:manualLayout>
                  <c:x val="-4.0935550364119215E-2"/>
                  <c:y val="-5.530329561191040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1F2-4D19-A3A8-F13DC2D93945}"/>
                </c:ext>
              </c:extLst>
            </c:dLbl>
            <c:dLbl>
              <c:idx val="4"/>
              <c:layout>
                <c:manualLayout>
                  <c:x val="-2.4038974343087962E-2"/>
                  <c:y val="-5.205471607431889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1F2-4D19-A3A8-F13DC2D93945}"/>
                </c:ext>
              </c:extLst>
            </c:dLbl>
            <c:dLbl>
              <c:idx val="5"/>
              <c:layout>
                <c:manualLayout>
                  <c:xMode val="edge"/>
                  <c:yMode val="edge"/>
                  <c:x val="0.9758620689655173"/>
                  <c:y val="2.5445292620865263E-3"/>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1F2-4D19-A3A8-F13DC2D93945}"/>
                </c:ext>
              </c:extLst>
            </c:dLbl>
            <c:dLbl>
              <c:idx val="6"/>
              <c:layout>
                <c:manualLayout>
                  <c:xMode val="edge"/>
                  <c:yMode val="edge"/>
                  <c:x val="0.67413793103448405"/>
                  <c:y val="0.23155216284987276"/>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1F2-4D19-A3A8-F13DC2D93945}"/>
                </c:ext>
              </c:extLst>
            </c:dLbl>
            <c:dLbl>
              <c:idx val="7"/>
              <c:layout>
                <c:manualLayout>
                  <c:xMode val="edge"/>
                  <c:yMode val="edge"/>
                  <c:x val="0.67931034482758612"/>
                  <c:y val="0.24173027989821891"/>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1F2-4D19-A3A8-F13DC2D93945}"/>
                </c:ext>
              </c:extLst>
            </c:dLbl>
            <c:dLbl>
              <c:idx val="8"/>
              <c:layout>
                <c:manualLayout>
                  <c:xMode val="edge"/>
                  <c:yMode val="edge"/>
                  <c:x val="0.69137931034482902"/>
                  <c:y val="0.23155216284987276"/>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1F2-4D19-A3A8-F13DC2D93945}"/>
                </c:ext>
              </c:extLst>
            </c:dLbl>
            <c:dLbl>
              <c:idx val="9"/>
              <c:layout>
                <c:manualLayout>
                  <c:xMode val="edge"/>
                  <c:yMode val="edge"/>
                  <c:x val="0.6896551724137957"/>
                  <c:y val="0.23155216284987276"/>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1F2-4D19-A3A8-F13DC2D93945}"/>
                </c:ext>
              </c:extLst>
            </c:dLbl>
            <c:numFmt formatCode="0.0" sourceLinked="0"/>
            <c:spPr>
              <a:noFill/>
              <a:ln w="25400">
                <a:noFill/>
              </a:ln>
            </c:spPr>
            <c:txPr>
              <a:bodyPr/>
              <a:lstStyle/>
              <a:p>
                <a:pPr>
                  <a:defRPr lang="es-ES" sz="90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Sheet1!$B$1:$Q$1</c:f>
              <c:numCache>
                <c:formatCode>General</c:formatCode>
                <c:ptCount val="5"/>
                <c:pt idx="0">
                  <c:v>2011</c:v>
                </c:pt>
                <c:pt idx="1">
                  <c:v>2012</c:v>
                </c:pt>
                <c:pt idx="2">
                  <c:v>2013</c:v>
                </c:pt>
                <c:pt idx="3">
                  <c:v>2014</c:v>
                </c:pt>
                <c:pt idx="4">
                  <c:v>2015</c:v>
                </c:pt>
              </c:numCache>
            </c:numRef>
          </c:cat>
          <c:val>
            <c:numRef>
              <c:f>Sheet1!$B$2:$Q$2</c:f>
              <c:numCache>
                <c:formatCode>General</c:formatCode>
                <c:ptCount val="5"/>
                <c:pt idx="0">
                  <c:v>88.3</c:v>
                </c:pt>
                <c:pt idx="1">
                  <c:v>89.3</c:v>
                </c:pt>
                <c:pt idx="2">
                  <c:v>88.9</c:v>
                </c:pt>
                <c:pt idx="3">
                  <c:v>88.8</c:v>
                </c:pt>
                <c:pt idx="4">
                  <c:v>88.4</c:v>
                </c:pt>
              </c:numCache>
            </c:numRef>
          </c:val>
          <c:smooth val="1"/>
          <c:extLst xmlns:c16r2="http://schemas.microsoft.com/office/drawing/2015/06/chart">
            <c:ext xmlns:c16="http://schemas.microsoft.com/office/drawing/2014/chart" uri="{C3380CC4-5D6E-409C-BE32-E72D297353CC}">
              <c16:uniqueId val="{0000000A-41F2-4D19-A3A8-F13DC2D93945}"/>
            </c:ext>
          </c:extLst>
        </c:ser>
        <c:ser>
          <c:idx val="1"/>
          <c:order val="1"/>
          <c:tx>
            <c:strRef>
              <c:f>Sheet1!$A$3</c:f>
              <c:strCache>
                <c:ptCount val="1"/>
              </c:strCache>
            </c:strRef>
          </c:tx>
          <c:spPr>
            <a:ln w="25400">
              <a:solidFill>
                <a:srgbClr val="008000"/>
              </a:solidFill>
              <a:prstDash val="solid"/>
            </a:ln>
          </c:spPr>
          <c:marker>
            <c:symbol val="square"/>
            <c:size val="7"/>
            <c:spPr>
              <a:solidFill>
                <a:srgbClr val="008000"/>
              </a:solidFill>
              <a:ln>
                <a:solidFill>
                  <a:srgbClr val="008000"/>
                </a:solidFill>
                <a:prstDash val="solid"/>
              </a:ln>
            </c:spPr>
          </c:marker>
          <c:dLbls>
            <c:spPr>
              <a:noFill/>
              <a:ln w="25400">
                <a:noFill/>
              </a:ln>
            </c:spPr>
            <c:txPr>
              <a:bodyPr/>
              <a:lstStyle/>
              <a:p>
                <a:pPr>
                  <a:defRPr lang="es-ES" sz="1450" b="1" i="0" u="none" strike="noStrike" baseline="0">
                    <a:solidFill>
                      <a:srgbClr val="000000"/>
                    </a:solidFill>
                    <a:latin typeface="Arial"/>
                    <a:ea typeface="Arial"/>
                    <a:cs typeface="Arial"/>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Sheet1!$B$1:$Q$1</c:f>
              <c:numCache>
                <c:formatCode>General</c:formatCode>
                <c:ptCount val="5"/>
                <c:pt idx="0">
                  <c:v>2011</c:v>
                </c:pt>
                <c:pt idx="1">
                  <c:v>2012</c:v>
                </c:pt>
                <c:pt idx="2">
                  <c:v>2013</c:v>
                </c:pt>
                <c:pt idx="3">
                  <c:v>2014</c:v>
                </c:pt>
                <c:pt idx="4">
                  <c:v>2015</c:v>
                </c:pt>
              </c:numCache>
            </c:numRef>
          </c:cat>
          <c:val>
            <c:numRef>
              <c:f>Sheet1!$B$3:$Q$3</c:f>
              <c:numCache>
                <c:formatCode>General</c:formatCode>
                <c:ptCount val="5"/>
              </c:numCache>
            </c:numRef>
          </c:val>
          <c:extLst xmlns:c16r2="http://schemas.microsoft.com/office/drawing/2015/06/chart">
            <c:ext xmlns:c16="http://schemas.microsoft.com/office/drawing/2014/chart" uri="{C3380CC4-5D6E-409C-BE32-E72D297353CC}">
              <c16:uniqueId val="{0000000B-41F2-4D19-A3A8-F13DC2D93945}"/>
            </c:ext>
          </c:extLst>
        </c:ser>
        <c:dLbls>
          <c:showVal val="1"/>
        </c:dLbls>
        <c:marker val="1"/>
        <c:axId val="101090048"/>
        <c:axId val="101091968"/>
      </c:lineChart>
      <c:catAx>
        <c:axId val="101090048"/>
        <c:scaling>
          <c:orientation val="minMax"/>
        </c:scaling>
        <c:axPos val="b"/>
        <c:title>
          <c:tx>
            <c:rich>
              <a:bodyPr/>
              <a:lstStyle/>
              <a:p>
                <a:pPr>
                  <a:defRPr lang="es-ES" sz="800"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53103448275862053"/>
              <c:y val="0.90585241730279964"/>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s-ES" sz="800" b="1" i="0" u="none" strike="noStrike" baseline="0">
                <a:solidFill>
                  <a:srgbClr val="000000"/>
                </a:solidFill>
                <a:latin typeface="Times New Roman"/>
                <a:ea typeface="Times New Roman"/>
                <a:cs typeface="Times New Roman"/>
              </a:defRPr>
            </a:pPr>
            <a:endParaRPr lang="es-CR"/>
          </a:p>
        </c:txPr>
        <c:crossAx val="101091968"/>
        <c:crosses val="autoZero"/>
        <c:auto val="1"/>
        <c:lblAlgn val="ctr"/>
        <c:lblOffset val="100"/>
        <c:tickLblSkip val="1"/>
        <c:tickMarkSkip val="1"/>
      </c:catAx>
      <c:valAx>
        <c:axId val="101091968"/>
        <c:scaling>
          <c:orientation val="minMax"/>
          <c:max val="120"/>
          <c:min val="0"/>
        </c:scaling>
        <c:axPos val="l"/>
        <c:majorGridlines>
          <c:spPr>
            <a:ln w="3175">
              <a:solidFill>
                <a:srgbClr val="000000"/>
              </a:solidFill>
              <a:prstDash val="solid"/>
            </a:ln>
          </c:spPr>
        </c:majorGridlines>
        <c:title>
          <c:tx>
            <c:rich>
              <a:bodyPr rot="0" vert="wordArtVert"/>
              <a:lstStyle/>
              <a:p>
                <a:pPr algn="ctr">
                  <a:defRPr lang="es-ES" sz="700" b="1" i="0" u="none" strike="noStrike" baseline="0">
                    <a:solidFill>
                      <a:srgbClr val="000000"/>
                    </a:solidFill>
                    <a:latin typeface="Arial"/>
                    <a:ea typeface="Arial"/>
                    <a:cs typeface="Arial"/>
                  </a:defRPr>
                </a:pPr>
                <a:r>
                  <a:rPr lang="es-CR"/>
                  <a:t>PORCENTAJE</a:t>
                </a:r>
              </a:p>
            </c:rich>
          </c:tx>
          <c:layout>
            <c:manualLayout>
              <c:xMode val="edge"/>
              <c:yMode val="edge"/>
              <c:x val="2.7586206896551741E-2"/>
              <c:y val="0.34605597964376644"/>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s-ES" sz="800" b="1" i="0" u="none" strike="noStrike" baseline="0">
                <a:solidFill>
                  <a:srgbClr val="000000"/>
                </a:solidFill>
                <a:latin typeface="Times New Roman"/>
                <a:ea typeface="Times New Roman"/>
                <a:cs typeface="Times New Roman"/>
              </a:defRPr>
            </a:pPr>
            <a:endParaRPr lang="es-CR"/>
          </a:p>
        </c:txPr>
        <c:crossAx val="101090048"/>
        <c:crosses val="autoZero"/>
        <c:crossBetween val="between"/>
        <c:majorUnit val="20"/>
        <c:minorUnit val="5"/>
      </c:valAx>
      <c:spPr>
        <a:gradFill rotWithShape="0">
          <a:gsLst>
            <a:gs pos="0">
              <a:srgbClr val="FFFFCC"/>
            </a:gs>
            <a:gs pos="100000">
              <a:srgbClr val="FFFFCC">
                <a:gamma/>
                <a:shade val="79216"/>
                <a:invGamma/>
              </a:srgbClr>
            </a:gs>
          </a:gsLst>
          <a:lin ang="5400000" scaled="1"/>
        </a:gradFill>
        <a:ln w="12700">
          <a:solidFill>
            <a:srgbClr val="808080"/>
          </a:solidFill>
          <a:prstDash val="solid"/>
        </a:ln>
      </c:spPr>
    </c:plotArea>
    <c:plotVisOnly val="1"/>
    <c:dispBlanksAs val="gap"/>
  </c:chart>
  <c:spPr>
    <a:gradFill rotWithShape="0">
      <a:gsLst>
        <a:gs pos="0">
          <a:srgbClr val="CCFFFF">
            <a:gamma/>
            <a:shade val="76078"/>
            <a:invGamma/>
          </a:srgbClr>
        </a:gs>
        <a:gs pos="100000">
          <a:srgbClr val="CCFFFF"/>
        </a:gs>
      </a:gsLst>
      <a:lin ang="5400000" scaled="1"/>
    </a:gradFill>
    <a:ln w="3175">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CR"/>
  <c:chart>
    <c:title>
      <c:tx>
        <c:rich>
          <a:bodyPr/>
          <a:lstStyle/>
          <a:p>
            <a:pPr>
              <a:defRPr lang="es-ES" sz="975" b="1" i="0" u="none" strike="noStrike" baseline="0">
                <a:solidFill>
                  <a:srgbClr val="000000"/>
                </a:solidFill>
                <a:latin typeface="Times New Roman"/>
                <a:ea typeface="Times New Roman"/>
                <a:cs typeface="Times New Roman"/>
              </a:defRPr>
            </a:pPr>
            <a:r>
              <a:rPr lang="es-CR"/>
              <a:t>Gráfico Nº 9 
Gasto en justicia por habitante  en dólares estadounidenses durante el período 2011 - 2015</a:t>
            </a:r>
          </a:p>
        </c:rich>
      </c:tx>
      <c:layout>
        <c:manualLayout>
          <c:xMode val="edge"/>
          <c:yMode val="edge"/>
          <c:x val="0.11703958691910497"/>
          <c:y val="3.1662269129287601E-2"/>
        </c:manualLayout>
      </c:layout>
      <c:spPr>
        <a:noFill/>
        <a:ln w="25399">
          <a:noFill/>
        </a:ln>
      </c:spPr>
    </c:title>
    <c:plotArea>
      <c:layout>
        <c:manualLayout>
          <c:layoutTarget val="inner"/>
          <c:xMode val="edge"/>
          <c:yMode val="edge"/>
          <c:x val="0.15146299483648937"/>
          <c:y val="0.26912928759894517"/>
          <c:w val="0.81755593803786553"/>
          <c:h val="0.45382585751978932"/>
        </c:manualLayout>
      </c:layout>
      <c:lineChart>
        <c:grouping val="standard"/>
        <c:ser>
          <c:idx val="0"/>
          <c:order val="0"/>
          <c:tx>
            <c:strRef>
              <c:f>Sheet1!$A$2</c:f>
              <c:strCache>
                <c:ptCount val="1"/>
                <c:pt idx="0">
                  <c:v>n</c:v>
                </c:pt>
              </c:strCache>
            </c:strRef>
          </c:tx>
          <c:spPr>
            <a:ln w="25399">
              <a:solidFill>
                <a:srgbClr val="000000"/>
              </a:solidFill>
              <a:prstDash val="solid"/>
            </a:ln>
          </c:spPr>
          <c:marker>
            <c:symbol val="diamond"/>
            <c:size val="6"/>
            <c:spPr>
              <a:solidFill>
                <a:srgbClr val="000000"/>
              </a:solidFill>
              <a:ln>
                <a:solidFill>
                  <a:srgbClr val="000000"/>
                </a:solidFill>
                <a:prstDash val="solid"/>
              </a:ln>
            </c:spPr>
          </c:marker>
          <c:dLbls>
            <c:dLbl>
              <c:idx val="0"/>
              <c:layout>
                <c:manualLayout>
                  <c:x val="-5.0313239209814092E-2"/>
                  <c:y val="-4.973565334659483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CEB-41CD-8661-78FE1BA972ED}"/>
                </c:ext>
              </c:extLst>
            </c:dLbl>
            <c:dLbl>
              <c:idx val="1"/>
              <c:layout>
                <c:manualLayout>
                  <c:x val="-4.5149665594337446E-2"/>
                  <c:y val="-5.779879958143398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CEB-41CD-8661-78FE1BA972ED}"/>
                </c:ext>
              </c:extLst>
            </c:dLbl>
            <c:dLbl>
              <c:idx val="2"/>
              <c:layout>
                <c:manualLayout>
                  <c:x val="-5.0313114354076434E-2"/>
                  <c:y val="-5.315521137326845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CEB-41CD-8661-78FE1BA972ED}"/>
                </c:ext>
              </c:extLst>
            </c:dLbl>
            <c:dLbl>
              <c:idx val="3"/>
              <c:layout>
                <c:manualLayout>
                  <c:x val="-5.3755392717945764E-2"/>
                  <c:y val="-5.336927541049448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CEB-41CD-8661-78FE1BA972ED}"/>
                </c:ext>
              </c:extLst>
            </c:dLbl>
            <c:dLbl>
              <c:idx val="4"/>
              <c:layout>
                <c:manualLayout>
                  <c:x val="-4.6870648706600057E-2"/>
                  <c:y val="-4.599633873126333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CEB-41CD-8661-78FE1BA972ED}"/>
                </c:ext>
              </c:extLst>
            </c:dLbl>
            <c:dLbl>
              <c:idx val="5"/>
              <c:layout>
                <c:manualLayout>
                  <c:xMode val="edge"/>
                  <c:yMode val="edge"/>
                  <c:x val="0.96729776247848742"/>
                  <c:y val="2.6385224274406379E-3"/>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CEB-41CD-8661-78FE1BA972ED}"/>
                </c:ext>
              </c:extLst>
            </c:dLbl>
            <c:dLbl>
              <c:idx val="6"/>
              <c:layout>
                <c:manualLayout>
                  <c:xMode val="edge"/>
                  <c:yMode val="edge"/>
                  <c:x val="0.8726333907056798"/>
                  <c:y val="0.25329815303430075"/>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CEB-41CD-8661-78FE1BA972ED}"/>
                </c:ext>
              </c:extLst>
            </c:dLbl>
            <c:dLbl>
              <c:idx val="7"/>
              <c:layout>
                <c:manualLayout>
                  <c:xMode val="edge"/>
                  <c:yMode val="edge"/>
                  <c:x val="0.87607573149741935"/>
                  <c:y val="0.27704485488126651"/>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CEB-41CD-8661-78FE1BA972ED}"/>
                </c:ext>
              </c:extLst>
            </c:dLbl>
            <c:dLbl>
              <c:idx val="8"/>
              <c:layout>
                <c:manualLayout>
                  <c:xMode val="edge"/>
                  <c:yMode val="edge"/>
                  <c:x val="0.88640275387263123"/>
                  <c:y val="0.26385224274406338"/>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CEB-41CD-8661-78FE1BA972ED}"/>
                </c:ext>
              </c:extLst>
            </c:dLbl>
            <c:dLbl>
              <c:idx val="9"/>
              <c:layout>
                <c:manualLayout>
                  <c:xMode val="edge"/>
                  <c:yMode val="edge"/>
                  <c:x val="0.9053356282271946"/>
                  <c:y val="0.27704485488126651"/>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CEB-41CD-8661-78FE1BA972ED}"/>
                </c:ext>
              </c:extLst>
            </c:dLbl>
            <c:numFmt formatCode="0.0" sourceLinked="0"/>
            <c:spPr>
              <a:noFill/>
              <a:ln w="25399">
                <a:noFill/>
              </a:ln>
            </c:spPr>
            <c:txPr>
              <a:bodyPr/>
              <a:lstStyle/>
              <a:p>
                <a:pPr>
                  <a:defRPr lang="es-ES" sz="950" b="0" i="0" u="none" strike="noStrike" baseline="0">
                    <a:solidFill>
                      <a:srgbClr val="000000"/>
                    </a:solidFill>
                    <a:latin typeface="Times New Roman"/>
                    <a:ea typeface="Times New Roman"/>
                    <a:cs typeface="Times New Roman"/>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Sheet1!$B$1:$Q$1</c:f>
              <c:numCache>
                <c:formatCode>General</c:formatCode>
                <c:ptCount val="5"/>
                <c:pt idx="0">
                  <c:v>2011</c:v>
                </c:pt>
                <c:pt idx="1">
                  <c:v>2012</c:v>
                </c:pt>
                <c:pt idx="2">
                  <c:v>2013</c:v>
                </c:pt>
                <c:pt idx="3">
                  <c:v>2014</c:v>
                </c:pt>
                <c:pt idx="4">
                  <c:v>2015</c:v>
                </c:pt>
              </c:numCache>
            </c:numRef>
          </c:cat>
          <c:val>
            <c:numRef>
              <c:f>Sheet1!$B$2:$Q$2</c:f>
              <c:numCache>
                <c:formatCode>General</c:formatCode>
                <c:ptCount val="5"/>
                <c:pt idx="0">
                  <c:v>109.9</c:v>
                </c:pt>
                <c:pt idx="1">
                  <c:v>119</c:v>
                </c:pt>
                <c:pt idx="2">
                  <c:v>133</c:v>
                </c:pt>
                <c:pt idx="3">
                  <c:v>131.9</c:v>
                </c:pt>
                <c:pt idx="4">
                  <c:v>143.9</c:v>
                </c:pt>
              </c:numCache>
            </c:numRef>
          </c:val>
          <c:smooth val="1"/>
          <c:extLst xmlns:c16r2="http://schemas.microsoft.com/office/drawing/2015/06/chart">
            <c:ext xmlns:c16="http://schemas.microsoft.com/office/drawing/2014/chart" uri="{C3380CC4-5D6E-409C-BE32-E72D297353CC}">
              <c16:uniqueId val="{0000000A-0CEB-41CD-8661-78FE1BA972ED}"/>
            </c:ext>
          </c:extLst>
        </c:ser>
        <c:ser>
          <c:idx val="1"/>
          <c:order val="1"/>
          <c:tx>
            <c:strRef>
              <c:f>Sheet1!$A$3</c:f>
              <c:strCache>
                <c:ptCount val="1"/>
              </c:strCache>
            </c:strRef>
          </c:tx>
          <c:spPr>
            <a:ln w="25399">
              <a:solidFill>
                <a:srgbClr val="008000"/>
              </a:solidFill>
              <a:prstDash val="solid"/>
            </a:ln>
          </c:spPr>
          <c:marker>
            <c:symbol val="square"/>
            <c:size val="6"/>
            <c:spPr>
              <a:solidFill>
                <a:srgbClr val="008000"/>
              </a:solidFill>
              <a:ln>
                <a:solidFill>
                  <a:srgbClr val="008000"/>
                </a:solidFill>
                <a:prstDash val="solid"/>
              </a:ln>
            </c:spPr>
          </c:marker>
          <c:dLbls>
            <c:spPr>
              <a:noFill/>
              <a:ln w="25399">
                <a:noFill/>
              </a:ln>
            </c:spPr>
            <c:txPr>
              <a:bodyPr/>
              <a:lstStyle/>
              <a:p>
                <a:pPr>
                  <a:defRPr lang="es-ES" sz="1200" b="1" i="0" u="none" strike="noStrike" baseline="0">
                    <a:solidFill>
                      <a:srgbClr val="000000"/>
                    </a:solidFill>
                    <a:latin typeface="Arial"/>
                    <a:ea typeface="Arial"/>
                    <a:cs typeface="Arial"/>
                  </a:defRPr>
                </a:pPr>
                <a:endParaRPr lang="es-CR"/>
              </a:p>
            </c:txPr>
            <c:showVal val="1"/>
            <c:extLst xmlns:c16r2="http://schemas.microsoft.com/office/drawing/2015/06/chart">
              <c:ext xmlns:c15="http://schemas.microsoft.com/office/drawing/2012/chart" uri="{CE6537A1-D6FC-4f65-9D91-7224C49458BB}">
                <c15:showLeaderLines val="0"/>
              </c:ext>
            </c:extLst>
          </c:dLbls>
          <c:cat>
            <c:numRef>
              <c:f>Sheet1!$B$1:$Q$1</c:f>
              <c:numCache>
                <c:formatCode>General</c:formatCode>
                <c:ptCount val="5"/>
                <c:pt idx="0">
                  <c:v>2011</c:v>
                </c:pt>
                <c:pt idx="1">
                  <c:v>2012</c:v>
                </c:pt>
                <c:pt idx="2">
                  <c:v>2013</c:v>
                </c:pt>
                <c:pt idx="3">
                  <c:v>2014</c:v>
                </c:pt>
                <c:pt idx="4">
                  <c:v>2015</c:v>
                </c:pt>
              </c:numCache>
            </c:numRef>
          </c:cat>
          <c:val>
            <c:numRef>
              <c:f>Sheet1!$B$3:$Q$3</c:f>
              <c:numCache>
                <c:formatCode>General</c:formatCode>
                <c:ptCount val="5"/>
              </c:numCache>
            </c:numRef>
          </c:val>
          <c:extLst xmlns:c16r2="http://schemas.microsoft.com/office/drawing/2015/06/chart">
            <c:ext xmlns:c16="http://schemas.microsoft.com/office/drawing/2014/chart" uri="{C3380CC4-5D6E-409C-BE32-E72D297353CC}">
              <c16:uniqueId val="{0000000B-0CEB-41CD-8661-78FE1BA972ED}"/>
            </c:ext>
          </c:extLst>
        </c:ser>
        <c:dLbls>
          <c:showVal val="1"/>
        </c:dLbls>
        <c:marker val="1"/>
        <c:axId val="102662144"/>
        <c:axId val="102664064"/>
      </c:lineChart>
      <c:catAx>
        <c:axId val="102662144"/>
        <c:scaling>
          <c:orientation val="minMax"/>
        </c:scaling>
        <c:axPos val="b"/>
        <c:title>
          <c:tx>
            <c:rich>
              <a:bodyPr/>
              <a:lstStyle/>
              <a:p>
                <a:pPr>
                  <a:defRPr lang="es-ES" sz="850"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60828903924697864"/>
              <c:y val="0.80582909731220365"/>
            </c:manualLayout>
          </c:layout>
          <c:spPr>
            <a:noFill/>
            <a:ln w="25399">
              <a:noFill/>
            </a:ln>
          </c:spPr>
        </c:title>
        <c:numFmt formatCode="General" sourceLinked="1"/>
        <c:tickLblPos val="nextTo"/>
        <c:spPr>
          <a:ln w="3175">
            <a:solidFill>
              <a:srgbClr val="000000"/>
            </a:solidFill>
            <a:prstDash val="solid"/>
          </a:ln>
        </c:spPr>
        <c:txPr>
          <a:bodyPr rot="0" vert="horz"/>
          <a:lstStyle/>
          <a:p>
            <a:pPr>
              <a:defRPr lang="es-ES" sz="975" b="1" i="0" u="none" strike="noStrike" baseline="0">
                <a:solidFill>
                  <a:srgbClr val="000000"/>
                </a:solidFill>
                <a:latin typeface="Times New Roman"/>
                <a:ea typeface="Times New Roman"/>
                <a:cs typeface="Times New Roman"/>
              </a:defRPr>
            </a:pPr>
            <a:endParaRPr lang="es-CR"/>
          </a:p>
        </c:txPr>
        <c:crossAx val="102664064"/>
        <c:crosses val="autoZero"/>
        <c:auto val="1"/>
        <c:lblAlgn val="ctr"/>
        <c:lblOffset val="100"/>
        <c:tickLblSkip val="1"/>
        <c:tickMarkSkip val="1"/>
      </c:catAx>
      <c:valAx>
        <c:axId val="102664064"/>
        <c:scaling>
          <c:orientation val="minMax"/>
          <c:max val="175"/>
          <c:min val="0"/>
        </c:scaling>
        <c:axPos val="l"/>
        <c:majorGridlines>
          <c:spPr>
            <a:ln w="3175">
              <a:solidFill>
                <a:srgbClr val="000000"/>
              </a:solidFill>
              <a:prstDash val="solid"/>
            </a:ln>
          </c:spPr>
        </c:majorGridlines>
        <c:title>
          <c:tx>
            <c:rich>
              <a:bodyPr rot="0" vert="wordArtVert"/>
              <a:lstStyle/>
              <a:p>
                <a:pPr algn="ctr">
                  <a:defRPr lang="es-ES" sz="750" b="1" i="0" u="none" strike="noStrike" baseline="0">
                    <a:solidFill>
                      <a:srgbClr val="000000"/>
                    </a:solidFill>
                    <a:latin typeface="Arial"/>
                    <a:ea typeface="Arial"/>
                    <a:cs typeface="Arial"/>
                  </a:defRPr>
                </a:pPr>
                <a:r>
                  <a:rPr lang="es-CR"/>
                  <a:t>GASTO</a:t>
                </a:r>
              </a:p>
            </c:rich>
          </c:tx>
          <c:layout>
            <c:manualLayout>
              <c:xMode val="edge"/>
              <c:yMode val="edge"/>
              <c:x val="2.7538726333907037E-2"/>
              <c:y val="0.38786279683377439"/>
            </c:manualLayout>
          </c:layout>
          <c:spPr>
            <a:noFill/>
            <a:ln w="25399">
              <a:noFill/>
            </a:ln>
          </c:spPr>
        </c:title>
        <c:numFmt formatCode="General" sourceLinked="1"/>
        <c:tickLblPos val="nextTo"/>
        <c:spPr>
          <a:ln w="3175">
            <a:solidFill>
              <a:srgbClr val="000000"/>
            </a:solidFill>
            <a:prstDash val="solid"/>
          </a:ln>
        </c:spPr>
        <c:txPr>
          <a:bodyPr rot="0" vert="horz"/>
          <a:lstStyle/>
          <a:p>
            <a:pPr>
              <a:defRPr lang="es-ES" sz="850" b="1" i="0" u="none" strike="noStrike" baseline="0">
                <a:solidFill>
                  <a:srgbClr val="000000"/>
                </a:solidFill>
                <a:latin typeface="Times New Roman"/>
                <a:ea typeface="Times New Roman"/>
                <a:cs typeface="Times New Roman"/>
              </a:defRPr>
            </a:pPr>
            <a:endParaRPr lang="es-CR"/>
          </a:p>
        </c:txPr>
        <c:crossAx val="102662144"/>
        <c:crosses val="autoZero"/>
        <c:crossBetween val="between"/>
        <c:majorUnit val="25"/>
      </c:valAx>
      <c:spPr>
        <a:gradFill rotWithShape="0">
          <a:gsLst>
            <a:gs pos="0">
              <a:srgbClr val="FFFFCC">
                <a:gamma/>
                <a:shade val="82353"/>
                <a:invGamma/>
              </a:srgbClr>
            </a:gs>
            <a:gs pos="50000">
              <a:srgbClr val="FFFFCC"/>
            </a:gs>
            <a:gs pos="100000">
              <a:srgbClr val="FFFFCC">
                <a:gamma/>
                <a:shade val="82353"/>
                <a:invGamma/>
              </a:srgbClr>
            </a:gs>
          </a:gsLst>
          <a:lin ang="0" scaled="1"/>
        </a:gradFill>
        <a:ln w="12699">
          <a:solidFill>
            <a:srgbClr val="808080"/>
          </a:solidFill>
          <a:prstDash val="solid"/>
        </a:ln>
      </c:spPr>
    </c:plotArea>
    <c:plotVisOnly val="1"/>
    <c:dispBlanksAs val="gap"/>
  </c:chart>
  <c:spPr>
    <a:gradFill rotWithShape="0">
      <a:gsLst>
        <a:gs pos="0">
          <a:srgbClr val="CCFFFF">
            <a:gamma/>
            <a:shade val="66667"/>
            <a:invGamma/>
          </a:srgbClr>
        </a:gs>
        <a:gs pos="50000">
          <a:srgbClr val="CCFFFF"/>
        </a:gs>
        <a:gs pos="100000">
          <a:srgbClr val="CCFFFF">
            <a:gamma/>
            <a:shade val="66667"/>
            <a:invGamma/>
          </a:srgbClr>
        </a:gs>
      </a:gsLst>
      <a:lin ang="2700000" scaled="1"/>
    </a:gradFill>
    <a:ln w="3175">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a:ea typeface="Arial"/>
          <a:cs typeface="Arial"/>
        </a:defRPr>
      </a:pPr>
      <a:endParaRPr lang="es-CR"/>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cdr:x>
      <cdr:y>0.82325</cdr:y>
    </cdr:from>
    <cdr:to>
      <cdr:x>0.4805</cdr:x>
      <cdr:y>0.9945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245793"/>
          <a:ext cx="2057712" cy="46716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1">
            <a:defRPr sz="1000"/>
          </a:pPr>
          <a:r>
            <a:rPr lang="es-CR" sz="800" b="0" i="0" strike="noStrike">
              <a:solidFill>
                <a:srgbClr val="000000"/>
              </a:solidFill>
              <a:latin typeface="Times New Roman"/>
              <a:cs typeface="Times New Roman"/>
            </a:rPr>
            <a:t>Fuente: Sección de Planes y Presupuesto, </a:t>
          </a:r>
        </a:p>
        <a:p xmlns:a="http://schemas.openxmlformats.org/drawingml/2006/main">
          <a:pPr algn="l" rtl="1">
            <a:defRPr sz="1000"/>
          </a:pPr>
          <a:r>
            <a:rPr lang="es-CR" sz="800" b="0" i="0" strike="noStrike">
              <a:solidFill>
                <a:srgbClr val="000000"/>
              </a:solidFill>
              <a:latin typeface="Times New Roman"/>
              <a:cs typeface="Times New Roman"/>
            </a:rPr>
            <a:t>Dirección de Planificación y Ministerio de Hacienda.</a:t>
          </a:r>
        </a:p>
        <a:p xmlns:a="http://schemas.openxmlformats.org/drawingml/2006/main">
          <a:pPr algn="l" rtl="1">
            <a:defRPr sz="1000"/>
          </a:pPr>
          <a:endParaRPr lang="es-CR" sz="800" b="0" i="0" strike="noStrike">
            <a:solidFill>
              <a:srgbClr val="000000"/>
            </a:solidFill>
            <a:latin typeface="Times New Roman"/>
            <a:cs typeface="Times New Roma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0.00875</cdr:x>
      <cdr:y>0.8585</cdr:y>
    </cdr:from>
    <cdr:to>
      <cdr:x>0.56781</cdr:x>
      <cdr:y>0.9815</cdr:y>
    </cdr:to>
    <cdr:sp macro="" textlink="">
      <cdr:nvSpPr>
        <cdr:cNvPr id="1025" name="Text Box 1"/>
        <cdr:cNvSpPr txBox="1">
          <a:spLocks xmlns:a="http://schemas.openxmlformats.org/drawingml/2006/main" noChangeArrowheads="1"/>
        </cdr:cNvSpPr>
      </cdr:nvSpPr>
      <cdr:spPr bwMode="auto">
        <a:xfrm xmlns:a="http://schemas.openxmlformats.org/drawingml/2006/main">
          <a:off x="40804" y="2590541"/>
          <a:ext cx="2607145" cy="37115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1">
            <a:defRPr sz="1000"/>
          </a:pPr>
          <a:r>
            <a:rPr lang="es-CR" sz="900" b="0" i="0" strike="noStrike">
              <a:solidFill>
                <a:srgbClr val="000000"/>
              </a:solidFill>
              <a:latin typeface="Times New Roman" pitchFamily="18" charset="0"/>
              <a:cs typeface="Times New Roman" pitchFamily="18" charset="0"/>
            </a:rPr>
            <a:t>Fuente: Sección de Planes y Presupuesto, Dirección de Planificación  y División Territorial Administrativa.</a:t>
          </a:r>
        </a:p>
        <a:p xmlns:a="http://schemas.openxmlformats.org/drawingml/2006/main">
          <a:pPr algn="l" rtl="1">
            <a:defRPr sz="1000"/>
          </a:pPr>
          <a:endParaRPr lang="es-CR" sz="900" b="0" i="0" strike="noStrike">
            <a:solidFill>
              <a:srgbClr val="000000"/>
            </a:solidFill>
            <a:latin typeface="Times New Roman" pitchFamily="18" charset="0"/>
            <a:cs typeface="Times New Roman"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0.01375</cdr:x>
      <cdr:y>0.88175</cdr:y>
    </cdr:from>
    <cdr:to>
      <cdr:x>0.6285</cdr:x>
      <cdr:y>1</cdr:y>
    </cdr:to>
    <cdr:sp macro="" textlink="">
      <cdr:nvSpPr>
        <cdr:cNvPr id="1025" name="Text Box 1"/>
        <cdr:cNvSpPr txBox="1">
          <a:spLocks xmlns:a="http://schemas.openxmlformats.org/drawingml/2006/main" noChangeArrowheads="1"/>
        </cdr:cNvSpPr>
      </cdr:nvSpPr>
      <cdr:spPr bwMode="auto">
        <a:xfrm xmlns:a="http://schemas.openxmlformats.org/drawingml/2006/main">
          <a:off x="60560" y="2580071"/>
          <a:ext cx="2707580" cy="34600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0">
            <a:defRPr sz="1000"/>
          </a:pPr>
          <a:r>
            <a:rPr lang="es-CR" sz="800" b="0" i="0" u="none" strike="noStrike" baseline="0">
              <a:solidFill>
                <a:srgbClr val="000000"/>
              </a:solidFill>
              <a:latin typeface="Times New Roman"/>
              <a:cs typeface="Times New Roman"/>
            </a:rPr>
            <a:t>Fuente: Sección de Planes y Presupuesto, Dirección de Planificación  e Instituto Nacional de Estadística y Censos.</a:t>
          </a:r>
        </a:p>
        <a:p xmlns:a="http://schemas.openxmlformats.org/drawingml/2006/main">
          <a:pPr algn="l" rtl="0">
            <a:defRPr sz="1000"/>
          </a:pPr>
          <a:endParaRPr lang="es-CR" sz="800" b="0" i="0" u="none" strike="noStrike" baseline="0">
            <a:solidFill>
              <a:srgbClr val="000000"/>
            </a:solidFill>
            <a:latin typeface="Times New Roman"/>
            <a:cs typeface="Times New Roman"/>
          </a:endParaRPr>
        </a:p>
        <a:p xmlns:a="http://schemas.openxmlformats.org/drawingml/2006/main">
          <a:pPr algn="l" rtl="0">
            <a:defRPr sz="1000"/>
          </a:pPr>
          <a:endParaRPr lang="es-CR" sz="800" b="0" i="0" u="none" strike="noStrike" baseline="0">
            <a:solidFill>
              <a:srgbClr val="000000"/>
            </a:solidFill>
            <a:latin typeface="Times New Roman"/>
            <a:cs typeface="Times New Roman"/>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0.01375</cdr:x>
      <cdr:y>0.88175</cdr:y>
    </cdr:from>
    <cdr:to>
      <cdr:x>0.6285</cdr:x>
      <cdr:y>1</cdr:y>
    </cdr:to>
    <cdr:sp macro="" textlink="">
      <cdr:nvSpPr>
        <cdr:cNvPr id="1025" name="Text Box 1"/>
        <cdr:cNvSpPr txBox="1">
          <a:spLocks xmlns:a="http://schemas.openxmlformats.org/drawingml/2006/main" noChangeArrowheads="1"/>
        </cdr:cNvSpPr>
      </cdr:nvSpPr>
      <cdr:spPr bwMode="auto">
        <a:xfrm xmlns:a="http://schemas.openxmlformats.org/drawingml/2006/main">
          <a:off x="60560" y="2580071"/>
          <a:ext cx="2707580" cy="34600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1">
            <a:defRPr sz="1000"/>
          </a:pPr>
          <a:r>
            <a:rPr lang="es-CR" sz="800" b="0" i="0" strike="noStrike">
              <a:solidFill>
                <a:srgbClr val="000000"/>
              </a:solidFill>
              <a:latin typeface="Times New Roman" pitchFamily="18" charset="0"/>
              <a:cs typeface="Times New Roman" pitchFamily="18" charset="0"/>
            </a:rPr>
            <a:t>Fuente: Sección de Planes y Presupuesto, Dirección de Planificación  e Instituto Nacional de Estadística y Censos.</a:t>
          </a:r>
        </a:p>
        <a:p xmlns:a="http://schemas.openxmlformats.org/drawingml/2006/main">
          <a:pPr algn="l" rtl="1">
            <a:defRPr sz="1000"/>
          </a:pPr>
          <a:endParaRPr lang="es-CR" sz="800" b="0" i="0" strike="noStrike">
            <a:solidFill>
              <a:srgbClr val="000000"/>
            </a:solidFill>
            <a:latin typeface="Arial"/>
            <a:cs typeface="Arial"/>
          </a:endParaRPr>
        </a:p>
        <a:p xmlns:a="http://schemas.openxmlformats.org/drawingml/2006/main">
          <a:pPr algn="l" rtl="1">
            <a:defRPr sz="1000"/>
          </a:pPr>
          <a:endParaRPr lang="es-CR" sz="800" b="0" i="0" strike="noStrike">
            <a:solidFill>
              <a:srgbClr val="000000"/>
            </a:solidFill>
            <a:latin typeface="Arial"/>
            <a:cs typeface="Arial"/>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cdr:x>
      <cdr:y>0.94324</cdr:y>
    </cdr:from>
    <cdr:to>
      <cdr:x>0.49889</cdr:x>
      <cdr:y>1</cdr:y>
    </cdr:to>
    <cdr:sp macro="" textlink="">
      <cdr:nvSpPr>
        <cdr:cNvPr id="1025" name="Text Box 1"/>
        <cdr:cNvSpPr txBox="1">
          <a:spLocks xmlns:a="http://schemas.openxmlformats.org/drawingml/2006/main" noChangeArrowheads="1"/>
        </cdr:cNvSpPr>
      </cdr:nvSpPr>
      <cdr:spPr bwMode="auto">
        <a:xfrm xmlns:a="http://schemas.openxmlformats.org/drawingml/2006/main">
          <a:off x="-51289" y="2805448"/>
          <a:ext cx="2196319" cy="16880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1">
            <a:defRPr sz="1000"/>
          </a:pPr>
          <a:r>
            <a:rPr lang="es-CR" sz="575" b="0" i="0" strike="noStrike">
              <a:solidFill>
                <a:srgbClr val="000000"/>
              </a:solidFill>
              <a:latin typeface="Times New Roman"/>
              <a:cs typeface="Times New Roman"/>
            </a:rPr>
            <a:t>Elaborado por: Sección de Estadística, Dirección de Planificación.</a:t>
          </a:r>
          <a:endParaRPr lang="es-CR" sz="1200" b="1" i="0" strike="noStrike">
            <a:solidFill>
              <a:srgbClr val="000000"/>
            </a:solidFill>
            <a:latin typeface="Arial"/>
            <a:cs typeface="Arial"/>
          </a:endParaRPr>
        </a:p>
        <a:p xmlns:a="http://schemas.openxmlformats.org/drawingml/2006/main">
          <a:pPr algn="l" rtl="1">
            <a:defRPr sz="1000"/>
          </a:pPr>
          <a:endParaRPr lang="es-CR" sz="1200" b="1" i="0" strike="noStrike">
            <a:solidFill>
              <a:srgbClr val="000000"/>
            </a:solidFill>
            <a:latin typeface="Arial"/>
            <a:cs typeface="Arial"/>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0.01775</cdr:x>
      <cdr:y>0.90394</cdr:y>
    </cdr:from>
    <cdr:to>
      <cdr:x>0.36772</cdr:x>
      <cdr:y>0.98301</cdr:y>
    </cdr:to>
    <cdr:sp macro="" textlink="">
      <cdr:nvSpPr>
        <cdr:cNvPr id="1025" name="Text Box 1"/>
        <cdr:cNvSpPr txBox="1">
          <a:spLocks xmlns:a="http://schemas.openxmlformats.org/drawingml/2006/main" noChangeArrowheads="1"/>
        </cdr:cNvSpPr>
      </cdr:nvSpPr>
      <cdr:spPr bwMode="auto">
        <a:xfrm xmlns:a="http://schemas.openxmlformats.org/drawingml/2006/main">
          <a:off x="82438" y="2961315"/>
          <a:ext cx="1625381" cy="2590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s-CR" sz="800" b="0" i="0" u="none" strike="noStrike" baseline="0">
              <a:solidFill>
                <a:srgbClr val="000000"/>
              </a:solidFill>
              <a:latin typeface="Times New Roman"/>
              <a:cs typeface="Times New Roman"/>
            </a:rPr>
            <a:t>Elaborado por: Sección de Estadística, </a:t>
          </a:r>
        </a:p>
        <a:p xmlns:a="http://schemas.openxmlformats.org/drawingml/2006/main">
          <a:pPr algn="l" rtl="0">
            <a:defRPr sz="1000"/>
          </a:pPr>
          <a:r>
            <a:rPr lang="es-CR" sz="800" b="0" i="0" u="none" strike="noStrike" baseline="0">
              <a:solidFill>
                <a:srgbClr val="000000"/>
              </a:solidFill>
              <a:latin typeface="Times New Roman"/>
              <a:cs typeface="Times New Roman"/>
            </a:rPr>
            <a:t>Dirección de Planificación</a:t>
          </a:r>
        </a:p>
      </cdr:txBody>
    </cdr:sp>
  </cdr:relSizeAnchor>
  <cdr:relSizeAnchor xmlns:cdr="http://schemas.openxmlformats.org/drawingml/2006/chartDrawing">
    <cdr:from>
      <cdr:x>0.521</cdr:x>
      <cdr:y>0.483</cdr:y>
    </cdr:from>
    <cdr:to>
      <cdr:x>0.8955</cdr:x>
      <cdr:y>0.5165</cdr:y>
    </cdr:to>
    <cdr:sp macro="" textlink="">
      <cdr:nvSpPr>
        <cdr:cNvPr id="1026" name="Rectangle 2"/>
        <cdr:cNvSpPr>
          <a:spLocks xmlns:a="http://schemas.openxmlformats.org/drawingml/2006/main" noChangeArrowheads="1"/>
        </cdr:cNvSpPr>
      </cdr:nvSpPr>
      <cdr:spPr bwMode="auto">
        <a:xfrm xmlns:a="http://schemas.openxmlformats.org/drawingml/2006/main">
          <a:off x="2501113" y="1615722"/>
          <a:ext cx="1797824" cy="112063"/>
        </a:xfrm>
        <a:prstGeom xmlns:a="http://schemas.openxmlformats.org/drawingml/2006/main" prst="rect">
          <a:avLst/>
        </a:prstGeom>
        <a:solidFill xmlns:a="http://schemas.openxmlformats.org/drawingml/2006/main">
          <a:srgbClr val="FFFFFF">
            <a:alpha val="14999"/>
          </a:srgbClr>
        </a:solidFill>
        <a:ln xmlns:a="http://schemas.openxmlformats.org/drawingml/2006/main" w="9525">
          <a:solidFill>
            <a:srgbClr val="000000"/>
          </a:solidFill>
          <a:miter lim="800000"/>
          <a:headEnd/>
          <a:tailEnd/>
        </a:ln>
      </cdr:spPr>
    </cdr:sp>
  </cdr:relSizeAnchor>
  <cdr:relSizeAnchor xmlns:cdr="http://schemas.openxmlformats.org/drawingml/2006/chartDrawing">
    <cdr:from>
      <cdr:x>0.521</cdr:x>
      <cdr:y>0.58975</cdr:y>
    </cdr:from>
    <cdr:to>
      <cdr:x>0.8955</cdr:x>
      <cdr:y>0.62275</cdr:y>
    </cdr:to>
    <cdr:sp macro="" textlink="">
      <cdr:nvSpPr>
        <cdr:cNvPr id="1027" name="Rectangle 3"/>
        <cdr:cNvSpPr>
          <a:spLocks xmlns:a="http://schemas.openxmlformats.org/drawingml/2006/main" noChangeArrowheads="1"/>
        </cdr:cNvSpPr>
      </cdr:nvSpPr>
      <cdr:spPr bwMode="auto">
        <a:xfrm xmlns:a="http://schemas.openxmlformats.org/drawingml/2006/main">
          <a:off x="2501113" y="1972820"/>
          <a:ext cx="1797824" cy="110391"/>
        </a:xfrm>
        <a:prstGeom xmlns:a="http://schemas.openxmlformats.org/drawingml/2006/main" prst="rect">
          <a:avLst/>
        </a:prstGeom>
        <a:solidFill xmlns:a="http://schemas.openxmlformats.org/drawingml/2006/main">
          <a:srgbClr val="FFFFFF">
            <a:alpha val="14999"/>
          </a:srgbClr>
        </a:solidFill>
        <a:ln xmlns:a="http://schemas.openxmlformats.org/drawingml/2006/main" w="9525">
          <a:solidFill>
            <a:srgbClr val="000000"/>
          </a:solidFill>
          <a:miter lim="800000"/>
          <a:headEnd/>
          <a:tailEnd/>
        </a:ln>
      </cdr:spPr>
    </cdr:sp>
  </cdr:relSizeAnchor>
</c:userShapes>
</file>

<file path=word/drawings/drawing15.xml><?xml version="1.0" encoding="utf-8"?>
<c:userShapes xmlns:c="http://schemas.openxmlformats.org/drawingml/2006/chart">
  <cdr:relSizeAnchor xmlns:cdr="http://schemas.openxmlformats.org/drawingml/2006/chartDrawing">
    <cdr:from>
      <cdr:x>0.0295</cdr:x>
      <cdr:y>0.911</cdr:y>
    </cdr:from>
    <cdr:to>
      <cdr:x>0.40964</cdr:x>
      <cdr:y>0.98775</cdr:y>
    </cdr:to>
    <cdr:sp macro="" textlink="">
      <cdr:nvSpPr>
        <cdr:cNvPr id="1025" name="Text Box 1"/>
        <cdr:cNvSpPr txBox="1">
          <a:spLocks xmlns:a="http://schemas.openxmlformats.org/drawingml/2006/main" noChangeArrowheads="1"/>
        </cdr:cNvSpPr>
      </cdr:nvSpPr>
      <cdr:spPr bwMode="auto">
        <a:xfrm xmlns:a="http://schemas.openxmlformats.org/drawingml/2006/main">
          <a:off x="145214" y="3158528"/>
          <a:ext cx="1871270" cy="266100"/>
        </a:xfrm>
        <a:prstGeom xmlns:a="http://schemas.openxmlformats.org/drawingml/2006/main" prst="rect">
          <a:avLst/>
        </a:prstGeom>
        <a:solidFill xmlns:a="http://schemas.openxmlformats.org/drawingml/2006/main">
          <a:srgbClr val="FFFFFF">
            <a:alpha val="0"/>
          </a:srgbClr>
        </a:solidFill>
        <a:ln xmlns:a="http://schemas.openxmlformats.org/drawingml/2006/main" w="9525">
          <a:noFill/>
          <a:miter lim="800000"/>
          <a:headEnd/>
          <a:tailEnd/>
        </a:ln>
      </cdr:spPr>
      <cdr:txBody>
        <a:bodyPr xmlns:a="http://schemas.openxmlformats.org/drawingml/2006/main" vertOverflow="clip" wrap="square" lIns="0" tIns="0" rIns="0" bIns="0" anchor="t" upright="1"/>
        <a:lstStyle xmlns:a="http://schemas.openxmlformats.org/drawingml/2006/main"/>
        <a:p xmlns:a="http://schemas.openxmlformats.org/drawingml/2006/main">
          <a:pPr algn="l" rtl="0">
            <a:defRPr sz="1000"/>
          </a:pPr>
          <a:r>
            <a:rPr lang="es-CR" sz="800" b="0" i="0" u="none" strike="noStrike" baseline="0">
              <a:solidFill>
                <a:srgbClr val="000000"/>
              </a:solidFill>
              <a:latin typeface="Times New Roman"/>
              <a:cs typeface="Times New Roman"/>
            </a:rPr>
            <a:t>Elaborado por: Sección de Estadística, </a:t>
          </a:r>
        </a:p>
        <a:p xmlns:a="http://schemas.openxmlformats.org/drawingml/2006/main">
          <a:pPr algn="l" rtl="0">
            <a:defRPr sz="1000"/>
          </a:pPr>
          <a:r>
            <a:rPr lang="es-CR" sz="800" b="0" i="0" u="none" strike="noStrike" baseline="0">
              <a:solidFill>
                <a:srgbClr val="000000"/>
              </a:solidFill>
              <a:latin typeface="Times New Roman"/>
              <a:cs typeface="Times New Roman"/>
            </a:rPr>
            <a:t>Dirección de Planificación.</a:t>
          </a:r>
          <a:endParaRPr lang="es-CR" sz="1450" b="1" i="0" u="none" strike="noStrike" baseline="0">
            <a:solidFill>
              <a:srgbClr val="000000"/>
            </a:solidFill>
            <a:latin typeface="Arial"/>
            <a:cs typeface="Arial"/>
          </a:endParaRPr>
        </a:p>
        <a:p xmlns:a="http://schemas.openxmlformats.org/drawingml/2006/main">
          <a:pPr algn="l" rtl="0">
            <a:defRPr sz="1000"/>
          </a:pPr>
          <a:endParaRPr lang="es-CR" sz="1450" b="1" i="0" u="none" strike="noStrike" baseline="0">
            <a:solidFill>
              <a:srgbClr val="000000"/>
            </a:solidFill>
            <a:latin typeface="Arial"/>
            <a:cs typeface="Arial"/>
          </a:endParaRPr>
        </a:p>
      </cdr:txBody>
    </cdr:sp>
  </cdr:relSizeAnchor>
</c:userShapes>
</file>

<file path=word/drawings/drawing16.xml><?xml version="1.0" encoding="utf-8"?>
<c:userShapes xmlns:c="http://schemas.openxmlformats.org/drawingml/2006/chart">
  <cdr:relSizeAnchor xmlns:cdr="http://schemas.openxmlformats.org/drawingml/2006/chartDrawing">
    <cdr:from>
      <cdr:x>0.17202</cdr:x>
      <cdr:y>0.23879</cdr:y>
    </cdr:from>
    <cdr:to>
      <cdr:x>0.46585</cdr:x>
      <cdr:y>0.29889</cdr:y>
    </cdr:to>
    <cdr:sp macro="" textlink="">
      <cdr:nvSpPr>
        <cdr:cNvPr id="1025" name="Text Box 1"/>
        <cdr:cNvSpPr txBox="1">
          <a:spLocks xmlns:a="http://schemas.openxmlformats.org/drawingml/2006/main" noChangeArrowheads="1"/>
        </cdr:cNvSpPr>
      </cdr:nvSpPr>
      <cdr:spPr bwMode="auto">
        <a:xfrm xmlns:a="http://schemas.openxmlformats.org/drawingml/2006/main">
          <a:off x="996563" y="790998"/>
          <a:ext cx="1702261" cy="19909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36576" tIns="36576" rIns="0" bIns="0" anchor="t" upright="1">
          <a:spAutoFit/>
        </a:bodyPr>
        <a:lstStyle xmlns:a="http://schemas.openxmlformats.org/drawingml/2006/main"/>
        <a:p xmlns:a="http://schemas.openxmlformats.org/drawingml/2006/main">
          <a:pPr algn="l" rtl="0">
            <a:defRPr sz="1000"/>
          </a:pPr>
          <a:r>
            <a:rPr lang="es-CR" sz="1100" b="1" i="0" u="none" strike="noStrike" baseline="0">
              <a:solidFill>
                <a:srgbClr val="000000"/>
              </a:solidFill>
              <a:latin typeface="Times New Roman" pitchFamily="18" charset="0"/>
              <a:cs typeface="Times New Roman" pitchFamily="18" charset="0"/>
            </a:rPr>
            <a:t>Curva para Mayor Cuantía</a:t>
          </a:r>
        </a:p>
      </cdr:txBody>
    </cdr:sp>
  </cdr:relSizeAnchor>
  <cdr:relSizeAnchor xmlns:cdr="http://schemas.openxmlformats.org/drawingml/2006/chartDrawing">
    <cdr:from>
      <cdr:x>0.36866</cdr:x>
      <cdr:y>0.30965</cdr:y>
    </cdr:from>
    <cdr:to>
      <cdr:x>0.44277</cdr:x>
      <cdr:y>0.40806</cdr:y>
    </cdr:to>
    <cdr:sp macro="" textlink="">
      <cdr:nvSpPr>
        <cdr:cNvPr id="1026" name="Line 2"/>
        <cdr:cNvSpPr>
          <a:spLocks xmlns:a="http://schemas.openxmlformats.org/drawingml/2006/main" noChangeShapeType="1"/>
        </cdr:cNvSpPr>
      </cdr:nvSpPr>
      <cdr:spPr bwMode="auto">
        <a:xfrm xmlns:a="http://schemas.openxmlformats.org/drawingml/2006/main">
          <a:off x="2135755" y="1025719"/>
          <a:ext cx="429370" cy="326002"/>
        </a:xfrm>
        <a:prstGeom xmlns:a="http://schemas.openxmlformats.org/drawingml/2006/main" prst="line">
          <a:avLst/>
        </a:prstGeom>
        <a:noFill xmlns:a="http://schemas.openxmlformats.org/drawingml/2006/main"/>
        <a:ln xmlns:a="http://schemas.openxmlformats.org/drawingml/2006/main" w="3175">
          <a:solidFill>
            <a:srgbClr val="000000"/>
          </a:solidFill>
          <a:round/>
          <a:headEnd/>
          <a:tailEnd type="triangle" w="med" len="med"/>
        </a:ln>
      </cdr:spPr>
    </cdr:sp>
  </cdr:relSizeAnchor>
  <cdr:relSizeAnchor xmlns:cdr="http://schemas.openxmlformats.org/drawingml/2006/chartDrawing">
    <cdr:from>
      <cdr:x>0.63698</cdr:x>
      <cdr:y>0.49966</cdr:y>
    </cdr:from>
    <cdr:to>
      <cdr:x>0.94008</cdr:x>
      <cdr:y>0.57314</cdr:y>
    </cdr:to>
    <cdr:sp macro="" textlink="">
      <cdr:nvSpPr>
        <cdr:cNvPr id="1027" name="Text Box 3"/>
        <cdr:cNvSpPr txBox="1">
          <a:spLocks xmlns:a="http://schemas.openxmlformats.org/drawingml/2006/main" noChangeArrowheads="1"/>
        </cdr:cNvSpPr>
      </cdr:nvSpPr>
      <cdr:spPr bwMode="auto">
        <a:xfrm xmlns:a="http://schemas.openxmlformats.org/drawingml/2006/main">
          <a:off x="3690225" y="1655141"/>
          <a:ext cx="1755994" cy="2434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36576" tIns="36576" rIns="0" bIns="0" anchor="t" upright="1">
          <a:spAutoFit/>
        </a:bodyPr>
        <a:lstStyle xmlns:a="http://schemas.openxmlformats.org/drawingml/2006/main"/>
        <a:p xmlns:a="http://schemas.openxmlformats.org/drawingml/2006/main">
          <a:pPr algn="l" rtl="0">
            <a:defRPr sz="1000"/>
          </a:pPr>
          <a:r>
            <a:rPr lang="es-CR" sz="1100" b="1" i="0" u="none" strike="noStrike" baseline="0">
              <a:solidFill>
                <a:srgbClr val="000000"/>
              </a:solidFill>
              <a:latin typeface="Times New Roman" pitchFamily="18" charset="0"/>
              <a:cs typeface="Times New Roman" pitchFamily="18" charset="0"/>
            </a:rPr>
            <a:t>Curva para Menor</a:t>
          </a:r>
          <a:r>
            <a:rPr lang="es-CR" sz="1400" b="1" i="0" u="none" strike="noStrike" baseline="0">
              <a:solidFill>
                <a:srgbClr val="000000"/>
              </a:solidFill>
              <a:latin typeface="Times New Roman" pitchFamily="18" charset="0"/>
              <a:cs typeface="Times New Roman" pitchFamily="18" charset="0"/>
            </a:rPr>
            <a:t> </a:t>
          </a:r>
          <a:r>
            <a:rPr lang="es-CR" sz="1100" b="1" i="0" u="none" strike="noStrike" baseline="0">
              <a:solidFill>
                <a:srgbClr val="000000"/>
              </a:solidFill>
              <a:latin typeface="Times New Roman" pitchFamily="18" charset="0"/>
              <a:cs typeface="Times New Roman" pitchFamily="18" charset="0"/>
            </a:rPr>
            <a:t>Cuantía</a:t>
          </a:r>
        </a:p>
      </cdr:txBody>
    </cdr:sp>
  </cdr:relSizeAnchor>
  <cdr:relSizeAnchor xmlns:cdr="http://schemas.openxmlformats.org/drawingml/2006/chartDrawing">
    <cdr:from>
      <cdr:x>0.73848</cdr:x>
      <cdr:y>0.58644</cdr:y>
    </cdr:from>
    <cdr:to>
      <cdr:x>0.78198</cdr:x>
      <cdr:y>0.63519</cdr:y>
    </cdr:to>
    <cdr:sp macro="" textlink="">
      <cdr:nvSpPr>
        <cdr:cNvPr id="1028" name="Line 4"/>
        <cdr:cNvSpPr>
          <a:spLocks xmlns:a="http://schemas.openxmlformats.org/drawingml/2006/main" noChangeShapeType="1"/>
        </cdr:cNvSpPr>
      </cdr:nvSpPr>
      <cdr:spPr bwMode="auto">
        <a:xfrm xmlns:a="http://schemas.openxmlformats.org/drawingml/2006/main" flipH="1">
          <a:off x="4278293" y="1942623"/>
          <a:ext cx="252011" cy="161487"/>
        </a:xfrm>
        <a:prstGeom xmlns:a="http://schemas.openxmlformats.org/drawingml/2006/main" prst="line">
          <a:avLst/>
        </a:prstGeom>
        <a:noFill xmlns:a="http://schemas.openxmlformats.org/drawingml/2006/main"/>
        <a:ln xmlns:a="http://schemas.openxmlformats.org/drawingml/2006/main" w="3175">
          <a:solidFill>
            <a:srgbClr val="000000"/>
          </a:solidFill>
          <a:round/>
          <a:headEnd/>
          <a:tailEnd type="triangle" w="med" len="med"/>
        </a:ln>
      </cdr:spPr>
    </cdr:sp>
  </cdr:relSizeAnchor>
  <cdr:relSizeAnchor xmlns:cdr="http://schemas.openxmlformats.org/drawingml/2006/chartDrawing">
    <cdr:from>
      <cdr:x>0.01098</cdr:x>
      <cdr:y>0.89533</cdr:y>
    </cdr:from>
    <cdr:to>
      <cdr:x>0.3301</cdr:x>
      <cdr:y>0.98022</cdr:y>
    </cdr:to>
    <cdr:sp macro="" textlink="">
      <cdr:nvSpPr>
        <cdr:cNvPr id="7" name="Text Box 1"/>
        <cdr:cNvSpPr txBox="1">
          <a:spLocks xmlns:a="http://schemas.openxmlformats.org/drawingml/2006/main" noChangeArrowheads="1"/>
        </cdr:cNvSpPr>
      </cdr:nvSpPr>
      <cdr:spPr bwMode="auto">
        <a:xfrm xmlns:a="http://schemas.openxmlformats.org/drawingml/2006/main">
          <a:off x="63610" y="2965808"/>
          <a:ext cx="1848751" cy="281224"/>
        </a:xfrm>
        <a:prstGeom xmlns:a="http://schemas.openxmlformats.org/drawingml/2006/main" prst="rect">
          <a:avLst/>
        </a:prstGeom>
        <a:solidFill xmlns:a="http://schemas.openxmlformats.org/drawingml/2006/main">
          <a:srgbClr val="FFFFFF">
            <a:alpha val="0"/>
          </a:srgbClr>
        </a:solidFill>
        <a:ln xmlns:a="http://schemas.openxmlformats.org/drawingml/2006/main" w="9525">
          <a:noFill/>
          <a:miter lim="800000"/>
          <a:headEnd/>
          <a:tailEnd/>
        </a:ln>
      </cdr:spPr>
      <cdr:txBody>
        <a:bodyPr xmlns:a="http://schemas.openxmlformats.org/drawingml/2006/main" wrap="square" lIns="0" tIns="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es-CR" sz="800" b="1" i="0" u="none" strike="noStrike" baseline="0">
              <a:solidFill>
                <a:srgbClr val="000000"/>
              </a:solidFill>
              <a:latin typeface="Times New Roman" pitchFamily="18" charset="0"/>
              <a:cs typeface="Times New Roman" pitchFamily="18" charset="0"/>
            </a:rPr>
            <a:t>Elaborado por: Sección de Estadística, </a:t>
          </a:r>
        </a:p>
        <a:p xmlns:a="http://schemas.openxmlformats.org/drawingml/2006/main">
          <a:pPr algn="l" rtl="0">
            <a:defRPr sz="1000"/>
          </a:pPr>
          <a:r>
            <a:rPr lang="es-CR" sz="800" b="1" i="0" u="none" strike="noStrike" baseline="0">
              <a:solidFill>
                <a:srgbClr val="000000"/>
              </a:solidFill>
              <a:latin typeface="Times New Roman" pitchFamily="18" charset="0"/>
              <a:cs typeface="Times New Roman" pitchFamily="18" charset="0"/>
            </a:rPr>
            <a:t>Dirección de Planificación.</a:t>
          </a:r>
        </a:p>
        <a:p xmlns:a="http://schemas.openxmlformats.org/drawingml/2006/main">
          <a:pPr algn="l" rtl="0">
            <a:defRPr sz="1000"/>
          </a:pPr>
          <a:endParaRPr lang="es-CR" sz="1425" b="1" i="0" u="none" strike="noStrike" baseline="0">
            <a:solidFill>
              <a:srgbClr val="000000"/>
            </a:solidFill>
            <a:latin typeface="Arial"/>
            <a:cs typeface="Arial"/>
          </a:endParaRPr>
        </a:p>
      </cdr:txBody>
    </cdr:sp>
  </cdr:relSizeAnchor>
</c:userShapes>
</file>

<file path=word/drawings/drawing17.xml><?xml version="1.0" encoding="utf-8"?>
<c:userShapes xmlns:c="http://schemas.openxmlformats.org/drawingml/2006/chart">
  <cdr:relSizeAnchor xmlns:cdr="http://schemas.openxmlformats.org/drawingml/2006/chartDrawing">
    <cdr:from>
      <cdr:x>0.01805</cdr:x>
      <cdr:y>0.91394</cdr:y>
    </cdr:from>
    <cdr:to>
      <cdr:x>0.39952</cdr:x>
      <cdr:y>0.99878</cdr:y>
    </cdr:to>
    <cdr:sp macro="" textlink="">
      <cdr:nvSpPr>
        <cdr:cNvPr id="1025" name="Text Box 1"/>
        <cdr:cNvSpPr txBox="1">
          <a:spLocks xmlns:a="http://schemas.openxmlformats.org/drawingml/2006/main" noChangeArrowheads="1"/>
        </cdr:cNvSpPr>
      </cdr:nvSpPr>
      <cdr:spPr bwMode="auto">
        <a:xfrm xmlns:a="http://schemas.openxmlformats.org/drawingml/2006/main">
          <a:off x="87480" y="3029423"/>
          <a:ext cx="1848726" cy="281219"/>
        </a:xfrm>
        <a:prstGeom xmlns:a="http://schemas.openxmlformats.org/drawingml/2006/main" prst="rect">
          <a:avLst/>
        </a:prstGeom>
        <a:solidFill xmlns:a="http://schemas.openxmlformats.org/drawingml/2006/main">
          <a:srgbClr val="FFFFFF">
            <a:alpha val="0"/>
          </a:srgbClr>
        </a:solidFill>
        <a:ln xmlns:a="http://schemas.openxmlformats.org/drawingml/2006/main" w="9525">
          <a:noFill/>
          <a:miter lim="800000"/>
          <a:headEnd/>
          <a:tailEnd/>
        </a:ln>
      </cdr:spPr>
      <cdr:txBody>
        <a:bodyPr xmlns:a="http://schemas.openxmlformats.org/drawingml/2006/main" vertOverflow="clip" wrap="square" lIns="0" tIns="0" rIns="0" bIns="0" anchor="t" upright="1"/>
        <a:lstStyle xmlns:a="http://schemas.openxmlformats.org/drawingml/2006/main"/>
        <a:p xmlns:a="http://schemas.openxmlformats.org/drawingml/2006/main">
          <a:pPr algn="l" rtl="0">
            <a:defRPr sz="1000"/>
          </a:pPr>
          <a:r>
            <a:rPr lang="es-CR" sz="800" b="1" i="0" u="none" strike="noStrike" baseline="0">
              <a:solidFill>
                <a:srgbClr val="000000"/>
              </a:solidFill>
              <a:latin typeface="Times New Roman" pitchFamily="18" charset="0"/>
              <a:cs typeface="Times New Roman" pitchFamily="18" charset="0"/>
            </a:rPr>
            <a:t>Elaborado por: Sección de Estadística, </a:t>
          </a:r>
        </a:p>
        <a:p xmlns:a="http://schemas.openxmlformats.org/drawingml/2006/main">
          <a:pPr algn="l" rtl="0">
            <a:defRPr sz="1000"/>
          </a:pPr>
          <a:r>
            <a:rPr lang="es-CR" sz="800" b="1" i="0" u="none" strike="noStrike" baseline="0">
              <a:solidFill>
                <a:srgbClr val="000000"/>
              </a:solidFill>
              <a:latin typeface="Times New Roman" pitchFamily="18" charset="0"/>
              <a:cs typeface="Times New Roman" pitchFamily="18" charset="0"/>
            </a:rPr>
            <a:t>Dirección de Planificación.</a:t>
          </a:r>
        </a:p>
        <a:p xmlns:a="http://schemas.openxmlformats.org/drawingml/2006/main">
          <a:pPr algn="l" rtl="0">
            <a:defRPr sz="1000"/>
          </a:pPr>
          <a:endParaRPr lang="es-CR" sz="1425" b="1" i="0" u="none" strike="noStrike" baseline="0">
            <a:solidFill>
              <a:srgbClr val="000000"/>
            </a:solidFill>
            <a:latin typeface="Arial"/>
            <a:cs typeface="Arial"/>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0.18077</cdr:x>
      <cdr:y>0.44732</cdr:y>
    </cdr:from>
    <cdr:to>
      <cdr:x>0.57952</cdr:x>
      <cdr:y>0.50157</cdr:y>
    </cdr:to>
    <cdr:sp macro="" textlink="">
      <cdr:nvSpPr>
        <cdr:cNvPr id="1025" name="Rectangle 1"/>
        <cdr:cNvSpPr>
          <a:spLocks xmlns:a="http://schemas.openxmlformats.org/drawingml/2006/main" noChangeArrowheads="1"/>
        </cdr:cNvSpPr>
      </cdr:nvSpPr>
      <cdr:spPr bwMode="auto">
        <a:xfrm xmlns:a="http://schemas.openxmlformats.org/drawingml/2006/main">
          <a:off x="861296" y="1468956"/>
          <a:ext cx="1899838" cy="178150"/>
        </a:xfrm>
        <a:prstGeom xmlns:a="http://schemas.openxmlformats.org/drawingml/2006/main" prst="rect">
          <a:avLst/>
        </a:prstGeom>
        <a:solidFill xmlns:a="http://schemas.openxmlformats.org/drawingml/2006/main">
          <a:srgbClr val="99CCFF">
            <a:alpha val="25000"/>
          </a:srgbClr>
        </a:solidFill>
        <a:ln xmlns:a="http://schemas.openxmlformats.org/drawingml/2006/main" w="9525">
          <a:solidFill>
            <a:srgbClr val="000000"/>
          </a:solidFill>
          <a:miter lim="800000"/>
          <a:headEnd/>
          <a:tailEnd/>
        </a:ln>
      </cdr:spPr>
    </cdr:sp>
  </cdr:relSizeAnchor>
  <cdr:relSizeAnchor xmlns:cdr="http://schemas.openxmlformats.org/drawingml/2006/chartDrawing">
    <cdr:from>
      <cdr:x>0.01309</cdr:x>
      <cdr:y>0.88378</cdr:y>
    </cdr:from>
    <cdr:to>
      <cdr:x>0.5751</cdr:x>
      <cdr:y>0.96126</cdr:y>
    </cdr:to>
    <cdr:sp macro="" textlink="">
      <cdr:nvSpPr>
        <cdr:cNvPr id="1026" name="Text Box 2"/>
        <cdr:cNvSpPr txBox="1">
          <a:spLocks xmlns:a="http://schemas.openxmlformats.org/drawingml/2006/main" noChangeArrowheads="1"/>
        </cdr:cNvSpPr>
      </cdr:nvSpPr>
      <cdr:spPr bwMode="auto">
        <a:xfrm xmlns:a="http://schemas.openxmlformats.org/drawingml/2006/main">
          <a:off x="62357" y="2902226"/>
          <a:ext cx="2677696" cy="254442"/>
        </a:xfrm>
        <a:prstGeom xmlns:a="http://schemas.openxmlformats.org/drawingml/2006/main" prst="rect">
          <a:avLst/>
        </a:prstGeom>
        <a:solidFill xmlns:a="http://schemas.openxmlformats.org/drawingml/2006/main">
          <a:srgbClr val="FFFFFF">
            <a:alpha val="0"/>
          </a:srgbClr>
        </a:solidFill>
        <a:ln xmlns:a="http://schemas.openxmlformats.org/drawingml/2006/main" w="9525">
          <a:noFill/>
          <a:miter lim="800000"/>
          <a:headEnd/>
          <a:tailEnd/>
        </a:ln>
      </cdr:spPr>
      <cdr:txBody>
        <a:bodyPr xmlns:a="http://schemas.openxmlformats.org/drawingml/2006/main" vertOverflow="clip" wrap="square" lIns="0" tIns="0" rIns="0" bIns="0" anchor="t" upright="1"/>
        <a:lstStyle xmlns:a="http://schemas.openxmlformats.org/drawingml/2006/main"/>
        <a:p xmlns:a="http://schemas.openxmlformats.org/drawingml/2006/main">
          <a:pPr algn="l" rtl="0">
            <a:defRPr sz="1000"/>
          </a:pPr>
          <a:r>
            <a:rPr lang="es-CR" sz="800" b="0" i="0" u="none" strike="noStrike" baseline="0">
              <a:solidFill>
                <a:srgbClr val="000000"/>
              </a:solidFill>
              <a:latin typeface="Times New Roman"/>
              <a:cs typeface="Times New Roman"/>
            </a:rPr>
            <a:t>Elaborado por: Sección de Estadística, </a:t>
          </a:r>
        </a:p>
        <a:p xmlns:a="http://schemas.openxmlformats.org/drawingml/2006/main">
          <a:pPr algn="l" rtl="0">
            <a:defRPr sz="1000"/>
          </a:pPr>
          <a:r>
            <a:rPr lang="es-CR" sz="800" b="0" i="0" u="none" strike="noStrike" baseline="0">
              <a:solidFill>
                <a:srgbClr val="000000"/>
              </a:solidFill>
              <a:latin typeface="Times New Roman"/>
              <a:cs typeface="Times New Roman"/>
            </a:rPr>
            <a:t>Dirección de Planificación.</a:t>
          </a:r>
        </a:p>
        <a:p xmlns:a="http://schemas.openxmlformats.org/drawingml/2006/main">
          <a:pPr algn="l" rtl="0">
            <a:defRPr sz="1000"/>
          </a:pPr>
          <a:endParaRPr lang="es-CR" sz="1025" b="0" i="0" u="none" strike="noStrike" baseline="0">
            <a:solidFill>
              <a:srgbClr val="000000"/>
            </a:solidFill>
            <a:latin typeface="Times New Roman"/>
            <a:cs typeface="Times New Roman"/>
          </a:endParaRPr>
        </a:p>
      </cdr:txBody>
    </cdr:sp>
  </cdr:relSizeAnchor>
</c:userShapes>
</file>

<file path=word/drawings/drawing19.xml><?xml version="1.0" encoding="utf-8"?>
<c:userShapes xmlns:c="http://schemas.openxmlformats.org/drawingml/2006/chart">
  <cdr:relSizeAnchor xmlns:cdr="http://schemas.openxmlformats.org/drawingml/2006/chartDrawing">
    <cdr:from>
      <cdr:x>0.02301</cdr:x>
      <cdr:y>0.86417</cdr:y>
    </cdr:from>
    <cdr:to>
      <cdr:x>0.44377</cdr:x>
      <cdr:y>0.97624</cdr:y>
    </cdr:to>
    <cdr:sp macro="" textlink="">
      <cdr:nvSpPr>
        <cdr:cNvPr id="1025" name="Text Box 1"/>
        <cdr:cNvSpPr txBox="1">
          <a:spLocks xmlns:a="http://schemas.openxmlformats.org/drawingml/2006/main" noChangeArrowheads="1"/>
        </cdr:cNvSpPr>
      </cdr:nvSpPr>
      <cdr:spPr bwMode="auto">
        <a:xfrm xmlns:a="http://schemas.openxmlformats.org/drawingml/2006/main">
          <a:off x="112398" y="2759103"/>
          <a:ext cx="2055160" cy="357808"/>
        </a:xfrm>
        <a:prstGeom xmlns:a="http://schemas.openxmlformats.org/drawingml/2006/main" prst="rect">
          <a:avLst/>
        </a:prstGeom>
        <a:solidFill xmlns:a="http://schemas.openxmlformats.org/drawingml/2006/main">
          <a:srgbClr val="FFFFFF">
            <a:alpha val="0"/>
          </a:srgbClr>
        </a:solidFill>
        <a:ln xmlns:a="http://schemas.openxmlformats.org/drawingml/2006/main" w="9525">
          <a:noFill/>
          <a:miter lim="800000"/>
          <a:headEnd/>
          <a:tailEnd/>
        </a:ln>
      </cdr:spPr>
      <cdr:txBody>
        <a:bodyPr xmlns:a="http://schemas.openxmlformats.org/drawingml/2006/main" vertOverflow="clip" wrap="square" lIns="0" tIns="0" rIns="0" bIns="0" anchor="t" upright="1"/>
        <a:lstStyle xmlns:a="http://schemas.openxmlformats.org/drawingml/2006/main"/>
        <a:p xmlns:a="http://schemas.openxmlformats.org/drawingml/2006/main">
          <a:pPr algn="l" rtl="0">
            <a:defRPr sz="1000"/>
          </a:pPr>
          <a:r>
            <a:rPr lang="es-CR" sz="1000" b="0" i="0" u="none" strike="noStrike" baseline="0">
              <a:solidFill>
                <a:srgbClr val="000000"/>
              </a:solidFill>
              <a:latin typeface="Times New Roman"/>
              <a:cs typeface="Times New Roman"/>
            </a:rPr>
            <a:t>Elaborado por: Sección de Estadística, </a:t>
          </a:r>
        </a:p>
        <a:p xmlns:a="http://schemas.openxmlformats.org/drawingml/2006/main">
          <a:pPr algn="l" rtl="0">
            <a:defRPr sz="1000"/>
          </a:pPr>
          <a:r>
            <a:rPr lang="es-CR" sz="1000" b="0" i="0" u="none" strike="noStrike" baseline="0">
              <a:solidFill>
                <a:srgbClr val="000000"/>
              </a:solidFill>
              <a:latin typeface="Times New Roman"/>
              <a:cs typeface="Times New Roman"/>
            </a:rPr>
            <a:t>Dirección de Planificación.</a:t>
          </a:r>
        </a:p>
        <a:p xmlns:a="http://schemas.openxmlformats.org/drawingml/2006/main">
          <a:pPr algn="l" rtl="0">
            <a:defRPr sz="1000"/>
          </a:pPr>
          <a:endParaRPr lang="es-CR" sz="1025" b="0" i="0" u="none" strike="noStrike" baseline="0">
            <a:solidFill>
              <a:srgbClr val="000000"/>
            </a:solidFill>
            <a:latin typeface="Times New Roman"/>
            <a:cs typeface="Times New Roman"/>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0.015</cdr:x>
      <cdr:y>0.84225</cdr:y>
    </cdr:from>
    <cdr:to>
      <cdr:x>0.50275</cdr:x>
      <cdr:y>0.99975</cdr:y>
    </cdr:to>
    <cdr:sp macro="" textlink="">
      <cdr:nvSpPr>
        <cdr:cNvPr id="1026" name="Text Box 2"/>
        <cdr:cNvSpPr txBox="1">
          <a:spLocks xmlns:a="http://schemas.openxmlformats.org/drawingml/2006/main" noChangeArrowheads="1"/>
        </cdr:cNvSpPr>
      </cdr:nvSpPr>
      <cdr:spPr bwMode="auto">
        <a:xfrm xmlns:a="http://schemas.openxmlformats.org/drawingml/2006/main">
          <a:off x="65265" y="2432401"/>
          <a:ext cx="2122210" cy="45485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1">
            <a:defRPr sz="1000"/>
          </a:pPr>
          <a:r>
            <a:rPr lang="es-CR" sz="800" b="0" i="0" strike="noStrike">
              <a:solidFill>
                <a:srgbClr val="000000"/>
              </a:solidFill>
              <a:latin typeface="Times New Roman"/>
              <a:cs typeface="Times New Roman"/>
            </a:rPr>
            <a:t>Fuente: Sección de Planes y Presupuesto, Dirección de Planificación  y Banco Central de Costa Rica.</a:t>
          </a:r>
          <a:endParaRPr lang="es-CR" sz="950" b="0" i="0" strike="noStrike">
            <a:solidFill>
              <a:srgbClr val="000000"/>
            </a:solidFill>
            <a:latin typeface="Times New Roman"/>
            <a:cs typeface="Times New Roman"/>
          </a:endParaRPr>
        </a:p>
        <a:p xmlns:a="http://schemas.openxmlformats.org/drawingml/2006/main">
          <a:pPr algn="l" rtl="1">
            <a:defRPr sz="1000"/>
          </a:pPr>
          <a:endParaRPr lang="es-CR" sz="950" b="0" i="0" strike="noStrike">
            <a:solidFill>
              <a:srgbClr val="000000"/>
            </a:solidFill>
            <a:latin typeface="Times New Roman"/>
            <a:cs typeface="Times New Roman"/>
          </a:endParaRPr>
        </a:p>
      </cdr:txBody>
    </cdr:sp>
  </cdr:relSizeAnchor>
</c:userShapes>
</file>

<file path=word/drawings/drawing20.xml><?xml version="1.0" encoding="utf-8"?>
<c:userShapes xmlns:c="http://schemas.openxmlformats.org/drawingml/2006/chart">
  <cdr:relSizeAnchor xmlns:cdr="http://schemas.openxmlformats.org/drawingml/2006/chartDrawing">
    <cdr:from>
      <cdr:x>0.1885</cdr:x>
      <cdr:y>0.417</cdr:y>
    </cdr:from>
    <cdr:to>
      <cdr:x>0.58993</cdr:x>
      <cdr:y>0.4654</cdr:y>
    </cdr:to>
    <cdr:sp macro="" textlink="">
      <cdr:nvSpPr>
        <cdr:cNvPr id="1025" name="Rectangle 1"/>
        <cdr:cNvSpPr>
          <a:spLocks xmlns:a="http://schemas.openxmlformats.org/drawingml/2006/main" noChangeArrowheads="1"/>
        </cdr:cNvSpPr>
      </cdr:nvSpPr>
      <cdr:spPr bwMode="auto">
        <a:xfrm xmlns:a="http://schemas.openxmlformats.org/drawingml/2006/main">
          <a:off x="871065" y="1452265"/>
          <a:ext cx="1855021" cy="168561"/>
        </a:xfrm>
        <a:prstGeom xmlns:a="http://schemas.openxmlformats.org/drawingml/2006/main" prst="rect">
          <a:avLst/>
        </a:prstGeom>
        <a:solidFill xmlns:a="http://schemas.openxmlformats.org/drawingml/2006/main">
          <a:srgbClr val="99CCFF">
            <a:alpha val="14999"/>
          </a:srgbClr>
        </a:solidFill>
        <a:ln xmlns:a="http://schemas.openxmlformats.org/drawingml/2006/main" w="9525">
          <a:solidFill>
            <a:srgbClr val="000000"/>
          </a:solidFill>
          <a:miter lim="800000"/>
          <a:headEnd/>
          <a:tailEnd/>
        </a:ln>
      </cdr:spPr>
    </cdr:sp>
  </cdr:relSizeAnchor>
  <cdr:relSizeAnchor xmlns:cdr="http://schemas.openxmlformats.org/drawingml/2006/chartDrawing">
    <cdr:from>
      <cdr:x>0.15578</cdr:x>
      <cdr:y>0.56679</cdr:y>
    </cdr:from>
    <cdr:to>
      <cdr:x>0.51678</cdr:x>
      <cdr:y>0.6779</cdr:y>
    </cdr:to>
    <cdr:sp macro="" textlink="">
      <cdr:nvSpPr>
        <cdr:cNvPr id="1026" name="Text Box 2"/>
        <cdr:cNvSpPr txBox="1">
          <a:spLocks xmlns:a="http://schemas.openxmlformats.org/drawingml/2006/main" noChangeArrowheads="1"/>
        </cdr:cNvSpPr>
      </cdr:nvSpPr>
      <cdr:spPr bwMode="auto">
        <a:xfrm xmlns:a="http://schemas.openxmlformats.org/drawingml/2006/main">
          <a:off x="719353" y="1861462"/>
          <a:ext cx="1666996" cy="36490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s-CR" sz="1100" b="1" i="0" u="none" strike="noStrike" baseline="30000">
              <a:solidFill>
                <a:srgbClr val="000000"/>
              </a:solidFill>
              <a:latin typeface="Times New Roman" pitchFamily="18" charset="0"/>
              <a:cs typeface="Times New Roman" pitchFamily="18" charset="0"/>
            </a:rPr>
            <a:t>2009-2013: Diferencia entre el valor</a:t>
          </a:r>
        </a:p>
        <a:p xmlns:a="http://schemas.openxmlformats.org/drawingml/2006/main">
          <a:pPr algn="l" rtl="0">
            <a:defRPr sz="1000"/>
          </a:pPr>
          <a:r>
            <a:rPr lang="es-CR" sz="1100" b="1" i="0" u="none" strike="noStrike" baseline="30000">
              <a:solidFill>
                <a:srgbClr val="000000"/>
              </a:solidFill>
              <a:latin typeface="Times New Roman" pitchFamily="18" charset="0"/>
              <a:cs typeface="Times New Roman" pitchFamily="18" charset="0"/>
            </a:rPr>
            <a:t> más alto y el más bajo de 256 casos </a:t>
          </a:r>
        </a:p>
      </cdr:txBody>
    </cdr:sp>
  </cdr:relSizeAnchor>
  <cdr:relSizeAnchor xmlns:cdr="http://schemas.openxmlformats.org/drawingml/2006/chartDrawing">
    <cdr:from>
      <cdr:x>0.31062</cdr:x>
      <cdr:y>0.48225</cdr:y>
    </cdr:from>
    <cdr:to>
      <cdr:x>0.38537</cdr:x>
      <cdr:y>0.55375</cdr:y>
    </cdr:to>
    <cdr:sp macro="" textlink="">
      <cdr:nvSpPr>
        <cdr:cNvPr id="1027" name="Line 3"/>
        <cdr:cNvSpPr>
          <a:spLocks xmlns:a="http://schemas.openxmlformats.org/drawingml/2006/main" noChangeShapeType="1"/>
        </cdr:cNvSpPr>
      </cdr:nvSpPr>
      <cdr:spPr bwMode="auto">
        <a:xfrm xmlns:a="http://schemas.openxmlformats.org/drawingml/2006/main" flipV="1">
          <a:off x="1434345" y="1583815"/>
          <a:ext cx="345175" cy="234822"/>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type="triangle" w="med" len="med"/>
        </a:ln>
      </cdr:spPr>
    </cdr:sp>
  </cdr:relSizeAnchor>
  <cdr:relSizeAnchor xmlns:cdr="http://schemas.openxmlformats.org/drawingml/2006/chartDrawing">
    <cdr:from>
      <cdr:x>0.01378</cdr:x>
      <cdr:y>0.89337</cdr:y>
    </cdr:from>
    <cdr:to>
      <cdr:x>0.71563</cdr:x>
      <cdr:y>0.98431</cdr:y>
    </cdr:to>
    <cdr:sp macro="" textlink="">
      <cdr:nvSpPr>
        <cdr:cNvPr id="1028" name="Text Box 4"/>
        <cdr:cNvSpPr txBox="1">
          <a:spLocks xmlns:a="http://schemas.openxmlformats.org/drawingml/2006/main" noChangeArrowheads="1"/>
        </cdr:cNvSpPr>
      </cdr:nvSpPr>
      <cdr:spPr bwMode="auto">
        <a:xfrm xmlns:a="http://schemas.openxmlformats.org/drawingml/2006/main">
          <a:off x="63611" y="2934032"/>
          <a:ext cx="3240984" cy="298670"/>
        </a:xfrm>
        <a:prstGeom xmlns:a="http://schemas.openxmlformats.org/drawingml/2006/main" prst="rect">
          <a:avLst/>
        </a:prstGeom>
        <a:solidFill xmlns:a="http://schemas.openxmlformats.org/drawingml/2006/main">
          <a:srgbClr val="FFFFFF">
            <a:alpha val="0"/>
          </a:srgbClr>
        </a:solidFill>
        <a:ln xmlns:a="http://schemas.openxmlformats.org/drawingml/2006/main" w="9525">
          <a:noFill/>
          <a:miter lim="800000"/>
          <a:headEnd/>
          <a:tailEnd/>
        </a:ln>
      </cdr:spPr>
      <cdr:txBody>
        <a:bodyPr xmlns:a="http://schemas.openxmlformats.org/drawingml/2006/main" vertOverflow="clip" wrap="square" lIns="0" tIns="0" rIns="0" bIns="0" anchor="t" upright="1"/>
        <a:lstStyle xmlns:a="http://schemas.openxmlformats.org/drawingml/2006/main"/>
        <a:p xmlns:a="http://schemas.openxmlformats.org/drawingml/2006/main">
          <a:pPr algn="l" rtl="0">
            <a:defRPr sz="1000"/>
          </a:pPr>
          <a:r>
            <a:rPr lang="es-CR" sz="900" b="0" i="0" u="none" strike="noStrike" baseline="0">
              <a:solidFill>
                <a:srgbClr val="000000"/>
              </a:solidFill>
              <a:latin typeface="Times New Roman" pitchFamily="18" charset="0"/>
              <a:cs typeface="Times New Roman" pitchFamily="18" charset="0"/>
            </a:rPr>
            <a:t>Fuente: Contraloría de Servicios, Poder Judicial.</a:t>
          </a:r>
        </a:p>
        <a:p xmlns:a="http://schemas.openxmlformats.org/drawingml/2006/main">
          <a:pPr algn="l" rtl="0">
            <a:defRPr sz="1000"/>
          </a:pPr>
          <a:r>
            <a:rPr lang="es-CR" sz="900" b="0" i="0" u="none" strike="noStrike" baseline="0">
              <a:solidFill>
                <a:srgbClr val="000000"/>
              </a:solidFill>
              <a:latin typeface="Times New Roman" pitchFamily="18" charset="0"/>
              <a:cs typeface="Times New Roman" pitchFamily="18" charset="0"/>
            </a:rPr>
            <a:t>Elaborado por: Sección de Estadísitca, Dirección de Planificación.</a:t>
          </a:r>
        </a:p>
        <a:p xmlns:a="http://schemas.openxmlformats.org/drawingml/2006/main">
          <a:pPr algn="l" rtl="0">
            <a:defRPr sz="1000"/>
          </a:pPr>
          <a:endParaRPr lang="es-CR" sz="1000" b="1" i="0" u="none" strike="noStrike" baseline="0">
            <a:solidFill>
              <a:srgbClr val="000000"/>
            </a:solidFill>
            <a:latin typeface="Arial"/>
            <a:cs typeface="Arial"/>
          </a:endParaRPr>
        </a:p>
      </cdr:txBody>
    </cdr:sp>
  </cdr:relSizeAnchor>
</c:userShapes>
</file>

<file path=word/drawings/drawing21.xml><?xml version="1.0" encoding="utf-8"?>
<c:userShapes xmlns:c="http://schemas.openxmlformats.org/drawingml/2006/chart">
  <cdr:relSizeAnchor xmlns:cdr="http://schemas.openxmlformats.org/drawingml/2006/chartDrawing">
    <cdr:from>
      <cdr:x>0.01204</cdr:x>
      <cdr:y>0.90873</cdr:y>
    </cdr:from>
    <cdr:to>
      <cdr:x>0.62632</cdr:x>
      <cdr:y>0.9953</cdr:y>
    </cdr:to>
    <cdr:sp macro="" textlink="">
      <cdr:nvSpPr>
        <cdr:cNvPr id="1025" name="Text Box 1"/>
        <cdr:cNvSpPr txBox="1">
          <a:spLocks xmlns:a="http://schemas.openxmlformats.org/drawingml/2006/main" noChangeArrowheads="1"/>
        </cdr:cNvSpPr>
      </cdr:nvSpPr>
      <cdr:spPr bwMode="auto">
        <a:xfrm xmlns:a="http://schemas.openxmlformats.org/drawingml/2006/main">
          <a:off x="55660" y="3280410"/>
          <a:ext cx="2838595" cy="312533"/>
        </a:xfrm>
        <a:prstGeom xmlns:a="http://schemas.openxmlformats.org/drawingml/2006/main" prst="rect">
          <a:avLst/>
        </a:prstGeom>
        <a:solidFill xmlns:a="http://schemas.openxmlformats.org/drawingml/2006/main">
          <a:srgbClr val="FFFFFF">
            <a:alpha val="0"/>
          </a:srgbClr>
        </a:solidFill>
        <a:ln xmlns:a="http://schemas.openxmlformats.org/drawingml/2006/main" w="9525">
          <a:noFill/>
          <a:miter lim="800000"/>
          <a:headEnd/>
          <a:tailEnd/>
        </a:ln>
      </cdr:spPr>
      <cdr:txBody>
        <a:bodyPr xmlns:a="http://schemas.openxmlformats.org/drawingml/2006/main" vertOverflow="clip" wrap="square" lIns="0" tIns="0" rIns="0" bIns="0" anchor="t" upright="1"/>
        <a:lstStyle xmlns:a="http://schemas.openxmlformats.org/drawingml/2006/main"/>
        <a:p xmlns:a="http://schemas.openxmlformats.org/drawingml/2006/main">
          <a:pPr algn="l" rtl="0">
            <a:defRPr sz="1000"/>
          </a:pPr>
          <a:r>
            <a:rPr lang="es-CR" sz="800" b="0" i="0" u="none" strike="noStrike" baseline="0">
              <a:solidFill>
                <a:srgbClr val="000000"/>
              </a:solidFill>
              <a:latin typeface="Times New Roman"/>
              <a:cs typeface="Times New Roman"/>
            </a:rPr>
            <a:t>Fuente: Contraloría de Servicios, Poder Judicial.</a:t>
          </a:r>
        </a:p>
        <a:p xmlns:a="http://schemas.openxmlformats.org/drawingml/2006/main">
          <a:pPr algn="l" rtl="0">
            <a:defRPr sz="1000"/>
          </a:pPr>
          <a:r>
            <a:rPr lang="es-CR" sz="800" b="0" i="0" u="none" strike="noStrike" baseline="0">
              <a:solidFill>
                <a:srgbClr val="000000"/>
              </a:solidFill>
              <a:latin typeface="Times New Roman"/>
              <a:cs typeface="Times New Roman"/>
            </a:rPr>
            <a:t>Elaborado por: Sección de Estadística, Dirección de Planificación.</a:t>
          </a:r>
        </a:p>
        <a:p xmlns:a="http://schemas.openxmlformats.org/drawingml/2006/main">
          <a:pPr algn="l" rtl="0">
            <a:defRPr sz="1000"/>
          </a:pPr>
          <a:endParaRPr lang="es-CR" sz="1050" b="0" i="0" u="none" strike="noStrike" baseline="0">
            <a:solidFill>
              <a:srgbClr val="000000"/>
            </a:solidFill>
            <a:latin typeface="Times New Roman"/>
            <a:cs typeface="Times New Roman"/>
          </a:endParaRPr>
        </a:p>
      </cdr:txBody>
    </cdr:sp>
  </cdr:relSizeAnchor>
</c:userShapes>
</file>

<file path=word/drawings/drawing22.xml><?xml version="1.0" encoding="utf-8"?>
<c:userShapes xmlns:c="http://schemas.openxmlformats.org/drawingml/2006/chart">
  <cdr:relSizeAnchor xmlns:cdr="http://schemas.openxmlformats.org/drawingml/2006/chartDrawing">
    <cdr:from>
      <cdr:x>0.0168</cdr:x>
      <cdr:y>0.941</cdr:y>
    </cdr:from>
    <cdr:to>
      <cdr:x>0.65505</cdr:x>
      <cdr:y>0.9821</cdr:y>
    </cdr:to>
    <cdr:sp macro="" textlink="">
      <cdr:nvSpPr>
        <cdr:cNvPr id="1025" name="Text Box 1"/>
        <cdr:cNvSpPr txBox="1">
          <a:spLocks xmlns:a="http://schemas.openxmlformats.org/drawingml/2006/main" noChangeArrowheads="1"/>
        </cdr:cNvSpPr>
      </cdr:nvSpPr>
      <cdr:spPr bwMode="auto">
        <a:xfrm xmlns:a="http://schemas.openxmlformats.org/drawingml/2006/main">
          <a:off x="79513" y="2803635"/>
          <a:ext cx="3020212" cy="122445"/>
        </a:xfrm>
        <a:prstGeom xmlns:a="http://schemas.openxmlformats.org/drawingml/2006/main" prst="rect">
          <a:avLst/>
        </a:prstGeom>
        <a:solidFill xmlns:a="http://schemas.openxmlformats.org/drawingml/2006/main">
          <a:srgbClr val="FFFFFF">
            <a:alpha val="0"/>
          </a:srgbClr>
        </a:solidFill>
        <a:ln xmlns:a="http://schemas.openxmlformats.org/drawingml/2006/main" w="9525">
          <a:noFill/>
          <a:miter lim="800000"/>
          <a:headEnd/>
          <a:tailEnd/>
        </a:ln>
      </cdr:spPr>
      <cdr:txBody>
        <a:bodyPr xmlns:a="http://schemas.openxmlformats.org/drawingml/2006/main" vertOverflow="clip" wrap="square" lIns="0" tIns="0" rIns="0" bIns="0" anchor="t" upright="1"/>
        <a:lstStyle xmlns:a="http://schemas.openxmlformats.org/drawingml/2006/main"/>
        <a:p xmlns:a="http://schemas.openxmlformats.org/drawingml/2006/main">
          <a:pPr algn="l" rtl="0">
            <a:defRPr sz="1000"/>
          </a:pPr>
          <a:r>
            <a:rPr lang="es-CR" sz="800" b="0" i="0" u="none" strike="noStrike" baseline="0">
              <a:solidFill>
                <a:srgbClr val="000000"/>
              </a:solidFill>
              <a:latin typeface="Times New Roman"/>
              <a:cs typeface="Times New Roman"/>
            </a:rPr>
            <a:t>Elaborado por: Sección de Estadística, Dirección de Planificación.</a:t>
          </a:r>
        </a:p>
        <a:p xmlns:a="http://schemas.openxmlformats.org/drawingml/2006/main">
          <a:pPr algn="l" rtl="0">
            <a:defRPr sz="1000"/>
          </a:pPr>
          <a:endParaRPr lang="es-CR" sz="1000" b="0" i="0" u="none" strike="noStrike" baseline="0">
            <a:solidFill>
              <a:srgbClr val="000000"/>
            </a:solidFill>
            <a:latin typeface="Times New Roman"/>
            <a:cs typeface="Times New Roman"/>
          </a:endParaRPr>
        </a:p>
      </cdr:txBody>
    </cdr:sp>
  </cdr:relSizeAnchor>
</c:userShapes>
</file>

<file path=word/drawings/drawing23.xml><?xml version="1.0" encoding="utf-8"?>
<c:userShapes xmlns:c="http://schemas.openxmlformats.org/drawingml/2006/chart">
  <cdr:relSizeAnchor xmlns:cdr="http://schemas.openxmlformats.org/drawingml/2006/chartDrawing">
    <cdr:from>
      <cdr:x>0.00853</cdr:x>
      <cdr:y>0.91777</cdr:y>
    </cdr:from>
    <cdr:to>
      <cdr:x>0.66663</cdr:x>
      <cdr:y>0.98319</cdr:y>
    </cdr:to>
    <cdr:sp macro="" textlink="">
      <cdr:nvSpPr>
        <cdr:cNvPr id="1025" name="Text Box 1"/>
        <cdr:cNvSpPr txBox="1">
          <a:spLocks xmlns:a="http://schemas.openxmlformats.org/drawingml/2006/main" noChangeArrowheads="1"/>
        </cdr:cNvSpPr>
      </cdr:nvSpPr>
      <cdr:spPr bwMode="auto">
        <a:xfrm xmlns:a="http://schemas.openxmlformats.org/drawingml/2006/main">
          <a:off x="39757" y="2342487"/>
          <a:ext cx="3066010" cy="166977"/>
        </a:xfrm>
        <a:prstGeom xmlns:a="http://schemas.openxmlformats.org/drawingml/2006/main" prst="rect">
          <a:avLst/>
        </a:prstGeom>
        <a:solidFill xmlns:a="http://schemas.openxmlformats.org/drawingml/2006/main">
          <a:srgbClr val="FFFFFF">
            <a:alpha val="0"/>
          </a:srgbClr>
        </a:solidFill>
        <a:ln xmlns:a="http://schemas.openxmlformats.org/drawingml/2006/main" w="9525">
          <a:noFill/>
          <a:miter lim="800000"/>
          <a:headEnd/>
          <a:tailEnd/>
        </a:ln>
      </cdr:spPr>
      <cdr:txBody>
        <a:bodyPr xmlns:a="http://schemas.openxmlformats.org/drawingml/2006/main" vertOverflow="clip" wrap="square" lIns="0" tIns="0" rIns="0" bIns="0" anchor="t" upright="1"/>
        <a:lstStyle xmlns:a="http://schemas.openxmlformats.org/drawingml/2006/main"/>
        <a:p xmlns:a="http://schemas.openxmlformats.org/drawingml/2006/main">
          <a:pPr algn="l" rtl="0">
            <a:defRPr sz="1000"/>
          </a:pPr>
          <a:r>
            <a:rPr lang="es-CR" sz="800" b="0" i="0" u="none" strike="noStrike" baseline="0">
              <a:solidFill>
                <a:srgbClr val="000000"/>
              </a:solidFill>
              <a:latin typeface="Times New Roman"/>
              <a:cs typeface="Times New Roman"/>
            </a:rPr>
            <a:t>Elaborado por: Sección de Estadística, Dirección de Planificación.</a:t>
          </a:r>
        </a:p>
        <a:p xmlns:a="http://schemas.openxmlformats.org/drawingml/2006/main">
          <a:pPr algn="l" rtl="0">
            <a:defRPr sz="1000"/>
          </a:pPr>
          <a:endParaRPr lang="es-CR" sz="975" b="0" i="0" u="none" strike="noStrike" baseline="0">
            <a:solidFill>
              <a:srgbClr val="000000"/>
            </a:solidFill>
            <a:latin typeface="Times New Roman"/>
            <a:cs typeface="Times New Roman"/>
          </a:endParaRPr>
        </a:p>
      </cdr:txBody>
    </cdr:sp>
  </cdr:relSizeAnchor>
</c:userShapes>
</file>

<file path=word/drawings/drawing24.xml><?xml version="1.0" encoding="utf-8"?>
<c:userShapes xmlns:c="http://schemas.openxmlformats.org/drawingml/2006/chart">
  <cdr:relSizeAnchor xmlns:cdr="http://schemas.openxmlformats.org/drawingml/2006/chartDrawing">
    <cdr:from>
      <cdr:x>0.00992</cdr:x>
      <cdr:y>0.9262</cdr:y>
    </cdr:from>
    <cdr:to>
      <cdr:x>0.75108</cdr:x>
      <cdr:y>0.98672</cdr:y>
    </cdr:to>
    <cdr:sp macro="" textlink="">
      <cdr:nvSpPr>
        <cdr:cNvPr id="1025" name="Text Box 1"/>
        <cdr:cNvSpPr txBox="1">
          <a:spLocks xmlns:a="http://schemas.openxmlformats.org/drawingml/2006/main" noChangeArrowheads="1"/>
        </cdr:cNvSpPr>
      </cdr:nvSpPr>
      <cdr:spPr bwMode="auto">
        <a:xfrm xmlns:a="http://schemas.openxmlformats.org/drawingml/2006/main">
          <a:off x="55659" y="2772332"/>
          <a:ext cx="4158247" cy="181135"/>
        </a:xfrm>
        <a:prstGeom xmlns:a="http://schemas.openxmlformats.org/drawingml/2006/main" prst="rect">
          <a:avLst/>
        </a:prstGeom>
        <a:solidFill xmlns:a="http://schemas.openxmlformats.org/drawingml/2006/main">
          <a:srgbClr val="FFFFFF">
            <a:alpha val="0"/>
          </a:srgbClr>
        </a:solidFill>
        <a:ln xmlns:a="http://schemas.openxmlformats.org/drawingml/2006/main" w="9525">
          <a:noFill/>
          <a:miter lim="800000"/>
          <a:headEnd/>
          <a:tailEnd/>
        </a:ln>
      </cdr:spPr>
      <cdr:txBody>
        <a:bodyPr xmlns:a="http://schemas.openxmlformats.org/drawingml/2006/main" vertOverflow="clip" wrap="square" lIns="0" tIns="0" rIns="0" bIns="0" anchor="t" upright="1"/>
        <a:lstStyle xmlns:a="http://schemas.openxmlformats.org/drawingml/2006/main"/>
        <a:p xmlns:a="http://schemas.openxmlformats.org/drawingml/2006/main">
          <a:pPr algn="l" rtl="0">
            <a:defRPr sz="1000"/>
          </a:pPr>
          <a:r>
            <a:rPr lang="es-CR" sz="800" b="0" i="0" u="none" strike="noStrike" baseline="0">
              <a:solidFill>
                <a:srgbClr val="000000"/>
              </a:solidFill>
              <a:latin typeface="Times New Roman" pitchFamily="18" charset="0"/>
              <a:cs typeface="Times New Roman" pitchFamily="18" charset="0"/>
            </a:rPr>
            <a:t>Elaborado por: Sección de Estadística, Dirección de Planificación.</a:t>
          </a:r>
        </a:p>
        <a:p xmlns:a="http://schemas.openxmlformats.org/drawingml/2006/main">
          <a:pPr algn="l" rtl="0">
            <a:defRPr sz="1000"/>
          </a:pPr>
          <a:endParaRPr lang="es-CR" sz="800" b="0" i="0" u="none" strike="noStrike" baseline="0">
            <a:solidFill>
              <a:srgbClr val="000000"/>
            </a:solidFill>
            <a:latin typeface="Times New Roman" pitchFamily="18" charset="0"/>
            <a:cs typeface="Times New Roman" pitchFamily="18" charset="0"/>
          </a:endParaRPr>
        </a:p>
      </cdr:txBody>
    </cdr:sp>
  </cdr:relSizeAnchor>
</c:userShapes>
</file>

<file path=word/drawings/drawing25.xml><?xml version="1.0" encoding="utf-8"?>
<c:userShapes xmlns:c="http://schemas.openxmlformats.org/drawingml/2006/chart">
  <cdr:relSizeAnchor xmlns:cdr="http://schemas.openxmlformats.org/drawingml/2006/chartDrawing">
    <cdr:from>
      <cdr:x>0.15649</cdr:x>
      <cdr:y>0.25963</cdr:y>
    </cdr:from>
    <cdr:to>
      <cdr:x>0.58284</cdr:x>
      <cdr:y>0.31555</cdr:y>
    </cdr:to>
    <cdr:sp macro="" textlink="">
      <cdr:nvSpPr>
        <cdr:cNvPr id="1025" name="Text Box 1"/>
        <cdr:cNvSpPr txBox="1">
          <a:spLocks xmlns:a="http://schemas.openxmlformats.org/drawingml/2006/main" noChangeArrowheads="1"/>
        </cdr:cNvSpPr>
      </cdr:nvSpPr>
      <cdr:spPr bwMode="auto">
        <a:xfrm xmlns:a="http://schemas.openxmlformats.org/drawingml/2006/main">
          <a:off x="724989" y="834887"/>
          <a:ext cx="1975307" cy="17979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32004" rIns="0" bIns="0" anchor="t" upright="1">
          <a:spAutoFit/>
        </a:bodyPr>
        <a:lstStyle xmlns:a="http://schemas.openxmlformats.org/drawingml/2006/main"/>
        <a:p xmlns:a="http://schemas.openxmlformats.org/drawingml/2006/main">
          <a:pPr algn="l" rtl="0">
            <a:defRPr sz="1000"/>
          </a:pPr>
          <a:r>
            <a:rPr lang="es-CR" sz="1000" b="1" i="0" u="none" strike="noStrike" baseline="0">
              <a:solidFill>
                <a:srgbClr val="000000"/>
              </a:solidFill>
              <a:latin typeface="Times New Roman"/>
              <a:cs typeface="Times New Roman"/>
            </a:rPr>
            <a:t>Curva de tasas de condenatoria</a:t>
          </a:r>
        </a:p>
      </cdr:txBody>
    </cdr:sp>
  </cdr:relSizeAnchor>
  <cdr:relSizeAnchor xmlns:cdr="http://schemas.openxmlformats.org/drawingml/2006/chartDrawing">
    <cdr:from>
      <cdr:x>0.38364</cdr:x>
      <cdr:y>0.32181</cdr:y>
    </cdr:from>
    <cdr:to>
      <cdr:x>0.44589</cdr:x>
      <cdr:y>0.40231</cdr:y>
    </cdr:to>
    <cdr:sp macro="" textlink="">
      <cdr:nvSpPr>
        <cdr:cNvPr id="1026" name="Line 2"/>
        <cdr:cNvSpPr>
          <a:spLocks xmlns:a="http://schemas.openxmlformats.org/drawingml/2006/main" noChangeShapeType="1"/>
        </cdr:cNvSpPr>
      </cdr:nvSpPr>
      <cdr:spPr bwMode="auto">
        <a:xfrm xmlns:a="http://schemas.openxmlformats.org/drawingml/2006/main">
          <a:off x="1777395" y="1034827"/>
          <a:ext cx="288401" cy="258859"/>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type="triangle" w="med" len="med"/>
        </a:ln>
      </cdr:spPr>
    </cdr:sp>
  </cdr:relSizeAnchor>
  <cdr:relSizeAnchor xmlns:cdr="http://schemas.openxmlformats.org/drawingml/2006/chartDrawing">
    <cdr:from>
      <cdr:x>0.54778</cdr:x>
      <cdr:y>0.43767</cdr:y>
    </cdr:from>
    <cdr:to>
      <cdr:x>0.91408</cdr:x>
      <cdr:y>0.49358</cdr:y>
    </cdr:to>
    <cdr:sp macro="" textlink="">
      <cdr:nvSpPr>
        <cdr:cNvPr id="1027" name="Text Box 3"/>
        <cdr:cNvSpPr txBox="1">
          <a:spLocks xmlns:a="http://schemas.openxmlformats.org/drawingml/2006/main" noChangeArrowheads="1"/>
        </cdr:cNvSpPr>
      </cdr:nvSpPr>
      <cdr:spPr bwMode="auto">
        <a:xfrm xmlns:a="http://schemas.openxmlformats.org/drawingml/2006/main">
          <a:off x="2537820" y="1407381"/>
          <a:ext cx="1697079" cy="17979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32004" rIns="0" bIns="0" anchor="t" upright="1">
          <a:spAutoFit/>
        </a:bodyPr>
        <a:lstStyle xmlns:a="http://schemas.openxmlformats.org/drawingml/2006/main"/>
        <a:p xmlns:a="http://schemas.openxmlformats.org/drawingml/2006/main">
          <a:pPr algn="l" rtl="0">
            <a:defRPr sz="1000"/>
          </a:pPr>
          <a:r>
            <a:rPr lang="es-CR" sz="1000" b="1" i="0" u="none" strike="noStrike" baseline="0">
              <a:solidFill>
                <a:srgbClr val="000000"/>
              </a:solidFill>
              <a:latin typeface="Times New Roman"/>
              <a:cs typeface="Times New Roman"/>
            </a:rPr>
            <a:t>Curva de tasas de absolutoria</a:t>
          </a:r>
        </a:p>
      </cdr:txBody>
    </cdr:sp>
  </cdr:relSizeAnchor>
  <cdr:relSizeAnchor xmlns:cdr="http://schemas.openxmlformats.org/drawingml/2006/chartDrawing">
    <cdr:from>
      <cdr:x>0.67167</cdr:x>
      <cdr:y>0.49725</cdr:y>
    </cdr:from>
    <cdr:to>
      <cdr:x>0.70692</cdr:x>
      <cdr:y>0.5535</cdr:y>
    </cdr:to>
    <cdr:sp macro="" textlink="">
      <cdr:nvSpPr>
        <cdr:cNvPr id="1028" name="Line 4"/>
        <cdr:cNvSpPr>
          <a:spLocks xmlns:a="http://schemas.openxmlformats.org/drawingml/2006/main" noChangeShapeType="1"/>
        </cdr:cNvSpPr>
      </cdr:nvSpPr>
      <cdr:spPr bwMode="auto">
        <a:xfrm xmlns:a="http://schemas.openxmlformats.org/drawingml/2006/main" flipH="1">
          <a:off x="3111809" y="1598968"/>
          <a:ext cx="163312" cy="180880"/>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type="triangle" w="med" len="med"/>
        </a:ln>
      </cdr:spPr>
    </cdr:sp>
  </cdr:relSizeAnchor>
  <cdr:relSizeAnchor xmlns:cdr="http://schemas.openxmlformats.org/drawingml/2006/chartDrawing">
    <cdr:from>
      <cdr:x>0.01373</cdr:x>
      <cdr:y>0.93468</cdr:y>
    </cdr:from>
    <cdr:to>
      <cdr:x>0.66985</cdr:x>
      <cdr:y>0.97919</cdr:y>
    </cdr:to>
    <cdr:sp macro="" textlink="">
      <cdr:nvSpPr>
        <cdr:cNvPr id="1029" name="Text Box 5"/>
        <cdr:cNvSpPr txBox="1">
          <a:spLocks xmlns:a="http://schemas.openxmlformats.org/drawingml/2006/main" noChangeArrowheads="1"/>
        </cdr:cNvSpPr>
      </cdr:nvSpPr>
      <cdr:spPr bwMode="auto">
        <a:xfrm xmlns:a="http://schemas.openxmlformats.org/drawingml/2006/main">
          <a:off x="63611" y="3005594"/>
          <a:ext cx="3039793" cy="143124"/>
        </a:xfrm>
        <a:prstGeom xmlns:a="http://schemas.openxmlformats.org/drawingml/2006/main" prst="rect">
          <a:avLst/>
        </a:prstGeom>
        <a:solidFill xmlns:a="http://schemas.openxmlformats.org/drawingml/2006/main">
          <a:srgbClr val="FFFFFF">
            <a:alpha val="0"/>
          </a:srgbClr>
        </a:solidFill>
        <a:ln xmlns:a="http://schemas.openxmlformats.org/drawingml/2006/main" w="9525">
          <a:noFill/>
          <a:miter lim="800000"/>
          <a:headEnd/>
          <a:tailEnd/>
        </a:ln>
      </cdr:spPr>
      <cdr:txBody>
        <a:bodyPr xmlns:a="http://schemas.openxmlformats.org/drawingml/2006/main" vertOverflow="clip" wrap="square" lIns="0" tIns="0" rIns="0" bIns="0" anchor="t" upright="1"/>
        <a:lstStyle xmlns:a="http://schemas.openxmlformats.org/drawingml/2006/main"/>
        <a:p xmlns:a="http://schemas.openxmlformats.org/drawingml/2006/main">
          <a:pPr algn="l" rtl="0">
            <a:defRPr sz="1000"/>
          </a:pPr>
          <a:r>
            <a:rPr lang="es-CR" sz="900" b="0" i="0" u="none" strike="noStrike" baseline="0">
              <a:solidFill>
                <a:srgbClr val="000000"/>
              </a:solidFill>
              <a:latin typeface="Times New Roman"/>
              <a:cs typeface="Times New Roman"/>
            </a:rPr>
            <a:t>Elaborado por: Sección de Estadística, Dirección de Planificación.</a:t>
          </a:r>
        </a:p>
        <a:p xmlns:a="http://schemas.openxmlformats.org/drawingml/2006/main">
          <a:pPr algn="l" rtl="0">
            <a:defRPr sz="1000"/>
          </a:pPr>
          <a:endParaRPr lang="es-CR" sz="825" b="0" i="0" u="none" strike="noStrike" baseline="0">
            <a:solidFill>
              <a:srgbClr val="000000"/>
            </a:solidFill>
            <a:latin typeface="Times New Roman"/>
            <a:cs typeface="Times New Roman"/>
          </a:endParaRPr>
        </a:p>
      </cdr:txBody>
    </cdr:sp>
  </cdr:relSizeAnchor>
</c:userShapes>
</file>

<file path=word/drawings/drawing26.xml><?xml version="1.0" encoding="utf-8"?>
<c:userShapes xmlns:c="http://schemas.openxmlformats.org/drawingml/2006/chart">
  <cdr:relSizeAnchor xmlns:cdr="http://schemas.openxmlformats.org/drawingml/2006/chartDrawing">
    <cdr:from>
      <cdr:x>0.0101</cdr:x>
      <cdr:y>0.93561</cdr:y>
    </cdr:from>
    <cdr:to>
      <cdr:x>0.66076</cdr:x>
      <cdr:y>0.98017</cdr:y>
    </cdr:to>
    <cdr:sp macro="" textlink="">
      <cdr:nvSpPr>
        <cdr:cNvPr id="1025" name="Text Box 1"/>
        <cdr:cNvSpPr txBox="1">
          <a:spLocks xmlns:a="http://schemas.openxmlformats.org/drawingml/2006/main" noChangeArrowheads="1"/>
        </cdr:cNvSpPr>
      </cdr:nvSpPr>
      <cdr:spPr bwMode="auto">
        <a:xfrm xmlns:a="http://schemas.openxmlformats.org/drawingml/2006/main">
          <a:off x="47707" y="3172571"/>
          <a:ext cx="3074009" cy="151075"/>
        </a:xfrm>
        <a:prstGeom xmlns:a="http://schemas.openxmlformats.org/drawingml/2006/main" prst="rect">
          <a:avLst/>
        </a:prstGeom>
        <a:solidFill xmlns:a="http://schemas.openxmlformats.org/drawingml/2006/main">
          <a:srgbClr val="FFFFFF">
            <a:alpha val="0"/>
          </a:srgbClr>
        </a:solidFill>
        <a:ln xmlns:a="http://schemas.openxmlformats.org/drawingml/2006/main" w="9525">
          <a:noFill/>
          <a:miter lim="800000"/>
          <a:headEnd/>
          <a:tailEnd/>
        </a:ln>
      </cdr:spPr>
      <cdr:txBody>
        <a:bodyPr xmlns:a="http://schemas.openxmlformats.org/drawingml/2006/main" vertOverflow="clip" wrap="square" lIns="0" tIns="0" rIns="0" bIns="0" anchor="t" upright="1"/>
        <a:lstStyle xmlns:a="http://schemas.openxmlformats.org/drawingml/2006/main"/>
        <a:p xmlns:a="http://schemas.openxmlformats.org/drawingml/2006/main">
          <a:pPr algn="l" rtl="0">
            <a:defRPr sz="1000"/>
          </a:pPr>
          <a:r>
            <a:rPr lang="es-CR" sz="900" b="0" i="0" u="none" strike="noStrike" baseline="0">
              <a:solidFill>
                <a:srgbClr val="000000"/>
              </a:solidFill>
              <a:latin typeface="Times New Roman"/>
              <a:cs typeface="Times New Roman"/>
            </a:rPr>
            <a:t>Elaborado por: Sección de Estadística, Dirección  de Planificación.</a:t>
          </a:r>
          <a:endParaRPr lang="es-CR" sz="1200" b="1" i="0" u="none" strike="noStrike" baseline="0">
            <a:solidFill>
              <a:srgbClr val="000000"/>
            </a:solidFill>
            <a:latin typeface="Arial"/>
            <a:cs typeface="Arial"/>
          </a:endParaRPr>
        </a:p>
        <a:p xmlns:a="http://schemas.openxmlformats.org/drawingml/2006/main">
          <a:pPr algn="l" rtl="0">
            <a:defRPr sz="1000"/>
          </a:pPr>
          <a:endParaRPr lang="es-CR" sz="1200" b="1" i="0" u="none" strike="noStrike" baseline="0">
            <a:solidFill>
              <a:srgbClr val="000000"/>
            </a:solidFill>
            <a:latin typeface="Arial"/>
            <a:cs typeface="Arial"/>
          </a:endParaRPr>
        </a:p>
      </cdr:txBody>
    </cdr:sp>
  </cdr:relSizeAnchor>
</c:userShapes>
</file>

<file path=word/drawings/drawing27.xml><?xml version="1.0" encoding="utf-8"?>
<c:userShapes xmlns:c="http://schemas.openxmlformats.org/drawingml/2006/chart">
  <cdr:relSizeAnchor xmlns:cdr="http://schemas.openxmlformats.org/drawingml/2006/chartDrawing">
    <cdr:from>
      <cdr:x>0.23012</cdr:x>
      <cdr:y>0.52654</cdr:y>
    </cdr:from>
    <cdr:to>
      <cdr:x>0.31936</cdr:x>
      <cdr:y>0.52654</cdr:y>
    </cdr:to>
    <cdr:sp macro="" textlink="">
      <cdr:nvSpPr>
        <cdr:cNvPr id="3073" name="Line 1"/>
        <cdr:cNvSpPr>
          <a:spLocks xmlns:a="http://schemas.openxmlformats.org/drawingml/2006/main" noChangeShapeType="1"/>
        </cdr:cNvSpPr>
      </cdr:nvSpPr>
      <cdr:spPr bwMode="auto">
        <a:xfrm xmlns:a="http://schemas.openxmlformats.org/drawingml/2006/main" flipH="1" flipV="1">
          <a:off x="1087524" y="1670495"/>
          <a:ext cx="421795" cy="0"/>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type="triangle" w="med" len="med"/>
        </a:ln>
      </cdr:spPr>
    </cdr:sp>
  </cdr:relSizeAnchor>
  <cdr:relSizeAnchor xmlns:cdr="http://schemas.openxmlformats.org/drawingml/2006/chartDrawing">
    <cdr:from>
      <cdr:x>0.3218</cdr:x>
      <cdr:y>0.49052</cdr:y>
    </cdr:from>
    <cdr:to>
      <cdr:x>0.36155</cdr:x>
      <cdr:y>0.52227</cdr:y>
    </cdr:to>
    <cdr:sp macro="" textlink="">
      <cdr:nvSpPr>
        <cdr:cNvPr id="3074" name="Text Box 2"/>
        <cdr:cNvSpPr txBox="1">
          <a:spLocks xmlns:a="http://schemas.openxmlformats.org/drawingml/2006/main" noChangeArrowheads="1"/>
        </cdr:cNvSpPr>
      </cdr:nvSpPr>
      <cdr:spPr bwMode="auto">
        <a:xfrm xmlns:a="http://schemas.openxmlformats.org/drawingml/2006/main">
          <a:off x="1520813" y="1556204"/>
          <a:ext cx="187858" cy="10072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27432" tIns="27432" rIns="0" bIns="0" anchor="t" upright="1">
          <a:spAutoFit/>
        </a:bodyPr>
        <a:lstStyle xmlns:a="http://schemas.openxmlformats.org/drawingml/2006/main"/>
        <a:p xmlns:a="http://schemas.openxmlformats.org/drawingml/2006/main">
          <a:pPr algn="l" rtl="0">
            <a:defRPr sz="1000"/>
          </a:pPr>
          <a:r>
            <a:rPr lang="es-CR" sz="1100" b="1" i="0" u="none" strike="noStrike" baseline="0">
              <a:solidFill>
                <a:srgbClr val="000000"/>
              </a:solidFill>
              <a:latin typeface="Times New Roman"/>
              <a:cs typeface="Times New Roman"/>
            </a:rPr>
            <a:t>69%</a:t>
          </a:r>
        </a:p>
      </cdr:txBody>
    </cdr:sp>
  </cdr:relSizeAnchor>
  <cdr:relSizeAnchor xmlns:cdr="http://schemas.openxmlformats.org/drawingml/2006/chartDrawing">
    <cdr:from>
      <cdr:x>0.39125</cdr:x>
      <cdr:y>0.52654</cdr:y>
    </cdr:from>
    <cdr:to>
      <cdr:x>0.49775</cdr:x>
      <cdr:y>0.52654</cdr:y>
    </cdr:to>
    <cdr:sp macro="" textlink="">
      <cdr:nvSpPr>
        <cdr:cNvPr id="3075" name="Line 3"/>
        <cdr:cNvSpPr>
          <a:spLocks xmlns:a="http://schemas.openxmlformats.org/drawingml/2006/main" noChangeShapeType="1"/>
        </cdr:cNvSpPr>
      </cdr:nvSpPr>
      <cdr:spPr bwMode="auto">
        <a:xfrm xmlns:a="http://schemas.openxmlformats.org/drawingml/2006/main" flipV="1">
          <a:off x="1849048" y="1670496"/>
          <a:ext cx="503319" cy="0"/>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type="triangle" w="med" len="med"/>
        </a:ln>
      </cdr:spPr>
    </cdr:sp>
  </cdr:relSizeAnchor>
  <cdr:relSizeAnchor xmlns:cdr="http://schemas.openxmlformats.org/drawingml/2006/chartDrawing">
    <cdr:from>
      <cdr:x>0.22675</cdr:x>
      <cdr:y>0.2575</cdr:y>
    </cdr:from>
    <cdr:to>
      <cdr:x>0.22675</cdr:x>
      <cdr:y>0.68925</cdr:y>
    </cdr:to>
    <cdr:sp macro="" textlink="">
      <cdr:nvSpPr>
        <cdr:cNvPr id="3076" name="Line 4"/>
        <cdr:cNvSpPr>
          <a:spLocks xmlns:a="http://schemas.openxmlformats.org/drawingml/2006/main" noChangeShapeType="1"/>
        </cdr:cNvSpPr>
      </cdr:nvSpPr>
      <cdr:spPr bwMode="auto">
        <a:xfrm xmlns:a="http://schemas.openxmlformats.org/drawingml/2006/main" flipV="1">
          <a:off x="1043612" y="863346"/>
          <a:ext cx="0" cy="1447571"/>
        </a:xfrm>
        <a:prstGeom xmlns:a="http://schemas.openxmlformats.org/drawingml/2006/main" prst="line">
          <a:avLst/>
        </a:prstGeom>
        <a:noFill xmlns:a="http://schemas.openxmlformats.org/drawingml/2006/main"/>
        <a:ln xmlns:a="http://schemas.openxmlformats.org/drawingml/2006/main" w="9525">
          <a:solidFill>
            <a:srgbClr val="000000"/>
          </a:solidFill>
          <a:prstDash val="dash"/>
          <a:round/>
          <a:headEnd/>
          <a:tailEnd/>
        </a:ln>
      </cdr:spPr>
    </cdr:sp>
  </cdr:relSizeAnchor>
  <cdr:relSizeAnchor xmlns:cdr="http://schemas.openxmlformats.org/drawingml/2006/chartDrawing">
    <cdr:from>
      <cdr:x>0.49775</cdr:x>
      <cdr:y>0.2575</cdr:y>
    </cdr:from>
    <cdr:to>
      <cdr:x>0.49775</cdr:x>
      <cdr:y>0.68925</cdr:y>
    </cdr:to>
    <cdr:sp macro="" textlink="">
      <cdr:nvSpPr>
        <cdr:cNvPr id="3077" name="Line 5"/>
        <cdr:cNvSpPr>
          <a:spLocks xmlns:a="http://schemas.openxmlformats.org/drawingml/2006/main" noChangeShapeType="1"/>
        </cdr:cNvSpPr>
      </cdr:nvSpPr>
      <cdr:spPr bwMode="auto">
        <a:xfrm xmlns:a="http://schemas.openxmlformats.org/drawingml/2006/main" flipV="1">
          <a:off x="2290884" y="863346"/>
          <a:ext cx="0" cy="1447571"/>
        </a:xfrm>
        <a:prstGeom xmlns:a="http://schemas.openxmlformats.org/drawingml/2006/main" prst="line">
          <a:avLst/>
        </a:prstGeom>
        <a:noFill xmlns:a="http://schemas.openxmlformats.org/drawingml/2006/main"/>
        <a:ln xmlns:a="http://schemas.openxmlformats.org/drawingml/2006/main" w="9525">
          <a:solidFill>
            <a:srgbClr val="000000"/>
          </a:solidFill>
          <a:prstDash val="dash"/>
          <a:round/>
          <a:headEnd/>
          <a:tailEnd/>
        </a:ln>
      </cdr:spPr>
    </cdr:sp>
  </cdr:relSizeAnchor>
  <cdr:relSizeAnchor xmlns:cdr="http://schemas.openxmlformats.org/drawingml/2006/chartDrawing">
    <cdr:from>
      <cdr:x>0.76125</cdr:x>
      <cdr:y>0.2575</cdr:y>
    </cdr:from>
    <cdr:to>
      <cdr:x>0.76125</cdr:x>
      <cdr:y>0.68925</cdr:y>
    </cdr:to>
    <cdr:sp macro="" textlink="">
      <cdr:nvSpPr>
        <cdr:cNvPr id="3078" name="Line 6"/>
        <cdr:cNvSpPr>
          <a:spLocks xmlns:a="http://schemas.openxmlformats.org/drawingml/2006/main" noChangeShapeType="1"/>
        </cdr:cNvSpPr>
      </cdr:nvSpPr>
      <cdr:spPr bwMode="auto">
        <a:xfrm xmlns:a="http://schemas.openxmlformats.org/drawingml/2006/main" flipV="1">
          <a:off x="3503638" y="863346"/>
          <a:ext cx="0" cy="1447571"/>
        </a:xfrm>
        <a:prstGeom xmlns:a="http://schemas.openxmlformats.org/drawingml/2006/main" prst="line">
          <a:avLst/>
        </a:prstGeom>
        <a:noFill xmlns:a="http://schemas.openxmlformats.org/drawingml/2006/main"/>
        <a:ln xmlns:a="http://schemas.openxmlformats.org/drawingml/2006/main" w="9525">
          <a:solidFill>
            <a:srgbClr val="000000"/>
          </a:solidFill>
          <a:prstDash val="dash"/>
          <a:round/>
          <a:headEnd/>
          <a:tailEnd/>
        </a:ln>
      </cdr:spPr>
    </cdr:sp>
  </cdr:relSizeAnchor>
  <cdr:relSizeAnchor xmlns:cdr="http://schemas.openxmlformats.org/drawingml/2006/chartDrawing">
    <cdr:from>
      <cdr:x>0.49943</cdr:x>
      <cdr:y>0.60715</cdr:y>
    </cdr:from>
    <cdr:to>
      <cdr:x>0.61018</cdr:x>
      <cdr:y>0.60765</cdr:y>
    </cdr:to>
    <cdr:sp macro="" textlink="">
      <cdr:nvSpPr>
        <cdr:cNvPr id="3079" name="Line 7"/>
        <cdr:cNvSpPr>
          <a:spLocks xmlns:a="http://schemas.openxmlformats.org/drawingml/2006/main" noChangeShapeType="1"/>
        </cdr:cNvSpPr>
      </cdr:nvSpPr>
      <cdr:spPr bwMode="auto">
        <a:xfrm xmlns:a="http://schemas.openxmlformats.org/drawingml/2006/main" flipH="1" flipV="1">
          <a:off x="2360318" y="1926225"/>
          <a:ext cx="523405" cy="1586"/>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type="triangle" w="med" len="med"/>
        </a:ln>
      </cdr:spPr>
    </cdr:sp>
  </cdr:relSizeAnchor>
  <cdr:relSizeAnchor xmlns:cdr="http://schemas.openxmlformats.org/drawingml/2006/chartDrawing">
    <cdr:from>
      <cdr:x>0.61523</cdr:x>
      <cdr:y>0.57639</cdr:y>
    </cdr:from>
    <cdr:to>
      <cdr:x>0.65498</cdr:x>
      <cdr:y>0.60814</cdr:y>
    </cdr:to>
    <cdr:sp macro="" textlink="">
      <cdr:nvSpPr>
        <cdr:cNvPr id="3080" name="Text Box 8"/>
        <cdr:cNvSpPr txBox="1">
          <a:spLocks xmlns:a="http://schemas.openxmlformats.org/drawingml/2006/main" noChangeArrowheads="1"/>
        </cdr:cNvSpPr>
      </cdr:nvSpPr>
      <cdr:spPr bwMode="auto">
        <a:xfrm xmlns:a="http://schemas.openxmlformats.org/drawingml/2006/main">
          <a:off x="2907578" y="1828650"/>
          <a:ext cx="187858" cy="10073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27432" tIns="27432" rIns="0" bIns="0" anchor="t" upright="1">
          <a:spAutoFit/>
        </a:bodyPr>
        <a:lstStyle xmlns:a="http://schemas.openxmlformats.org/drawingml/2006/main"/>
        <a:p xmlns:a="http://schemas.openxmlformats.org/drawingml/2006/main">
          <a:pPr algn="l" rtl="0">
            <a:defRPr sz="1000"/>
          </a:pPr>
          <a:r>
            <a:rPr lang="es-CR" sz="1100" b="1" i="0" u="none" strike="noStrike" baseline="0">
              <a:solidFill>
                <a:srgbClr val="000000"/>
              </a:solidFill>
              <a:latin typeface="Times New Roman"/>
              <a:cs typeface="Times New Roman"/>
            </a:rPr>
            <a:t>23%</a:t>
          </a:r>
        </a:p>
      </cdr:txBody>
    </cdr:sp>
  </cdr:relSizeAnchor>
  <cdr:relSizeAnchor xmlns:cdr="http://schemas.openxmlformats.org/drawingml/2006/chartDrawing">
    <cdr:from>
      <cdr:x>0.68293</cdr:x>
      <cdr:y>0.60765</cdr:y>
    </cdr:from>
    <cdr:to>
      <cdr:x>0.76293</cdr:x>
      <cdr:y>0.60765</cdr:y>
    </cdr:to>
    <cdr:sp macro="" textlink="">
      <cdr:nvSpPr>
        <cdr:cNvPr id="3081" name="Line 9"/>
        <cdr:cNvSpPr>
          <a:spLocks xmlns:a="http://schemas.openxmlformats.org/drawingml/2006/main" noChangeShapeType="1"/>
        </cdr:cNvSpPr>
      </cdr:nvSpPr>
      <cdr:spPr bwMode="auto">
        <a:xfrm xmlns:a="http://schemas.openxmlformats.org/drawingml/2006/main" flipV="1">
          <a:off x="3227540" y="1927812"/>
          <a:ext cx="378080" cy="0"/>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type="triangle" w="med" len="med"/>
        </a:ln>
      </cdr:spPr>
    </cdr:sp>
  </cdr:relSizeAnchor>
  <cdr:relSizeAnchor xmlns:cdr="http://schemas.openxmlformats.org/drawingml/2006/chartDrawing">
    <cdr:from>
      <cdr:x>0.02118</cdr:x>
      <cdr:y>0.93484</cdr:y>
    </cdr:from>
    <cdr:to>
      <cdr:x>0.59829</cdr:x>
      <cdr:y>0.97243</cdr:y>
    </cdr:to>
    <cdr:sp macro="" textlink="">
      <cdr:nvSpPr>
        <cdr:cNvPr id="3082" name="Text Box 10"/>
        <cdr:cNvSpPr txBox="1">
          <a:spLocks xmlns:a="http://schemas.openxmlformats.org/drawingml/2006/main" noChangeArrowheads="1"/>
        </cdr:cNvSpPr>
      </cdr:nvSpPr>
      <cdr:spPr bwMode="auto">
        <a:xfrm xmlns:a="http://schemas.openxmlformats.org/drawingml/2006/main">
          <a:off x="100107" y="2965837"/>
          <a:ext cx="2727409" cy="119269"/>
        </a:xfrm>
        <a:prstGeom xmlns:a="http://schemas.openxmlformats.org/drawingml/2006/main" prst="rect">
          <a:avLst/>
        </a:prstGeom>
        <a:solidFill xmlns:a="http://schemas.openxmlformats.org/drawingml/2006/main">
          <a:srgbClr val="FFFFFF">
            <a:alpha val="0"/>
          </a:srgbClr>
        </a:solidFill>
        <a:ln xmlns:a="http://schemas.openxmlformats.org/drawingml/2006/main" w="9525">
          <a:noFill/>
          <a:miter lim="800000"/>
          <a:headEnd/>
          <a:tailEnd/>
        </a:ln>
      </cdr:spPr>
      <cdr:txBody>
        <a:bodyPr xmlns:a="http://schemas.openxmlformats.org/drawingml/2006/main" vertOverflow="clip" wrap="square" lIns="0" tIns="0" rIns="0" bIns="0" anchor="t" upright="1"/>
        <a:lstStyle xmlns:a="http://schemas.openxmlformats.org/drawingml/2006/main"/>
        <a:p xmlns:a="http://schemas.openxmlformats.org/drawingml/2006/main">
          <a:pPr algn="l" rtl="0">
            <a:defRPr sz="1000"/>
          </a:pPr>
          <a:r>
            <a:rPr lang="es-CR" sz="800" b="0" i="0" u="none" strike="noStrike" baseline="0">
              <a:solidFill>
                <a:srgbClr val="000000"/>
              </a:solidFill>
              <a:latin typeface="Times New Roman"/>
              <a:cs typeface="Times New Roman"/>
            </a:rPr>
            <a:t>Elaborado por: Sección de Estadística, Dirección de Planificación.</a:t>
          </a:r>
        </a:p>
        <a:p xmlns:a="http://schemas.openxmlformats.org/drawingml/2006/main">
          <a:pPr algn="l" rtl="0">
            <a:defRPr sz="1000"/>
          </a:pPr>
          <a:endParaRPr lang="es-CR" sz="800" b="0" i="0" u="none" strike="noStrike" baseline="0">
            <a:solidFill>
              <a:srgbClr val="000000"/>
            </a:solidFill>
            <a:latin typeface="Times New Roman"/>
            <a:cs typeface="Times New Roman"/>
          </a:endParaRPr>
        </a:p>
      </cdr:txBody>
    </cdr:sp>
  </cdr:relSizeAnchor>
  <cdr:relSizeAnchor xmlns:cdr="http://schemas.openxmlformats.org/drawingml/2006/chartDrawing">
    <cdr:from>
      <cdr:x>0.41827</cdr:x>
      <cdr:y>0.27068</cdr:y>
    </cdr:from>
    <cdr:to>
      <cdr:x>0.41995</cdr:x>
      <cdr:y>0.65414</cdr:y>
    </cdr:to>
    <cdr:sp macro="" textlink="">
      <cdr:nvSpPr>
        <cdr:cNvPr id="15" name="14 Conector recto"/>
        <cdr:cNvSpPr/>
      </cdr:nvSpPr>
      <cdr:spPr>
        <a:xfrm xmlns:a="http://schemas.openxmlformats.org/drawingml/2006/main" rot="5400000" flipH="1" flipV="1">
          <a:off x="1372427" y="1463041"/>
          <a:ext cx="1216551" cy="7952"/>
        </a:xfrm>
        <a:prstGeom xmlns:a="http://schemas.openxmlformats.org/drawingml/2006/main" prst="line">
          <a:avLst/>
        </a:prstGeom>
        <a:ln xmlns:a="http://schemas.openxmlformats.org/drawingml/2006/main" w="22225">
          <a:solidFill>
            <a:srgbClr val="C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CR"/>
        </a:p>
      </cdr:txBody>
    </cdr:sp>
  </cdr:relSizeAnchor>
  <cdr:relSizeAnchor xmlns:cdr="http://schemas.openxmlformats.org/drawingml/2006/chartDrawing">
    <cdr:from>
      <cdr:x>0.53267</cdr:x>
      <cdr:y>0.28822</cdr:y>
    </cdr:from>
    <cdr:to>
      <cdr:x>0.7312</cdr:x>
      <cdr:y>0.33584</cdr:y>
    </cdr:to>
    <cdr:sp macro="" textlink="">
      <cdr:nvSpPr>
        <cdr:cNvPr id="16" name="15 Rectángulo"/>
        <cdr:cNvSpPr/>
      </cdr:nvSpPr>
      <cdr:spPr>
        <a:xfrm xmlns:a="http://schemas.openxmlformats.org/drawingml/2006/main">
          <a:off x="2517416" y="914401"/>
          <a:ext cx="938254" cy="15107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s-CR" sz="800" b="1">
              <a:solidFill>
                <a:sysClr val="windowText" lastClr="000000"/>
              </a:solidFill>
              <a:latin typeface="Times New Roman" pitchFamily="18" charset="0"/>
              <a:cs typeface="Times New Roman" pitchFamily="18" charset="0"/>
            </a:rPr>
            <a:t>media</a:t>
          </a:r>
          <a:r>
            <a:rPr lang="es-CR" sz="800" b="1" baseline="0">
              <a:solidFill>
                <a:sysClr val="windowText" lastClr="000000"/>
              </a:solidFill>
              <a:latin typeface="Times New Roman" pitchFamily="18" charset="0"/>
              <a:cs typeface="Times New Roman" pitchFamily="18" charset="0"/>
            </a:rPr>
            <a:t> aritmética</a:t>
          </a:r>
          <a:endParaRPr lang="es-CR" sz="800" b="1">
            <a:solidFill>
              <a:sysClr val="windowText" lastClr="000000"/>
            </a:solidFill>
            <a:latin typeface="Times New Roman" pitchFamily="18" charset="0"/>
            <a:cs typeface="Times New Roman" pitchFamily="18" charset="0"/>
          </a:endParaRPr>
        </a:p>
      </cdr:txBody>
    </cdr:sp>
  </cdr:relSizeAnchor>
</c:userShapes>
</file>

<file path=word/drawings/drawing28.xml><?xml version="1.0" encoding="utf-8"?>
<c:userShapes xmlns:c="http://schemas.openxmlformats.org/drawingml/2006/chart">
  <cdr:relSizeAnchor xmlns:cdr="http://schemas.openxmlformats.org/drawingml/2006/chartDrawing">
    <cdr:from>
      <cdr:x>0.018</cdr:x>
      <cdr:y>0.91102</cdr:y>
    </cdr:from>
    <cdr:to>
      <cdr:x>0.924</cdr:x>
      <cdr:y>1</cdr:y>
    </cdr:to>
    <cdr:sp macro="" textlink="">
      <cdr:nvSpPr>
        <cdr:cNvPr id="1025" name="Text Box 1"/>
        <cdr:cNvSpPr txBox="1">
          <a:spLocks xmlns:a="http://schemas.openxmlformats.org/drawingml/2006/main" noChangeArrowheads="1"/>
        </cdr:cNvSpPr>
      </cdr:nvSpPr>
      <cdr:spPr bwMode="auto">
        <a:xfrm xmlns:a="http://schemas.openxmlformats.org/drawingml/2006/main">
          <a:off x="85725" y="2867025"/>
          <a:ext cx="4314825" cy="280035"/>
        </a:xfrm>
        <a:prstGeom xmlns:a="http://schemas.openxmlformats.org/drawingml/2006/main" prst="rect">
          <a:avLst/>
        </a:prstGeom>
        <a:solidFill xmlns:a="http://schemas.openxmlformats.org/drawingml/2006/main">
          <a:srgbClr val="FFFFFF">
            <a:alpha val="0"/>
          </a:srgbClr>
        </a:solidFill>
        <a:ln xmlns:a="http://schemas.openxmlformats.org/drawingml/2006/main" w="9525">
          <a:noFill/>
          <a:miter lim="800000"/>
          <a:headEnd/>
          <a:tailEnd/>
        </a:ln>
      </cdr:spPr>
      <cdr:txBody>
        <a:bodyPr xmlns:a="http://schemas.openxmlformats.org/drawingml/2006/main" vertOverflow="clip" wrap="square" lIns="0" tIns="0" rIns="0" bIns="0" anchor="t" upright="1"/>
        <a:lstStyle xmlns:a="http://schemas.openxmlformats.org/drawingml/2006/main"/>
        <a:p xmlns:a="http://schemas.openxmlformats.org/drawingml/2006/main">
          <a:pPr algn="l" rtl="0">
            <a:defRPr sz="1000"/>
          </a:pPr>
          <a:r>
            <a:rPr lang="es-CR" sz="800" b="0" i="0" u="none" strike="noStrike" baseline="0">
              <a:solidFill>
                <a:srgbClr val="000000"/>
              </a:solidFill>
              <a:latin typeface="Arial"/>
              <a:cs typeface="Arial"/>
            </a:rPr>
            <a:t>Fuente: Sección de Estadística, Dirección de Planificación e Instituto Nacional de Estadística y Censos.</a:t>
          </a:r>
        </a:p>
        <a:p xmlns:a="http://schemas.openxmlformats.org/drawingml/2006/main">
          <a:pPr algn="l" rtl="0">
            <a:defRPr sz="1000"/>
          </a:pPr>
          <a:endParaRPr lang="es-CR" sz="975" b="0" i="0" u="none" strike="noStrike" baseline="0">
            <a:solidFill>
              <a:srgbClr val="000000"/>
            </a:solidFill>
            <a:latin typeface="Arial"/>
            <a:cs typeface="Arial"/>
          </a:endParaRPr>
        </a:p>
      </cdr:txBody>
    </cdr:sp>
  </cdr:relSizeAnchor>
</c:userShapes>
</file>

<file path=word/drawings/drawing29.xml><?xml version="1.0" encoding="utf-8"?>
<c:userShapes xmlns:c="http://schemas.openxmlformats.org/drawingml/2006/chart">
  <cdr:relSizeAnchor xmlns:cdr="http://schemas.openxmlformats.org/drawingml/2006/chartDrawing">
    <cdr:from>
      <cdr:x>0.0235</cdr:x>
      <cdr:y>0.8615</cdr:y>
    </cdr:from>
    <cdr:to>
      <cdr:x>0.95475</cdr:x>
      <cdr:y>0.99075</cdr:y>
    </cdr:to>
    <cdr:sp macro="" textlink="">
      <cdr:nvSpPr>
        <cdr:cNvPr id="1026" name="Text Box 1"/>
        <cdr:cNvSpPr txBox="1">
          <a:spLocks xmlns:a="http://schemas.openxmlformats.org/drawingml/2006/main" noChangeArrowheads="1"/>
        </cdr:cNvSpPr>
      </cdr:nvSpPr>
      <cdr:spPr bwMode="auto">
        <a:xfrm xmlns:a="http://schemas.openxmlformats.org/drawingml/2006/main">
          <a:off x="91326" y="2026830"/>
          <a:ext cx="3619023" cy="30408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0" tIns="0" rIns="0" bIns="0" anchor="t" upright="1"/>
        <a:lstStyle xmlns:a="http://schemas.openxmlformats.org/drawingml/2006/main"/>
        <a:p xmlns:a="http://schemas.openxmlformats.org/drawingml/2006/main">
          <a:pPr algn="l" rtl="1">
            <a:defRPr sz="1000"/>
          </a:pPr>
          <a:r>
            <a:rPr lang="es-ES" sz="900" b="0" i="0" strike="noStrike">
              <a:solidFill>
                <a:srgbClr val="000000"/>
              </a:solidFill>
              <a:latin typeface="Bookman Old Style"/>
            </a:rPr>
            <a:t>Fuente: Sección de Estadística, Dirección de Planificación e Instituto Nacional de Estadística y Censos.</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0.87531</cdr:y>
    </cdr:from>
    <cdr:to>
      <cdr:x>0.5954</cdr:x>
      <cdr:y>1</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674620"/>
          <a:ext cx="2663190" cy="3810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1">
            <a:defRPr sz="1000"/>
          </a:pPr>
          <a:r>
            <a:rPr lang="es-CR" sz="900" b="0" i="0" strike="noStrike" baseline="30000">
              <a:solidFill>
                <a:srgbClr val="000000"/>
              </a:solidFill>
              <a:latin typeface="Times New Roman"/>
              <a:cs typeface="Times New Roman"/>
            </a:rPr>
            <a:t>Fuente: Sección de Planes y Presupuesto, </a:t>
          </a:r>
        </a:p>
        <a:p xmlns:a="http://schemas.openxmlformats.org/drawingml/2006/main">
          <a:pPr algn="l" rtl="1">
            <a:defRPr sz="1000"/>
          </a:pPr>
          <a:r>
            <a:rPr lang="es-CR" sz="1000" b="0" i="0" strike="noStrike" baseline="30000">
              <a:solidFill>
                <a:srgbClr val="000000"/>
              </a:solidFill>
              <a:latin typeface="Times New Roman"/>
              <a:cs typeface="Times New Roman"/>
            </a:rPr>
            <a:t>Dirección de Planificación</a:t>
          </a:r>
          <a:r>
            <a:rPr lang="es-CR" sz="900" b="0" i="0" strike="noStrike" baseline="30000">
              <a:solidFill>
                <a:srgbClr val="000000"/>
              </a:solidFill>
              <a:latin typeface="Times New Roman"/>
              <a:cs typeface="Times New Roman"/>
            </a:rPr>
            <a:t>.</a:t>
          </a:r>
        </a:p>
        <a:p xmlns:a="http://schemas.openxmlformats.org/drawingml/2006/main">
          <a:pPr algn="l" rtl="1">
            <a:defRPr sz="1000"/>
          </a:pPr>
          <a:endParaRPr lang="es-CR" sz="950" b="0" i="0" strike="noStrike">
            <a:solidFill>
              <a:srgbClr val="000000"/>
            </a:solidFill>
            <a:latin typeface="Times New Roman"/>
            <a:cs typeface="Times New Roman"/>
          </a:endParaRPr>
        </a:p>
      </cdr:txBody>
    </cdr:sp>
  </cdr:relSizeAnchor>
</c:userShapes>
</file>

<file path=word/drawings/drawing30.xml><?xml version="1.0" encoding="utf-8"?>
<c:userShapes xmlns:c="http://schemas.openxmlformats.org/drawingml/2006/chart">
  <cdr:relSizeAnchor xmlns:cdr="http://schemas.openxmlformats.org/drawingml/2006/chartDrawing">
    <cdr:from>
      <cdr:x>0.02953</cdr:x>
      <cdr:y>0.87519</cdr:y>
    </cdr:from>
    <cdr:to>
      <cdr:x>0.94828</cdr:x>
      <cdr:y>0.95494</cdr:y>
    </cdr:to>
    <cdr:sp macro="" textlink="">
      <cdr:nvSpPr>
        <cdr:cNvPr id="1026" name="Text Box 1"/>
        <cdr:cNvSpPr txBox="1">
          <a:spLocks xmlns:a="http://schemas.openxmlformats.org/drawingml/2006/main" noChangeArrowheads="1"/>
        </cdr:cNvSpPr>
      </cdr:nvSpPr>
      <cdr:spPr bwMode="auto">
        <a:xfrm xmlns:a="http://schemas.openxmlformats.org/drawingml/2006/main">
          <a:off x="149371" y="2909337"/>
          <a:ext cx="4646831" cy="26510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0" tIns="0" rIns="0" bIns="0" anchor="t" upright="1"/>
        <a:lstStyle xmlns:a="http://schemas.openxmlformats.org/drawingml/2006/main"/>
        <a:p xmlns:a="http://schemas.openxmlformats.org/drawingml/2006/main">
          <a:pPr algn="l" rtl="1">
            <a:defRPr sz="1000"/>
          </a:pPr>
          <a:r>
            <a:rPr lang="es-ES" sz="900" b="0" i="0" strike="noStrike">
              <a:solidFill>
                <a:srgbClr val="000000"/>
              </a:solidFill>
              <a:latin typeface="Times New Roman"/>
              <a:cs typeface="Times New Roman"/>
            </a:rPr>
            <a:t>Fuente: Sección de Estadística, Dirección de Planificación e Instituto Nacional de Estadística y Censos.</a:t>
          </a:r>
        </a:p>
      </cdr:txBody>
    </cdr:sp>
  </cdr:relSizeAnchor>
</c:userShapes>
</file>

<file path=word/drawings/drawing31.xml><?xml version="1.0" encoding="utf-8"?>
<c:userShapes xmlns:c="http://schemas.openxmlformats.org/drawingml/2006/chart">
  <cdr:relSizeAnchor xmlns:cdr="http://schemas.openxmlformats.org/drawingml/2006/chartDrawing">
    <cdr:from>
      <cdr:x>0.01025</cdr:x>
      <cdr:y>0.91475</cdr:y>
    </cdr:from>
    <cdr:to>
      <cdr:x>0.97125</cdr:x>
      <cdr:y>0.97375</cdr:y>
    </cdr:to>
    <cdr:sp macro="" textlink="">
      <cdr:nvSpPr>
        <cdr:cNvPr id="1026" name="Text Box 1"/>
        <cdr:cNvSpPr txBox="1">
          <a:spLocks xmlns:a="http://schemas.openxmlformats.org/drawingml/2006/main" noChangeArrowheads="1"/>
        </cdr:cNvSpPr>
      </cdr:nvSpPr>
      <cdr:spPr bwMode="auto">
        <a:xfrm xmlns:a="http://schemas.openxmlformats.org/drawingml/2006/main">
          <a:off x="50085" y="2901427"/>
          <a:ext cx="4695758" cy="18713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0" tIns="0" rIns="0" bIns="0" anchor="t" upright="1"/>
        <a:lstStyle xmlns:a="http://schemas.openxmlformats.org/drawingml/2006/main"/>
        <a:p xmlns:a="http://schemas.openxmlformats.org/drawingml/2006/main">
          <a:pPr algn="l" rtl="1">
            <a:defRPr sz="1000"/>
          </a:pPr>
          <a:r>
            <a:rPr lang="es-ES" sz="900" b="0" i="0" strike="noStrike">
              <a:solidFill>
                <a:srgbClr val="000000"/>
              </a:solidFill>
              <a:latin typeface="Times New Roman"/>
              <a:cs typeface="Times New Roman"/>
            </a:rPr>
            <a:t>Fuente: Sección de Estadística, Dirección de Planificación e eInstituto Nacional de Estadística y Censos. </a:t>
          </a:r>
        </a:p>
      </cdr:txBody>
    </cdr:sp>
  </cdr:relSizeAnchor>
</c:userShapes>
</file>

<file path=word/drawings/drawing32.xml><?xml version="1.0" encoding="utf-8"?>
<c:userShapes xmlns:c="http://schemas.openxmlformats.org/drawingml/2006/chart">
  <cdr:relSizeAnchor xmlns:cdr="http://schemas.openxmlformats.org/drawingml/2006/chartDrawing">
    <cdr:from>
      <cdr:x>0</cdr:x>
      <cdr:y>0.94324</cdr:y>
    </cdr:from>
    <cdr:to>
      <cdr:x>0.49889</cdr:x>
      <cdr:y>1</cdr:y>
    </cdr:to>
    <cdr:sp macro="" textlink="">
      <cdr:nvSpPr>
        <cdr:cNvPr id="1025" name="Text Box 1"/>
        <cdr:cNvSpPr txBox="1">
          <a:spLocks xmlns:a="http://schemas.openxmlformats.org/drawingml/2006/main" noChangeArrowheads="1"/>
        </cdr:cNvSpPr>
      </cdr:nvSpPr>
      <cdr:spPr bwMode="auto">
        <a:xfrm xmlns:a="http://schemas.openxmlformats.org/drawingml/2006/main">
          <a:off x="-51289" y="2805448"/>
          <a:ext cx="2196319" cy="16880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1">
            <a:defRPr sz="1000"/>
          </a:pPr>
          <a:r>
            <a:rPr lang="es-CR" sz="575" b="0" i="0" strike="noStrike">
              <a:solidFill>
                <a:srgbClr val="000000"/>
              </a:solidFill>
              <a:latin typeface="Times New Roman"/>
              <a:cs typeface="Times New Roman"/>
            </a:rPr>
            <a:t>Elaborado por: Sección de Estadística, Dirección de Planificación.</a:t>
          </a:r>
          <a:endParaRPr lang="es-CR" sz="1200" b="1" i="0" strike="noStrike">
            <a:solidFill>
              <a:srgbClr val="000000"/>
            </a:solidFill>
            <a:latin typeface="Arial"/>
            <a:cs typeface="Arial"/>
          </a:endParaRPr>
        </a:p>
        <a:p xmlns:a="http://schemas.openxmlformats.org/drawingml/2006/main">
          <a:pPr algn="l" rtl="1">
            <a:defRPr sz="1000"/>
          </a:pPr>
          <a:endParaRPr lang="es-CR" sz="1200" b="1" i="0" strike="noStrike">
            <a:solidFill>
              <a:srgbClr val="000000"/>
            </a:solidFill>
            <a:latin typeface="Arial"/>
            <a:cs typeface="Arial"/>
          </a:endParaRPr>
        </a:p>
      </cdr:txBody>
    </cdr:sp>
  </cdr:relSizeAnchor>
</c:userShapes>
</file>

<file path=word/drawings/drawing33.xml><?xml version="1.0" encoding="utf-8"?>
<c:userShapes xmlns:c="http://schemas.openxmlformats.org/drawingml/2006/chart">
  <cdr:relSizeAnchor xmlns:cdr="http://schemas.openxmlformats.org/drawingml/2006/chartDrawing">
    <cdr:from>
      <cdr:x>0</cdr:x>
      <cdr:y>0.94324</cdr:y>
    </cdr:from>
    <cdr:to>
      <cdr:x>0.49889</cdr:x>
      <cdr:y>1</cdr:y>
    </cdr:to>
    <cdr:sp macro="" textlink="">
      <cdr:nvSpPr>
        <cdr:cNvPr id="1025" name="Text Box 1"/>
        <cdr:cNvSpPr txBox="1">
          <a:spLocks xmlns:a="http://schemas.openxmlformats.org/drawingml/2006/main" noChangeArrowheads="1"/>
        </cdr:cNvSpPr>
      </cdr:nvSpPr>
      <cdr:spPr bwMode="auto">
        <a:xfrm xmlns:a="http://schemas.openxmlformats.org/drawingml/2006/main">
          <a:off x="-51289" y="2805448"/>
          <a:ext cx="2196319" cy="16880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1">
            <a:defRPr sz="1000"/>
          </a:pPr>
          <a:r>
            <a:rPr lang="es-CR" sz="575" b="0" i="0" strike="noStrike">
              <a:solidFill>
                <a:srgbClr val="000000"/>
              </a:solidFill>
              <a:latin typeface="Times New Roman"/>
              <a:cs typeface="Times New Roman"/>
            </a:rPr>
            <a:t>Elaborado por: Sección de Estadística, Dirección de Planificación.</a:t>
          </a:r>
          <a:endParaRPr lang="es-CR" sz="1200" b="1" i="0" strike="noStrike">
            <a:solidFill>
              <a:srgbClr val="000000"/>
            </a:solidFill>
            <a:latin typeface="Arial"/>
            <a:cs typeface="Arial"/>
          </a:endParaRPr>
        </a:p>
        <a:p xmlns:a="http://schemas.openxmlformats.org/drawingml/2006/main">
          <a:pPr algn="l" rtl="1">
            <a:defRPr sz="1000"/>
          </a:pPr>
          <a:endParaRPr lang="es-CR" sz="1200" b="1" i="0" strike="noStrike">
            <a:solidFill>
              <a:srgbClr val="000000"/>
            </a:solidFill>
            <a:latin typeface="Arial"/>
            <a:cs typeface="Arial"/>
          </a:endParaRPr>
        </a:p>
      </cdr:txBody>
    </cdr:sp>
  </cdr:relSizeAnchor>
</c:userShapes>
</file>

<file path=word/drawings/drawing34.xml><?xml version="1.0" encoding="utf-8"?>
<c:userShapes xmlns:c="http://schemas.openxmlformats.org/drawingml/2006/chart">
  <cdr:relSizeAnchor xmlns:cdr="http://schemas.openxmlformats.org/drawingml/2006/chartDrawing">
    <cdr:from>
      <cdr:x>0.253</cdr:x>
      <cdr:y>0.46</cdr:y>
    </cdr:from>
    <cdr:to>
      <cdr:x>0.67975</cdr:x>
      <cdr:y>0.56975</cdr:y>
    </cdr:to>
    <cdr:sp macro="" textlink="">
      <cdr:nvSpPr>
        <cdr:cNvPr id="1025" name="Line 1"/>
        <cdr:cNvSpPr>
          <a:spLocks xmlns:a="http://schemas.openxmlformats.org/drawingml/2006/main" noChangeShapeType="1"/>
        </cdr:cNvSpPr>
      </cdr:nvSpPr>
      <cdr:spPr bwMode="auto">
        <a:xfrm xmlns:a="http://schemas.openxmlformats.org/drawingml/2006/main">
          <a:off x="1191417" y="1349502"/>
          <a:ext cx="2009635" cy="321974"/>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type="triangle" w="med" len="med"/>
        </a:ln>
        <a:extLst xmlns:a="http://schemas.openxmlformats.org/drawingml/2006/main">
          <a:ext uri="{909E8E84-426E-40DD-AFC4-6F175D3DCCD1}">
            <a14:hiddenFill xmlns:a14="http://schemas.microsoft.com/office/drawing/2010/main" xmlns="">
              <a:noFill/>
            </a14:hiddenFill>
          </a:ext>
        </a:extLst>
      </cdr:spPr>
    </cdr:sp>
  </cdr:relSizeAnchor>
  <cdr:relSizeAnchor xmlns:cdr="http://schemas.openxmlformats.org/drawingml/2006/chartDrawing">
    <cdr:from>
      <cdr:x>0.01625</cdr:x>
      <cdr:y>0.8885</cdr:y>
    </cdr:from>
    <cdr:to>
      <cdr:x>0.56175</cdr:x>
      <cdr:y>0.98325</cdr:y>
    </cdr:to>
    <cdr:sp macro="" textlink="">
      <cdr:nvSpPr>
        <cdr:cNvPr id="1027" name="Text Box 3"/>
        <cdr:cNvSpPr txBox="1">
          <a:spLocks xmlns:a="http://schemas.openxmlformats.org/drawingml/2006/main" noChangeArrowheads="1"/>
        </cdr:cNvSpPr>
      </cdr:nvSpPr>
      <cdr:spPr bwMode="auto">
        <a:xfrm xmlns:a="http://schemas.openxmlformats.org/drawingml/2006/main">
          <a:off x="76524" y="2606592"/>
          <a:ext cx="2568847" cy="277969"/>
        </a:xfrm>
        <a:prstGeom xmlns:a="http://schemas.openxmlformats.org/drawingml/2006/main" prst="rect">
          <a:avLst/>
        </a:prstGeom>
        <a:solidFill xmlns:a="http://schemas.openxmlformats.org/drawingml/2006/main">
          <a:srgbClr val="FFFFFF">
            <a:alpha val="0"/>
          </a:srgbClr>
        </a:solidFill>
        <a:ln xmlns:a="http://schemas.openxmlformats.org/drawingml/2006/main">
          <a:noFill/>
        </a:ln>
        <a:extLst xmlns:a="http://schemas.openxmlformats.org/drawingml/2006/main">
          <a:ext uri="{91240B29-F687-4F45-9708-019B960494DF}">
            <a14:hiddenLine xmlns:a14="http://schemas.microsoft.com/office/drawing/2010/main" xmlns="" w="9525">
              <a:solidFill>
                <a:srgbClr val="000000"/>
              </a:solidFill>
              <a:miter lim="800000"/>
              <a:headEnd/>
              <a:tailEnd/>
            </a14:hiddenLine>
          </a:ext>
        </a:extLst>
      </cdr:spPr>
      <cdr:txBody>
        <a:bodyPr xmlns:a="http://schemas.openxmlformats.org/drawingml/2006/main" vertOverflow="clip" wrap="square" lIns="0" tIns="0" rIns="0" bIns="0" anchor="t" upright="1"/>
        <a:lstStyle xmlns:a="http://schemas.openxmlformats.org/drawingml/2006/main"/>
        <a:p xmlns:a="http://schemas.openxmlformats.org/drawingml/2006/main">
          <a:pPr algn="l" rtl="0">
            <a:defRPr sz="1000"/>
          </a:pPr>
          <a:r>
            <a:rPr lang="es-CR" sz="800" b="0" i="0" u="none" strike="noStrike" baseline="0">
              <a:solidFill>
                <a:srgbClr val="000000"/>
              </a:solidFill>
              <a:latin typeface="Times New Roman"/>
              <a:cs typeface="Times New Roman"/>
            </a:rPr>
            <a:t>Fuente: Sección de Estadística, Dirección de Planificación.</a:t>
          </a:r>
        </a:p>
        <a:p xmlns:a="http://schemas.openxmlformats.org/drawingml/2006/main">
          <a:pPr algn="l" rtl="0">
            <a:defRPr sz="1000"/>
          </a:pPr>
          <a:r>
            <a:rPr lang="es-CR" sz="800" b="0" i="0" u="none" strike="noStrike" baseline="0">
              <a:solidFill>
                <a:srgbClr val="000000"/>
              </a:solidFill>
              <a:latin typeface="Times New Roman"/>
              <a:cs typeface="Times New Roman"/>
            </a:rPr>
            <a:t>Instituto Nacional de Estadística y Censos.</a:t>
          </a:r>
          <a:endParaRPr lang="es-CR" sz="800" b="1" i="0" u="none" strike="noStrike" baseline="0">
            <a:solidFill>
              <a:srgbClr val="000000"/>
            </a:solidFill>
            <a:latin typeface="Times New Roman"/>
            <a:cs typeface="Times New Roman"/>
          </a:endParaRPr>
        </a:p>
        <a:p xmlns:a="http://schemas.openxmlformats.org/drawingml/2006/main">
          <a:pPr algn="l" rtl="0">
            <a:defRPr sz="1000"/>
          </a:pPr>
          <a:endParaRPr lang="es-CR" sz="800" b="1" i="0" u="none" strike="noStrike" baseline="0">
            <a:solidFill>
              <a:srgbClr val="000000"/>
            </a:solidFill>
            <a:latin typeface="Times New Roman"/>
            <a:cs typeface="Times New Roman"/>
          </a:endParaRPr>
        </a:p>
      </cdr:txBody>
    </cdr:sp>
  </cdr:relSizeAnchor>
</c:userShapes>
</file>

<file path=word/drawings/drawing35.xml><?xml version="1.0" encoding="utf-8"?>
<c:userShapes xmlns:c="http://schemas.openxmlformats.org/drawingml/2006/chart">
  <cdr:relSizeAnchor xmlns:cdr="http://schemas.openxmlformats.org/drawingml/2006/chartDrawing">
    <cdr:from>
      <cdr:x>0.0105</cdr:x>
      <cdr:y>0.89975</cdr:y>
    </cdr:from>
    <cdr:to>
      <cdr:x>0.5705</cdr:x>
      <cdr:y>0.9905</cdr:y>
    </cdr:to>
    <cdr:sp macro="" textlink="">
      <cdr:nvSpPr>
        <cdr:cNvPr id="1025" name="Text Box 1"/>
        <cdr:cNvSpPr txBox="1">
          <a:spLocks xmlns:a="http://schemas.openxmlformats.org/drawingml/2006/main" noChangeArrowheads="1"/>
        </cdr:cNvSpPr>
      </cdr:nvSpPr>
      <cdr:spPr bwMode="auto">
        <a:xfrm xmlns:a="http://schemas.openxmlformats.org/drawingml/2006/main">
          <a:off x="48646" y="2776718"/>
          <a:ext cx="2594458" cy="280064"/>
        </a:xfrm>
        <a:prstGeom xmlns:a="http://schemas.openxmlformats.org/drawingml/2006/main" prst="rect">
          <a:avLst/>
        </a:prstGeom>
        <a:solidFill xmlns:a="http://schemas.openxmlformats.org/drawingml/2006/main">
          <a:srgbClr val="FFFFFF">
            <a:alpha val="0"/>
          </a:srgbClr>
        </a:solidFill>
        <a:ln xmlns:a="http://schemas.openxmlformats.org/drawingml/2006/main">
          <a:noFill/>
        </a:ln>
        <a:extLst xmlns:a="http://schemas.openxmlformats.org/drawingml/2006/main">
          <a:ext uri="{91240B29-F687-4F45-9708-019B960494DF}">
            <a14:hiddenLine xmlns:a14="http://schemas.microsoft.com/office/drawing/2010/main" xmlns="" w="9525">
              <a:solidFill>
                <a:srgbClr val="000000"/>
              </a:solidFill>
              <a:miter lim="800000"/>
              <a:headEnd/>
              <a:tailEnd/>
            </a14:hiddenLine>
          </a:ext>
        </a:extLst>
      </cdr:spPr>
      <cdr:txBody>
        <a:bodyPr xmlns:a="http://schemas.openxmlformats.org/drawingml/2006/main" vertOverflow="clip" wrap="square" lIns="0" tIns="0" rIns="0" bIns="0" anchor="t" upright="1"/>
        <a:lstStyle xmlns:a="http://schemas.openxmlformats.org/drawingml/2006/main"/>
        <a:p xmlns:a="http://schemas.openxmlformats.org/drawingml/2006/main">
          <a:pPr algn="l" rtl="0">
            <a:defRPr sz="1000"/>
          </a:pPr>
          <a:r>
            <a:rPr lang="es-CR" sz="800" b="0" i="0" u="none" strike="noStrike" baseline="0">
              <a:solidFill>
                <a:srgbClr val="000000"/>
              </a:solidFill>
              <a:latin typeface="Times New Roman"/>
              <a:cs typeface="Times New Roman"/>
            </a:rPr>
            <a:t>Fuente: Sección de Estadística, .Dirección de Planificación.</a:t>
          </a:r>
          <a:endParaRPr lang="es-CR" sz="700" b="0" i="0" u="none" strike="noStrike" baseline="0">
            <a:solidFill>
              <a:srgbClr val="000000"/>
            </a:solidFill>
            <a:latin typeface="Times New Roman"/>
            <a:cs typeface="Times New Roman"/>
          </a:endParaRPr>
        </a:p>
        <a:p xmlns:a="http://schemas.openxmlformats.org/drawingml/2006/main">
          <a:pPr algn="l" rtl="0">
            <a:defRPr sz="1000"/>
          </a:pPr>
          <a:r>
            <a:rPr lang="es-CR" sz="800" b="0" i="0" u="none" strike="noStrike" baseline="0">
              <a:solidFill>
                <a:srgbClr val="000000"/>
              </a:solidFill>
              <a:latin typeface="Times New Roman"/>
              <a:cs typeface="Times New Roman"/>
            </a:rPr>
            <a:t>Instituto Nacional de Estadística y Censos.</a:t>
          </a:r>
          <a:endParaRPr lang="es-CR" sz="700" b="1" i="0" u="none" strike="noStrike" baseline="0">
            <a:solidFill>
              <a:srgbClr val="000000"/>
            </a:solidFill>
            <a:latin typeface="Times New Roman"/>
            <a:cs typeface="Times New Roman"/>
          </a:endParaRPr>
        </a:p>
        <a:p xmlns:a="http://schemas.openxmlformats.org/drawingml/2006/main">
          <a:pPr algn="l" rtl="0">
            <a:defRPr sz="1000"/>
          </a:pPr>
          <a:endParaRPr lang="es-CR" sz="1200" b="1" i="0" u="none" strike="noStrike" baseline="0">
            <a:solidFill>
              <a:srgbClr val="000000"/>
            </a:solidFill>
            <a:latin typeface="Times New Roman"/>
            <a:cs typeface="Times New Roman"/>
          </a:endParaRPr>
        </a:p>
        <a:p xmlns:a="http://schemas.openxmlformats.org/drawingml/2006/main">
          <a:pPr algn="l" rtl="0">
            <a:defRPr sz="1000"/>
          </a:pPr>
          <a:endParaRPr lang="es-CR" sz="1200" b="1" i="0" u="none" strike="noStrike" baseline="0">
            <a:solidFill>
              <a:srgbClr val="000000"/>
            </a:solidFill>
            <a:latin typeface="Times New Roman"/>
            <a:cs typeface="Times New Roman"/>
          </a:endParaRPr>
        </a:p>
      </cdr:txBody>
    </cdr:sp>
  </cdr:relSizeAnchor>
</c:userShapes>
</file>

<file path=word/drawings/drawing36.xml><?xml version="1.0" encoding="utf-8"?>
<c:userShapes xmlns:c="http://schemas.openxmlformats.org/drawingml/2006/chart">
  <cdr:relSizeAnchor xmlns:cdr="http://schemas.openxmlformats.org/drawingml/2006/chartDrawing">
    <cdr:from>
      <cdr:x>0.01075</cdr:x>
      <cdr:y>0.89025</cdr:y>
    </cdr:from>
    <cdr:to>
      <cdr:x>0.553</cdr:x>
      <cdr:y>0.993</cdr:y>
    </cdr:to>
    <cdr:sp macro="" textlink="">
      <cdr:nvSpPr>
        <cdr:cNvPr id="1025" name="Text Box 1"/>
        <cdr:cNvSpPr txBox="1">
          <a:spLocks xmlns:a="http://schemas.openxmlformats.org/drawingml/2006/main" noChangeArrowheads="1"/>
        </cdr:cNvSpPr>
      </cdr:nvSpPr>
      <cdr:spPr bwMode="auto">
        <a:xfrm xmlns:a="http://schemas.openxmlformats.org/drawingml/2006/main">
          <a:off x="48658" y="2577808"/>
          <a:ext cx="2454375" cy="297523"/>
        </a:xfrm>
        <a:prstGeom xmlns:a="http://schemas.openxmlformats.org/drawingml/2006/main" prst="rect">
          <a:avLst/>
        </a:prstGeom>
        <a:solidFill xmlns:a="http://schemas.openxmlformats.org/drawingml/2006/main">
          <a:srgbClr val="FFFFFF">
            <a:alpha val="0"/>
          </a:srgbClr>
        </a:solidFill>
        <a:ln xmlns:a="http://schemas.openxmlformats.org/drawingml/2006/main">
          <a:noFill/>
        </a:ln>
        <a:extLst xmlns:a="http://schemas.openxmlformats.org/drawingml/2006/main">
          <a:ext uri="{91240B29-F687-4F45-9708-019B960494DF}">
            <a14:hiddenLine xmlns:a14="http://schemas.microsoft.com/office/drawing/2010/main" xmlns="" w="9525">
              <a:solidFill>
                <a:srgbClr val="000000"/>
              </a:solidFill>
              <a:miter lim="800000"/>
              <a:headEnd/>
              <a:tailEnd/>
            </a14:hiddenLine>
          </a:ext>
        </a:extLst>
      </cdr:spPr>
      <cdr:txBody>
        <a:bodyPr xmlns:a="http://schemas.openxmlformats.org/drawingml/2006/main" vertOverflow="clip" wrap="square" lIns="0" tIns="0" rIns="0" bIns="0" anchor="t" upright="1"/>
        <a:lstStyle xmlns:a="http://schemas.openxmlformats.org/drawingml/2006/main"/>
        <a:p xmlns:a="http://schemas.openxmlformats.org/drawingml/2006/main">
          <a:pPr algn="l" rtl="0">
            <a:defRPr sz="1000"/>
          </a:pPr>
          <a:r>
            <a:rPr lang="es-CR" sz="800" b="0" i="0" u="none" strike="noStrike" baseline="0">
              <a:solidFill>
                <a:srgbClr val="000000"/>
              </a:solidFill>
              <a:latin typeface="Times New Roman"/>
              <a:cs typeface="Times New Roman"/>
            </a:rPr>
            <a:t>Fuente: Sección de Estadística, .Dirección de Planificación.</a:t>
          </a:r>
        </a:p>
        <a:p xmlns:a="http://schemas.openxmlformats.org/drawingml/2006/main">
          <a:pPr algn="l" rtl="0">
            <a:defRPr sz="1000"/>
          </a:pPr>
          <a:r>
            <a:rPr lang="es-CR" sz="800" b="0" i="0" u="none" strike="noStrike" baseline="0">
              <a:solidFill>
                <a:srgbClr val="000000"/>
              </a:solidFill>
              <a:latin typeface="Times New Roman"/>
              <a:cs typeface="Times New Roman"/>
            </a:rPr>
            <a:t>Instituto Nacional de Estadística y Censos.</a:t>
          </a:r>
          <a:endParaRPr lang="es-CR" sz="700" b="1" i="0" u="none" strike="noStrike" baseline="0">
            <a:solidFill>
              <a:srgbClr val="000000"/>
            </a:solidFill>
            <a:latin typeface="Times New Roman"/>
            <a:cs typeface="Times New Roman"/>
          </a:endParaRPr>
        </a:p>
        <a:p xmlns:a="http://schemas.openxmlformats.org/drawingml/2006/main">
          <a:pPr algn="l" rtl="0">
            <a:defRPr sz="1000"/>
          </a:pPr>
          <a:endParaRPr lang="es-CR" sz="1200" b="1" i="0" u="none" strike="noStrike" baseline="0">
            <a:solidFill>
              <a:srgbClr val="000000"/>
            </a:solidFill>
            <a:latin typeface="Times New Roman"/>
            <a:cs typeface="Times New Roman"/>
          </a:endParaRPr>
        </a:p>
        <a:p xmlns:a="http://schemas.openxmlformats.org/drawingml/2006/main">
          <a:pPr algn="l" rtl="0">
            <a:defRPr sz="1000"/>
          </a:pPr>
          <a:endParaRPr lang="es-CR" sz="1200" b="1" i="0" u="none" strike="noStrike" baseline="0">
            <a:solidFill>
              <a:srgbClr val="000000"/>
            </a:solidFill>
            <a:latin typeface="Times New Roman"/>
            <a:cs typeface="Times New Roman"/>
          </a:endParaRPr>
        </a:p>
      </cdr:txBody>
    </cdr:sp>
  </cdr:relSizeAnchor>
</c:userShapes>
</file>

<file path=word/drawings/drawing37.xml><?xml version="1.0" encoding="utf-8"?>
<c:userShapes xmlns:c="http://schemas.openxmlformats.org/drawingml/2006/chart">
  <cdr:relSizeAnchor xmlns:cdr="http://schemas.openxmlformats.org/drawingml/2006/chartDrawing">
    <cdr:from>
      <cdr:x>0</cdr:x>
      <cdr:y>0.91075</cdr:y>
    </cdr:from>
    <cdr:to>
      <cdr:x>0.56725</cdr:x>
      <cdr:y>0.99175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595528"/>
          <a:ext cx="2628047" cy="23084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0">
            <a:defRPr sz="1000"/>
          </a:pPr>
          <a:r>
            <a:rPr lang="es-CR" sz="800" b="0" i="0" u="none" strike="noStrike" baseline="0">
              <a:solidFill>
                <a:srgbClr val="000000"/>
              </a:solidFill>
              <a:latin typeface="Times New Roman"/>
              <a:cs typeface="Times New Roman"/>
            </a:rPr>
            <a:t>Fuente: Sección de Estadística, Dirección  de Planificación.</a:t>
          </a:r>
          <a:endParaRPr lang="es-CR" sz="700" b="1" i="0" u="none" strike="noStrike" baseline="0">
            <a:solidFill>
              <a:srgbClr val="000000"/>
            </a:solidFill>
            <a:latin typeface="Calibri"/>
            <a:cs typeface="Times New Roman"/>
          </a:endParaRPr>
        </a:p>
        <a:p xmlns:a="http://schemas.openxmlformats.org/drawingml/2006/main">
          <a:pPr algn="l" rtl="0">
            <a:defRPr sz="1000"/>
          </a:pPr>
          <a:endParaRPr lang="es-CR" sz="700" b="1" i="0" u="none" strike="noStrike" baseline="0">
            <a:solidFill>
              <a:srgbClr val="000000"/>
            </a:solidFill>
            <a:latin typeface="Calibri"/>
          </a:endParaRPr>
        </a:p>
      </cdr:txBody>
    </cdr:sp>
  </cdr:relSizeAnchor>
</c:userShapes>
</file>

<file path=word/drawings/drawing38.xml><?xml version="1.0" encoding="utf-8"?>
<c:userShapes xmlns:c="http://schemas.openxmlformats.org/drawingml/2006/chart">
  <cdr:relSizeAnchor xmlns:cdr="http://schemas.openxmlformats.org/drawingml/2006/chartDrawing">
    <cdr:from>
      <cdr:x>0</cdr:x>
      <cdr:y>0.92</cdr:y>
    </cdr:from>
    <cdr:to>
      <cdr:x>0.5975</cdr:x>
      <cdr:y>1</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699004"/>
          <a:ext cx="2709005" cy="23469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0">
            <a:defRPr sz="1000"/>
          </a:pPr>
          <a:r>
            <a:rPr lang="es-CR" sz="800" b="0" i="0" u="none" strike="noStrike" baseline="0">
              <a:solidFill>
                <a:srgbClr val="000000"/>
              </a:solidFill>
              <a:latin typeface="Times New Roman"/>
              <a:cs typeface="Times New Roman"/>
            </a:rPr>
            <a:t>Fuente: Sección de Estadística, Dirección de Planificación.</a:t>
          </a:r>
          <a:endParaRPr lang="es-CR" sz="800" b="1" i="0" u="none" strike="noStrike" baseline="0">
            <a:solidFill>
              <a:srgbClr val="000000"/>
            </a:solidFill>
            <a:latin typeface="Times New Roman"/>
            <a:cs typeface="Times New Roman"/>
          </a:endParaRPr>
        </a:p>
        <a:p xmlns:a="http://schemas.openxmlformats.org/drawingml/2006/main">
          <a:pPr algn="l" rtl="0">
            <a:defRPr sz="1000"/>
          </a:pPr>
          <a:endParaRPr lang="es-CR" sz="800" b="1" i="0" u="none" strike="noStrike" baseline="0">
            <a:solidFill>
              <a:srgbClr val="000000"/>
            </a:solidFill>
            <a:latin typeface="Times New Roman"/>
            <a:cs typeface="Times New Roman"/>
          </a:endParaRPr>
        </a:p>
      </cdr:txBody>
    </cdr:sp>
  </cdr:relSizeAnchor>
</c:userShapes>
</file>

<file path=word/drawings/drawing39.xml><?xml version="1.0" encoding="utf-8"?>
<c:userShapes xmlns:c="http://schemas.openxmlformats.org/drawingml/2006/chart">
  <cdr:relSizeAnchor xmlns:cdr="http://schemas.openxmlformats.org/drawingml/2006/chartDrawing">
    <cdr:from>
      <cdr:x>0</cdr:x>
      <cdr:y>0.92525</cdr:y>
    </cdr:from>
    <cdr:to>
      <cdr:x>0.5665</cdr:x>
      <cdr:y>0.9945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580448"/>
          <a:ext cx="2624572" cy="19313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0">
            <a:defRPr sz="1000"/>
          </a:pPr>
          <a:r>
            <a:rPr lang="es-CR" sz="800" b="0" i="0" u="none" strike="noStrike" baseline="0">
              <a:solidFill>
                <a:srgbClr val="000000"/>
              </a:solidFill>
              <a:latin typeface="Times New Roman"/>
              <a:cs typeface="Times New Roman"/>
            </a:rPr>
            <a:t>Fuente: Sección de Estadística, Dirección de Planificación.</a:t>
          </a:r>
          <a:endParaRPr lang="es-CR" sz="700" b="1" i="0" u="none" strike="noStrike" baseline="0">
            <a:solidFill>
              <a:srgbClr val="000000"/>
            </a:solidFill>
            <a:latin typeface="Calibri"/>
            <a:cs typeface="Times New Roman"/>
          </a:endParaRPr>
        </a:p>
        <a:p xmlns:a="http://schemas.openxmlformats.org/drawingml/2006/main">
          <a:pPr algn="l" rtl="0">
            <a:defRPr sz="1000"/>
          </a:pPr>
          <a:endParaRPr lang="es-CR" sz="700" b="1" i="0" u="none" strike="noStrike" baseline="0">
            <a:solidFill>
              <a:srgbClr val="000000"/>
            </a:solidFill>
            <a:latin typeface="Calibri"/>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0.01075</cdr:x>
      <cdr:y>0.9075</cdr:y>
    </cdr:from>
    <cdr:to>
      <cdr:x>0.5703</cdr:x>
      <cdr:y>0.99175</cdr:y>
    </cdr:to>
    <cdr:sp macro="" textlink="">
      <cdr:nvSpPr>
        <cdr:cNvPr id="1025" name="Text Box 1"/>
        <cdr:cNvSpPr txBox="1">
          <a:spLocks xmlns:a="http://schemas.openxmlformats.org/drawingml/2006/main" noChangeArrowheads="1"/>
        </cdr:cNvSpPr>
      </cdr:nvSpPr>
      <cdr:spPr bwMode="auto">
        <a:xfrm xmlns:a="http://schemas.openxmlformats.org/drawingml/2006/main">
          <a:off x="46610" y="2572436"/>
          <a:ext cx="2426080" cy="23881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1">
            <a:defRPr sz="1000"/>
          </a:pPr>
          <a:r>
            <a:rPr lang="es-CR" sz="800" b="0" i="0" strike="noStrike" baseline="0">
              <a:solidFill>
                <a:srgbClr val="000000"/>
              </a:solidFill>
              <a:latin typeface="Times New Roman" pitchFamily="18" charset="0"/>
              <a:cs typeface="Times New Roman" pitchFamily="18" charset="0"/>
            </a:rPr>
            <a:t>Fuente: Departamento Financiero Contable</a:t>
          </a:r>
        </a:p>
        <a:p xmlns:a="http://schemas.openxmlformats.org/drawingml/2006/main">
          <a:pPr algn="l" rtl="1">
            <a:defRPr sz="1000"/>
          </a:pPr>
          <a:endParaRPr lang="es-CR" sz="875" b="0" i="0" strike="noStrike">
            <a:solidFill>
              <a:srgbClr val="000000"/>
            </a:solidFill>
            <a:latin typeface="Times New Roman"/>
            <a:cs typeface="Times New Roman"/>
          </a:endParaRPr>
        </a:p>
      </cdr:txBody>
    </cdr:sp>
  </cdr:relSizeAnchor>
</c:userShapes>
</file>

<file path=word/drawings/drawing40.xml><?xml version="1.0" encoding="utf-8"?>
<c:userShapes xmlns:c="http://schemas.openxmlformats.org/drawingml/2006/chart">
  <cdr:relSizeAnchor xmlns:cdr="http://schemas.openxmlformats.org/drawingml/2006/chartDrawing">
    <cdr:from>
      <cdr:x>0.01625</cdr:x>
      <cdr:y>0.8805</cdr:y>
    </cdr:from>
    <cdr:to>
      <cdr:x>0.5805</cdr:x>
      <cdr:y>1</cdr:y>
    </cdr:to>
    <cdr:sp macro="" textlink="">
      <cdr:nvSpPr>
        <cdr:cNvPr id="1025" name="Text Box 1"/>
        <cdr:cNvSpPr txBox="1">
          <a:spLocks xmlns:a="http://schemas.openxmlformats.org/drawingml/2006/main" noChangeArrowheads="1"/>
        </cdr:cNvSpPr>
      </cdr:nvSpPr>
      <cdr:spPr bwMode="auto">
        <a:xfrm xmlns:a="http://schemas.openxmlformats.org/drawingml/2006/main">
          <a:off x="73552" y="2663636"/>
          <a:ext cx="2553954" cy="36150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0">
            <a:defRPr sz="1000"/>
          </a:pPr>
          <a:r>
            <a:rPr lang="es-CR" sz="800" b="0" i="0" u="none" strike="noStrike" baseline="0">
              <a:solidFill>
                <a:srgbClr val="000000"/>
              </a:solidFill>
              <a:latin typeface="Times New Roman"/>
              <a:cs typeface="Times New Roman"/>
            </a:rPr>
            <a:t>Fuente: Sección de Estadística, Dirección de Planificación.</a:t>
          </a:r>
        </a:p>
        <a:p xmlns:a="http://schemas.openxmlformats.org/drawingml/2006/main">
          <a:pPr algn="l" rtl="0">
            <a:defRPr sz="1000"/>
          </a:pPr>
          <a:r>
            <a:rPr lang="es-CR" sz="800" b="0" i="0" u="none" strike="noStrike" baseline="0">
              <a:solidFill>
                <a:srgbClr val="000000"/>
              </a:solidFill>
              <a:latin typeface="Times New Roman"/>
              <a:cs typeface="Times New Roman"/>
            </a:rPr>
            <a:t>Instituto Nacional de Estadística y Censos</a:t>
          </a:r>
        </a:p>
      </cdr:txBody>
    </cdr:sp>
  </cdr:relSizeAnchor>
</c:userShapes>
</file>

<file path=word/drawings/drawing41.xml><?xml version="1.0" encoding="utf-8"?>
<c:userShapes xmlns:c="http://schemas.openxmlformats.org/drawingml/2006/chart">
  <cdr:relSizeAnchor xmlns:cdr="http://schemas.openxmlformats.org/drawingml/2006/chartDrawing">
    <cdr:from>
      <cdr:x>0.01475</cdr:x>
      <cdr:y>0.9175</cdr:y>
    </cdr:from>
    <cdr:to>
      <cdr:x>0.58125</cdr:x>
      <cdr:y>1</cdr:y>
    </cdr:to>
    <cdr:sp macro="" textlink="">
      <cdr:nvSpPr>
        <cdr:cNvPr id="1025" name="Text Box 1"/>
        <cdr:cNvSpPr txBox="1">
          <a:spLocks xmlns:a="http://schemas.openxmlformats.org/drawingml/2006/main" noChangeArrowheads="1"/>
        </cdr:cNvSpPr>
      </cdr:nvSpPr>
      <cdr:spPr bwMode="auto">
        <a:xfrm xmlns:a="http://schemas.openxmlformats.org/drawingml/2006/main">
          <a:off x="68336" y="2558834"/>
          <a:ext cx="2624572" cy="23008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0">
            <a:defRPr sz="1000"/>
          </a:pPr>
          <a:r>
            <a:rPr lang="es-CR" sz="800" b="0" i="0" u="none" strike="noStrike" baseline="0">
              <a:solidFill>
                <a:srgbClr val="000000"/>
              </a:solidFill>
              <a:latin typeface="Times New Roman"/>
              <a:cs typeface="Times New Roman"/>
            </a:rPr>
            <a:t>Fuente: Sección de Estadística, Dirección de Planificación.</a:t>
          </a:r>
          <a:endParaRPr lang="es-CR" sz="700" b="1" i="0" u="none" strike="noStrike" baseline="0">
            <a:solidFill>
              <a:srgbClr val="000000"/>
            </a:solidFill>
            <a:latin typeface="Calibri"/>
            <a:cs typeface="Times New Roman"/>
          </a:endParaRPr>
        </a:p>
        <a:p xmlns:a="http://schemas.openxmlformats.org/drawingml/2006/main">
          <a:pPr algn="l" rtl="0">
            <a:defRPr sz="1000"/>
          </a:pPr>
          <a:endParaRPr lang="es-CR" sz="700" b="1" i="0" u="none" strike="noStrike" baseline="0">
            <a:solidFill>
              <a:srgbClr val="000000"/>
            </a:solidFill>
            <a:latin typeface="Calibri"/>
          </a:endParaRPr>
        </a:p>
      </cdr:txBody>
    </cdr:sp>
  </cdr:relSizeAnchor>
</c:userShapes>
</file>

<file path=word/drawings/drawing42.xml><?xml version="1.0" encoding="utf-8"?>
<c:userShapes xmlns:c="http://schemas.openxmlformats.org/drawingml/2006/chart">
  <cdr:relSizeAnchor xmlns:cdr="http://schemas.openxmlformats.org/drawingml/2006/chartDrawing">
    <cdr:from>
      <cdr:x>0.017</cdr:x>
      <cdr:y>0.86275</cdr:y>
    </cdr:from>
    <cdr:to>
      <cdr:x>0.5835</cdr:x>
      <cdr:y>0.99175</cdr:y>
    </cdr:to>
    <cdr:sp macro="" textlink="">
      <cdr:nvSpPr>
        <cdr:cNvPr id="1025" name="Text Box 1"/>
        <cdr:cNvSpPr txBox="1">
          <a:spLocks xmlns:a="http://schemas.openxmlformats.org/drawingml/2006/main" noChangeArrowheads="1"/>
        </cdr:cNvSpPr>
      </cdr:nvSpPr>
      <cdr:spPr bwMode="auto">
        <a:xfrm xmlns:a="http://schemas.openxmlformats.org/drawingml/2006/main">
          <a:off x="78760" y="2406141"/>
          <a:ext cx="2624572" cy="35977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0">
            <a:defRPr sz="1000"/>
          </a:pPr>
          <a:r>
            <a:rPr lang="es-CR" sz="800" b="0" i="0" u="none" strike="noStrike" baseline="0">
              <a:solidFill>
                <a:srgbClr val="000000"/>
              </a:solidFill>
              <a:latin typeface="Times New Roman"/>
              <a:cs typeface="Times New Roman"/>
            </a:rPr>
            <a:t>Fuente: Sección de Estadística, Dirección de Planificación.</a:t>
          </a:r>
          <a:endParaRPr lang="es-CR" sz="700" b="1" i="0" u="none" strike="noStrike" baseline="0">
            <a:solidFill>
              <a:srgbClr val="000000"/>
            </a:solidFill>
            <a:latin typeface="Calibri"/>
            <a:cs typeface="Times New Roman"/>
          </a:endParaRPr>
        </a:p>
        <a:p xmlns:a="http://schemas.openxmlformats.org/drawingml/2006/main">
          <a:pPr algn="l" rtl="0">
            <a:defRPr sz="1000"/>
          </a:pPr>
          <a:r>
            <a:rPr lang="es-CR" sz="800" b="0" i="0" u="none" strike="noStrike" baseline="0">
              <a:solidFill>
                <a:srgbClr val="000000"/>
              </a:solidFill>
              <a:latin typeface="Times New Roman"/>
              <a:cs typeface="Times New Roman"/>
            </a:rPr>
            <a:t>Instituto Nacional de Estadística y Censos.</a:t>
          </a:r>
        </a:p>
      </cdr:txBody>
    </cdr:sp>
  </cdr:relSizeAnchor>
</c:userShapes>
</file>

<file path=word/drawings/drawing43.xml><?xml version="1.0" encoding="utf-8"?>
<c:userShapes xmlns:c="http://schemas.openxmlformats.org/drawingml/2006/chart">
  <cdr:relSizeAnchor xmlns:cdr="http://schemas.openxmlformats.org/drawingml/2006/chartDrawing">
    <cdr:from>
      <cdr:x>0.011</cdr:x>
      <cdr:y>0.8685</cdr:y>
    </cdr:from>
    <cdr:to>
      <cdr:x>0.577</cdr:x>
      <cdr:y>1</cdr:y>
    </cdr:to>
    <cdr:sp macro="" textlink="">
      <cdr:nvSpPr>
        <cdr:cNvPr id="1025" name="Text Box 1"/>
        <cdr:cNvSpPr txBox="1">
          <a:spLocks xmlns:a="http://schemas.openxmlformats.org/drawingml/2006/main" noChangeArrowheads="1"/>
        </cdr:cNvSpPr>
      </cdr:nvSpPr>
      <cdr:spPr bwMode="auto">
        <a:xfrm xmlns:a="http://schemas.openxmlformats.org/drawingml/2006/main">
          <a:off x="50963" y="2422177"/>
          <a:ext cx="2622255" cy="36674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0">
            <a:defRPr sz="1000"/>
          </a:pPr>
          <a:r>
            <a:rPr lang="es-CR" sz="800" b="0" i="0" u="none" strike="noStrike" baseline="0">
              <a:solidFill>
                <a:srgbClr val="000000"/>
              </a:solidFill>
              <a:latin typeface="Times New Roman"/>
              <a:cs typeface="Times New Roman"/>
            </a:rPr>
            <a:t>Fuente: Sección de Estadística, Dirección de Planificación.</a:t>
          </a:r>
          <a:endParaRPr lang="es-CR" sz="700" b="1" i="0" u="none" strike="noStrike" baseline="0">
            <a:solidFill>
              <a:srgbClr val="000000"/>
            </a:solidFill>
            <a:latin typeface="Times New Roman"/>
            <a:cs typeface="Times New Roman"/>
          </a:endParaRPr>
        </a:p>
        <a:p xmlns:a="http://schemas.openxmlformats.org/drawingml/2006/main">
          <a:pPr algn="l" rtl="0">
            <a:defRPr sz="1000"/>
          </a:pPr>
          <a:r>
            <a:rPr lang="es-CR" sz="800" b="0" i="0" u="none" strike="noStrike" baseline="0">
              <a:solidFill>
                <a:srgbClr val="000000"/>
              </a:solidFill>
              <a:latin typeface="Times New Roman"/>
              <a:cs typeface="Times New Roman"/>
            </a:rPr>
            <a:t>Instituto Nacional de Estadística y Censos.</a:t>
          </a:r>
        </a:p>
      </cdr:txBody>
    </cdr:sp>
  </cdr:relSizeAnchor>
</c:userShapes>
</file>

<file path=word/drawings/drawing44.xml><?xml version="1.0" encoding="utf-8"?>
<c:userShapes xmlns:c="http://schemas.openxmlformats.org/drawingml/2006/chart">
  <cdr:relSizeAnchor xmlns:cdr="http://schemas.openxmlformats.org/drawingml/2006/chartDrawing">
    <cdr:from>
      <cdr:x>0.015</cdr:x>
      <cdr:y>0.918</cdr:y>
    </cdr:from>
    <cdr:to>
      <cdr:x>0.5945</cdr:x>
      <cdr:y>0.994</cdr:y>
    </cdr:to>
    <cdr:sp macro="" textlink="">
      <cdr:nvSpPr>
        <cdr:cNvPr id="1025" name="Text Box 1"/>
        <cdr:cNvSpPr txBox="1">
          <a:spLocks xmlns:a="http://schemas.openxmlformats.org/drawingml/2006/main" noChangeArrowheads="1"/>
        </cdr:cNvSpPr>
      </cdr:nvSpPr>
      <cdr:spPr bwMode="auto">
        <a:xfrm xmlns:a="http://schemas.openxmlformats.org/drawingml/2006/main">
          <a:off x="67894" y="2770083"/>
          <a:ext cx="2622979" cy="22933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0">
            <a:defRPr sz="1000"/>
          </a:pPr>
          <a:r>
            <a:rPr lang="es-CR" sz="800" b="0" i="0" u="none" strike="noStrike" baseline="0">
              <a:solidFill>
                <a:srgbClr val="000000"/>
              </a:solidFill>
              <a:latin typeface="Times New Roman"/>
              <a:cs typeface="Times New Roman"/>
            </a:rPr>
            <a:t>Fuente: Sección de Estadística, Dirección de Planificación.</a:t>
          </a:r>
          <a:endParaRPr lang="es-CR" sz="700" b="1" i="0" u="none" strike="noStrike" baseline="0">
            <a:solidFill>
              <a:srgbClr val="000000"/>
            </a:solidFill>
            <a:latin typeface="Times New Roman"/>
            <a:cs typeface="Times New Roman"/>
          </a:endParaRPr>
        </a:p>
        <a:p xmlns:a="http://schemas.openxmlformats.org/drawingml/2006/main">
          <a:pPr algn="l" rtl="0">
            <a:defRPr sz="1000"/>
          </a:pPr>
          <a:endParaRPr lang="es-CR" sz="700" b="1" i="0" u="none" strike="noStrike" baseline="0">
            <a:solidFill>
              <a:srgbClr val="000000"/>
            </a:solidFill>
            <a:latin typeface="Times New Roman"/>
            <a:cs typeface="Times New Roman"/>
          </a:endParaRPr>
        </a:p>
      </cdr:txBody>
    </cdr:sp>
  </cdr:relSizeAnchor>
</c:userShapes>
</file>

<file path=word/drawings/drawing45.xml><?xml version="1.0" encoding="utf-8"?>
<c:userShapes xmlns:c="http://schemas.openxmlformats.org/drawingml/2006/chart">
  <cdr:relSizeAnchor xmlns:cdr="http://schemas.openxmlformats.org/drawingml/2006/chartDrawing">
    <cdr:from>
      <cdr:x>0.01075</cdr:x>
      <cdr:y>0.918</cdr:y>
    </cdr:from>
    <cdr:to>
      <cdr:x>0.59125</cdr:x>
      <cdr:y>0.99375</cdr:y>
    </cdr:to>
    <cdr:sp macro="" textlink="">
      <cdr:nvSpPr>
        <cdr:cNvPr id="1025" name="Text Box 1"/>
        <cdr:cNvSpPr txBox="1">
          <a:spLocks xmlns:a="http://schemas.openxmlformats.org/drawingml/2006/main" noChangeArrowheads="1"/>
        </cdr:cNvSpPr>
      </cdr:nvSpPr>
      <cdr:spPr bwMode="auto">
        <a:xfrm xmlns:a="http://schemas.openxmlformats.org/drawingml/2006/main">
          <a:off x="48658" y="2777079"/>
          <a:ext cx="2627505" cy="22915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0">
            <a:defRPr sz="1000"/>
          </a:pPr>
          <a:r>
            <a:rPr lang="es-CR" sz="800" b="0" i="0" u="none" strike="noStrike" baseline="0">
              <a:solidFill>
                <a:srgbClr val="000000"/>
              </a:solidFill>
              <a:latin typeface="Times New Roman"/>
              <a:cs typeface="Times New Roman"/>
            </a:rPr>
            <a:t>Fuente: Sección de Estadística, Dirección de Planificación.</a:t>
          </a:r>
          <a:endParaRPr lang="es-CR" sz="800" b="1" i="0" u="none" strike="noStrike" baseline="0">
            <a:solidFill>
              <a:srgbClr val="000000"/>
            </a:solidFill>
            <a:latin typeface="Times New Roman"/>
            <a:cs typeface="Times New Roman"/>
          </a:endParaRPr>
        </a:p>
        <a:p xmlns:a="http://schemas.openxmlformats.org/drawingml/2006/main">
          <a:pPr algn="l" rtl="0">
            <a:defRPr sz="1000"/>
          </a:pPr>
          <a:endParaRPr lang="es-CR" sz="800" b="1" i="0" u="none" strike="noStrike" baseline="0">
            <a:solidFill>
              <a:srgbClr val="000000"/>
            </a:solidFill>
            <a:latin typeface="Times New Roman"/>
            <a:cs typeface="Times New Roman"/>
          </a:endParaRPr>
        </a:p>
      </cdr:txBody>
    </cdr:sp>
  </cdr:relSizeAnchor>
</c:userShapes>
</file>

<file path=word/drawings/drawing46.xml><?xml version="1.0" encoding="utf-8"?>
<c:userShapes xmlns:c="http://schemas.openxmlformats.org/drawingml/2006/chart">
  <cdr:relSizeAnchor xmlns:cdr="http://schemas.openxmlformats.org/drawingml/2006/chartDrawing">
    <cdr:from>
      <cdr:x>0.01275</cdr:x>
      <cdr:y>0.9225</cdr:y>
    </cdr:from>
    <cdr:to>
      <cdr:x>0.60975</cdr:x>
      <cdr:y>0.994</cdr:y>
    </cdr:to>
    <cdr:sp macro="" textlink="">
      <cdr:nvSpPr>
        <cdr:cNvPr id="1025" name="Text Box 1"/>
        <cdr:cNvSpPr txBox="1">
          <a:spLocks xmlns:a="http://schemas.openxmlformats.org/drawingml/2006/main" noChangeArrowheads="1"/>
        </cdr:cNvSpPr>
      </cdr:nvSpPr>
      <cdr:spPr bwMode="auto">
        <a:xfrm xmlns:a="http://schemas.openxmlformats.org/drawingml/2006/main">
          <a:off x="57710" y="2917222"/>
          <a:ext cx="2702189" cy="22610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0">
            <a:defRPr sz="1000"/>
          </a:pPr>
          <a:r>
            <a:rPr lang="es-CR" sz="800" b="0" i="0" u="none" strike="noStrike" baseline="0">
              <a:solidFill>
                <a:srgbClr val="000000"/>
              </a:solidFill>
              <a:latin typeface="Times New Roman"/>
              <a:cs typeface="Times New Roman"/>
            </a:rPr>
            <a:t>Fuente: Sección de Estadística, Dirección de Planificación.</a:t>
          </a:r>
          <a:endParaRPr lang="es-CR" sz="700" b="1" i="0" u="none" strike="noStrike" baseline="0">
            <a:solidFill>
              <a:srgbClr val="000000"/>
            </a:solidFill>
            <a:latin typeface="Times New Roman"/>
            <a:cs typeface="Times New Roman"/>
          </a:endParaRPr>
        </a:p>
        <a:p xmlns:a="http://schemas.openxmlformats.org/drawingml/2006/main">
          <a:pPr algn="l" rtl="0">
            <a:defRPr sz="1000"/>
          </a:pPr>
          <a:endParaRPr lang="es-CR" sz="700" b="1" i="0" u="none" strike="noStrike" baseline="0">
            <a:solidFill>
              <a:srgbClr val="000000"/>
            </a:solidFill>
            <a:latin typeface="Times New Roman"/>
            <a:cs typeface="Times New Roman"/>
          </a:endParaRPr>
        </a:p>
      </cdr:txBody>
    </cdr:sp>
  </cdr:relSizeAnchor>
</c:userShapes>
</file>

<file path=word/drawings/drawing47.xml><?xml version="1.0" encoding="utf-8"?>
<c:userShapes xmlns:c="http://schemas.openxmlformats.org/drawingml/2006/chart">
  <cdr:relSizeAnchor xmlns:cdr="http://schemas.openxmlformats.org/drawingml/2006/chartDrawing">
    <cdr:from>
      <cdr:x>0.013</cdr:x>
      <cdr:y>0.91875</cdr:y>
    </cdr:from>
    <cdr:to>
      <cdr:x>0.592</cdr:x>
      <cdr:y>0.99625</cdr:y>
    </cdr:to>
    <cdr:sp macro="" textlink="">
      <cdr:nvSpPr>
        <cdr:cNvPr id="1025" name="Text Box 1"/>
        <cdr:cNvSpPr txBox="1">
          <a:spLocks xmlns:a="http://schemas.openxmlformats.org/drawingml/2006/main" noChangeArrowheads="1"/>
        </cdr:cNvSpPr>
      </cdr:nvSpPr>
      <cdr:spPr bwMode="auto">
        <a:xfrm xmlns:a="http://schemas.openxmlformats.org/drawingml/2006/main">
          <a:off x="58842" y="2695337"/>
          <a:ext cx="2620716" cy="22736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0">
            <a:defRPr sz="1000"/>
          </a:pPr>
          <a:r>
            <a:rPr lang="es-CR" sz="800" b="0" i="0" u="none" strike="noStrike" baseline="0">
              <a:solidFill>
                <a:srgbClr val="000000"/>
              </a:solidFill>
              <a:latin typeface="Times New Roman"/>
              <a:cs typeface="Times New Roman"/>
            </a:rPr>
            <a:t>Fuente: Sección de Estadística, Dirección de Planificación.</a:t>
          </a:r>
        </a:p>
        <a:p xmlns:a="http://schemas.openxmlformats.org/drawingml/2006/main">
          <a:pPr algn="l" rtl="0">
            <a:defRPr sz="1000"/>
          </a:pPr>
          <a:endParaRPr lang="es-CR" sz="800" b="0" i="0" u="none" strike="noStrike" baseline="0">
            <a:solidFill>
              <a:srgbClr val="000000"/>
            </a:solidFill>
            <a:latin typeface="Times New Roman"/>
            <a:cs typeface="Times New Roman"/>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0.00225</cdr:x>
      <cdr:y>0.87475</cdr:y>
    </cdr:from>
    <cdr:to>
      <cdr:x>0.533</cdr:x>
      <cdr:y>0.9985</cdr:y>
    </cdr:to>
    <cdr:sp macro="" textlink="">
      <cdr:nvSpPr>
        <cdr:cNvPr id="1025" name="Text Box 1"/>
        <cdr:cNvSpPr txBox="1">
          <a:spLocks xmlns:a="http://schemas.openxmlformats.org/drawingml/2006/main" noChangeArrowheads="1"/>
        </cdr:cNvSpPr>
      </cdr:nvSpPr>
      <cdr:spPr bwMode="auto">
        <a:xfrm xmlns:a="http://schemas.openxmlformats.org/drawingml/2006/main">
          <a:off x="9807" y="2386283"/>
          <a:ext cx="2313348" cy="33758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1">
            <a:defRPr sz="1000"/>
          </a:pPr>
          <a:r>
            <a:rPr lang="es-CR" sz="800" b="0" i="0" strike="noStrike">
              <a:solidFill>
                <a:srgbClr val="000000"/>
              </a:solidFill>
              <a:latin typeface="Times New Roman"/>
              <a:cs typeface="Times New Roman"/>
            </a:rPr>
            <a:t>Fuente: Sección de Estadística, Dirección de Planificación y Banco Central de Costa Rica.</a:t>
          </a:r>
        </a:p>
        <a:p xmlns:a="http://schemas.openxmlformats.org/drawingml/2006/main">
          <a:pPr algn="l" rtl="1">
            <a:defRPr sz="1000"/>
          </a:pPr>
          <a:endParaRPr lang="es-CR" sz="800" b="0" i="0" strike="noStrike">
            <a:solidFill>
              <a:srgbClr val="000000"/>
            </a:solidFill>
            <a:latin typeface="Times New Roman"/>
            <a:cs typeface="Times New Roman"/>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0.00875</cdr:x>
      <cdr:y>0.87781</cdr:y>
    </cdr:from>
    <cdr:to>
      <cdr:x>0.56911</cdr:x>
      <cdr:y>1</cdr:y>
    </cdr:to>
    <cdr:sp macro="" textlink="">
      <cdr:nvSpPr>
        <cdr:cNvPr id="1025" name="Text Box 1"/>
        <cdr:cNvSpPr txBox="1">
          <a:spLocks xmlns:a="http://schemas.openxmlformats.org/drawingml/2006/main" noChangeArrowheads="1"/>
        </cdr:cNvSpPr>
      </cdr:nvSpPr>
      <cdr:spPr bwMode="auto">
        <a:xfrm xmlns:a="http://schemas.openxmlformats.org/drawingml/2006/main">
          <a:off x="39072" y="2682240"/>
          <a:ext cx="2502198" cy="37338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1">
            <a:defRPr sz="1000"/>
          </a:pPr>
          <a:r>
            <a:rPr lang="es-CR" sz="900" b="0" i="0" strike="noStrike">
              <a:solidFill>
                <a:srgbClr val="000000"/>
              </a:solidFill>
              <a:latin typeface="Times New Roman" pitchFamily="18" charset="0"/>
              <a:cs typeface="Times New Roman" pitchFamily="18" charset="0"/>
            </a:rPr>
            <a:t>Fuente: Sección de Planes y Presupuesto, </a:t>
          </a:r>
        </a:p>
        <a:p xmlns:a="http://schemas.openxmlformats.org/drawingml/2006/main">
          <a:pPr algn="l" rtl="1">
            <a:defRPr sz="1000"/>
          </a:pPr>
          <a:r>
            <a:rPr lang="es-CR" sz="900" b="0" i="0" strike="noStrike">
              <a:solidFill>
                <a:srgbClr val="000000"/>
              </a:solidFill>
              <a:latin typeface="Times New Roman" pitchFamily="18" charset="0"/>
              <a:cs typeface="Times New Roman" pitchFamily="18" charset="0"/>
            </a:rPr>
            <a:t>Dirección de Planificación.</a:t>
          </a:r>
        </a:p>
        <a:p xmlns:a="http://schemas.openxmlformats.org/drawingml/2006/main">
          <a:pPr algn="l" rtl="1">
            <a:defRPr sz="1000"/>
          </a:pPr>
          <a:endParaRPr lang="es-CR" sz="900" b="1" i="0" strike="noStrike">
            <a:solidFill>
              <a:srgbClr val="000000"/>
            </a:solidFill>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0.01225</cdr:x>
      <cdr:y>0.87688</cdr:y>
    </cdr:from>
    <cdr:to>
      <cdr:x>0.56017</cdr:x>
      <cdr:y>1</cdr:y>
    </cdr:to>
    <cdr:sp macro="" textlink="">
      <cdr:nvSpPr>
        <cdr:cNvPr id="1025" name="Text Box 1"/>
        <cdr:cNvSpPr txBox="1">
          <a:spLocks xmlns:a="http://schemas.openxmlformats.org/drawingml/2006/main" noChangeArrowheads="1"/>
        </cdr:cNvSpPr>
      </cdr:nvSpPr>
      <cdr:spPr bwMode="auto">
        <a:xfrm xmlns:a="http://schemas.openxmlformats.org/drawingml/2006/main">
          <a:off x="55074" y="2659381"/>
          <a:ext cx="2463336" cy="37338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1">
            <a:defRPr sz="1000"/>
          </a:pPr>
          <a:r>
            <a:rPr lang="es-CR" sz="900" b="0" i="0" strike="noStrike">
              <a:solidFill>
                <a:srgbClr val="000000"/>
              </a:solidFill>
              <a:latin typeface="Times New Roman" pitchFamily="18" charset="0"/>
              <a:cs typeface="Times New Roman" pitchFamily="18" charset="0"/>
            </a:rPr>
            <a:t>Fuente: Sección de Planes y Presupuesto, </a:t>
          </a:r>
        </a:p>
        <a:p xmlns:a="http://schemas.openxmlformats.org/drawingml/2006/main">
          <a:pPr algn="l" rtl="1">
            <a:defRPr sz="1000"/>
          </a:pPr>
          <a:r>
            <a:rPr lang="es-CR" sz="900" b="0" i="0" strike="noStrike">
              <a:solidFill>
                <a:srgbClr val="000000"/>
              </a:solidFill>
              <a:latin typeface="Times New Roman" pitchFamily="18" charset="0"/>
              <a:cs typeface="Times New Roman" pitchFamily="18" charset="0"/>
            </a:rPr>
            <a:t>Dirección de Planificación.</a:t>
          </a:r>
        </a:p>
        <a:p xmlns:a="http://schemas.openxmlformats.org/drawingml/2006/main">
          <a:pPr algn="l" rtl="1">
            <a:defRPr sz="1000"/>
          </a:pPr>
          <a:endParaRPr lang="es-CR" sz="1200" b="1" i="0" strike="noStrike">
            <a:solidFill>
              <a:srgbClr val="000000"/>
            </a:solidFill>
            <a:latin typeface="Arial"/>
            <a:cs typeface="Arial"/>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0.01025</cdr:x>
      <cdr:y>0.8825</cdr:y>
    </cdr:from>
    <cdr:to>
      <cdr:x>0.45025</cdr:x>
      <cdr:y>1</cdr:y>
    </cdr:to>
    <cdr:sp macro="" textlink="">
      <cdr:nvSpPr>
        <cdr:cNvPr id="1025" name="Text Box 1"/>
        <cdr:cNvSpPr txBox="1">
          <a:spLocks xmlns:a="http://schemas.openxmlformats.org/drawingml/2006/main" noChangeArrowheads="1"/>
        </cdr:cNvSpPr>
      </cdr:nvSpPr>
      <cdr:spPr bwMode="auto">
        <a:xfrm xmlns:a="http://schemas.openxmlformats.org/drawingml/2006/main">
          <a:off x="45301" y="2642787"/>
          <a:ext cx="1944624" cy="35187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1">
            <a:defRPr sz="1000"/>
          </a:pPr>
          <a:r>
            <a:rPr lang="es-CR" sz="800" b="0" i="0" strike="noStrike">
              <a:solidFill>
                <a:srgbClr val="000000"/>
              </a:solidFill>
              <a:latin typeface="Times New Roman"/>
              <a:cs typeface="Times New Roman"/>
            </a:rPr>
            <a:t>Fuente: Sección de Planes y Presupuesto, </a:t>
          </a:r>
        </a:p>
        <a:p xmlns:a="http://schemas.openxmlformats.org/drawingml/2006/main">
          <a:pPr algn="l" rtl="1">
            <a:defRPr sz="1000"/>
          </a:pPr>
          <a:r>
            <a:rPr lang="es-CR" sz="800" b="0" i="0" strike="noStrike">
              <a:solidFill>
                <a:srgbClr val="000000"/>
              </a:solidFill>
              <a:latin typeface="Times New Roman"/>
              <a:cs typeface="Times New Roman"/>
            </a:rPr>
            <a:t>Dirección de Planificación.</a:t>
          </a:r>
          <a:endParaRPr lang="es-CR" sz="1200" b="1" i="0" strike="noStrike">
            <a:solidFill>
              <a:srgbClr val="000000"/>
            </a:solidFill>
            <a:latin typeface="Arial"/>
            <a:cs typeface="Arial"/>
          </a:endParaRPr>
        </a:p>
        <a:p xmlns:a="http://schemas.openxmlformats.org/drawingml/2006/main">
          <a:pPr algn="l" rtl="1">
            <a:defRPr sz="1000"/>
          </a:pPr>
          <a:endParaRPr lang="es-CR" sz="1200" b="1" i="0" strike="noStrike">
            <a:solidFill>
              <a:srgbClr val="000000"/>
            </a:solidFill>
            <a:latin typeface="Arial"/>
            <a:cs typeface="Arial"/>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0.81519</cdr:y>
    </cdr:from>
    <cdr:to>
      <cdr:x>0.6072</cdr:x>
      <cdr:y>0.99975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453640"/>
          <a:ext cx="2762250" cy="55550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1">
            <a:defRPr sz="1000"/>
          </a:pPr>
          <a:r>
            <a:rPr lang="es-CR" sz="900" b="0" i="0" strike="noStrike">
              <a:solidFill>
                <a:srgbClr val="000000"/>
              </a:solidFill>
              <a:latin typeface="Times New Roman"/>
              <a:cs typeface="Times New Roman"/>
            </a:rPr>
            <a:t>Fuente: Sección de Planes y Presupuesto, Dirección de Planificación, Instituto Nacional de Estadística y Censos y Banco Central de Costa Rica.</a:t>
          </a:r>
          <a:endParaRPr lang="es-CR" sz="900" b="0" i="0" strike="noStrike">
            <a:solidFill>
              <a:srgbClr val="000000"/>
            </a:solidFill>
            <a:latin typeface="Arial"/>
            <a:cs typeface="Arial"/>
          </a:endParaRPr>
        </a:p>
        <a:p xmlns:a="http://schemas.openxmlformats.org/drawingml/2006/main">
          <a:pPr algn="l" rtl="1">
            <a:defRPr sz="1000"/>
          </a:pPr>
          <a:endParaRPr lang="es-CR" sz="1200" b="1" i="0" strike="noStrike">
            <a:solidFill>
              <a:srgbClr val="000000"/>
            </a:solidFill>
            <a:latin typeface="Arial"/>
            <a:cs typeface="Arial"/>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3051FC-3B91-4A13-A3DC-335EAB6BF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140</Pages>
  <Words>20069</Words>
  <Characters>110011</Characters>
  <Application>Microsoft Office Word</Application>
  <DocSecurity>4</DocSecurity>
  <Lines>916</Lines>
  <Paragraphs>259</Paragraphs>
  <ScaleCrop>false</ScaleCrop>
  <HeadingPairs>
    <vt:vector size="2" baseType="variant">
      <vt:variant>
        <vt:lpstr>Título</vt:lpstr>
      </vt:variant>
      <vt:variant>
        <vt:i4>1</vt:i4>
      </vt:variant>
    </vt:vector>
  </HeadingPairs>
  <TitlesOfParts>
    <vt:vector size="1" baseType="lpstr">
      <vt:lpstr>-PLA-2011</vt:lpstr>
    </vt:vector>
  </TitlesOfParts>
  <Company>Poder Judicial</Company>
  <LinksUpToDate>false</LinksUpToDate>
  <CharactersWithSpaces>129821</CharactersWithSpaces>
  <SharedDoc>false</SharedDoc>
  <HLinks>
    <vt:vector size="24" baseType="variant">
      <vt:variant>
        <vt:i4>1310785</vt:i4>
      </vt:variant>
      <vt:variant>
        <vt:i4>192</vt:i4>
      </vt:variant>
      <vt:variant>
        <vt:i4>0</vt:i4>
      </vt:variant>
      <vt:variant>
        <vt:i4>5</vt:i4>
      </vt:variant>
      <vt:variant>
        <vt:lpwstr>http://es.wikipedia.org/wiki/Femenino</vt:lpwstr>
      </vt:variant>
      <vt:variant>
        <vt:lpwstr/>
      </vt:variant>
      <vt:variant>
        <vt:i4>131155</vt:i4>
      </vt:variant>
      <vt:variant>
        <vt:i4>189</vt:i4>
      </vt:variant>
      <vt:variant>
        <vt:i4>0</vt:i4>
      </vt:variant>
      <vt:variant>
        <vt:i4>5</vt:i4>
      </vt:variant>
      <vt:variant>
        <vt:lpwstr>http://es.wikipedia.org/wiki/Ideol%C3%B3gica</vt:lpwstr>
      </vt:variant>
      <vt:variant>
        <vt:lpwstr/>
      </vt:variant>
      <vt:variant>
        <vt:i4>4915264</vt:i4>
      </vt:variant>
      <vt:variant>
        <vt:i4>31</vt:i4>
      </vt:variant>
      <vt:variant>
        <vt:i4>0</vt:i4>
      </vt:variant>
      <vt:variant>
        <vt:i4>5</vt:i4>
      </vt:variant>
      <vt:variant>
        <vt:lpwstr>mailto:dir_planificacion@poder-judicial.go.cr</vt:lpwstr>
      </vt:variant>
      <vt:variant>
        <vt:lpwstr/>
      </vt:variant>
      <vt:variant>
        <vt:i4>4915264</vt:i4>
      </vt:variant>
      <vt:variant>
        <vt:i4>17</vt:i4>
      </vt:variant>
      <vt:variant>
        <vt:i4>0</vt:i4>
      </vt:variant>
      <vt:variant>
        <vt:i4>5</vt:i4>
      </vt:variant>
      <vt:variant>
        <vt:lpwstr>mailto:dir_planificacion@poder-judicial.go.cr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-PLA-2011</dc:title>
  <dc:creator>xbarrientos</dc:creator>
  <cp:lastModifiedBy>amenac</cp:lastModifiedBy>
  <cp:revision>2</cp:revision>
  <cp:lastPrinted>2017-02-02T16:37:00Z</cp:lastPrinted>
  <dcterms:created xsi:type="dcterms:W3CDTF">2017-03-24T19:17:00Z</dcterms:created>
  <dcterms:modified xsi:type="dcterms:W3CDTF">2017-03-24T19:17:00Z</dcterms:modified>
</cp:coreProperties>
</file>