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557A7E" w14:textId="380800B7" w:rsidR="00A727CF" w:rsidRPr="008D2522" w:rsidRDefault="008D1B0F" w:rsidP="00055CFC">
      <w:pPr>
        <w:spacing w:before="0" w:after="0"/>
        <w:jc w:val="left"/>
        <w:rPr>
          <w:rFonts w:eastAsia="Times New Roman" w:cs="Arial"/>
          <w:szCs w:val="24"/>
          <w:lang w:eastAsia="es-ES"/>
        </w:rPr>
      </w:pPr>
      <w:bookmarkStart w:id="0" w:name="_GoBack"/>
      <w:bookmarkEnd w:id="0"/>
      <w:r>
        <w:rPr>
          <w:rFonts w:cs="Arial"/>
          <w:noProof/>
          <w:lang w:val="es-ES" w:eastAsia="es-ES"/>
        </w:rPr>
        <w:drawing>
          <wp:inline distT="0" distB="0" distL="0" distR="0" wp14:anchorId="1DE8AB1F" wp14:editId="352CF86F">
            <wp:extent cx="1852295" cy="819150"/>
            <wp:effectExtent l="0" t="0" r="0" b="0"/>
            <wp:docPr id="1" name="Imagen 1" descr="poder-jud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poder-judicial-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2295" cy="819150"/>
                    </a:xfrm>
                    <a:prstGeom prst="rect">
                      <a:avLst/>
                    </a:prstGeom>
                    <a:noFill/>
                    <a:ln>
                      <a:noFill/>
                    </a:ln>
                  </pic:spPr>
                </pic:pic>
              </a:graphicData>
            </a:graphic>
          </wp:inline>
        </w:drawing>
      </w:r>
      <w:r w:rsidR="00A727CF" w:rsidRPr="008D2522">
        <w:rPr>
          <w:rFonts w:cs="Arial"/>
        </w:rPr>
        <w:tab/>
      </w:r>
      <w:r w:rsidR="00A727CF" w:rsidRPr="008D2522">
        <w:rPr>
          <w:rFonts w:cs="Arial"/>
        </w:rPr>
        <w:tab/>
      </w:r>
      <w:r w:rsidR="00B32019" w:rsidRPr="008D2522">
        <w:rPr>
          <w:rFonts w:cs="Arial"/>
        </w:rPr>
        <w:tab/>
      </w:r>
      <w:r w:rsidR="00A727CF" w:rsidRPr="008D2522">
        <w:rPr>
          <w:rFonts w:cs="Arial"/>
        </w:rPr>
        <w:tab/>
      </w:r>
      <w:r>
        <w:rPr>
          <w:rFonts w:cs="Arial"/>
          <w:noProof/>
          <w:lang w:val="es-ES" w:eastAsia="es-ES"/>
        </w:rPr>
        <w:drawing>
          <wp:inline distT="0" distB="0" distL="0" distR="0" wp14:anchorId="74AA0EB0" wp14:editId="01E89B1E">
            <wp:extent cx="1674495" cy="878840"/>
            <wp:effectExtent l="0" t="0" r="0" b="0"/>
            <wp:docPr id="2" name="Imagen 2" descr="logo-dirpl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dirplan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4495" cy="878840"/>
                    </a:xfrm>
                    <a:prstGeom prst="rect">
                      <a:avLst/>
                    </a:prstGeom>
                    <a:noFill/>
                    <a:ln>
                      <a:noFill/>
                    </a:ln>
                  </pic:spPr>
                </pic:pic>
              </a:graphicData>
            </a:graphic>
          </wp:inline>
        </w:drawing>
      </w:r>
      <w:r w:rsidR="00A727CF" w:rsidRPr="008D2522">
        <w:rPr>
          <w:rFonts w:cs="Arial"/>
        </w:rPr>
        <w:tab/>
      </w:r>
    </w:p>
    <w:p w14:paraId="6BE931D0" w14:textId="77777777" w:rsidR="00B32019" w:rsidRPr="008D2522" w:rsidRDefault="00B32019" w:rsidP="00055CFC">
      <w:pPr>
        <w:spacing w:before="0" w:after="0"/>
        <w:jc w:val="center"/>
        <w:rPr>
          <w:rFonts w:eastAsia="Arial" w:cs="Arial"/>
          <w:sz w:val="16"/>
          <w:szCs w:val="16"/>
        </w:rPr>
      </w:pPr>
    </w:p>
    <w:p w14:paraId="2448E275" w14:textId="7D2E1504" w:rsidR="00A727CF" w:rsidRPr="008D2522" w:rsidRDefault="00A727CF" w:rsidP="00055CFC">
      <w:pPr>
        <w:spacing w:before="0" w:after="0"/>
        <w:jc w:val="center"/>
        <w:rPr>
          <w:rFonts w:eastAsia="Arial" w:cs="Arial"/>
          <w:b/>
          <w:bCs/>
          <w:i/>
          <w:iCs/>
          <w:color w:val="0070C0"/>
          <w:sz w:val="36"/>
          <w:szCs w:val="36"/>
        </w:rPr>
      </w:pPr>
      <w:r w:rsidRPr="008D2522">
        <w:rPr>
          <w:rFonts w:eastAsia="Arial" w:cs="Arial"/>
          <w:b/>
          <w:bCs/>
          <w:i/>
          <w:iCs/>
          <w:color w:val="0070C0"/>
          <w:sz w:val="36"/>
          <w:szCs w:val="36"/>
        </w:rPr>
        <w:t>Subproceso de Modernización Institucional</w:t>
      </w:r>
    </w:p>
    <w:p w14:paraId="1AD97814" w14:textId="6DBC0198" w:rsidR="00A727CF" w:rsidRPr="008D2522" w:rsidRDefault="00A727CF" w:rsidP="00055CFC">
      <w:pPr>
        <w:spacing w:before="0" w:after="0"/>
        <w:jc w:val="center"/>
        <w:rPr>
          <w:rFonts w:eastAsia="Arial" w:cs="Arial"/>
          <w:b/>
          <w:bCs/>
          <w:i/>
          <w:iCs/>
          <w:color w:val="0070C0"/>
          <w:sz w:val="36"/>
          <w:szCs w:val="36"/>
        </w:rPr>
      </w:pPr>
      <w:r w:rsidRPr="008D2522">
        <w:rPr>
          <w:rFonts w:eastAsia="Arial" w:cs="Arial"/>
          <w:b/>
          <w:bCs/>
          <w:i/>
          <w:iCs/>
          <w:color w:val="0070C0"/>
          <w:sz w:val="36"/>
          <w:szCs w:val="36"/>
        </w:rPr>
        <w:t>Proceso de Ejecución de las Operaciones</w:t>
      </w:r>
    </w:p>
    <w:p w14:paraId="5CF1FC1F" w14:textId="77777777" w:rsidR="00A727CF" w:rsidRPr="008D2522" w:rsidRDefault="00A727CF" w:rsidP="00055CFC">
      <w:pPr>
        <w:spacing w:before="0" w:after="0"/>
        <w:jc w:val="center"/>
        <w:rPr>
          <w:rFonts w:eastAsia="Arial" w:cs="Arial"/>
          <w:b/>
          <w:bCs/>
          <w:i/>
          <w:iCs/>
          <w:color w:val="0070C0"/>
          <w:sz w:val="36"/>
          <w:szCs w:val="36"/>
        </w:rPr>
      </w:pPr>
      <w:r w:rsidRPr="008D2522">
        <w:rPr>
          <w:rFonts w:eastAsia="Arial" w:cs="Arial"/>
          <w:b/>
          <w:bCs/>
          <w:i/>
          <w:iCs/>
          <w:color w:val="0070C0"/>
          <w:sz w:val="36"/>
          <w:szCs w:val="36"/>
        </w:rPr>
        <w:t xml:space="preserve"> Dirección de Planificación</w:t>
      </w:r>
    </w:p>
    <w:p w14:paraId="4A622B2B" w14:textId="77777777" w:rsidR="004447E9" w:rsidRPr="008D2522" w:rsidRDefault="004447E9" w:rsidP="00055CFC">
      <w:pPr>
        <w:spacing w:before="0" w:after="0"/>
        <w:jc w:val="center"/>
        <w:rPr>
          <w:rFonts w:eastAsia="Arial" w:cs="Arial"/>
          <w:sz w:val="16"/>
          <w:szCs w:val="16"/>
        </w:rPr>
      </w:pPr>
    </w:p>
    <w:p w14:paraId="331EFEC4" w14:textId="3F2CA101" w:rsidR="00A727CF" w:rsidRPr="008D2522" w:rsidRDefault="00A512CE" w:rsidP="00055CFC">
      <w:pPr>
        <w:spacing w:before="0" w:after="0"/>
        <w:jc w:val="center"/>
        <w:rPr>
          <w:rFonts w:eastAsia="Arial" w:cs="Arial"/>
          <w:b/>
          <w:bCs/>
          <w:i/>
          <w:iCs/>
          <w:sz w:val="36"/>
          <w:szCs w:val="36"/>
          <w:highlight w:val="red"/>
        </w:rPr>
      </w:pPr>
      <w:r w:rsidRPr="008D2522">
        <w:rPr>
          <w:rFonts w:eastAsia="Arial" w:cs="Arial"/>
          <w:b/>
          <w:bCs/>
          <w:i/>
          <w:iCs/>
          <w:sz w:val="36"/>
          <w:szCs w:val="36"/>
        </w:rPr>
        <w:t>Impacto organizacional y presupuestario en el Poder Judicial</w:t>
      </w:r>
      <w:r w:rsidR="00BD76C9" w:rsidRPr="008D2522">
        <w:rPr>
          <w:rFonts w:eastAsia="Arial" w:cs="Arial"/>
          <w:b/>
          <w:bCs/>
          <w:i/>
          <w:iCs/>
          <w:sz w:val="36"/>
          <w:szCs w:val="36"/>
        </w:rPr>
        <w:t xml:space="preserve">, </w:t>
      </w:r>
      <w:r w:rsidR="00710094" w:rsidRPr="008D2522">
        <w:rPr>
          <w:rFonts w:eastAsia="Arial" w:cs="Arial"/>
          <w:b/>
          <w:bCs/>
          <w:i/>
          <w:iCs/>
          <w:sz w:val="36"/>
          <w:szCs w:val="36"/>
        </w:rPr>
        <w:t>(</w:t>
      </w:r>
      <w:r w:rsidR="00BD76C9" w:rsidRPr="008D2522">
        <w:rPr>
          <w:rFonts w:eastAsia="Arial" w:cs="Arial"/>
          <w:b/>
          <w:bCs/>
          <w:i/>
          <w:iCs/>
          <w:sz w:val="36"/>
          <w:szCs w:val="36"/>
        </w:rPr>
        <w:t>Defensa Pública)</w:t>
      </w:r>
      <w:r w:rsidRPr="008D2522">
        <w:rPr>
          <w:rFonts w:eastAsia="Arial" w:cs="Arial"/>
          <w:b/>
          <w:bCs/>
          <w:i/>
          <w:iCs/>
          <w:sz w:val="36"/>
          <w:szCs w:val="36"/>
        </w:rPr>
        <w:t xml:space="preserve"> a partir de la promulgación de la Ley</w:t>
      </w:r>
      <w:r w:rsidR="00003D8B" w:rsidRPr="008D2522">
        <w:rPr>
          <w:rFonts w:eastAsia="Arial" w:cs="Arial"/>
          <w:b/>
          <w:bCs/>
          <w:i/>
          <w:iCs/>
          <w:sz w:val="36"/>
          <w:szCs w:val="36"/>
        </w:rPr>
        <w:t xml:space="preserve"> </w:t>
      </w:r>
      <w:r w:rsidRPr="008D2522">
        <w:rPr>
          <w:rFonts w:eastAsia="Arial" w:cs="Arial"/>
          <w:b/>
          <w:bCs/>
          <w:i/>
          <w:iCs/>
          <w:sz w:val="36"/>
          <w:szCs w:val="36"/>
        </w:rPr>
        <w:t>9593 de Acceso a la Justicia de los Pueblos Indígenas</w:t>
      </w:r>
      <w:r w:rsidR="00A567E0" w:rsidRPr="008D2522">
        <w:rPr>
          <w:rFonts w:eastAsia="Arial" w:cs="Arial"/>
          <w:b/>
          <w:bCs/>
          <w:i/>
          <w:iCs/>
          <w:sz w:val="36"/>
          <w:szCs w:val="36"/>
        </w:rPr>
        <w:t xml:space="preserve"> </w:t>
      </w:r>
    </w:p>
    <w:p w14:paraId="47207F7E" w14:textId="77777777" w:rsidR="00A727CF" w:rsidRPr="008D2522" w:rsidRDefault="00A727CF" w:rsidP="00055CFC">
      <w:pPr>
        <w:spacing w:before="0" w:after="0"/>
        <w:jc w:val="center"/>
        <w:rPr>
          <w:rFonts w:eastAsia="Arial" w:cs="Arial"/>
          <w:sz w:val="16"/>
          <w:szCs w:val="16"/>
        </w:rPr>
      </w:pPr>
    </w:p>
    <w:p w14:paraId="44C7D9E4" w14:textId="77777777" w:rsidR="00A727CF" w:rsidRPr="008D2522" w:rsidRDefault="00A727CF" w:rsidP="00055CFC">
      <w:pPr>
        <w:spacing w:before="0" w:after="0"/>
        <w:jc w:val="center"/>
        <w:rPr>
          <w:rFonts w:eastAsia="Arial" w:cs="Arial"/>
          <w:b/>
          <w:bCs/>
          <w:i/>
          <w:iCs/>
          <w:sz w:val="32"/>
          <w:szCs w:val="32"/>
        </w:rPr>
      </w:pPr>
      <w:r w:rsidRPr="008D2522">
        <w:rPr>
          <w:rFonts w:eastAsia="Arial" w:cs="Arial"/>
          <w:b/>
          <w:bCs/>
          <w:i/>
          <w:iCs/>
          <w:sz w:val="32"/>
          <w:szCs w:val="32"/>
        </w:rPr>
        <w:t>Elaborado por:</w:t>
      </w:r>
    </w:p>
    <w:p w14:paraId="41FEE6DB" w14:textId="1C8D004C" w:rsidR="00A727CF" w:rsidRPr="008D2522" w:rsidRDefault="00C60343" w:rsidP="00055CFC">
      <w:pPr>
        <w:spacing w:before="0" w:after="0"/>
        <w:jc w:val="center"/>
        <w:rPr>
          <w:rFonts w:eastAsia="Arial" w:cs="Arial"/>
          <w:i/>
          <w:iCs/>
          <w:sz w:val="32"/>
          <w:szCs w:val="32"/>
        </w:rPr>
      </w:pPr>
      <w:r w:rsidRPr="008D2522">
        <w:rPr>
          <w:rFonts w:eastAsia="Arial" w:cs="Arial"/>
          <w:i/>
          <w:iCs/>
          <w:sz w:val="32"/>
          <w:szCs w:val="32"/>
        </w:rPr>
        <w:t>Ing</w:t>
      </w:r>
      <w:r w:rsidR="00555131" w:rsidRPr="008D2522">
        <w:rPr>
          <w:rFonts w:eastAsia="Arial" w:cs="Arial"/>
          <w:i/>
          <w:iCs/>
          <w:sz w:val="32"/>
          <w:szCs w:val="32"/>
        </w:rPr>
        <w:t>a. Hazel Calderón Mata</w:t>
      </w:r>
    </w:p>
    <w:p w14:paraId="6AEB3007" w14:textId="64A30E63" w:rsidR="00555131" w:rsidRDefault="00555131" w:rsidP="00055CFC">
      <w:pPr>
        <w:spacing w:before="0" w:after="0"/>
        <w:jc w:val="center"/>
        <w:rPr>
          <w:rFonts w:eastAsia="Arial" w:cs="Arial"/>
          <w:i/>
          <w:iCs/>
          <w:sz w:val="32"/>
          <w:szCs w:val="32"/>
        </w:rPr>
      </w:pPr>
      <w:r w:rsidRPr="008D2522">
        <w:rPr>
          <w:rFonts w:eastAsia="Arial" w:cs="Arial"/>
          <w:i/>
          <w:iCs/>
          <w:sz w:val="32"/>
          <w:szCs w:val="32"/>
        </w:rPr>
        <w:t>Lic. Eder Arias Vargas</w:t>
      </w:r>
    </w:p>
    <w:p w14:paraId="749BF632" w14:textId="77777777" w:rsidR="00F51617" w:rsidRDefault="00F51617" w:rsidP="00055CFC">
      <w:pPr>
        <w:spacing w:before="0" w:after="0"/>
        <w:jc w:val="center"/>
        <w:rPr>
          <w:rFonts w:eastAsia="Arial" w:cs="Arial"/>
          <w:i/>
          <w:iCs/>
          <w:sz w:val="32"/>
          <w:szCs w:val="32"/>
        </w:rPr>
      </w:pPr>
    </w:p>
    <w:p w14:paraId="2EB97C02" w14:textId="27207A0B" w:rsidR="000847A5" w:rsidRPr="00F16BB8" w:rsidRDefault="009B5E30" w:rsidP="00F51617">
      <w:pPr>
        <w:spacing w:before="0" w:after="0"/>
        <w:jc w:val="center"/>
        <w:rPr>
          <w:rFonts w:eastAsia="Arial" w:cs="Arial"/>
          <w:b/>
          <w:bCs/>
          <w:i/>
          <w:iCs/>
          <w:sz w:val="28"/>
          <w:szCs w:val="28"/>
          <w:u w:val="single"/>
        </w:rPr>
      </w:pPr>
      <w:r w:rsidRPr="00F16BB8">
        <w:rPr>
          <w:rFonts w:eastAsia="Arial" w:cs="Arial"/>
          <w:b/>
          <w:bCs/>
          <w:i/>
          <w:iCs/>
          <w:sz w:val="28"/>
          <w:szCs w:val="28"/>
          <w:u w:val="single"/>
        </w:rPr>
        <w:t>Incorpora los acuerdos</w:t>
      </w:r>
      <w:r w:rsidR="000847A5" w:rsidRPr="00F16BB8">
        <w:rPr>
          <w:rFonts w:eastAsia="Arial" w:cs="Arial"/>
          <w:b/>
          <w:bCs/>
          <w:i/>
          <w:iCs/>
          <w:sz w:val="28"/>
          <w:szCs w:val="28"/>
          <w:u w:val="single"/>
        </w:rPr>
        <w:t xml:space="preserve"> tomados por </w:t>
      </w:r>
      <w:r w:rsidRPr="00F16BB8">
        <w:rPr>
          <w:rFonts w:eastAsia="Arial" w:cs="Arial"/>
          <w:b/>
          <w:bCs/>
          <w:i/>
          <w:iCs/>
          <w:sz w:val="28"/>
          <w:szCs w:val="28"/>
          <w:u w:val="single"/>
        </w:rPr>
        <w:t>el Consejo Superior</w:t>
      </w:r>
      <w:r w:rsidR="008532F5" w:rsidRPr="00F16BB8">
        <w:rPr>
          <w:rFonts w:eastAsia="Arial" w:cs="Arial"/>
          <w:b/>
          <w:bCs/>
          <w:i/>
          <w:iCs/>
          <w:sz w:val="28"/>
          <w:szCs w:val="28"/>
          <w:u w:val="single"/>
        </w:rPr>
        <w:t xml:space="preserve"> </w:t>
      </w:r>
      <w:r w:rsidR="000847A5" w:rsidRPr="00F16BB8">
        <w:rPr>
          <w:rFonts w:eastAsia="Arial" w:cs="Arial"/>
          <w:b/>
          <w:bCs/>
          <w:i/>
          <w:iCs/>
          <w:sz w:val="28"/>
          <w:szCs w:val="28"/>
          <w:u w:val="single"/>
        </w:rPr>
        <w:t>en:</w:t>
      </w:r>
    </w:p>
    <w:p w14:paraId="36BE4329" w14:textId="31C8B5E7" w:rsidR="00F51617" w:rsidRPr="00F16BB8" w:rsidRDefault="000847A5" w:rsidP="00F16BB8">
      <w:pPr>
        <w:pStyle w:val="Prrafodelista"/>
        <w:numPr>
          <w:ilvl w:val="0"/>
          <w:numId w:val="42"/>
        </w:numPr>
        <w:spacing w:before="0"/>
        <w:rPr>
          <w:rFonts w:eastAsia="Arial"/>
          <w:b/>
          <w:bCs/>
          <w:i/>
          <w:iCs/>
          <w:sz w:val="22"/>
        </w:rPr>
      </w:pPr>
      <w:r w:rsidRPr="00F16BB8">
        <w:rPr>
          <w:rFonts w:eastAsia="Arial"/>
          <w:b/>
          <w:bCs/>
          <w:i/>
          <w:iCs/>
          <w:sz w:val="22"/>
        </w:rPr>
        <w:t>S</w:t>
      </w:r>
      <w:r w:rsidR="009B5E30" w:rsidRPr="00F16BB8">
        <w:rPr>
          <w:rFonts w:eastAsia="Arial"/>
          <w:b/>
          <w:bCs/>
          <w:i/>
          <w:iCs/>
          <w:sz w:val="22"/>
        </w:rPr>
        <w:t xml:space="preserve">esión </w:t>
      </w:r>
      <w:r w:rsidR="00663350" w:rsidRPr="00F16BB8">
        <w:rPr>
          <w:rFonts w:eastAsia="Arial"/>
          <w:b/>
          <w:bCs/>
          <w:i/>
          <w:iCs/>
          <w:sz w:val="22"/>
        </w:rPr>
        <w:t xml:space="preserve">extraordinaria </w:t>
      </w:r>
      <w:r w:rsidR="00A77DA1" w:rsidRPr="00F16BB8">
        <w:rPr>
          <w:rFonts w:eastAsia="Arial"/>
          <w:b/>
          <w:bCs/>
          <w:i/>
          <w:iCs/>
          <w:sz w:val="22"/>
        </w:rPr>
        <w:t>38</w:t>
      </w:r>
      <w:r w:rsidR="00E30A61" w:rsidRPr="00F16BB8">
        <w:rPr>
          <w:rFonts w:eastAsia="Arial"/>
          <w:b/>
          <w:bCs/>
          <w:i/>
          <w:iCs/>
          <w:sz w:val="22"/>
        </w:rPr>
        <w:t>-2020</w:t>
      </w:r>
      <w:r w:rsidR="00FB1601">
        <w:rPr>
          <w:rFonts w:eastAsia="Arial"/>
          <w:b/>
          <w:bCs/>
          <w:i/>
          <w:iCs/>
          <w:sz w:val="22"/>
        </w:rPr>
        <w:t xml:space="preserve"> </w:t>
      </w:r>
      <w:r w:rsidR="39FBC472" w:rsidRPr="00F16BB8">
        <w:rPr>
          <w:rFonts w:eastAsia="Arial"/>
          <w:b/>
          <w:bCs/>
          <w:i/>
          <w:iCs/>
          <w:sz w:val="22"/>
        </w:rPr>
        <w:t xml:space="preserve">celebrada el 17 de abril </w:t>
      </w:r>
      <w:r w:rsidR="00FB1601">
        <w:rPr>
          <w:rFonts w:eastAsia="Arial"/>
          <w:b/>
          <w:bCs/>
          <w:i/>
          <w:iCs/>
          <w:sz w:val="22"/>
        </w:rPr>
        <w:t>2020</w:t>
      </w:r>
      <w:r w:rsidR="39FBC472" w:rsidRPr="00F16BB8">
        <w:rPr>
          <w:rFonts w:eastAsia="Arial"/>
          <w:b/>
          <w:bCs/>
          <w:i/>
          <w:iCs/>
          <w:sz w:val="22"/>
        </w:rPr>
        <w:t>, artículo XXI</w:t>
      </w:r>
      <w:r w:rsidR="00FD1532" w:rsidRPr="00F16BB8">
        <w:rPr>
          <w:rFonts w:eastAsia="Arial"/>
          <w:b/>
          <w:bCs/>
          <w:i/>
          <w:iCs/>
          <w:sz w:val="22"/>
        </w:rPr>
        <w:t>.</w:t>
      </w:r>
    </w:p>
    <w:p w14:paraId="29284C68" w14:textId="5D879548" w:rsidR="008532F5" w:rsidRDefault="008532F5" w:rsidP="008532F5">
      <w:pPr>
        <w:pStyle w:val="Prrafodelista"/>
        <w:numPr>
          <w:ilvl w:val="0"/>
          <w:numId w:val="42"/>
        </w:numPr>
        <w:spacing w:before="0"/>
        <w:rPr>
          <w:rFonts w:eastAsia="Arial"/>
          <w:b/>
          <w:i/>
          <w:sz w:val="22"/>
        </w:rPr>
      </w:pPr>
      <w:r w:rsidRPr="00F16BB8">
        <w:rPr>
          <w:rFonts w:eastAsia="Arial"/>
          <w:b/>
          <w:i/>
          <w:sz w:val="22"/>
        </w:rPr>
        <w:t>Sesión extraordinaria 45-2020</w:t>
      </w:r>
      <w:r w:rsidR="00FB1601">
        <w:rPr>
          <w:rFonts w:eastAsia="Arial"/>
          <w:b/>
          <w:i/>
          <w:sz w:val="22"/>
        </w:rPr>
        <w:t xml:space="preserve"> celebrada </w:t>
      </w:r>
      <w:r w:rsidRPr="00F16BB8">
        <w:rPr>
          <w:rFonts w:eastAsia="Arial"/>
          <w:b/>
          <w:i/>
          <w:sz w:val="22"/>
        </w:rPr>
        <w:t>el 8 de mayo de 2020, artículo XII</w:t>
      </w:r>
      <w:r w:rsidR="00FC7B5C">
        <w:rPr>
          <w:rFonts w:eastAsia="Arial"/>
          <w:b/>
          <w:i/>
          <w:sz w:val="22"/>
        </w:rPr>
        <w:t>.</w:t>
      </w:r>
    </w:p>
    <w:p w14:paraId="14342630" w14:textId="590EECAC" w:rsidR="008532F5" w:rsidRDefault="008532F5" w:rsidP="00F16BB8">
      <w:pPr>
        <w:pStyle w:val="Prrafodelista"/>
        <w:numPr>
          <w:ilvl w:val="0"/>
          <w:numId w:val="42"/>
        </w:numPr>
        <w:spacing w:before="0"/>
        <w:rPr>
          <w:rFonts w:eastAsia="Arial"/>
          <w:b/>
          <w:i/>
          <w:sz w:val="22"/>
        </w:rPr>
      </w:pPr>
      <w:r w:rsidRPr="004133DD">
        <w:rPr>
          <w:rFonts w:eastAsia="Arial"/>
          <w:b/>
          <w:i/>
          <w:sz w:val="22"/>
        </w:rPr>
        <w:t xml:space="preserve">Sesión extraordinaria 48-2020 </w:t>
      </w:r>
      <w:r w:rsidR="00FB1601">
        <w:rPr>
          <w:rFonts w:eastAsia="Arial"/>
          <w:b/>
          <w:i/>
          <w:sz w:val="22"/>
        </w:rPr>
        <w:t>celebrada el</w:t>
      </w:r>
      <w:r w:rsidRPr="004133DD">
        <w:rPr>
          <w:rFonts w:eastAsia="Arial"/>
          <w:b/>
          <w:i/>
          <w:sz w:val="22"/>
        </w:rPr>
        <w:t xml:space="preserve"> 14 de mayo</w:t>
      </w:r>
      <w:r w:rsidR="00FB1601">
        <w:rPr>
          <w:rFonts w:eastAsia="Arial"/>
          <w:b/>
          <w:i/>
          <w:sz w:val="22"/>
        </w:rPr>
        <w:t xml:space="preserve"> 2020, </w:t>
      </w:r>
      <w:r w:rsidRPr="004133DD">
        <w:rPr>
          <w:rFonts w:eastAsia="Arial"/>
          <w:b/>
          <w:i/>
          <w:sz w:val="22"/>
        </w:rPr>
        <w:t>artículos VII y X.</w:t>
      </w:r>
    </w:p>
    <w:p w14:paraId="2C9A6611" w14:textId="41CF4DE5" w:rsidR="00B017EE" w:rsidRPr="00F16BB8" w:rsidRDefault="007A7F0B" w:rsidP="00F16BB8">
      <w:pPr>
        <w:pStyle w:val="Prrafodelista"/>
        <w:numPr>
          <w:ilvl w:val="0"/>
          <w:numId w:val="42"/>
        </w:numPr>
        <w:spacing w:before="0"/>
        <w:rPr>
          <w:rFonts w:eastAsia="Arial"/>
          <w:b/>
          <w:i/>
          <w:sz w:val="22"/>
        </w:rPr>
      </w:pPr>
      <w:r>
        <w:rPr>
          <w:rFonts w:eastAsia="Arial"/>
          <w:b/>
          <w:i/>
          <w:sz w:val="22"/>
        </w:rPr>
        <w:t>Sesión extraordinaria de Corte Plena 31-2020 celebrada el 2 de junio de 2020, artículos I y II.</w:t>
      </w:r>
    </w:p>
    <w:p w14:paraId="5E6BEA5E" w14:textId="77777777" w:rsidR="00B32019" w:rsidRPr="008D2522" w:rsidRDefault="00B32019" w:rsidP="00055CFC">
      <w:pPr>
        <w:spacing w:before="0" w:after="0"/>
        <w:jc w:val="center"/>
        <w:rPr>
          <w:rFonts w:eastAsia="Arial" w:cs="Arial"/>
          <w:sz w:val="16"/>
          <w:szCs w:val="1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3903"/>
        <w:gridCol w:w="3575"/>
      </w:tblGrid>
      <w:tr w:rsidR="004B7EDD" w:rsidRPr="008D2522" w14:paraId="2FF375BD" w14:textId="77777777" w:rsidTr="006754F1">
        <w:trPr>
          <w:trHeight w:val="332"/>
          <w:jc w:val="center"/>
        </w:trPr>
        <w:tc>
          <w:tcPr>
            <w:tcW w:w="764" w:type="pct"/>
            <w:tcBorders>
              <w:top w:val="single" w:sz="4" w:space="0" w:color="FFFFFF"/>
              <w:left w:val="single" w:sz="4" w:space="0" w:color="FFFFFF"/>
            </w:tcBorders>
            <w:vAlign w:val="center"/>
          </w:tcPr>
          <w:p w14:paraId="5B9E7FE4" w14:textId="77777777" w:rsidR="00A727CF" w:rsidRPr="008D2522" w:rsidRDefault="00A727CF" w:rsidP="00055CFC">
            <w:pPr>
              <w:spacing w:before="0" w:after="0"/>
              <w:jc w:val="center"/>
              <w:rPr>
                <w:rFonts w:eastAsia="Arial" w:cs="Arial"/>
                <w:b/>
                <w:bCs/>
              </w:rPr>
            </w:pPr>
          </w:p>
        </w:tc>
        <w:tc>
          <w:tcPr>
            <w:tcW w:w="2211" w:type="pct"/>
            <w:shd w:val="clear" w:color="auto" w:fill="1F497D"/>
            <w:vAlign w:val="center"/>
          </w:tcPr>
          <w:p w14:paraId="6A9D37B3" w14:textId="77777777" w:rsidR="00A727CF" w:rsidRPr="008D2522" w:rsidRDefault="00A727CF" w:rsidP="00055CFC">
            <w:pPr>
              <w:spacing w:before="0" w:after="0"/>
              <w:jc w:val="center"/>
              <w:rPr>
                <w:rFonts w:eastAsia="Arial" w:cs="Arial"/>
                <w:b/>
                <w:bCs/>
                <w:color w:val="FFFFFF"/>
              </w:rPr>
            </w:pPr>
            <w:r w:rsidRPr="008D2522">
              <w:rPr>
                <w:rFonts w:eastAsia="Arial" w:cs="Arial"/>
                <w:b/>
                <w:bCs/>
                <w:color w:val="FFFFFF"/>
              </w:rPr>
              <w:t>NOMBRE</w:t>
            </w:r>
          </w:p>
        </w:tc>
        <w:tc>
          <w:tcPr>
            <w:tcW w:w="2025" w:type="pct"/>
            <w:shd w:val="clear" w:color="auto" w:fill="1F497D"/>
            <w:vAlign w:val="center"/>
          </w:tcPr>
          <w:p w14:paraId="2C6EC11E" w14:textId="77777777" w:rsidR="00A727CF" w:rsidRPr="008D2522" w:rsidRDefault="00A727CF" w:rsidP="00055CFC">
            <w:pPr>
              <w:spacing w:before="0" w:after="0"/>
              <w:jc w:val="center"/>
              <w:rPr>
                <w:rFonts w:eastAsia="Arial" w:cs="Arial"/>
                <w:b/>
                <w:bCs/>
                <w:color w:val="FFFFFF"/>
              </w:rPr>
            </w:pPr>
            <w:r w:rsidRPr="008D2522">
              <w:rPr>
                <w:rFonts w:eastAsia="Arial" w:cs="Arial"/>
                <w:b/>
                <w:bCs/>
                <w:color w:val="FFFFFF"/>
              </w:rPr>
              <w:t>Puesto</w:t>
            </w:r>
          </w:p>
        </w:tc>
      </w:tr>
      <w:tr w:rsidR="004B7EDD" w:rsidRPr="008D2522" w14:paraId="08967901" w14:textId="77777777" w:rsidTr="00892CEC">
        <w:trPr>
          <w:trHeight w:val="632"/>
          <w:jc w:val="center"/>
        </w:trPr>
        <w:tc>
          <w:tcPr>
            <w:tcW w:w="764" w:type="pct"/>
            <w:shd w:val="clear" w:color="auto" w:fill="F2F2F2"/>
            <w:vAlign w:val="center"/>
          </w:tcPr>
          <w:p w14:paraId="29F8A555" w14:textId="77777777" w:rsidR="00A727CF" w:rsidRPr="008D2522" w:rsidRDefault="00A727CF" w:rsidP="00055CFC">
            <w:pPr>
              <w:spacing w:before="0" w:after="0"/>
              <w:jc w:val="center"/>
              <w:rPr>
                <w:rFonts w:eastAsia="Arial" w:cs="Arial"/>
                <w:b/>
                <w:bCs/>
                <w:color w:val="000000"/>
                <w:lang w:eastAsia="es-CR"/>
              </w:rPr>
            </w:pPr>
            <w:r w:rsidRPr="008D2522">
              <w:rPr>
                <w:rFonts w:eastAsia="Arial" w:cs="Arial"/>
                <w:b/>
                <w:bCs/>
                <w:color w:val="000000"/>
                <w:lang w:eastAsia="es-CR"/>
              </w:rPr>
              <w:t>Aprobado por:</w:t>
            </w:r>
          </w:p>
        </w:tc>
        <w:tc>
          <w:tcPr>
            <w:tcW w:w="2211" w:type="pct"/>
            <w:vAlign w:val="center"/>
          </w:tcPr>
          <w:p w14:paraId="42EB8745" w14:textId="77777777" w:rsidR="00A727CF" w:rsidRPr="008D2522" w:rsidRDefault="2C91961A" w:rsidP="00055CFC">
            <w:pPr>
              <w:spacing w:before="0" w:after="0"/>
              <w:jc w:val="center"/>
              <w:rPr>
                <w:rFonts w:eastAsia="Arial" w:cs="Arial"/>
                <w:color w:val="000000"/>
                <w:lang w:eastAsia="es-CR"/>
              </w:rPr>
            </w:pPr>
            <w:r w:rsidRPr="008D2522">
              <w:rPr>
                <w:rFonts w:eastAsia="Arial" w:cs="Arial"/>
                <w:color w:val="000000"/>
                <w:lang w:eastAsia="es-CR"/>
              </w:rPr>
              <w:t>Inga. Elena Gabriela Picado González</w:t>
            </w:r>
          </w:p>
        </w:tc>
        <w:tc>
          <w:tcPr>
            <w:tcW w:w="2025" w:type="pct"/>
            <w:vAlign w:val="center"/>
          </w:tcPr>
          <w:p w14:paraId="60B1304A" w14:textId="77777777" w:rsidR="00A727CF" w:rsidRPr="00A50607" w:rsidRDefault="00A727CF" w:rsidP="00055CFC">
            <w:pPr>
              <w:spacing w:before="0" w:after="0"/>
              <w:rPr>
                <w:rFonts w:eastAsia="Arial" w:cs="Arial"/>
                <w:color w:val="000000"/>
                <w:highlight w:val="lightGray"/>
                <w:lang w:eastAsia="es-CR"/>
              </w:rPr>
            </w:pPr>
            <w:r w:rsidRPr="008D2522">
              <w:rPr>
                <w:rFonts w:eastAsia="Arial" w:cs="Arial"/>
                <w:color w:val="000000"/>
                <w:lang w:eastAsia="es-CR"/>
              </w:rPr>
              <w:t xml:space="preserve">Jefa </w:t>
            </w:r>
            <w:proofErr w:type="spellStart"/>
            <w:r w:rsidRPr="008D2522">
              <w:rPr>
                <w:rFonts w:eastAsia="Arial" w:cs="Arial"/>
                <w:color w:val="000000"/>
                <w:lang w:eastAsia="es-CR"/>
              </w:rPr>
              <w:t>a.i.</w:t>
            </w:r>
            <w:proofErr w:type="spellEnd"/>
            <w:r w:rsidRPr="008D2522">
              <w:rPr>
                <w:rFonts w:eastAsia="Arial" w:cs="Arial"/>
                <w:color w:val="000000"/>
                <w:lang w:eastAsia="es-CR"/>
              </w:rPr>
              <w:t xml:space="preserve"> Subproceso Modernización Institucional</w:t>
            </w:r>
          </w:p>
        </w:tc>
      </w:tr>
      <w:tr w:rsidR="004B7EDD" w:rsidRPr="008D2522" w14:paraId="53344849" w14:textId="77777777" w:rsidTr="00892CEC">
        <w:trPr>
          <w:trHeight w:val="488"/>
          <w:jc w:val="center"/>
        </w:trPr>
        <w:tc>
          <w:tcPr>
            <w:tcW w:w="764" w:type="pct"/>
            <w:shd w:val="clear" w:color="auto" w:fill="F2F2F2"/>
            <w:vAlign w:val="center"/>
          </w:tcPr>
          <w:p w14:paraId="0FACC0FB" w14:textId="77777777" w:rsidR="00A727CF" w:rsidRPr="008D2522" w:rsidRDefault="00A727CF" w:rsidP="00055CFC">
            <w:pPr>
              <w:spacing w:before="0" w:after="0"/>
              <w:jc w:val="center"/>
              <w:rPr>
                <w:rFonts w:eastAsia="Arial" w:cs="Arial"/>
                <w:b/>
                <w:bCs/>
                <w:color w:val="000000"/>
                <w:lang w:eastAsia="es-CR"/>
              </w:rPr>
            </w:pPr>
            <w:r w:rsidRPr="008D2522">
              <w:rPr>
                <w:rFonts w:eastAsia="Arial" w:cs="Arial"/>
                <w:b/>
                <w:bCs/>
                <w:color w:val="000000"/>
                <w:lang w:eastAsia="es-CR"/>
              </w:rPr>
              <w:lastRenderedPageBreak/>
              <w:t>Visto Bueno</w:t>
            </w:r>
          </w:p>
        </w:tc>
        <w:tc>
          <w:tcPr>
            <w:tcW w:w="2211" w:type="pct"/>
            <w:vAlign w:val="center"/>
          </w:tcPr>
          <w:p w14:paraId="717417B3" w14:textId="293449D8" w:rsidR="00A727CF" w:rsidRPr="008D2522" w:rsidRDefault="5FB62A5C" w:rsidP="00055CFC">
            <w:pPr>
              <w:spacing w:before="0" w:after="0"/>
              <w:jc w:val="center"/>
              <w:rPr>
                <w:rFonts w:eastAsia="Arial" w:cs="Arial"/>
                <w:lang w:eastAsia="es-CR"/>
              </w:rPr>
            </w:pPr>
            <w:r w:rsidRPr="008D2522">
              <w:rPr>
                <w:rFonts w:eastAsia="Arial" w:cs="Arial"/>
                <w:lang w:eastAsia="es-CR"/>
              </w:rPr>
              <w:t>Lic</w:t>
            </w:r>
            <w:r w:rsidR="00A727CF" w:rsidRPr="008D2522">
              <w:rPr>
                <w:rFonts w:eastAsia="Arial" w:cs="Arial"/>
                <w:lang w:eastAsia="es-CR"/>
              </w:rPr>
              <w:t>.</w:t>
            </w:r>
            <w:r w:rsidR="00BD76C9" w:rsidRPr="008D2522">
              <w:rPr>
                <w:rFonts w:eastAsia="Arial" w:cs="Arial"/>
                <w:lang w:eastAsia="es-CR"/>
              </w:rPr>
              <w:t xml:space="preserve"> Nacira Valverde Bermúdez</w:t>
            </w:r>
          </w:p>
        </w:tc>
        <w:tc>
          <w:tcPr>
            <w:tcW w:w="2025" w:type="pct"/>
            <w:vAlign w:val="center"/>
          </w:tcPr>
          <w:p w14:paraId="0DBE28EA" w14:textId="77777777" w:rsidR="00A727CF" w:rsidRPr="00A50607" w:rsidRDefault="00BD76C9" w:rsidP="00055CFC">
            <w:pPr>
              <w:spacing w:before="0" w:after="0"/>
              <w:rPr>
                <w:rFonts w:eastAsia="Arial" w:cs="Arial"/>
                <w:color w:val="000000"/>
                <w:highlight w:val="lightGray"/>
                <w:lang w:eastAsia="es-CR"/>
              </w:rPr>
            </w:pPr>
            <w:r w:rsidRPr="008D2522">
              <w:rPr>
                <w:rFonts w:eastAsia="Arial" w:cs="Arial"/>
                <w:lang w:eastAsia="es-CR"/>
              </w:rPr>
              <w:t>Directora de Planificación</w:t>
            </w:r>
          </w:p>
        </w:tc>
      </w:tr>
    </w:tbl>
    <w:p w14:paraId="658B89AB" w14:textId="77777777" w:rsidR="006754F1" w:rsidRPr="008D2522" w:rsidRDefault="006754F1" w:rsidP="00055CFC">
      <w:pPr>
        <w:spacing w:before="0" w:after="0"/>
        <w:jc w:val="center"/>
        <w:rPr>
          <w:rFonts w:eastAsia="Arial" w:cs="Arial"/>
          <w:sz w:val="16"/>
          <w:szCs w:val="16"/>
        </w:rPr>
      </w:pPr>
    </w:p>
    <w:p w14:paraId="17C609F7" w14:textId="29B91DCB" w:rsidR="00A727CF" w:rsidRPr="008D2522" w:rsidRDefault="002F4339" w:rsidP="00055CFC">
      <w:pPr>
        <w:spacing w:before="0" w:after="0"/>
        <w:jc w:val="center"/>
        <w:rPr>
          <w:rFonts w:eastAsia="Arial" w:cs="Arial"/>
          <w:sz w:val="20"/>
          <w:szCs w:val="20"/>
        </w:rPr>
      </w:pPr>
      <w:r w:rsidRPr="7A68C36A">
        <w:rPr>
          <w:rFonts w:eastAsia="Arial" w:cs="Arial"/>
          <w:sz w:val="32"/>
          <w:szCs w:val="32"/>
        </w:rPr>
        <w:t>Ma</w:t>
      </w:r>
      <w:r w:rsidR="342C719D" w:rsidRPr="7A68C36A">
        <w:rPr>
          <w:rFonts w:eastAsia="Arial" w:cs="Arial"/>
          <w:sz w:val="32"/>
          <w:szCs w:val="32"/>
        </w:rPr>
        <w:t>y</w:t>
      </w:r>
      <w:r w:rsidRPr="7A68C36A">
        <w:rPr>
          <w:rFonts w:eastAsia="Arial" w:cs="Arial"/>
          <w:sz w:val="32"/>
          <w:szCs w:val="32"/>
        </w:rPr>
        <w:t>o</w:t>
      </w:r>
      <w:r w:rsidR="00A727CF" w:rsidRPr="008D2522">
        <w:rPr>
          <w:rFonts w:eastAsia="Arial" w:cs="Arial"/>
          <w:sz w:val="32"/>
          <w:szCs w:val="32"/>
        </w:rPr>
        <w:t>, 20</w:t>
      </w:r>
      <w:r w:rsidR="00555131" w:rsidRPr="008D2522">
        <w:rPr>
          <w:rFonts w:eastAsia="Arial" w:cs="Arial"/>
          <w:sz w:val="32"/>
          <w:szCs w:val="32"/>
        </w:rPr>
        <w:t>20</w:t>
      </w:r>
    </w:p>
    <w:p w14:paraId="4FA28A17" w14:textId="6BFB046A" w:rsidR="580834A0" w:rsidRPr="008D2522" w:rsidRDefault="580834A0" w:rsidP="003C5978">
      <w:pPr>
        <w:pStyle w:val="Ttulo1"/>
      </w:pPr>
      <w:r w:rsidRPr="008D2522">
        <w:rPr>
          <w:rStyle w:val="Ttulo1Car"/>
          <w:b/>
          <w:bCs/>
        </w:rPr>
        <w:t>Oficios y referencias</w:t>
      </w:r>
    </w:p>
    <w:p w14:paraId="245F5F4A" w14:textId="77777777" w:rsidR="4E1EE335" w:rsidRPr="00377565" w:rsidRDefault="4E1EE335" w:rsidP="00377565">
      <w:pPr>
        <w:spacing w:line="240" w:lineRule="auto"/>
        <w:rPr>
          <w:rFonts w:ascii="Book Antiqua" w:hAnsi="Book Antiqua"/>
        </w:rPr>
      </w:pPr>
      <w:r w:rsidRPr="00377565">
        <w:rPr>
          <w:rFonts w:ascii="Book Antiqua" w:hAnsi="Book Antiqua"/>
        </w:rPr>
        <w:t xml:space="preserve">En el siguiente cuadro se detalla los números de oficios de la Secretaría General de la Corte que corresponden a las referencias internas de la Dirección de Planificación: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699"/>
        <w:gridCol w:w="5330"/>
      </w:tblGrid>
      <w:tr w:rsidR="00AC17D9" w:rsidRPr="008D2522" w14:paraId="738B3B74" w14:textId="77777777" w:rsidTr="75292FC5">
        <w:trPr>
          <w:trHeight w:val="637"/>
          <w:jc w:val="center"/>
        </w:trPr>
        <w:tc>
          <w:tcPr>
            <w:tcW w:w="1019" w:type="pct"/>
            <w:shd w:val="clear" w:color="auto" w:fill="1F3864" w:themeFill="accent1" w:themeFillShade="80"/>
            <w:vAlign w:val="center"/>
          </w:tcPr>
          <w:p w14:paraId="466081C3" w14:textId="77777777" w:rsidR="0AA38E64" w:rsidRPr="00606AFF" w:rsidRDefault="0AA38E64" w:rsidP="7A68C36A">
            <w:pPr>
              <w:spacing w:before="0" w:after="0" w:line="240" w:lineRule="auto"/>
              <w:jc w:val="center"/>
              <w:rPr>
                <w:rFonts w:ascii="Times New Roman" w:eastAsia="Times New Roman" w:hAnsi="Times New Roman"/>
                <w:b/>
                <w:lang w:eastAsia="es-CR"/>
              </w:rPr>
            </w:pPr>
            <w:r w:rsidRPr="00606AFF">
              <w:rPr>
                <w:rFonts w:ascii="Times New Roman" w:eastAsia="Times New Roman" w:hAnsi="Times New Roman"/>
                <w:b/>
                <w:lang w:eastAsia="es-CR"/>
              </w:rPr>
              <w:t>No. Referencia Interna</w:t>
            </w:r>
          </w:p>
        </w:tc>
        <w:tc>
          <w:tcPr>
            <w:tcW w:w="962" w:type="pct"/>
            <w:shd w:val="clear" w:color="auto" w:fill="1F3864" w:themeFill="accent1" w:themeFillShade="80"/>
            <w:vAlign w:val="center"/>
          </w:tcPr>
          <w:p w14:paraId="1766933A" w14:textId="77777777" w:rsidR="0AA38E64" w:rsidRPr="00606AFF" w:rsidRDefault="0AA38E64" w:rsidP="7A68C36A">
            <w:pPr>
              <w:spacing w:before="0" w:after="0" w:line="240" w:lineRule="auto"/>
              <w:jc w:val="center"/>
              <w:rPr>
                <w:rFonts w:ascii="Times New Roman" w:eastAsia="Times New Roman" w:hAnsi="Times New Roman"/>
                <w:b/>
                <w:lang w:eastAsia="es-CR"/>
              </w:rPr>
            </w:pPr>
            <w:r w:rsidRPr="00606AFF">
              <w:rPr>
                <w:rFonts w:ascii="Times New Roman" w:eastAsia="Times New Roman" w:hAnsi="Times New Roman"/>
                <w:b/>
                <w:lang w:eastAsia="es-CR"/>
              </w:rPr>
              <w:t>No. Oficio de la Secretaría</w:t>
            </w:r>
          </w:p>
        </w:tc>
        <w:tc>
          <w:tcPr>
            <w:tcW w:w="3019" w:type="pct"/>
            <w:shd w:val="clear" w:color="auto" w:fill="1F3864" w:themeFill="accent1" w:themeFillShade="80"/>
            <w:vAlign w:val="center"/>
          </w:tcPr>
          <w:p w14:paraId="2EAD2C15" w14:textId="77777777" w:rsidR="0AA38E64" w:rsidRPr="00606AFF" w:rsidRDefault="0AA38E64" w:rsidP="7A68C36A">
            <w:pPr>
              <w:spacing w:before="0" w:after="0" w:line="240" w:lineRule="auto"/>
              <w:jc w:val="center"/>
              <w:rPr>
                <w:rFonts w:ascii="Times New Roman" w:eastAsia="Times New Roman" w:hAnsi="Times New Roman"/>
                <w:b/>
                <w:lang w:eastAsia="es-CR"/>
              </w:rPr>
            </w:pPr>
            <w:r w:rsidRPr="00606AFF">
              <w:rPr>
                <w:rFonts w:ascii="Times New Roman" w:eastAsia="Times New Roman" w:hAnsi="Times New Roman"/>
                <w:b/>
                <w:lang w:eastAsia="es-CR"/>
              </w:rPr>
              <w:t>Oficios Relacionados</w:t>
            </w:r>
          </w:p>
        </w:tc>
      </w:tr>
      <w:tr w:rsidR="0AA38E64" w:rsidRPr="008D2522" w14:paraId="5CE0A702" w14:textId="77777777" w:rsidTr="00394299">
        <w:trPr>
          <w:trHeight w:val="420"/>
          <w:jc w:val="center"/>
        </w:trPr>
        <w:tc>
          <w:tcPr>
            <w:tcW w:w="1019" w:type="pct"/>
            <w:shd w:val="clear" w:color="auto" w:fill="auto"/>
            <w:vAlign w:val="center"/>
          </w:tcPr>
          <w:p w14:paraId="351A8E41" w14:textId="77777777" w:rsidR="0AA38E64" w:rsidRPr="00E85457" w:rsidRDefault="0AA38E64" w:rsidP="7A68C36A">
            <w:pPr>
              <w:spacing w:before="0" w:after="0" w:line="240" w:lineRule="auto"/>
              <w:jc w:val="center"/>
              <w:rPr>
                <w:rFonts w:ascii="Times New Roman" w:eastAsia="Times New Roman" w:hAnsi="Times New Roman"/>
                <w:lang w:eastAsia="es-CR"/>
              </w:rPr>
            </w:pPr>
            <w:r w:rsidRPr="00E85457">
              <w:rPr>
                <w:rFonts w:ascii="Times New Roman" w:eastAsia="Times New Roman" w:hAnsi="Times New Roman"/>
                <w:lang w:eastAsia="es-CR"/>
              </w:rPr>
              <w:t>1610-18</w:t>
            </w:r>
          </w:p>
        </w:tc>
        <w:tc>
          <w:tcPr>
            <w:tcW w:w="962" w:type="pct"/>
            <w:shd w:val="clear" w:color="auto" w:fill="auto"/>
            <w:vAlign w:val="center"/>
          </w:tcPr>
          <w:p w14:paraId="73E355F9" w14:textId="77777777" w:rsidR="0AA38E64" w:rsidRPr="00E85457" w:rsidRDefault="0AA38E64" w:rsidP="7A68C36A">
            <w:pPr>
              <w:spacing w:before="0" w:after="0" w:line="240" w:lineRule="auto"/>
              <w:jc w:val="center"/>
              <w:rPr>
                <w:rFonts w:ascii="Times New Roman" w:eastAsia="Times New Roman" w:hAnsi="Times New Roman"/>
                <w:lang w:eastAsia="es-CR"/>
              </w:rPr>
            </w:pPr>
            <w:r w:rsidRPr="00E85457">
              <w:rPr>
                <w:rFonts w:ascii="Times New Roman" w:eastAsia="Times New Roman" w:hAnsi="Times New Roman"/>
                <w:lang w:eastAsia="es-CR"/>
              </w:rPr>
              <w:t>10473-18</w:t>
            </w:r>
          </w:p>
        </w:tc>
        <w:tc>
          <w:tcPr>
            <w:tcW w:w="3019" w:type="pct"/>
          </w:tcPr>
          <w:p w14:paraId="154EA183" w14:textId="77777777" w:rsidR="0AA38E64" w:rsidRPr="00E85457" w:rsidRDefault="0AA38E64" w:rsidP="7A68C36A">
            <w:pPr>
              <w:spacing w:before="0" w:after="0" w:line="240" w:lineRule="auto"/>
              <w:jc w:val="center"/>
              <w:rPr>
                <w:rFonts w:ascii="Times New Roman" w:eastAsia="Times New Roman" w:hAnsi="Times New Roman"/>
                <w:lang w:eastAsia="es-CR"/>
              </w:rPr>
            </w:pPr>
            <w:r w:rsidRPr="00E85457">
              <w:rPr>
                <w:rFonts w:ascii="Times New Roman" w:eastAsia="Times New Roman" w:hAnsi="Times New Roman"/>
                <w:lang w:eastAsia="es-CR"/>
              </w:rPr>
              <w:t>-</w:t>
            </w:r>
          </w:p>
        </w:tc>
      </w:tr>
      <w:tr w:rsidR="0AA38E64" w:rsidRPr="008D2522" w14:paraId="49A7FA21" w14:textId="77777777" w:rsidTr="00394299">
        <w:trPr>
          <w:trHeight w:val="420"/>
          <w:jc w:val="center"/>
        </w:trPr>
        <w:tc>
          <w:tcPr>
            <w:tcW w:w="1019" w:type="pct"/>
            <w:shd w:val="clear" w:color="auto" w:fill="auto"/>
            <w:vAlign w:val="center"/>
          </w:tcPr>
          <w:p w14:paraId="612E113D" w14:textId="77777777" w:rsidR="0AA38E64" w:rsidRPr="00E85457" w:rsidRDefault="0AA38E64" w:rsidP="7A68C36A">
            <w:pPr>
              <w:spacing w:before="0" w:after="0" w:line="240" w:lineRule="auto"/>
              <w:jc w:val="center"/>
              <w:rPr>
                <w:rFonts w:ascii="Times New Roman" w:eastAsia="Times New Roman" w:hAnsi="Times New Roman"/>
                <w:lang w:eastAsia="es-CR"/>
              </w:rPr>
            </w:pPr>
            <w:r w:rsidRPr="00E85457">
              <w:rPr>
                <w:rFonts w:ascii="Times New Roman" w:eastAsia="Times New Roman" w:hAnsi="Times New Roman"/>
                <w:lang w:eastAsia="es-CR"/>
              </w:rPr>
              <w:t>1692-18</w:t>
            </w:r>
          </w:p>
        </w:tc>
        <w:tc>
          <w:tcPr>
            <w:tcW w:w="962" w:type="pct"/>
            <w:shd w:val="clear" w:color="auto" w:fill="auto"/>
            <w:vAlign w:val="center"/>
          </w:tcPr>
          <w:p w14:paraId="75BD0621" w14:textId="77777777" w:rsidR="0AA38E64" w:rsidRPr="00E85457" w:rsidRDefault="0AA38E64" w:rsidP="7A68C36A">
            <w:pPr>
              <w:spacing w:before="0" w:after="0" w:line="240" w:lineRule="auto"/>
              <w:jc w:val="center"/>
              <w:rPr>
                <w:rFonts w:ascii="Times New Roman" w:eastAsia="Times New Roman" w:hAnsi="Times New Roman"/>
                <w:lang w:eastAsia="es-CR"/>
              </w:rPr>
            </w:pPr>
            <w:r w:rsidRPr="00E85457">
              <w:rPr>
                <w:rFonts w:ascii="Times New Roman" w:eastAsia="Times New Roman" w:hAnsi="Times New Roman"/>
                <w:lang w:eastAsia="es-CR"/>
              </w:rPr>
              <w:t>10880-18</w:t>
            </w:r>
          </w:p>
        </w:tc>
        <w:tc>
          <w:tcPr>
            <w:tcW w:w="3019" w:type="pct"/>
          </w:tcPr>
          <w:p w14:paraId="2BA293E3" w14:textId="77777777" w:rsidR="0AA38E64" w:rsidRPr="00E85457" w:rsidRDefault="0AA38E64" w:rsidP="7A68C36A">
            <w:pPr>
              <w:spacing w:before="0" w:after="0" w:line="240" w:lineRule="auto"/>
              <w:jc w:val="center"/>
              <w:rPr>
                <w:rFonts w:ascii="Times New Roman" w:eastAsia="Times New Roman" w:hAnsi="Times New Roman"/>
                <w:lang w:eastAsia="es-CR"/>
              </w:rPr>
            </w:pPr>
            <w:r w:rsidRPr="00E85457">
              <w:rPr>
                <w:rFonts w:ascii="Times New Roman" w:eastAsia="Times New Roman" w:hAnsi="Times New Roman"/>
                <w:lang w:eastAsia="es-CR"/>
              </w:rPr>
              <w:t>-</w:t>
            </w:r>
          </w:p>
        </w:tc>
      </w:tr>
      <w:tr w:rsidR="0AA38E64" w:rsidRPr="008D2522" w14:paraId="1C2B66ED" w14:textId="77777777" w:rsidTr="00E85457">
        <w:trPr>
          <w:trHeight w:val="442"/>
          <w:jc w:val="center"/>
        </w:trPr>
        <w:tc>
          <w:tcPr>
            <w:tcW w:w="1019" w:type="pct"/>
            <w:shd w:val="clear" w:color="auto" w:fill="auto"/>
            <w:vAlign w:val="center"/>
          </w:tcPr>
          <w:p w14:paraId="0586EBB1" w14:textId="77777777" w:rsidR="0AA38E64" w:rsidRPr="00E85457" w:rsidRDefault="0AA38E64" w:rsidP="7A68C36A">
            <w:pPr>
              <w:spacing w:before="0" w:after="0" w:line="240" w:lineRule="auto"/>
              <w:jc w:val="center"/>
              <w:rPr>
                <w:rFonts w:ascii="Times New Roman" w:eastAsia="Times New Roman" w:hAnsi="Times New Roman"/>
                <w:lang w:eastAsia="es-CR"/>
              </w:rPr>
            </w:pPr>
            <w:r w:rsidRPr="00E85457">
              <w:rPr>
                <w:rFonts w:ascii="Times New Roman" w:eastAsia="Times New Roman" w:hAnsi="Times New Roman"/>
                <w:lang w:eastAsia="es-CR"/>
              </w:rPr>
              <w:t>1859-18</w:t>
            </w:r>
          </w:p>
        </w:tc>
        <w:tc>
          <w:tcPr>
            <w:tcW w:w="962" w:type="pct"/>
            <w:shd w:val="clear" w:color="auto" w:fill="auto"/>
            <w:vAlign w:val="center"/>
          </w:tcPr>
          <w:p w14:paraId="0931C942" w14:textId="77777777" w:rsidR="0AA38E64" w:rsidRPr="00E85457" w:rsidRDefault="0AA38E64" w:rsidP="7A68C36A">
            <w:pPr>
              <w:spacing w:before="0" w:after="0" w:line="240" w:lineRule="auto"/>
              <w:jc w:val="center"/>
              <w:rPr>
                <w:rFonts w:ascii="Times New Roman" w:eastAsia="Times New Roman" w:hAnsi="Times New Roman"/>
                <w:lang w:eastAsia="es-CR"/>
              </w:rPr>
            </w:pPr>
            <w:r w:rsidRPr="00E85457">
              <w:rPr>
                <w:rFonts w:ascii="Times New Roman" w:eastAsia="Times New Roman" w:hAnsi="Times New Roman"/>
                <w:lang w:eastAsia="es-CR"/>
              </w:rPr>
              <w:t>-</w:t>
            </w:r>
          </w:p>
        </w:tc>
        <w:tc>
          <w:tcPr>
            <w:tcW w:w="3019" w:type="pct"/>
          </w:tcPr>
          <w:p w14:paraId="38C0AECA" w14:textId="3644973C" w:rsidR="0AA38E64" w:rsidRPr="00E85457" w:rsidRDefault="0AA38E64" w:rsidP="7A68C36A">
            <w:pPr>
              <w:spacing w:before="0" w:after="0" w:line="240" w:lineRule="auto"/>
              <w:jc w:val="center"/>
              <w:rPr>
                <w:rFonts w:ascii="Times New Roman" w:eastAsia="Times New Roman" w:hAnsi="Times New Roman"/>
                <w:lang w:eastAsia="es-CR"/>
              </w:rPr>
            </w:pPr>
            <w:r w:rsidRPr="00E85457">
              <w:rPr>
                <w:rFonts w:ascii="Times New Roman" w:eastAsia="Times New Roman" w:hAnsi="Times New Roman"/>
                <w:lang w:eastAsia="es-CR"/>
              </w:rPr>
              <w:t>Correo del 13-nov-18 de la Dirección de la Defensa Pública, sobre cantidad de usuarios indígenas</w:t>
            </w:r>
          </w:p>
        </w:tc>
      </w:tr>
      <w:tr w:rsidR="0AA38E64" w:rsidRPr="008D2522" w14:paraId="0CB0CED4" w14:textId="77777777" w:rsidTr="00394299">
        <w:trPr>
          <w:trHeight w:val="420"/>
          <w:jc w:val="center"/>
        </w:trPr>
        <w:tc>
          <w:tcPr>
            <w:tcW w:w="1019" w:type="pct"/>
            <w:shd w:val="clear" w:color="auto" w:fill="auto"/>
            <w:vAlign w:val="center"/>
          </w:tcPr>
          <w:p w14:paraId="000694F2" w14:textId="77777777" w:rsidR="0AA38E64" w:rsidRPr="00E85457" w:rsidRDefault="0AA38E64" w:rsidP="7A68C36A">
            <w:pPr>
              <w:spacing w:before="0" w:after="0" w:line="240" w:lineRule="auto"/>
              <w:jc w:val="center"/>
              <w:rPr>
                <w:rFonts w:ascii="Times New Roman" w:eastAsia="Times New Roman" w:hAnsi="Times New Roman"/>
                <w:lang w:eastAsia="es-CR"/>
              </w:rPr>
            </w:pPr>
            <w:r w:rsidRPr="00E85457">
              <w:rPr>
                <w:rFonts w:ascii="Times New Roman" w:eastAsia="Times New Roman" w:hAnsi="Times New Roman"/>
                <w:lang w:eastAsia="es-CR"/>
              </w:rPr>
              <w:t>150-19</w:t>
            </w:r>
          </w:p>
        </w:tc>
        <w:tc>
          <w:tcPr>
            <w:tcW w:w="962" w:type="pct"/>
            <w:shd w:val="clear" w:color="auto" w:fill="auto"/>
            <w:vAlign w:val="center"/>
          </w:tcPr>
          <w:p w14:paraId="39BE2788" w14:textId="77777777" w:rsidR="0AA38E64" w:rsidRPr="00E85457" w:rsidRDefault="0AA38E64" w:rsidP="7A68C36A">
            <w:pPr>
              <w:spacing w:before="0" w:after="0" w:line="240" w:lineRule="auto"/>
              <w:jc w:val="center"/>
              <w:rPr>
                <w:rFonts w:ascii="Times New Roman" w:eastAsia="Times New Roman" w:hAnsi="Times New Roman"/>
                <w:lang w:eastAsia="es-CR"/>
              </w:rPr>
            </w:pPr>
            <w:r w:rsidRPr="00E85457">
              <w:rPr>
                <w:rFonts w:ascii="Times New Roman" w:eastAsia="Times New Roman" w:hAnsi="Times New Roman"/>
                <w:lang w:eastAsia="es-CR"/>
              </w:rPr>
              <w:t>951-19</w:t>
            </w:r>
          </w:p>
        </w:tc>
        <w:tc>
          <w:tcPr>
            <w:tcW w:w="3019" w:type="pct"/>
          </w:tcPr>
          <w:p w14:paraId="518530EF" w14:textId="77777777" w:rsidR="0AA38E64" w:rsidRPr="00E85457" w:rsidRDefault="0AA38E64" w:rsidP="7A68C36A">
            <w:pPr>
              <w:spacing w:before="0" w:after="0" w:line="240" w:lineRule="auto"/>
              <w:jc w:val="center"/>
              <w:rPr>
                <w:rFonts w:ascii="Times New Roman" w:eastAsia="Times New Roman" w:hAnsi="Times New Roman"/>
                <w:lang w:eastAsia="es-CR"/>
              </w:rPr>
            </w:pPr>
            <w:r w:rsidRPr="00E85457">
              <w:rPr>
                <w:rFonts w:ascii="Times New Roman" w:eastAsia="Times New Roman" w:hAnsi="Times New Roman"/>
                <w:lang w:eastAsia="es-CR"/>
              </w:rPr>
              <w:t>-</w:t>
            </w:r>
          </w:p>
        </w:tc>
      </w:tr>
      <w:tr w:rsidR="0AA38E64" w:rsidRPr="008D2522" w14:paraId="16DC9CFA" w14:textId="77777777" w:rsidTr="00394299">
        <w:trPr>
          <w:trHeight w:val="420"/>
          <w:jc w:val="center"/>
        </w:trPr>
        <w:tc>
          <w:tcPr>
            <w:tcW w:w="1019" w:type="pct"/>
            <w:shd w:val="clear" w:color="auto" w:fill="auto"/>
            <w:vAlign w:val="center"/>
          </w:tcPr>
          <w:p w14:paraId="57455A09" w14:textId="77777777" w:rsidR="0AA38E64" w:rsidRPr="00E85457" w:rsidRDefault="0AA38E64" w:rsidP="7A68C36A">
            <w:pPr>
              <w:spacing w:before="0" w:after="0" w:line="240" w:lineRule="auto"/>
              <w:jc w:val="center"/>
              <w:rPr>
                <w:rFonts w:ascii="Times New Roman" w:eastAsia="Times New Roman" w:hAnsi="Times New Roman"/>
                <w:lang w:eastAsia="es-CR"/>
              </w:rPr>
            </w:pPr>
            <w:r w:rsidRPr="00E85457">
              <w:rPr>
                <w:rFonts w:ascii="Times New Roman" w:eastAsia="Times New Roman" w:hAnsi="Times New Roman"/>
                <w:lang w:eastAsia="es-CR"/>
              </w:rPr>
              <w:t>384-19</w:t>
            </w:r>
          </w:p>
        </w:tc>
        <w:tc>
          <w:tcPr>
            <w:tcW w:w="962" w:type="pct"/>
            <w:shd w:val="clear" w:color="auto" w:fill="auto"/>
            <w:vAlign w:val="center"/>
          </w:tcPr>
          <w:p w14:paraId="2E59F5E4" w14:textId="77777777" w:rsidR="0AA38E64" w:rsidRPr="00E85457" w:rsidRDefault="0AA38E64" w:rsidP="7A68C36A">
            <w:pPr>
              <w:spacing w:before="0" w:after="0" w:line="240" w:lineRule="auto"/>
              <w:jc w:val="center"/>
              <w:rPr>
                <w:rFonts w:ascii="Times New Roman" w:eastAsia="Times New Roman" w:hAnsi="Times New Roman"/>
                <w:lang w:eastAsia="es-CR"/>
              </w:rPr>
            </w:pPr>
            <w:r w:rsidRPr="00E85457">
              <w:rPr>
                <w:rFonts w:ascii="Times New Roman" w:eastAsia="Times New Roman" w:hAnsi="Times New Roman"/>
                <w:lang w:eastAsia="es-CR"/>
              </w:rPr>
              <w:t>2339-19</w:t>
            </w:r>
          </w:p>
        </w:tc>
        <w:tc>
          <w:tcPr>
            <w:tcW w:w="3019" w:type="pct"/>
          </w:tcPr>
          <w:p w14:paraId="0D6665B9" w14:textId="77777777" w:rsidR="0AA38E64" w:rsidRPr="00E85457" w:rsidRDefault="0AA38E64" w:rsidP="7A68C36A">
            <w:pPr>
              <w:spacing w:before="0" w:after="0" w:line="240" w:lineRule="auto"/>
              <w:jc w:val="center"/>
              <w:rPr>
                <w:rFonts w:ascii="Times New Roman" w:eastAsia="Times New Roman" w:hAnsi="Times New Roman"/>
                <w:lang w:eastAsia="es-CR"/>
              </w:rPr>
            </w:pPr>
            <w:r w:rsidRPr="00E85457">
              <w:rPr>
                <w:rFonts w:ascii="Times New Roman" w:eastAsia="Times New Roman" w:hAnsi="Times New Roman"/>
                <w:lang w:eastAsia="es-CR"/>
              </w:rPr>
              <w:t>-</w:t>
            </w:r>
          </w:p>
        </w:tc>
      </w:tr>
    </w:tbl>
    <w:p w14:paraId="6F5CBF08" w14:textId="77777777" w:rsidR="0AA38E64" w:rsidRPr="008D2522" w:rsidRDefault="0AA38E64" w:rsidP="00055CFC">
      <w:pPr>
        <w:spacing w:before="0" w:after="0"/>
        <w:rPr>
          <w:rFonts w:eastAsia="Arial" w:cs="Arial"/>
        </w:rPr>
      </w:pPr>
    </w:p>
    <w:p w14:paraId="4F02F073" w14:textId="752272A6" w:rsidR="0A67FD50" w:rsidRPr="008D2522" w:rsidRDefault="0A67FD50" w:rsidP="003C5978">
      <w:pPr>
        <w:pStyle w:val="Ttulo1"/>
      </w:pPr>
      <w:r w:rsidRPr="008D2522">
        <w:t>P</w:t>
      </w:r>
      <w:r w:rsidR="001A5575" w:rsidRPr="008D2522">
        <w:t>royecto u oficinas analizadas</w:t>
      </w:r>
    </w:p>
    <w:p w14:paraId="0FBB782E" w14:textId="4FA967F4" w:rsidR="0A67FD50" w:rsidRPr="00377565" w:rsidRDefault="0A67FD50" w:rsidP="00377565">
      <w:pPr>
        <w:spacing w:line="240" w:lineRule="auto"/>
        <w:rPr>
          <w:rFonts w:ascii="Book Antiqua" w:hAnsi="Book Antiqua"/>
          <w:highlight w:val="red"/>
        </w:rPr>
      </w:pPr>
      <w:r w:rsidRPr="00377565">
        <w:rPr>
          <w:rFonts w:ascii="Book Antiqua" w:hAnsi="Book Antiqua"/>
        </w:rPr>
        <w:t>Impacto organizacional y presupuestario en el Poder Judicial a partir de la promulgación de la Ley 9593 de Acceso a la Justicia de los Pueblos Indígenas</w:t>
      </w:r>
      <w:r w:rsidR="0FE08F79" w:rsidRPr="00377565">
        <w:rPr>
          <w:rFonts w:ascii="Book Antiqua" w:hAnsi="Book Antiqua"/>
        </w:rPr>
        <w:t>.</w:t>
      </w:r>
    </w:p>
    <w:p w14:paraId="529DDD22" w14:textId="21C67E7E" w:rsidR="0A67FD50" w:rsidRPr="00377565" w:rsidRDefault="001A5575" w:rsidP="003C5978">
      <w:pPr>
        <w:pStyle w:val="Ttulo1"/>
      </w:pPr>
      <w:r w:rsidRPr="008D2522">
        <w:br w:type="page"/>
      </w:r>
      <w:r w:rsidR="0A67FD50" w:rsidRPr="00377565">
        <w:lastRenderedPageBreak/>
        <w:t>Antecedentes</w:t>
      </w:r>
    </w:p>
    <w:p w14:paraId="21F5D68A" w14:textId="5637BB10" w:rsidR="0A67FD50" w:rsidRPr="00377565" w:rsidRDefault="1A2FC29B" w:rsidP="00377565">
      <w:pPr>
        <w:spacing w:line="240" w:lineRule="auto"/>
        <w:rPr>
          <w:rFonts w:ascii="Book Antiqua" w:hAnsi="Book Antiqua"/>
        </w:rPr>
      </w:pPr>
      <w:r w:rsidRPr="00377565">
        <w:rPr>
          <w:rFonts w:ascii="Book Antiqua" w:hAnsi="Book Antiqua"/>
        </w:rPr>
        <w:t>M</w:t>
      </w:r>
      <w:r w:rsidR="0A67FD50" w:rsidRPr="00377565">
        <w:rPr>
          <w:rFonts w:ascii="Book Antiqua" w:hAnsi="Book Antiqua"/>
        </w:rPr>
        <w:t>ediante oficio 37-CSP-18 del 9 de abril, de la Secretaría General de la Corte, se remite el acuerdo del Consejo Superior, sesión extraordinaria 25-18 del 4 de abril, donde se aprobó el informe 20-PLA-OI-2018, presentado por la Dirección de Planificación y sus recomendaciones, entre las que se destaca asignar siete plazas extraordinarias de Defensor Público para la atención de materia Agraria, por todo el período 2018 en apoyo del plan de descongestionamiento del Tribunal Agrario, y se estima la continuidad de las plazas de defensores para el período 2019.</w:t>
      </w:r>
    </w:p>
    <w:p w14:paraId="0A30698B" w14:textId="00F26DF0" w:rsidR="0A67FD50" w:rsidRPr="00377565" w:rsidRDefault="0A67FD50" w:rsidP="00377565">
      <w:pPr>
        <w:spacing w:line="240" w:lineRule="auto"/>
        <w:rPr>
          <w:rFonts w:ascii="Book Antiqua" w:hAnsi="Book Antiqua"/>
        </w:rPr>
      </w:pPr>
      <w:r w:rsidRPr="00377565">
        <w:rPr>
          <w:rFonts w:ascii="Book Antiqua" w:hAnsi="Book Antiqua"/>
        </w:rPr>
        <w:t>Por otra parte, en relación con el Proyecto de Ley denominado</w:t>
      </w:r>
      <w:r w:rsidRPr="00377565">
        <w:rPr>
          <w:rFonts w:ascii="Book Antiqua" w:hAnsi="Book Antiqua"/>
          <w:i/>
          <w:iCs/>
        </w:rPr>
        <w:t>: “Carta de derechos sobre acceso a la justicia de los pueblos indígenas”</w:t>
      </w:r>
      <w:r w:rsidRPr="00377565">
        <w:rPr>
          <w:rFonts w:ascii="Book Antiqua" w:hAnsi="Book Antiqua"/>
        </w:rPr>
        <w:t>, expediente 17805; mediante oficio 10880-18 del 22 de agosto</w:t>
      </w:r>
      <w:r w:rsidR="00E57125" w:rsidRPr="00377565">
        <w:rPr>
          <w:rFonts w:ascii="Book Antiqua" w:hAnsi="Book Antiqua"/>
        </w:rPr>
        <w:t xml:space="preserve"> de 2018</w:t>
      </w:r>
      <w:r w:rsidRPr="00377565">
        <w:rPr>
          <w:rFonts w:ascii="Book Antiqua" w:hAnsi="Book Antiqua"/>
        </w:rPr>
        <w:t xml:space="preserve">, de la Secretaría General de la Corte, se remite el acuerdo del Consejo Superior, en sesión 86-18, del 2 de octubre, artículo LXVI donde  se acoge la solicitud presentada por la </w:t>
      </w:r>
      <w:r w:rsidR="00E57125" w:rsidRPr="00377565">
        <w:rPr>
          <w:rFonts w:ascii="Book Antiqua" w:hAnsi="Book Antiqua"/>
        </w:rPr>
        <w:t>Jefatura d</w:t>
      </w:r>
      <w:r w:rsidRPr="00377565">
        <w:rPr>
          <w:rFonts w:ascii="Book Antiqua" w:hAnsi="Book Antiqua"/>
        </w:rPr>
        <w:t>e la Defensa Pública mediante oficio JEFDP-1123-2018 del 17 de setiembre</w:t>
      </w:r>
      <w:r w:rsidR="00E57125" w:rsidRPr="00377565">
        <w:rPr>
          <w:rFonts w:ascii="Book Antiqua" w:hAnsi="Book Antiqua"/>
        </w:rPr>
        <w:t xml:space="preserve"> de 2018</w:t>
      </w:r>
      <w:r w:rsidRPr="00377565">
        <w:rPr>
          <w:rFonts w:ascii="Book Antiqua" w:hAnsi="Book Antiqua"/>
        </w:rPr>
        <w:t xml:space="preserve"> y se hace de conocimiento del acuerdo a la Dirección de Planificación con la finalidad que realice el análisis de todos los aspectos que implique el cambio por la entrada en vigencia de lo que ese entonces era el proyecto de Ley. En este particular, se resalta que la Ley 9593 de Acceso a la justicia de los pueblos indígenas de Costa Rica, entró en vigencia a partir de su publicación, la cual fue realizada en la </w:t>
      </w:r>
      <w:r w:rsidR="4457F497" w:rsidRPr="00377565">
        <w:rPr>
          <w:rFonts w:ascii="Book Antiqua" w:hAnsi="Book Antiqua"/>
        </w:rPr>
        <w:t>Gaceta 179</w:t>
      </w:r>
      <w:r w:rsidRPr="00377565">
        <w:rPr>
          <w:rFonts w:ascii="Book Antiqua" w:hAnsi="Book Antiqua"/>
        </w:rPr>
        <w:t xml:space="preserve"> (Alcance 174) del 28 de setiembre de 2018. </w:t>
      </w:r>
    </w:p>
    <w:p w14:paraId="03ED7489" w14:textId="77777777" w:rsidR="0A67FD50" w:rsidRPr="00377565" w:rsidRDefault="0A67FD50" w:rsidP="00377565">
      <w:pPr>
        <w:spacing w:line="240" w:lineRule="auto"/>
        <w:rPr>
          <w:rFonts w:ascii="Book Antiqua" w:hAnsi="Book Antiqua"/>
        </w:rPr>
      </w:pPr>
      <w:r w:rsidRPr="00377565">
        <w:rPr>
          <w:rFonts w:ascii="Book Antiqua" w:hAnsi="Book Antiqua"/>
        </w:rPr>
        <w:t xml:space="preserve">Además, mediante oficio JEFDP-1244-2018 del 1 de octubre de 2018, de la Dirección de la Defensa Pública señala que: </w:t>
      </w:r>
    </w:p>
    <w:p w14:paraId="6A8AACE2" w14:textId="77777777" w:rsidR="0A67FD50" w:rsidRPr="00377565" w:rsidRDefault="0A67FD50" w:rsidP="00B2713C">
      <w:pPr>
        <w:ind w:left="708"/>
        <w:rPr>
          <w:rFonts w:ascii="Book Antiqua" w:hAnsi="Book Antiqua"/>
          <w:i/>
          <w:iCs/>
        </w:rPr>
      </w:pPr>
      <w:r w:rsidRPr="00377565">
        <w:rPr>
          <w:rFonts w:ascii="Book Antiqua" w:hAnsi="Book Antiqua"/>
          <w:i/>
          <w:iCs/>
        </w:rPr>
        <w:t>“Dentro del estudio que realiza la Dirección de Planificación sobre las cargas de trabajo de plazas asignadas a la jurisdicción de Flagrancia, se valore la posibilidad de que algunas de estas plazas sean reasignadas a la atención de la población indígena para garantizar su acceso a la justicia (…)”</w:t>
      </w:r>
    </w:p>
    <w:p w14:paraId="39FA1C80" w14:textId="14AA1CC1" w:rsidR="0A67FD50" w:rsidRPr="00377565" w:rsidRDefault="0A67FD50" w:rsidP="00377565">
      <w:pPr>
        <w:spacing w:line="240" w:lineRule="auto"/>
        <w:rPr>
          <w:rFonts w:ascii="Book Antiqua" w:hAnsi="Book Antiqua"/>
        </w:rPr>
      </w:pPr>
      <w:r w:rsidRPr="00377565">
        <w:rPr>
          <w:rFonts w:ascii="Book Antiqua" w:hAnsi="Book Antiqua"/>
        </w:rPr>
        <w:t>En razón de lo anterior, mediante oficio 10473-18, del 9 de octubre de 2018, de la Secretaría General de la Corte, se remite el acuerdo del Consejo Superior, en sesión 87-18 del 4 de octubre</w:t>
      </w:r>
      <w:r w:rsidR="00E57125" w:rsidRPr="00377565">
        <w:rPr>
          <w:rFonts w:ascii="Book Antiqua" w:hAnsi="Book Antiqua"/>
        </w:rPr>
        <w:t xml:space="preserve"> de 2018</w:t>
      </w:r>
      <w:r w:rsidRPr="00377565">
        <w:rPr>
          <w:rFonts w:ascii="Book Antiqua" w:hAnsi="Book Antiqua"/>
        </w:rPr>
        <w:t>, artículo LXXXIV</w:t>
      </w:r>
      <w:r w:rsidR="00E57125" w:rsidRPr="00377565">
        <w:rPr>
          <w:rFonts w:ascii="Book Antiqua" w:hAnsi="Book Antiqua"/>
        </w:rPr>
        <w:t>,</w:t>
      </w:r>
      <w:r w:rsidRPr="00377565">
        <w:rPr>
          <w:rFonts w:ascii="Book Antiqua" w:hAnsi="Book Antiqua"/>
        </w:rPr>
        <w:t xml:space="preserve"> donde se considera trasladar la gestión presentada por</w:t>
      </w:r>
      <w:r w:rsidR="00E57125" w:rsidRPr="00377565">
        <w:rPr>
          <w:rFonts w:ascii="Book Antiqua" w:hAnsi="Book Antiqua"/>
        </w:rPr>
        <w:t xml:space="preserve"> la</w:t>
      </w:r>
      <w:r w:rsidRPr="00377565">
        <w:rPr>
          <w:rFonts w:ascii="Book Antiqua" w:hAnsi="Book Antiqua"/>
        </w:rPr>
        <w:t xml:space="preserve"> máster Diana Montero </w:t>
      </w:r>
      <w:proofErr w:type="spellStart"/>
      <w:r w:rsidRPr="00377565">
        <w:rPr>
          <w:rFonts w:ascii="Book Antiqua" w:hAnsi="Book Antiqua"/>
        </w:rPr>
        <w:t>Montero</w:t>
      </w:r>
      <w:proofErr w:type="spellEnd"/>
      <w:r w:rsidRPr="00377565">
        <w:rPr>
          <w:rFonts w:ascii="Book Antiqua" w:hAnsi="Book Antiqua"/>
        </w:rPr>
        <w:t xml:space="preserve">, Jefa </w:t>
      </w:r>
      <w:proofErr w:type="spellStart"/>
      <w:r w:rsidRPr="00377565">
        <w:rPr>
          <w:rFonts w:ascii="Book Antiqua" w:hAnsi="Book Antiqua"/>
        </w:rPr>
        <w:t>a.i.</w:t>
      </w:r>
      <w:proofErr w:type="spellEnd"/>
      <w:r w:rsidRPr="00377565">
        <w:rPr>
          <w:rFonts w:ascii="Book Antiqua" w:hAnsi="Book Antiqua"/>
        </w:rPr>
        <w:t xml:space="preserve"> de la Defensa Pública, mediante oficio JEFDP-1244-2018 del 1 de octubre de 2018, a estudio de la Dirección de Planificación, e informe a este Consejo lo que corresponde.</w:t>
      </w:r>
    </w:p>
    <w:p w14:paraId="7F51E815" w14:textId="4FBACA19" w:rsidR="0A67FD50" w:rsidRPr="00377565" w:rsidRDefault="0A67FD50" w:rsidP="00377565">
      <w:pPr>
        <w:spacing w:line="240" w:lineRule="auto"/>
        <w:rPr>
          <w:rFonts w:ascii="Book Antiqua" w:hAnsi="Book Antiqua"/>
          <w:i/>
          <w:iCs/>
        </w:rPr>
      </w:pPr>
      <w:r w:rsidRPr="00377565">
        <w:rPr>
          <w:rFonts w:ascii="Book Antiqua" w:hAnsi="Book Antiqua"/>
        </w:rPr>
        <w:t xml:space="preserve">Por otro lado, </w:t>
      </w:r>
      <w:r w:rsidR="4FF76F4D" w:rsidRPr="00377565">
        <w:rPr>
          <w:rFonts w:ascii="Book Antiqua" w:hAnsi="Book Antiqua"/>
        </w:rPr>
        <w:t xml:space="preserve">en lo </w:t>
      </w:r>
      <w:r w:rsidRPr="00377565">
        <w:rPr>
          <w:rFonts w:ascii="Book Antiqua" w:hAnsi="Book Antiqua"/>
        </w:rPr>
        <w:t xml:space="preserve">referente al patrocinio letrado de los servidores judiciales legalmente encomendado a la Jefatura de la Defensa Pública (artículo 152 de la Ley </w:t>
      </w:r>
      <w:r w:rsidRPr="00377565">
        <w:rPr>
          <w:rFonts w:ascii="Book Antiqua" w:hAnsi="Book Antiqua"/>
        </w:rPr>
        <w:lastRenderedPageBreak/>
        <w:t xml:space="preserve">Orgánica del Poder Judicial), </w:t>
      </w:r>
      <w:r w:rsidR="4E8C5E6D" w:rsidRPr="00377565">
        <w:rPr>
          <w:rFonts w:ascii="Book Antiqua" w:hAnsi="Book Antiqua"/>
        </w:rPr>
        <w:t xml:space="preserve">en la sesión 43-2019 </w:t>
      </w:r>
      <w:r w:rsidR="1D64CF15" w:rsidRPr="00377565">
        <w:rPr>
          <w:rFonts w:ascii="Book Antiqua" w:hAnsi="Book Antiqua"/>
        </w:rPr>
        <w:t xml:space="preserve">del Consejo Superior </w:t>
      </w:r>
      <w:r w:rsidR="4E8C5E6D" w:rsidRPr="00377565">
        <w:rPr>
          <w:rFonts w:ascii="Book Antiqua" w:hAnsi="Book Antiqua"/>
        </w:rPr>
        <w:t xml:space="preserve">artículo XL del 14 de mayo 2019, se acordó trasladar una plaza de </w:t>
      </w:r>
      <w:r w:rsidR="49472B7E" w:rsidRPr="00377565">
        <w:rPr>
          <w:rFonts w:ascii="Book Antiqua" w:hAnsi="Book Antiqua"/>
        </w:rPr>
        <w:t>persona defensora</w:t>
      </w:r>
      <w:r w:rsidR="4E8C5E6D" w:rsidRPr="00377565">
        <w:rPr>
          <w:rFonts w:ascii="Book Antiqua" w:hAnsi="Book Antiqua"/>
        </w:rPr>
        <w:t xml:space="preserve"> de la Secretaría Técnica de Género y Acceso a la Justicia</w:t>
      </w:r>
      <w:r w:rsidR="08D9A718" w:rsidRPr="00377565">
        <w:rPr>
          <w:rFonts w:ascii="Book Antiqua" w:hAnsi="Book Antiqua"/>
        </w:rPr>
        <w:t xml:space="preserve"> </w:t>
      </w:r>
      <w:r w:rsidR="68CD7DDE" w:rsidRPr="00377565">
        <w:rPr>
          <w:rFonts w:ascii="Book Antiqua" w:hAnsi="Book Antiqua"/>
          <w:i/>
          <w:iCs/>
        </w:rPr>
        <w:t>“para la  atención de la nueva legislación que entró en vigencia a partir del 2018, atendiendo personas indígenas en los procesos Agrarios, Civiles, Contenciosos prioritariamente, así como defensa a servidores judiciales que son denunciados atendiendo las funciones inherentes a los cargos que desarrollan en el Poder Judicial, ya que se detectó la necesidad de reforzar estas funciones, pero no ha sido posible su asignación por la escases de recursos institucionales”</w:t>
      </w:r>
      <w:r w:rsidR="1EF37151" w:rsidRPr="00377565">
        <w:rPr>
          <w:rFonts w:ascii="Book Antiqua" w:hAnsi="Book Antiqua"/>
          <w:i/>
          <w:iCs/>
        </w:rPr>
        <w:t xml:space="preserve">. </w:t>
      </w:r>
    </w:p>
    <w:p w14:paraId="61352892" w14:textId="0B311503" w:rsidR="0A67FD50" w:rsidRPr="00377565" w:rsidRDefault="6367478D" w:rsidP="00377565">
      <w:pPr>
        <w:spacing w:line="240" w:lineRule="auto"/>
        <w:rPr>
          <w:rFonts w:ascii="Book Antiqua" w:hAnsi="Book Antiqua"/>
        </w:rPr>
      </w:pPr>
      <w:r w:rsidRPr="00377565">
        <w:rPr>
          <w:rFonts w:ascii="Book Antiqua" w:hAnsi="Book Antiqua"/>
        </w:rPr>
        <w:t>Por otro lado</w:t>
      </w:r>
      <w:r w:rsidR="1EF37151" w:rsidRPr="00377565">
        <w:rPr>
          <w:rFonts w:ascii="Book Antiqua" w:hAnsi="Book Antiqua"/>
        </w:rPr>
        <w:t>, m</w:t>
      </w:r>
      <w:r w:rsidR="0A67FD50" w:rsidRPr="00377565">
        <w:rPr>
          <w:rFonts w:ascii="Book Antiqua" w:hAnsi="Book Antiqua"/>
        </w:rPr>
        <w:t>ediante oficio 2339-19 del 6 de marzo de 2019</w:t>
      </w:r>
      <w:r w:rsidR="0093432C" w:rsidRPr="00377565">
        <w:rPr>
          <w:rFonts w:ascii="Book Antiqua" w:hAnsi="Book Antiqua"/>
        </w:rPr>
        <w:t>, de</w:t>
      </w:r>
      <w:r w:rsidR="0A67FD50" w:rsidRPr="00377565">
        <w:rPr>
          <w:rFonts w:ascii="Book Antiqua" w:hAnsi="Book Antiqua"/>
        </w:rPr>
        <w:t xml:space="preserve"> la Secretaría de la Corte, se transcribe el acuerdo del Consejo Superior del Poder Judicial en sesión 13-19 del 15 de febrero</w:t>
      </w:r>
      <w:r w:rsidR="0093432C" w:rsidRPr="00377565">
        <w:rPr>
          <w:rFonts w:ascii="Book Antiqua" w:hAnsi="Book Antiqua"/>
        </w:rPr>
        <w:t xml:space="preserve"> de 2019</w:t>
      </w:r>
      <w:r w:rsidR="0A67FD50" w:rsidRPr="00377565">
        <w:rPr>
          <w:rFonts w:ascii="Book Antiqua" w:hAnsi="Book Antiqua"/>
        </w:rPr>
        <w:t xml:space="preserve">, que literalmente dice: </w:t>
      </w:r>
    </w:p>
    <w:p w14:paraId="106C6BEE" w14:textId="77777777" w:rsidR="0A67FD50" w:rsidRPr="00377565" w:rsidRDefault="0A67FD50" w:rsidP="00B2713C">
      <w:pPr>
        <w:ind w:left="708"/>
        <w:rPr>
          <w:rFonts w:ascii="Book Antiqua" w:hAnsi="Book Antiqua"/>
          <w:i/>
          <w:iCs/>
        </w:rPr>
      </w:pPr>
      <w:r w:rsidRPr="00377565">
        <w:rPr>
          <w:rFonts w:ascii="Book Antiqua" w:hAnsi="Book Antiqua"/>
          <w:i/>
          <w:iCs/>
        </w:rPr>
        <w:t xml:space="preserve">“Acoger la gestión anterior, en consecuencia: Autorizar al doctor Roberto Montero García, Defensor Público Supervisor, para que como recargo asuma en </w:t>
      </w:r>
      <w:proofErr w:type="spellStart"/>
      <w:r w:rsidRPr="00377565">
        <w:rPr>
          <w:rFonts w:ascii="Book Antiqua" w:hAnsi="Book Antiqua"/>
          <w:i/>
          <w:iCs/>
        </w:rPr>
        <w:t>codefensa</w:t>
      </w:r>
      <w:proofErr w:type="spellEnd"/>
      <w:r w:rsidRPr="00377565">
        <w:rPr>
          <w:rFonts w:ascii="Book Antiqua" w:hAnsi="Book Antiqua"/>
          <w:i/>
          <w:iCs/>
        </w:rPr>
        <w:t xml:space="preserve"> con las y los defensores públicos agrarios la representación de las personas usuarias que requieran de servicios contenciosos administrativos; además, la defensa de los dos funcionarios de Gestión Humana que deben ser representados y que a su vez funja como capacitador de la Defensa Pública en litigio Contencioso Administrativo en aras de poder  asumir con responsabilidad  la competencia creada en la  Ley N°9530.”</w:t>
      </w:r>
    </w:p>
    <w:p w14:paraId="6DFDDC70" w14:textId="747F23CA" w:rsidR="0A67FD50" w:rsidRPr="00377565" w:rsidRDefault="18170599" w:rsidP="00377565">
      <w:pPr>
        <w:spacing w:line="240" w:lineRule="auto"/>
        <w:rPr>
          <w:rFonts w:ascii="Book Antiqua" w:hAnsi="Book Antiqua"/>
        </w:rPr>
      </w:pPr>
      <w:r w:rsidRPr="00377565">
        <w:rPr>
          <w:rFonts w:ascii="Book Antiqua" w:hAnsi="Book Antiqua"/>
        </w:rPr>
        <w:t>En otro orden de ideas</w:t>
      </w:r>
      <w:r w:rsidR="0A67FD50" w:rsidRPr="00377565">
        <w:rPr>
          <w:rFonts w:ascii="Book Antiqua" w:hAnsi="Book Antiqua"/>
        </w:rPr>
        <w:t>, es relevante hacer mención que mediante</w:t>
      </w:r>
      <w:r w:rsidR="0093432C" w:rsidRPr="00377565">
        <w:rPr>
          <w:rFonts w:ascii="Book Antiqua" w:hAnsi="Book Antiqua"/>
        </w:rPr>
        <w:t xml:space="preserve"> el</w:t>
      </w:r>
      <w:r w:rsidR="0A67FD50" w:rsidRPr="00377565">
        <w:rPr>
          <w:rFonts w:ascii="Book Antiqua" w:hAnsi="Book Antiqua"/>
        </w:rPr>
        <w:t xml:space="preserve"> informe 34-PLA-EV-2017 de la Dirección de Planificación</w:t>
      </w:r>
      <w:r w:rsidR="0093432C" w:rsidRPr="00377565">
        <w:rPr>
          <w:rFonts w:ascii="Book Antiqua" w:hAnsi="Book Antiqua"/>
        </w:rPr>
        <w:t>,</w:t>
      </w:r>
      <w:r w:rsidR="0A67FD50" w:rsidRPr="00377565">
        <w:rPr>
          <w:rFonts w:ascii="Book Antiqua" w:hAnsi="Book Antiqua"/>
        </w:rPr>
        <w:t xml:space="preserve"> sobre el Impacto organizacional y presupuestario para el Poder Judicial en caso de aprobarse el proyecto de Ley denominado “Código Procesal de Familia”</w:t>
      </w:r>
      <w:r w:rsidR="0093432C" w:rsidRPr="00377565">
        <w:rPr>
          <w:rFonts w:ascii="Book Antiqua" w:hAnsi="Book Antiqua"/>
        </w:rPr>
        <w:t xml:space="preserve">; </w:t>
      </w:r>
      <w:r w:rsidR="0A67FD50" w:rsidRPr="00377565">
        <w:rPr>
          <w:rFonts w:ascii="Book Antiqua" w:hAnsi="Book Antiqua"/>
        </w:rPr>
        <w:t xml:space="preserve">se analizó lo referente a la Defensa Pública en la atención de asuntos en materia de Familia, Violencia Doméstica y Pensión Alimentaria; donde, se consideró entre otros asuntos crear un total de 33 plazas de Defensor Público para la defensa de la parte actora en asuntos de Pensión Alimentaria. El citado informe fue conocido por el Consejo Superior en sesión extraordinaria de presupuesto 43-17, del 5 de mayo del 2017, artículo XXIV y por Corte Plena en sesión 16-2017, del 1 de junio del 2017, artículo II, durante las sesiones de trabajo para analizar el proyecto del Presupuesto de Poder Judicial para el 2018, y se acordó lo siguiente: </w:t>
      </w:r>
    </w:p>
    <w:p w14:paraId="1CB9809F" w14:textId="4EB851B9" w:rsidR="0A67FD50" w:rsidRPr="00377565" w:rsidRDefault="0A67FD50" w:rsidP="00B2713C">
      <w:pPr>
        <w:ind w:left="708"/>
        <w:rPr>
          <w:rFonts w:ascii="Book Antiqua" w:hAnsi="Book Antiqua"/>
          <w:i/>
          <w:iCs/>
        </w:rPr>
      </w:pPr>
      <w:r w:rsidRPr="00377565">
        <w:rPr>
          <w:rFonts w:ascii="Book Antiqua" w:hAnsi="Book Antiqua"/>
          <w:i/>
          <w:iCs/>
        </w:rPr>
        <w:t xml:space="preserve">“Sometido el asunto a votación, por unanimidad, se dispuso: Acoger la propuesta planteada por la magistrada Arias y el magistrado Salazar Alvarado, en consecuencia, los presupuestos actualizados de impacto de Justicia Restaurativa y de las Reformas </w:t>
      </w:r>
      <w:r w:rsidRPr="00377565">
        <w:rPr>
          <w:rFonts w:ascii="Book Antiqua" w:hAnsi="Book Antiqua"/>
          <w:i/>
          <w:iCs/>
        </w:rPr>
        <w:lastRenderedPageBreak/>
        <w:t>Procesal de Familia y Agrario se conocerán en el momento en que sean Leyes de la República.”</w:t>
      </w:r>
    </w:p>
    <w:p w14:paraId="36E48401" w14:textId="76CFF730" w:rsidR="005D2648" w:rsidRPr="00377565" w:rsidRDefault="005D2648" w:rsidP="00377565">
      <w:pPr>
        <w:spacing w:line="240" w:lineRule="auto"/>
        <w:rPr>
          <w:rFonts w:ascii="Book Antiqua" w:hAnsi="Book Antiqua"/>
        </w:rPr>
      </w:pPr>
      <w:r w:rsidRPr="00377565">
        <w:rPr>
          <w:rFonts w:ascii="Book Antiqua" w:hAnsi="Book Antiqua"/>
        </w:rPr>
        <w:t xml:space="preserve">Seguido, la Dirección de Planificación da a conocer, por medio del oficio 1285-PLA-2019 del 16 de agosto de 2019 que, mediante correo electrónico del 13 de agosto del 2019, la Magistrada de la Sala Segunda Sra. Julia Varela Araya </w:t>
      </w:r>
      <w:r w:rsidR="00825460" w:rsidRPr="00377565">
        <w:rPr>
          <w:rFonts w:ascii="Book Antiqua" w:hAnsi="Book Antiqua"/>
        </w:rPr>
        <w:t>solicitó</w:t>
      </w:r>
      <w:r w:rsidRPr="00377565">
        <w:rPr>
          <w:rFonts w:ascii="Book Antiqua" w:hAnsi="Book Antiqua"/>
        </w:rPr>
        <w:t xml:space="preserve"> a la Dirección de Planificación modificar las estimaciones del impacto presupuestario que tendría la implementación del proyecto de Lay del Código Procesal de Familia que se tramita en el expediente 19455 de la Asamblea Legislativa. Donde, textualmente se expone lo siguiente:</w:t>
      </w:r>
    </w:p>
    <w:p w14:paraId="4EB9BAF9" w14:textId="7AA88246" w:rsidR="005D2648" w:rsidRPr="00377565" w:rsidRDefault="00825460" w:rsidP="00825460">
      <w:pPr>
        <w:tabs>
          <w:tab w:val="left" w:pos="8505"/>
        </w:tabs>
        <w:ind w:left="567" w:right="616"/>
        <w:rPr>
          <w:rFonts w:ascii="Book Antiqua" w:hAnsi="Book Antiqua"/>
          <w:i/>
          <w:iCs/>
        </w:rPr>
      </w:pPr>
      <w:r w:rsidRPr="00377565">
        <w:rPr>
          <w:rFonts w:ascii="Book Antiqua" w:hAnsi="Book Antiqua"/>
          <w:i/>
          <w:iCs/>
        </w:rPr>
        <w:t>“…</w:t>
      </w:r>
      <w:r w:rsidR="005D2648" w:rsidRPr="00377565">
        <w:rPr>
          <w:rFonts w:ascii="Book Antiqua" w:hAnsi="Book Antiqua"/>
          <w:i/>
          <w:iCs/>
        </w:rPr>
        <w:t>con la finalidad de disminuir el impacto económico de la implementación del referido código, se eliminaron tres temas importantes que contenían el mayor peso desde el punto de vista económico, para esta importantísima y necesaria reforma. Lo eliminado se refiere a:</w:t>
      </w:r>
      <w:r w:rsidRPr="00377565">
        <w:rPr>
          <w:rFonts w:ascii="Book Antiqua" w:hAnsi="Book Antiqua"/>
          <w:i/>
          <w:iCs/>
        </w:rPr>
        <w:t xml:space="preserve"> </w:t>
      </w:r>
      <w:r w:rsidR="005D2648" w:rsidRPr="00377565">
        <w:rPr>
          <w:rFonts w:ascii="Book Antiqua" w:hAnsi="Book Antiqua"/>
          <w:i/>
          <w:iCs/>
        </w:rPr>
        <w:t>Los equipos interdisciplinarios, para los despachos de Familia que lo requerían</w:t>
      </w:r>
    </w:p>
    <w:p w14:paraId="2547A38A" w14:textId="77777777" w:rsidR="005D2648" w:rsidRPr="00377565" w:rsidRDefault="005D2648" w:rsidP="00F249A1">
      <w:pPr>
        <w:pStyle w:val="Prrafodelista"/>
        <w:numPr>
          <w:ilvl w:val="0"/>
          <w:numId w:val="27"/>
        </w:numPr>
        <w:spacing w:before="0" w:line="360" w:lineRule="auto"/>
        <w:ind w:left="567" w:right="616"/>
        <w:rPr>
          <w:rFonts w:ascii="Book Antiqua" w:eastAsia="Calibri" w:hAnsi="Book Antiqua" w:cs="Times New Roman"/>
          <w:i/>
          <w:iCs/>
          <w:szCs w:val="22"/>
          <w:lang w:val="es-CR" w:eastAsia="en-US"/>
        </w:rPr>
      </w:pPr>
      <w:r w:rsidRPr="00377565">
        <w:rPr>
          <w:rFonts w:ascii="Book Antiqua" w:eastAsia="Calibri" w:hAnsi="Book Antiqua" w:cs="Times New Roman"/>
          <w:i/>
          <w:iCs/>
          <w:szCs w:val="22"/>
          <w:lang w:val="es-CR" w:eastAsia="en-US"/>
        </w:rPr>
        <w:t>Los juzgados sumarios que se creaban</w:t>
      </w:r>
    </w:p>
    <w:p w14:paraId="4859A366" w14:textId="77777777" w:rsidR="005D2648" w:rsidRPr="00377565" w:rsidRDefault="005D2648" w:rsidP="00F249A1">
      <w:pPr>
        <w:pStyle w:val="Prrafodelista"/>
        <w:numPr>
          <w:ilvl w:val="0"/>
          <w:numId w:val="27"/>
        </w:numPr>
        <w:spacing w:before="0" w:line="360" w:lineRule="auto"/>
        <w:ind w:left="567" w:right="616"/>
        <w:rPr>
          <w:rFonts w:ascii="Book Antiqua" w:eastAsia="Calibri" w:hAnsi="Book Antiqua" w:cs="Times New Roman"/>
          <w:i/>
          <w:iCs/>
          <w:szCs w:val="22"/>
          <w:lang w:val="es-CR" w:eastAsia="en-US"/>
        </w:rPr>
      </w:pPr>
      <w:r w:rsidRPr="00377565">
        <w:rPr>
          <w:rFonts w:ascii="Book Antiqua" w:eastAsia="Calibri" w:hAnsi="Book Antiqua" w:cs="Times New Roman"/>
          <w:i/>
          <w:iCs/>
          <w:szCs w:val="22"/>
          <w:lang w:val="es-CR" w:eastAsia="en-US"/>
        </w:rPr>
        <w:t>La Defensa Pública para atender en todos los casos de familia, donde se dieran intereses contrapuestos</w:t>
      </w:r>
    </w:p>
    <w:p w14:paraId="39D81B9D" w14:textId="77777777" w:rsidR="005D2648" w:rsidRPr="00377565" w:rsidRDefault="005D2648" w:rsidP="005D2648">
      <w:pPr>
        <w:tabs>
          <w:tab w:val="left" w:pos="8505"/>
        </w:tabs>
        <w:ind w:left="567" w:right="616"/>
        <w:rPr>
          <w:rFonts w:ascii="Book Antiqua" w:hAnsi="Book Antiqua"/>
          <w:i/>
          <w:iCs/>
        </w:rPr>
      </w:pPr>
      <w:r w:rsidRPr="00377565">
        <w:rPr>
          <w:rFonts w:ascii="Book Antiqua" w:hAnsi="Book Antiqua"/>
          <w:i/>
          <w:iCs/>
        </w:rPr>
        <w:t xml:space="preserve">Como consecuencia de lo anterior, en el tema de la Defensa Pública, el contenido del artículo 56, del proyecto de Ley consultado a Corte, cuyo informe se rindió el pasado lunes 12 de agosto, </w:t>
      </w:r>
      <w:bookmarkStart w:id="1" w:name="_Hlk16599132"/>
      <w:r w:rsidRPr="00377565">
        <w:rPr>
          <w:rFonts w:ascii="Book Antiqua" w:hAnsi="Book Antiqua"/>
          <w:i/>
          <w:iCs/>
        </w:rPr>
        <w:t>solo refleja lo que actualmente está dentro la Ley de Pensiones Alimentarias vigente; por lo que no debe de interpretarse que se están creando obligaciones nuevas de plazas para Defensa Pública, para atender casos de pensiones alimentarias.</w:t>
      </w:r>
      <w:bookmarkEnd w:id="1"/>
    </w:p>
    <w:p w14:paraId="79D9CF30" w14:textId="151D0D22" w:rsidR="005D2648" w:rsidRPr="00377565" w:rsidRDefault="005D2648" w:rsidP="005D2648">
      <w:pPr>
        <w:tabs>
          <w:tab w:val="left" w:pos="8505"/>
        </w:tabs>
        <w:ind w:left="567" w:right="616"/>
        <w:rPr>
          <w:rFonts w:ascii="Book Antiqua" w:hAnsi="Book Antiqua"/>
          <w:i/>
          <w:iCs/>
        </w:rPr>
      </w:pPr>
      <w:r w:rsidRPr="00377565">
        <w:rPr>
          <w:rFonts w:ascii="Book Antiqua" w:hAnsi="Book Antiqua"/>
          <w:i/>
          <w:iCs/>
        </w:rPr>
        <w:t>En consecuencia, dentro de los costos del proyecto del Código Procesal de Familia, no debe existir ninguna suma para la creación de plazas de asistencia letrada de la Defensa Pública, tal y como lo expliqué ayer en Corte Plena, en el informe rendido.</w:t>
      </w:r>
      <w:r w:rsidR="00825460" w:rsidRPr="00377565">
        <w:rPr>
          <w:rFonts w:ascii="Book Antiqua" w:hAnsi="Book Antiqua"/>
          <w:i/>
          <w:iCs/>
        </w:rPr>
        <w:t>” (…)</w:t>
      </w:r>
    </w:p>
    <w:p w14:paraId="0C854AB9" w14:textId="28AE0F9B" w:rsidR="00A50607" w:rsidRPr="00377565" w:rsidRDefault="00825460" w:rsidP="00377565">
      <w:pPr>
        <w:spacing w:line="240" w:lineRule="auto"/>
        <w:rPr>
          <w:rFonts w:ascii="Book Antiqua" w:hAnsi="Book Antiqua"/>
        </w:rPr>
      </w:pPr>
      <w:r w:rsidRPr="00377565">
        <w:rPr>
          <w:rFonts w:ascii="Book Antiqua" w:hAnsi="Book Antiqua"/>
        </w:rPr>
        <w:lastRenderedPageBreak/>
        <w:t xml:space="preserve">Por lo mencionado anteriormente, es importante indicar que, este nuevo planteamiento solicitado por la Magistrada Varela Araya, difiere del presentado ante la Comisión de Asuntos Jurídicos en el 2017, propiamente en cuanto a la exclusión de 33 plazas de Defensora o Defensor Público, que se requerirían para dar cobertura nacional a la atención en pensión alimentaria a la parte </w:t>
      </w:r>
      <w:r w:rsidR="00A50607" w:rsidRPr="00377565">
        <w:rPr>
          <w:rFonts w:ascii="Book Antiqua" w:hAnsi="Book Antiqua"/>
        </w:rPr>
        <w:t>beneficiaria que no cuente recursos económicos para contratar patrocinio letrado conforme al artículo 56 del proyecto de este proyecto de Ley, donde no se debe interpretar que se están creando nuevas obligaciones de plazas para la Defensa Pública para atender casos de pensiones alimentarias.</w:t>
      </w:r>
    </w:p>
    <w:p w14:paraId="206ADD4D" w14:textId="61E0EA31" w:rsidR="0A67FD50" w:rsidRPr="00377565" w:rsidRDefault="0A67FD50" w:rsidP="00377565">
      <w:pPr>
        <w:spacing w:line="240" w:lineRule="auto"/>
        <w:rPr>
          <w:rFonts w:ascii="Book Antiqua" w:hAnsi="Book Antiqua"/>
        </w:rPr>
      </w:pPr>
      <w:r w:rsidRPr="00377565">
        <w:rPr>
          <w:rFonts w:ascii="Book Antiqua" w:hAnsi="Book Antiqua"/>
        </w:rPr>
        <w:t xml:space="preserve">El proyecto de Ley del “Código Procesal de Familia” fue aprobado en primer debate por la Asamblea Legislativa el 6 de febrero 2018. </w:t>
      </w:r>
    </w:p>
    <w:p w14:paraId="1868330E" w14:textId="77777777" w:rsidR="0A67FD50" w:rsidRPr="00377565" w:rsidRDefault="0A67FD50" w:rsidP="00B2713C">
      <w:pPr>
        <w:rPr>
          <w:rFonts w:ascii="Book Antiqua" w:hAnsi="Book Antiqua"/>
        </w:rPr>
      </w:pPr>
      <w:r w:rsidRPr="00377565">
        <w:rPr>
          <w:rFonts w:ascii="Book Antiqua" w:hAnsi="Book Antiqua"/>
        </w:rPr>
        <w:t xml:space="preserve">En sesión 34-18 del 25 de abril de 2018 del Consejo Superior, se dispuso: </w:t>
      </w:r>
    </w:p>
    <w:p w14:paraId="56BD43EE" w14:textId="77777777" w:rsidR="0093432C" w:rsidRPr="00377565" w:rsidRDefault="0A67FD50" w:rsidP="00B2713C">
      <w:pPr>
        <w:ind w:left="708"/>
        <w:rPr>
          <w:rFonts w:ascii="Book Antiqua" w:hAnsi="Book Antiqua"/>
          <w:i/>
          <w:iCs/>
        </w:rPr>
      </w:pPr>
      <w:r w:rsidRPr="00377565">
        <w:rPr>
          <w:rFonts w:ascii="Book Antiqua" w:hAnsi="Book Antiqua"/>
          <w:i/>
          <w:iCs/>
        </w:rPr>
        <w:t xml:space="preserve">“1) Aprobar el informe 33-PLA-MI-2018 presentado por la Dirección de Planificación y sus recomendaciones, de acuerdo al escenario planteado en la recomendación 5.1.2. </w:t>
      </w:r>
    </w:p>
    <w:p w14:paraId="6AC5AE3B" w14:textId="4C8CF5C4" w:rsidR="0A67FD50" w:rsidRPr="00377565" w:rsidRDefault="0A67FD50" w:rsidP="00B2713C">
      <w:pPr>
        <w:ind w:left="708"/>
        <w:rPr>
          <w:rFonts w:ascii="Book Antiqua" w:hAnsi="Book Antiqua"/>
          <w:i/>
          <w:iCs/>
        </w:rPr>
      </w:pPr>
      <w:r w:rsidRPr="00377565">
        <w:rPr>
          <w:rFonts w:ascii="Book Antiqua" w:hAnsi="Book Antiqua"/>
          <w:i/>
          <w:iCs/>
        </w:rPr>
        <w:t xml:space="preserve">2) </w:t>
      </w:r>
      <w:r w:rsidRPr="00377565">
        <w:rPr>
          <w:rFonts w:ascii="Book Antiqua" w:hAnsi="Book Antiqua"/>
          <w:b/>
          <w:bCs/>
          <w:i/>
          <w:iCs/>
        </w:rPr>
        <w:t>Siguiendo los lineamientos de la Corte Plena no se deberán incluir los recursos en el anteproyecto 2019 hasta que se apruebe la Reforma Legal como Ley de la República</w:t>
      </w:r>
      <w:r w:rsidRPr="00377565">
        <w:rPr>
          <w:rFonts w:ascii="Book Antiqua" w:hAnsi="Book Antiqua"/>
          <w:i/>
          <w:iCs/>
        </w:rPr>
        <w:t>” (la negrita no es original del texto).</w:t>
      </w:r>
    </w:p>
    <w:p w14:paraId="3FA4ED67" w14:textId="3A0B5ADC" w:rsidR="0A67FD50" w:rsidRPr="00377565" w:rsidRDefault="0A67FD50" w:rsidP="00377565">
      <w:pPr>
        <w:spacing w:line="240" w:lineRule="auto"/>
        <w:rPr>
          <w:rFonts w:ascii="Book Antiqua" w:hAnsi="Book Antiqua"/>
          <w:color w:val="000000"/>
        </w:rPr>
      </w:pPr>
      <w:r w:rsidRPr="00377565">
        <w:rPr>
          <w:rFonts w:ascii="Book Antiqua" w:hAnsi="Book Antiqua"/>
        </w:rPr>
        <w:t>El Consejo Superior del Poder Judicial en la sesión extraordinaria 44-19 (Presupuesto 2020) artículo II, del 16 de mayo de 2019 acordó aprobar el informe 634-PLA-RH-MI-2019 de la Dirección de Planificación</w:t>
      </w:r>
      <w:r w:rsidR="005E45E3" w:rsidRPr="00377565">
        <w:rPr>
          <w:rFonts w:ascii="Book Antiqua" w:hAnsi="Book Antiqua"/>
        </w:rPr>
        <w:t>,</w:t>
      </w:r>
      <w:r w:rsidRPr="00377565">
        <w:rPr>
          <w:rFonts w:ascii="Book Antiqua" w:hAnsi="Book Antiqua"/>
        </w:rPr>
        <w:t xml:space="preserve"> sobre el Impacto organizacional y presupuestario en el Poder Judicial (Defensa Pública) a partir de la promulgación de la Ley 9593 de Acceso a la Justicia de los Pueblos Indígenas (incluye materia disciplinaria, agraria y pensión alimentaria)</w:t>
      </w:r>
      <w:r w:rsidR="46C68815" w:rsidRPr="00377565">
        <w:rPr>
          <w:rFonts w:ascii="Book Antiqua" w:hAnsi="Book Antiqua"/>
        </w:rPr>
        <w:t>; donde se mantiene una plaza de persona Defensora por Oficina que cubre el tema de interés contrapuestos en materia agraria; y además, debe</w:t>
      </w:r>
      <w:r w:rsidR="284A1F6C" w:rsidRPr="00377565">
        <w:rPr>
          <w:rFonts w:ascii="Book Antiqua" w:hAnsi="Book Antiqua"/>
        </w:rPr>
        <w:t>n</w:t>
      </w:r>
      <w:r w:rsidR="46C68815" w:rsidRPr="00377565">
        <w:rPr>
          <w:rFonts w:ascii="Book Antiqua" w:hAnsi="Book Antiqua"/>
        </w:rPr>
        <w:t xml:space="preserve"> asumir la defensa técnica de aquellos asuntos Contenciosos Administrativos donde figure como parte actora o demandada una o más personas indígenas.</w:t>
      </w:r>
    </w:p>
    <w:p w14:paraId="76626728" w14:textId="60A97A2B" w:rsidR="0A67FD50" w:rsidRPr="00377565" w:rsidRDefault="0A67FD50" w:rsidP="00377565">
      <w:pPr>
        <w:spacing w:line="240" w:lineRule="auto"/>
        <w:rPr>
          <w:rFonts w:ascii="Book Antiqua" w:hAnsi="Book Antiqua"/>
        </w:rPr>
      </w:pPr>
      <w:r w:rsidRPr="00377565">
        <w:rPr>
          <w:rFonts w:ascii="Book Antiqua" w:hAnsi="Book Antiqua"/>
        </w:rPr>
        <w:t>Posterior, el Consejo Superior del Poder Judicial, en sesión extraordinaria 47-19 (Presupuesto 2020) artículo XV, del 23 de mayo de 2019</w:t>
      </w:r>
      <w:r w:rsidR="005E45E3" w:rsidRPr="00377565">
        <w:rPr>
          <w:rFonts w:ascii="Book Antiqua" w:hAnsi="Book Antiqua"/>
        </w:rPr>
        <w:t>,</w:t>
      </w:r>
      <w:r w:rsidRPr="00377565">
        <w:rPr>
          <w:rFonts w:ascii="Book Antiqua" w:hAnsi="Book Antiqua"/>
        </w:rPr>
        <w:t xml:space="preserve"> dispuso de manera textual lo siguiente: </w:t>
      </w:r>
    </w:p>
    <w:p w14:paraId="0FDDBFC7" w14:textId="64193FAA" w:rsidR="0A67FD50" w:rsidRPr="00377565" w:rsidRDefault="0A67FD50" w:rsidP="00B2713C">
      <w:pPr>
        <w:ind w:left="708"/>
        <w:rPr>
          <w:rFonts w:ascii="Book Antiqua" w:hAnsi="Book Antiqua"/>
          <w:i/>
          <w:iCs/>
        </w:rPr>
      </w:pPr>
      <w:r w:rsidRPr="00377565">
        <w:rPr>
          <w:rFonts w:ascii="Book Antiqua" w:hAnsi="Book Antiqua"/>
          <w:i/>
          <w:iCs/>
        </w:rPr>
        <w:lastRenderedPageBreak/>
        <w:t xml:space="preserve">“Aprobar las recomendaciones de la Dirección de Planificación, por </w:t>
      </w:r>
      <w:r w:rsidR="00B2713C" w:rsidRPr="00377565">
        <w:rPr>
          <w:rFonts w:ascii="Book Antiqua" w:hAnsi="Book Antiqua"/>
          <w:i/>
          <w:iCs/>
        </w:rPr>
        <w:t>tanto,</w:t>
      </w:r>
      <w:r w:rsidRPr="00377565">
        <w:rPr>
          <w:rFonts w:ascii="Book Antiqua" w:hAnsi="Book Antiqua"/>
          <w:i/>
          <w:iCs/>
        </w:rPr>
        <w:t xml:space="preserve"> mantener lo dispuesto por el Consejo Superior, se aclara a la Defensa Pública que precisamente por las razones expuestas en esta reconsideración, en el informe inicial se asignó un recurso humano para la zona de Buenos Aires por el impacto que representa en la prestación del servicio público”</w:t>
      </w:r>
    </w:p>
    <w:p w14:paraId="5DA9196E" w14:textId="77777777" w:rsidR="0A67FD50" w:rsidRPr="00377565" w:rsidRDefault="0A67FD50" w:rsidP="00377565">
      <w:pPr>
        <w:spacing w:line="240" w:lineRule="auto"/>
        <w:rPr>
          <w:rFonts w:ascii="Book Antiqua" w:hAnsi="Book Antiqua"/>
        </w:rPr>
      </w:pPr>
      <w:r w:rsidRPr="00377565">
        <w:rPr>
          <w:rFonts w:ascii="Book Antiqua" w:hAnsi="Book Antiqua"/>
        </w:rPr>
        <w:t>Este informe fue conocido y aprobado en la Sesión 22-19 de Corte Plena (Presupuesto 2020) celebrada el 6 de junio de 2019, Artículo IV; en el cual, se dispuso de manera textual:</w:t>
      </w:r>
    </w:p>
    <w:p w14:paraId="20129889" w14:textId="0AD57570" w:rsidR="0A67FD50" w:rsidRPr="00377565" w:rsidRDefault="0A67FD50" w:rsidP="00B2713C">
      <w:pPr>
        <w:ind w:left="708"/>
        <w:rPr>
          <w:rFonts w:ascii="Book Antiqua" w:hAnsi="Book Antiqua"/>
          <w:i/>
          <w:iCs/>
        </w:rPr>
      </w:pPr>
      <w:r w:rsidRPr="00377565">
        <w:rPr>
          <w:rFonts w:ascii="Book Antiqua" w:hAnsi="Book Antiqua"/>
          <w:i/>
          <w:iCs/>
        </w:rPr>
        <w:t xml:space="preserve">“Aprobar por separado del Presupuesto Ordinario del Poder Judicial, los requerimientos correspondientes a la “Ley 9593. Acceso a la Justicia de los Pueblos Indígenas de Costa Rica” en la forma indicada. Así votaron las magistradas y los magistrados Cruz, Solís, </w:t>
      </w:r>
      <w:proofErr w:type="spellStart"/>
      <w:r w:rsidRPr="00377565">
        <w:rPr>
          <w:rFonts w:ascii="Book Antiqua" w:hAnsi="Book Antiqua"/>
          <w:i/>
          <w:iCs/>
        </w:rPr>
        <w:t>Molinari</w:t>
      </w:r>
      <w:proofErr w:type="spellEnd"/>
      <w:r w:rsidRPr="00377565">
        <w:rPr>
          <w:rFonts w:ascii="Book Antiqua" w:hAnsi="Book Antiqua"/>
          <w:i/>
          <w:iCs/>
        </w:rPr>
        <w:t xml:space="preserve">, Aguirre, Sánchez, </w:t>
      </w:r>
      <w:proofErr w:type="spellStart"/>
      <w:r w:rsidRPr="00377565">
        <w:rPr>
          <w:rFonts w:ascii="Book Antiqua" w:hAnsi="Book Antiqua"/>
          <w:i/>
          <w:iCs/>
        </w:rPr>
        <w:t>Olaso</w:t>
      </w:r>
      <w:proofErr w:type="spellEnd"/>
      <w:r w:rsidRPr="00377565">
        <w:rPr>
          <w:rFonts w:ascii="Book Antiqua" w:hAnsi="Book Antiqua"/>
          <w:i/>
          <w:iCs/>
        </w:rPr>
        <w:t>, Chacón, Ramírez, Solano, Hernández, Salazar Alvarado, Araya, las Suplentes y los Suplentes León Díaz, Aragón Cambronero, Blanco González, Zúñiga Morales, Segura Bonilla, Alfaro Vargas y Chacón Jiménez.”</w:t>
      </w:r>
    </w:p>
    <w:p w14:paraId="46CC6155" w14:textId="77777777" w:rsidR="00EE585C" w:rsidRDefault="00EE585C" w:rsidP="00EE585C"/>
    <w:p w14:paraId="16F5A0BA" w14:textId="2F8A9FA2" w:rsidR="00EE585C" w:rsidRPr="00377565" w:rsidRDefault="00EE585C" w:rsidP="00377565">
      <w:pPr>
        <w:spacing w:line="240" w:lineRule="auto"/>
        <w:rPr>
          <w:rFonts w:ascii="Book Antiqua" w:hAnsi="Book Antiqua"/>
        </w:rPr>
      </w:pPr>
      <w:r w:rsidRPr="00377565">
        <w:rPr>
          <w:rFonts w:ascii="Book Antiqua" w:hAnsi="Book Antiqua"/>
        </w:rPr>
        <w:t xml:space="preserve">Adicionalmente, en el </w:t>
      </w:r>
      <w:r w:rsidR="00772A18" w:rsidRPr="00377565">
        <w:rPr>
          <w:rFonts w:ascii="Book Antiqua" w:hAnsi="Book Antiqua"/>
        </w:rPr>
        <w:t xml:space="preserve">informe definitivo 490-PLA-EV-2019, fue conocido en sesión 43-19, artículo XL del Consejo Superior 43-19, del 14 de mayo de 2019. En este caso el Consejo Superior, dispuso tener por rendido el informe definitivo; además, recomendó de manera textual: </w:t>
      </w:r>
    </w:p>
    <w:p w14:paraId="43117F14" w14:textId="29BEC76E" w:rsidR="00772A18" w:rsidRPr="00377565" w:rsidRDefault="00772A18" w:rsidP="00F249A1">
      <w:pPr>
        <w:ind w:left="708"/>
        <w:rPr>
          <w:rFonts w:ascii="Book Antiqua" w:hAnsi="Book Antiqua"/>
          <w:i/>
          <w:iCs/>
        </w:rPr>
      </w:pPr>
      <w:r w:rsidRPr="00377565">
        <w:rPr>
          <w:rFonts w:ascii="Book Antiqua" w:hAnsi="Book Antiqua"/>
          <w:i/>
          <w:iCs/>
        </w:rPr>
        <w:t>“(...) se reasignará esta plaza para la atención de la nueva legislación que entró en vigencia a partir del 2018, atendiendo personas indígenas en los procesos Agrarios, Civiles, Contenciosos prioritariamente, así como defensa a servidores judiciales que son denunciados atendiendo las funciones inherentes a los cargos que desarrollan en el Poder Judicial”.</w:t>
      </w:r>
    </w:p>
    <w:p w14:paraId="31E3D458" w14:textId="77777777" w:rsidR="00F7793B" w:rsidRPr="00377565" w:rsidRDefault="00F7793B" w:rsidP="00F249A1">
      <w:pPr>
        <w:ind w:left="708"/>
        <w:rPr>
          <w:rFonts w:ascii="Book Antiqua" w:hAnsi="Book Antiqua"/>
          <w:i/>
          <w:iCs/>
        </w:rPr>
      </w:pPr>
      <w:r w:rsidRPr="00377565">
        <w:rPr>
          <w:rFonts w:ascii="Book Antiqua" w:hAnsi="Book Antiqua"/>
          <w:i/>
          <w:iCs/>
        </w:rPr>
        <w:t xml:space="preserve">“(…) Del análisis y seguimiento efectuado a las cargas de trabajo de los puestos de Defensora o Defensor Público, se recomienda mantener solo una de las dos plazas </w:t>
      </w:r>
      <w:r w:rsidRPr="00377565">
        <w:rPr>
          <w:rFonts w:ascii="Book Antiqua" w:hAnsi="Book Antiqua"/>
          <w:i/>
          <w:iCs/>
        </w:rPr>
        <w:lastRenderedPageBreak/>
        <w:t>ordinarias, reconociendo la labor tan importante que desarrollan estas personas, sin embargo, se evidenció que estas labores pueden ser asumidas por uno de esos recursos.</w:t>
      </w:r>
    </w:p>
    <w:p w14:paraId="0C56062B" w14:textId="77777777" w:rsidR="00F7793B" w:rsidRPr="00377565" w:rsidRDefault="00F7793B" w:rsidP="00377565">
      <w:pPr>
        <w:spacing w:line="240" w:lineRule="auto"/>
        <w:rPr>
          <w:rFonts w:ascii="Book Antiqua" w:hAnsi="Book Antiqua"/>
        </w:rPr>
      </w:pPr>
      <w:r w:rsidRPr="00377565">
        <w:rPr>
          <w:rFonts w:ascii="Book Antiqua" w:hAnsi="Book Antiqua"/>
        </w:rPr>
        <w:t>De esta forma y a partir de labores conexas que viene desarrollando la Dirección de Planificación en la Defensa Pública, se considera oportuno reasignar esta plaza de Defensora o Defensor Público para la atención de la nueva legislación que entró en vigencia a partir del 2018, para tender personas indígenas en los procesos Agrarios, Civiles, Contenciosos prioritariamente, así como defensa a  personas funcionarias judiciales que son denunciadas atendiendo las funciones inherentes a los cargos que desarrollan en el Poder Judicial (…)”</w:t>
      </w:r>
    </w:p>
    <w:p w14:paraId="7D2B43EF" w14:textId="741AE2DD" w:rsidR="0076255D" w:rsidRPr="00377565" w:rsidRDefault="5D78C90B" w:rsidP="00377565">
      <w:pPr>
        <w:spacing w:line="240" w:lineRule="auto"/>
        <w:rPr>
          <w:rFonts w:ascii="Book Antiqua" w:hAnsi="Book Antiqua"/>
        </w:rPr>
      </w:pPr>
      <w:r w:rsidRPr="00377565">
        <w:rPr>
          <w:rFonts w:ascii="Book Antiqua" w:hAnsi="Book Antiqua"/>
        </w:rPr>
        <w:t>En</w:t>
      </w:r>
      <w:r w:rsidR="0A67FD50" w:rsidRPr="00377565">
        <w:rPr>
          <w:rFonts w:ascii="Book Antiqua" w:hAnsi="Book Antiqua"/>
        </w:rPr>
        <w:t xml:space="preserve"> oficio 101-P-2019, de fecha 17 de mayo de 2019 y dirigido a la Ministra de Hacienda, el Presidente de la Corte y en alusión al </w:t>
      </w:r>
      <w:proofErr w:type="gramStart"/>
      <w:r w:rsidR="0A67FD50" w:rsidRPr="00377565">
        <w:rPr>
          <w:rFonts w:ascii="Book Antiqua" w:hAnsi="Book Antiqua"/>
        </w:rPr>
        <w:t>oficio  DM</w:t>
      </w:r>
      <w:proofErr w:type="gramEnd"/>
      <w:r w:rsidR="0A67FD50" w:rsidRPr="00377565">
        <w:rPr>
          <w:rFonts w:ascii="Book Antiqua" w:hAnsi="Book Antiqua"/>
        </w:rPr>
        <w:t xml:space="preserve">-0466-2019, mediante el cual se informó de la aplicación de la Regla Fiscal en el presupuesto 2020, entre otras ideas al referirse al monto máximo autorizado al Poder Judicial, se indicó: </w:t>
      </w:r>
    </w:p>
    <w:p w14:paraId="5D41839B" w14:textId="18619DAC" w:rsidR="0A67FD50" w:rsidRPr="00377565" w:rsidRDefault="0A67FD50" w:rsidP="00B2713C">
      <w:pPr>
        <w:ind w:left="708"/>
        <w:rPr>
          <w:rFonts w:ascii="Book Antiqua" w:hAnsi="Book Antiqua"/>
          <w:i/>
          <w:iCs/>
        </w:rPr>
      </w:pPr>
      <w:r w:rsidRPr="00377565">
        <w:rPr>
          <w:rFonts w:ascii="Book Antiqua" w:hAnsi="Book Antiqua"/>
          <w:i/>
          <w:iCs/>
        </w:rPr>
        <w:t>“</w:t>
      </w:r>
      <w:r w:rsidR="0076255D" w:rsidRPr="00377565">
        <w:rPr>
          <w:rFonts w:ascii="Book Antiqua" w:hAnsi="Book Antiqua"/>
          <w:i/>
          <w:iCs/>
        </w:rPr>
        <w:t>(</w:t>
      </w:r>
      <w:r w:rsidRPr="00377565">
        <w:rPr>
          <w:rFonts w:ascii="Book Antiqua" w:hAnsi="Book Antiqua"/>
          <w:i/>
          <w:iCs/>
        </w:rPr>
        <w:t>…</w:t>
      </w:r>
      <w:r w:rsidR="0076255D" w:rsidRPr="00377565">
        <w:rPr>
          <w:rFonts w:ascii="Book Antiqua" w:hAnsi="Book Antiqua"/>
          <w:i/>
          <w:iCs/>
        </w:rPr>
        <w:t>) E</w:t>
      </w:r>
      <w:r w:rsidRPr="00377565">
        <w:rPr>
          <w:rFonts w:ascii="Book Antiqua" w:hAnsi="Book Antiqua"/>
          <w:i/>
          <w:iCs/>
        </w:rPr>
        <w:t>s importante señalar que estos datos no incorporan los requerimientos asociados a las nuevas obligaciones impuestas por la Asamblea Legislativa por aprobación de leyes, los cuales será necesario solicitar ante el Ministerio de Hacienda de forma complementaria al presupuesto ordinario</w:t>
      </w:r>
      <w:r w:rsidR="0076255D" w:rsidRPr="00377565">
        <w:rPr>
          <w:rFonts w:ascii="Book Antiqua" w:hAnsi="Book Antiqua"/>
          <w:i/>
          <w:iCs/>
        </w:rPr>
        <w:t>.</w:t>
      </w:r>
      <w:r w:rsidRPr="00377565">
        <w:rPr>
          <w:rFonts w:ascii="Book Antiqua" w:hAnsi="Book Antiqua"/>
          <w:i/>
          <w:iCs/>
        </w:rPr>
        <w:t>”</w:t>
      </w:r>
    </w:p>
    <w:p w14:paraId="07D13BFB" w14:textId="77777777" w:rsidR="0076255D" w:rsidRPr="00377565" w:rsidRDefault="0A67FD50" w:rsidP="00377565">
      <w:pPr>
        <w:spacing w:line="240" w:lineRule="auto"/>
        <w:rPr>
          <w:rFonts w:ascii="Book Antiqua" w:hAnsi="Book Antiqua"/>
        </w:rPr>
      </w:pPr>
      <w:r w:rsidRPr="00377565">
        <w:rPr>
          <w:rFonts w:ascii="Book Antiqua" w:hAnsi="Book Antiqua"/>
        </w:rPr>
        <w:t xml:space="preserve">Posteriormente mediante oficio DM-0945-2019, de fecha 11 de junio del 2019, la señora Ministra de Hacienda y en alusión a lo indicado en el oficio 101-P-2019, comunica al presidente de la Corte Suprema de Justicia lo siguiente: </w:t>
      </w:r>
    </w:p>
    <w:p w14:paraId="389F1DEE" w14:textId="13894AD2" w:rsidR="0A67FD50" w:rsidRPr="00377565" w:rsidRDefault="0A67FD50" w:rsidP="00377565">
      <w:pPr>
        <w:spacing w:line="240" w:lineRule="auto"/>
        <w:ind w:left="709"/>
        <w:rPr>
          <w:rFonts w:ascii="Book Antiqua" w:hAnsi="Book Antiqua"/>
          <w:i/>
          <w:iCs/>
        </w:rPr>
      </w:pPr>
      <w:r w:rsidRPr="00377565">
        <w:rPr>
          <w:rFonts w:ascii="Book Antiqua" w:hAnsi="Book Antiqua"/>
          <w:i/>
          <w:iCs/>
        </w:rPr>
        <w:t>“</w:t>
      </w:r>
      <w:r w:rsidR="0076255D" w:rsidRPr="00377565">
        <w:rPr>
          <w:rFonts w:ascii="Book Antiqua" w:hAnsi="Book Antiqua"/>
          <w:i/>
          <w:iCs/>
        </w:rPr>
        <w:t>(…) F</w:t>
      </w:r>
      <w:r w:rsidRPr="00377565">
        <w:rPr>
          <w:rFonts w:ascii="Book Antiqua" w:hAnsi="Book Antiqua"/>
          <w:i/>
          <w:iCs/>
        </w:rPr>
        <w:t>inalmente, en relación con las solicitudes complementarias al Anteproyecto de presupuesto de la institución a que se hace alusión en su oficio, le informo que el cumplimiento de la regla fiscal no da espacio para el financiamiento de nuevos gastos”.</w:t>
      </w:r>
    </w:p>
    <w:p w14:paraId="7C782191" w14:textId="3DB8C824" w:rsidR="0A67FD50" w:rsidRPr="00377565" w:rsidRDefault="0A67FD50" w:rsidP="00377565">
      <w:pPr>
        <w:spacing w:line="240" w:lineRule="auto"/>
        <w:rPr>
          <w:rFonts w:ascii="Book Antiqua" w:hAnsi="Book Antiqua"/>
        </w:rPr>
      </w:pPr>
      <w:r w:rsidRPr="00377565">
        <w:rPr>
          <w:rFonts w:ascii="Book Antiqua" w:hAnsi="Book Antiqua"/>
        </w:rPr>
        <w:t>En el oficio 118-P-2019 del 14 de junio de 2019, el presidente de la Corte solicitó a la Ministra de Hacienda se valorara la posibilidad de contar con financiamiento adicional al gasto ordinario para atender esta y cinco nuevas obligaciones más encomendadas por la Asamblea Legislativa.</w:t>
      </w:r>
    </w:p>
    <w:p w14:paraId="739CEBFF" w14:textId="77777777" w:rsidR="0076255D" w:rsidRPr="00377565" w:rsidRDefault="0A67FD50" w:rsidP="00377565">
      <w:pPr>
        <w:spacing w:line="240" w:lineRule="auto"/>
        <w:rPr>
          <w:rFonts w:ascii="Book Antiqua" w:hAnsi="Book Antiqua"/>
        </w:rPr>
      </w:pPr>
      <w:r w:rsidRPr="00377565">
        <w:rPr>
          <w:rFonts w:ascii="Book Antiqua" w:hAnsi="Book Antiqua"/>
        </w:rPr>
        <w:t xml:space="preserve">Mediante oficio 1538-PLA-PP-2019, de fecha 20 de setiembre de 2019, la Dirección de Planificación al revisar el Proyecto de Presupuesto 2020 trasladado por el Ministerio de Hacienda a la Asamblea Legislativa y en relación directa con los recursos adicionales solicitados por el Poder Judicial para la atención de nuevas obligaciones, en el apartado A.1. se indicó lo siguiente: </w:t>
      </w:r>
    </w:p>
    <w:p w14:paraId="62F691E1" w14:textId="0BB208C1" w:rsidR="0076255D" w:rsidRPr="00377565" w:rsidRDefault="0A67FD50" w:rsidP="00B2713C">
      <w:pPr>
        <w:ind w:left="708"/>
        <w:rPr>
          <w:rFonts w:ascii="Book Antiqua" w:hAnsi="Book Antiqua"/>
          <w:i/>
          <w:iCs/>
        </w:rPr>
      </w:pPr>
      <w:r w:rsidRPr="00377565">
        <w:rPr>
          <w:rFonts w:ascii="Book Antiqua" w:hAnsi="Book Antiqua"/>
          <w:i/>
          <w:iCs/>
        </w:rPr>
        <w:lastRenderedPageBreak/>
        <w:t>“</w:t>
      </w:r>
      <w:r w:rsidR="0076255D" w:rsidRPr="00377565">
        <w:rPr>
          <w:rFonts w:ascii="Book Antiqua" w:hAnsi="Book Antiqua"/>
          <w:i/>
          <w:iCs/>
        </w:rPr>
        <w:t>(</w:t>
      </w:r>
      <w:r w:rsidRPr="00377565">
        <w:rPr>
          <w:rFonts w:ascii="Book Antiqua" w:hAnsi="Book Antiqua"/>
          <w:i/>
          <w:iCs/>
        </w:rPr>
        <w:t>…</w:t>
      </w:r>
      <w:r w:rsidR="0076255D" w:rsidRPr="00377565">
        <w:rPr>
          <w:rFonts w:ascii="Book Antiqua" w:hAnsi="Book Antiqua"/>
          <w:i/>
          <w:iCs/>
        </w:rPr>
        <w:t>) N</w:t>
      </w:r>
      <w:r w:rsidRPr="00377565">
        <w:rPr>
          <w:rFonts w:ascii="Book Antiqua" w:hAnsi="Book Antiqua"/>
          <w:i/>
          <w:iCs/>
        </w:rPr>
        <w:t>o fueron incorporados por el Ministerio de Hacienda al presupuesto ordinario, ni tampoco se remitieron como requerimiento adicional a la Asamblea Legislativa”.</w:t>
      </w:r>
    </w:p>
    <w:p w14:paraId="2D371985" w14:textId="767D6116" w:rsidR="0A67FD50" w:rsidRPr="00377565" w:rsidRDefault="0A67FD50" w:rsidP="00377565">
      <w:pPr>
        <w:spacing w:line="240" w:lineRule="auto"/>
        <w:rPr>
          <w:rFonts w:ascii="Book Antiqua" w:hAnsi="Book Antiqua"/>
        </w:rPr>
      </w:pPr>
      <w:r w:rsidRPr="00377565">
        <w:rPr>
          <w:rFonts w:ascii="Book Antiqua" w:hAnsi="Book Antiqua"/>
        </w:rPr>
        <w:t xml:space="preserve">Este oficio </w:t>
      </w:r>
      <w:r w:rsidR="0076255D" w:rsidRPr="00377565">
        <w:rPr>
          <w:rFonts w:ascii="Book Antiqua" w:hAnsi="Book Antiqua"/>
        </w:rPr>
        <w:t xml:space="preserve">mencionado anteriormente </w:t>
      </w:r>
      <w:r w:rsidRPr="00377565">
        <w:rPr>
          <w:rFonts w:ascii="Book Antiqua" w:hAnsi="Book Antiqua"/>
        </w:rPr>
        <w:t>fue conocido por Corte Plena en sesión 41-2019, de fecha 30 de setiembre de 2019, artículo XV.</w:t>
      </w:r>
    </w:p>
    <w:p w14:paraId="4DA04556" w14:textId="325F78D4" w:rsidR="0A67FD50" w:rsidRPr="00377565" w:rsidRDefault="0A67FD50" w:rsidP="00377565">
      <w:pPr>
        <w:spacing w:line="240" w:lineRule="auto"/>
        <w:rPr>
          <w:rFonts w:ascii="Book Antiqua" w:eastAsia="Arial" w:hAnsi="Book Antiqua"/>
        </w:rPr>
      </w:pPr>
      <w:r w:rsidRPr="00377565">
        <w:rPr>
          <w:rFonts w:ascii="Book Antiqua" w:eastAsia="Arial" w:hAnsi="Book Antiqua"/>
        </w:rPr>
        <w:t xml:space="preserve">Finalmente, de acuerdo con la Ley No. 9791 Presupuesto Ordinario y Extraordinario de la República para el ejercicio económico del 2020, aprobada por la Asamblea Legislativa, se comprobó que los recursos para la Ley </w:t>
      </w:r>
      <w:r w:rsidR="00CA5797" w:rsidRPr="00377565">
        <w:rPr>
          <w:rFonts w:ascii="Book Antiqua" w:eastAsia="Arial" w:hAnsi="Book Antiqua"/>
        </w:rPr>
        <w:t xml:space="preserve">9593 de Acceso a la Justicia a Pueblos Indígenas </w:t>
      </w:r>
      <w:r w:rsidRPr="00377565">
        <w:rPr>
          <w:rFonts w:ascii="Book Antiqua" w:eastAsia="Arial" w:hAnsi="Book Antiqua"/>
        </w:rPr>
        <w:t>no fueron incorporados durante la etapa de análisis y discusión por parte de la Asamblea Legislativa, esto según informe 1932-PLA-PP-2019 relacionado con el seguimiento realizado al Expediente 21.568 “Ley de Presupuesto Ordinario y Extraordinario de la República para el Ejercicio Económica del 2020” en la Comisión de Asuntos Hacendarios.</w:t>
      </w:r>
    </w:p>
    <w:p w14:paraId="13AB2374" w14:textId="74A78216" w:rsidR="00FF1DF1" w:rsidRDefault="004B3537" w:rsidP="00EA7D1D">
      <w:pPr>
        <w:spacing w:before="0" w:after="0" w:line="240" w:lineRule="auto"/>
        <w:rPr>
          <w:rFonts w:ascii="Book Antiqua" w:eastAsia="Arial" w:hAnsi="Book Antiqua" w:cs="Arial"/>
        </w:rPr>
      </w:pPr>
      <w:r w:rsidRPr="00E85457">
        <w:rPr>
          <w:rFonts w:ascii="Book Antiqua" w:eastAsia="Arial" w:hAnsi="Book Antiqua" w:cs="Arial"/>
        </w:rPr>
        <w:t>Mediante el oficio 507-PLA-RH-MI-2020 del 30 de marzo el preliminar de este informe denominado Impacto organizacional y presupuestario en el Poder Judicial, (Defensa Pública) a partir de la promulgación de la Ley 9593 de Acceso la Justicia de los Pueblos Indígenas</w:t>
      </w:r>
      <w:r w:rsidR="00EC6F09" w:rsidRPr="00E85457">
        <w:rPr>
          <w:rFonts w:ascii="Book Antiqua" w:eastAsia="Arial" w:hAnsi="Book Antiqua" w:cs="Arial"/>
        </w:rPr>
        <w:t>, fue puesto</w:t>
      </w:r>
      <w:r w:rsidRPr="00E85457">
        <w:rPr>
          <w:rFonts w:ascii="Book Antiqua" w:eastAsia="Arial" w:hAnsi="Book Antiqua" w:cs="Arial"/>
        </w:rPr>
        <w:t xml:space="preserve"> en conocimiento de la Comisión de Acceso a la Justicia, la Defensa Pública, Dirección de Tecnología de Información y Dirección de Gestión Humana</w:t>
      </w:r>
      <w:r w:rsidR="00A202D8" w:rsidRPr="00E85457">
        <w:rPr>
          <w:rFonts w:ascii="Book Antiqua" w:eastAsia="Arial" w:hAnsi="Book Antiqua" w:cs="Arial"/>
        </w:rPr>
        <w:t xml:space="preserve">, con el fin de que emitieran sus </w:t>
      </w:r>
      <w:r w:rsidR="00DC5F86" w:rsidRPr="00E85457">
        <w:rPr>
          <w:rFonts w:ascii="Book Antiqua" w:eastAsia="Arial" w:hAnsi="Book Antiqua" w:cs="Arial"/>
        </w:rPr>
        <w:t>observaciones</w:t>
      </w:r>
      <w:r w:rsidR="00691404" w:rsidRPr="00E85457">
        <w:rPr>
          <w:rFonts w:ascii="Book Antiqua" w:eastAsia="Arial" w:hAnsi="Book Antiqua" w:cs="Arial"/>
        </w:rPr>
        <w:t xml:space="preserve"> </w:t>
      </w:r>
      <w:r w:rsidR="009127F8" w:rsidRPr="00E85457">
        <w:rPr>
          <w:rFonts w:ascii="Book Antiqua" w:eastAsia="Arial" w:hAnsi="Book Antiqua" w:cs="Arial"/>
        </w:rPr>
        <w:t>para ser consideradas en el informe</w:t>
      </w:r>
      <w:r w:rsidR="00DC5F86" w:rsidRPr="00E85457">
        <w:rPr>
          <w:rFonts w:ascii="Book Antiqua" w:eastAsia="Arial" w:hAnsi="Book Antiqua" w:cs="Arial"/>
        </w:rPr>
        <w:t>.</w:t>
      </w:r>
    </w:p>
    <w:p w14:paraId="59368C90" w14:textId="1CBB52D8" w:rsidR="00AF0A4A" w:rsidRDefault="00AF0A4A" w:rsidP="00EA7D1D">
      <w:pPr>
        <w:spacing w:before="0" w:after="0" w:line="240" w:lineRule="auto"/>
        <w:rPr>
          <w:rFonts w:ascii="Book Antiqua" w:eastAsia="Arial" w:hAnsi="Book Antiqua" w:cs="Arial"/>
        </w:rPr>
      </w:pPr>
    </w:p>
    <w:p w14:paraId="2E88872E" w14:textId="35A98DDB" w:rsidR="00AF0A4A" w:rsidRPr="00E85457" w:rsidRDefault="00AF0A4A" w:rsidP="00E85457">
      <w:pPr>
        <w:spacing w:before="0" w:after="0" w:line="240" w:lineRule="auto"/>
        <w:rPr>
          <w:rFonts w:ascii="Book Antiqua" w:eastAsia="Arial" w:hAnsi="Book Antiqua" w:cs="Arial"/>
        </w:rPr>
      </w:pPr>
      <w:r>
        <w:rPr>
          <w:rFonts w:ascii="Book Antiqua" w:eastAsia="Arial" w:hAnsi="Book Antiqua" w:cs="Arial"/>
        </w:rPr>
        <w:t xml:space="preserve">Como respuesta se recibió el oficio </w:t>
      </w:r>
      <w:r w:rsidRPr="00E85457">
        <w:rPr>
          <w:rFonts w:ascii="Book Antiqua" w:eastAsia="Arial" w:hAnsi="Book Antiqua" w:cs="Arial"/>
        </w:rPr>
        <w:t xml:space="preserve">662-DTI-2020 del 3 de abril </w:t>
      </w:r>
      <w:r w:rsidR="00A00443">
        <w:rPr>
          <w:rFonts w:ascii="Book Antiqua" w:eastAsia="Arial" w:hAnsi="Book Antiqua" w:cs="Arial"/>
        </w:rPr>
        <w:t xml:space="preserve">y </w:t>
      </w:r>
      <w:r w:rsidR="004158F5">
        <w:rPr>
          <w:rFonts w:ascii="Book Antiqua" w:eastAsia="Arial" w:hAnsi="Book Antiqua" w:cs="Arial"/>
        </w:rPr>
        <w:t xml:space="preserve">el </w:t>
      </w:r>
      <w:r w:rsidR="00A00443">
        <w:rPr>
          <w:rFonts w:ascii="Book Antiqua" w:eastAsia="Arial" w:hAnsi="Book Antiqua" w:cs="Arial"/>
        </w:rPr>
        <w:t>712</w:t>
      </w:r>
      <w:r w:rsidR="004158F5" w:rsidRPr="00895D94">
        <w:rPr>
          <w:rFonts w:ascii="Book Antiqua" w:eastAsia="Arial" w:hAnsi="Book Antiqua" w:cs="Arial"/>
        </w:rPr>
        <w:t xml:space="preserve">-DTI-2020 </w:t>
      </w:r>
      <w:r w:rsidR="004158F5">
        <w:rPr>
          <w:rFonts w:ascii="Book Antiqua" w:eastAsia="Arial" w:hAnsi="Book Antiqua" w:cs="Arial"/>
        </w:rPr>
        <w:t xml:space="preserve">del 15 de abril de 2020 </w:t>
      </w:r>
      <w:r w:rsidRPr="00E85457">
        <w:rPr>
          <w:rFonts w:ascii="Book Antiqua" w:eastAsia="Arial" w:hAnsi="Book Antiqua" w:cs="Arial"/>
        </w:rPr>
        <w:t>de la Dirección de Tecnología de Información</w:t>
      </w:r>
      <w:r w:rsidR="004158F5">
        <w:rPr>
          <w:rFonts w:ascii="Book Antiqua" w:eastAsia="Arial" w:hAnsi="Book Antiqua" w:cs="Arial"/>
        </w:rPr>
        <w:t>;</w:t>
      </w:r>
      <w:r w:rsidR="00794634" w:rsidRPr="00E85457">
        <w:rPr>
          <w:rFonts w:ascii="Book Antiqua" w:eastAsia="Arial" w:hAnsi="Book Antiqua" w:cs="Arial"/>
        </w:rPr>
        <w:t xml:space="preserve"> y el oficio JEFDP- 365-2020 del 14 de abril de 2020 de la Jefatura de la Defensa Pública</w:t>
      </w:r>
      <w:r w:rsidR="00A12994">
        <w:rPr>
          <w:rFonts w:ascii="Book Antiqua" w:eastAsia="Arial" w:hAnsi="Book Antiqua" w:cs="Arial"/>
        </w:rPr>
        <w:t>, donde emiten sus observaciones al respecto</w:t>
      </w:r>
      <w:r w:rsidR="009578DE">
        <w:rPr>
          <w:rFonts w:ascii="Book Antiqua" w:eastAsia="Arial" w:hAnsi="Book Antiqua" w:cs="Arial"/>
        </w:rPr>
        <w:t xml:space="preserve"> (ver anexo 10)</w:t>
      </w:r>
      <w:r w:rsidR="00A12994">
        <w:rPr>
          <w:rFonts w:ascii="Book Antiqua" w:eastAsia="Arial" w:hAnsi="Book Antiqua" w:cs="Arial"/>
        </w:rPr>
        <w:t>.</w:t>
      </w:r>
    </w:p>
    <w:p w14:paraId="5965FCD6" w14:textId="0A35D428" w:rsidR="00AF0A4A" w:rsidRDefault="00AF0A4A">
      <w:pPr>
        <w:spacing w:before="0" w:after="0" w:line="240" w:lineRule="auto"/>
        <w:rPr>
          <w:rFonts w:ascii="Book Antiqua" w:eastAsia="Arial" w:hAnsi="Book Antiqua" w:cs="Arial"/>
        </w:rPr>
      </w:pPr>
    </w:p>
    <w:p w14:paraId="24EE7DB2" w14:textId="77777777" w:rsidR="00A12994" w:rsidRPr="00895D94" w:rsidRDefault="00A12994" w:rsidP="00E85457">
      <w:pPr>
        <w:spacing w:before="0" w:after="0" w:line="240" w:lineRule="auto"/>
        <w:rPr>
          <w:rFonts w:eastAsia="Arial" w:cs="Arial"/>
        </w:rPr>
      </w:pPr>
      <w:r w:rsidRPr="00895D94">
        <w:rPr>
          <w:rFonts w:ascii="Book Antiqua" w:eastAsia="Book Antiqua" w:hAnsi="Book Antiqua" w:cs="Book Antiqua"/>
          <w:szCs w:val="24"/>
        </w:rPr>
        <w:t>El Consejo Superior en sesión extraordinaria 38-2020 (Presupuesto 2021), celebrada el 17 de abril del año en curso, artículo XXI, referente al estudio de Requerimiento de Recurso Humano 507-PLA-RH-MI-2020</w:t>
      </w:r>
      <w:r w:rsidRPr="069FBBC5">
        <w:rPr>
          <w:rFonts w:ascii="Book Antiqua" w:eastAsia="Book Antiqua" w:hAnsi="Book Antiqua" w:cs="Book Antiqua"/>
          <w:szCs w:val="24"/>
        </w:rPr>
        <w:t>, dispuso lo siguiente:</w:t>
      </w:r>
    </w:p>
    <w:p w14:paraId="6C58CB89" w14:textId="77777777" w:rsidR="00A12994" w:rsidRDefault="00A12994" w:rsidP="00E85457">
      <w:pPr>
        <w:spacing w:before="0" w:after="0" w:line="240" w:lineRule="auto"/>
        <w:rPr>
          <w:rFonts w:ascii="Book Antiqua" w:eastAsia="Book Antiqua" w:hAnsi="Book Antiqua" w:cs="Book Antiqua"/>
          <w:szCs w:val="24"/>
        </w:rPr>
      </w:pPr>
    </w:p>
    <w:p w14:paraId="2585379D" w14:textId="23F4DD81" w:rsidR="00A12994" w:rsidRDefault="00A12994" w:rsidP="00E85457">
      <w:pPr>
        <w:spacing w:before="0" w:after="0" w:line="240" w:lineRule="auto"/>
        <w:rPr>
          <w:rFonts w:ascii="Book Antiqua" w:eastAsia="Book Antiqua" w:hAnsi="Book Antiqua" w:cs="Book Antiqua"/>
          <w:szCs w:val="24"/>
        </w:rPr>
      </w:pPr>
      <w:r w:rsidRPr="069FBBC5">
        <w:rPr>
          <w:rFonts w:ascii="Book Antiqua" w:eastAsia="Book Antiqua" w:hAnsi="Book Antiqua" w:cs="Book Antiqua"/>
          <w:b/>
          <w:bCs/>
          <w:szCs w:val="24"/>
        </w:rPr>
        <w:t>“</w:t>
      </w:r>
      <w:r w:rsidRPr="00895D94">
        <w:rPr>
          <w:rFonts w:ascii="Book Antiqua" w:eastAsia="Book Antiqua" w:hAnsi="Book Antiqua" w:cs="Book Antiqua"/>
          <w:b/>
          <w:bCs/>
          <w:i/>
          <w:iCs/>
          <w:szCs w:val="24"/>
        </w:rPr>
        <w:t>Se acordó: 1.)</w:t>
      </w:r>
      <w:r w:rsidRPr="00895D94">
        <w:rPr>
          <w:rFonts w:ascii="Book Antiqua" w:eastAsia="Book Antiqua" w:hAnsi="Book Antiqua" w:cs="Book Antiqua"/>
          <w:i/>
          <w:iCs/>
          <w:szCs w:val="24"/>
        </w:rPr>
        <w:t xml:space="preserve"> </w:t>
      </w:r>
      <w:r w:rsidRPr="00E85457">
        <w:rPr>
          <w:rFonts w:ascii="Book Antiqua" w:eastAsia="Book Antiqua" w:hAnsi="Book Antiqua" w:cs="Book Antiqua"/>
          <w:b/>
          <w:bCs/>
          <w:i/>
          <w:iCs/>
          <w:szCs w:val="24"/>
        </w:rPr>
        <w:t>Aprobar el informe 507-PLA-RH-OI-2020 de la Dirección de Planificación y sus recomendaciones</w:t>
      </w:r>
      <w:r w:rsidRPr="069FBBC5">
        <w:rPr>
          <w:rFonts w:ascii="Book Antiqua" w:eastAsia="Book Antiqua" w:hAnsi="Book Antiqua" w:cs="Book Antiqua"/>
          <w:i/>
          <w:iCs/>
          <w:szCs w:val="24"/>
        </w:rPr>
        <w:t xml:space="preserve"> (…) </w:t>
      </w:r>
      <w:r w:rsidRPr="069FBBC5">
        <w:rPr>
          <w:rFonts w:ascii="Book Antiqua" w:eastAsia="Book Antiqua" w:hAnsi="Book Antiqua" w:cs="Book Antiqua"/>
          <w:b/>
          <w:bCs/>
          <w:i/>
          <w:iCs/>
          <w:sz w:val="22"/>
        </w:rPr>
        <w:t xml:space="preserve">2) </w:t>
      </w:r>
      <w:r w:rsidRPr="069FBBC5">
        <w:rPr>
          <w:rFonts w:ascii="Book Antiqua" w:eastAsia="Book Antiqua" w:hAnsi="Book Antiqua" w:cs="Book Antiqua"/>
          <w:i/>
          <w:iCs/>
          <w:sz w:val="22"/>
        </w:rPr>
        <w:t xml:space="preserve">En relación con la solicitud de los recursos necesarios para la implementación de esta nueva legislación deberá solicitarse la incorporación de los recursos al Ministerio de Hacienda, de forma separada al Presupuesto ordinario, ya que constituyen necesidades adicionales para el Poder Judicial. </w:t>
      </w:r>
      <w:r w:rsidRPr="069FBBC5">
        <w:rPr>
          <w:rFonts w:ascii="Book Antiqua" w:eastAsia="Book Antiqua" w:hAnsi="Book Antiqua" w:cs="Book Antiqua"/>
          <w:b/>
          <w:bCs/>
          <w:i/>
          <w:iCs/>
          <w:sz w:val="22"/>
        </w:rPr>
        <w:t>3.)</w:t>
      </w:r>
      <w:r w:rsidRPr="069FBBC5">
        <w:rPr>
          <w:rFonts w:ascii="Book Antiqua" w:eastAsia="Book Antiqua" w:hAnsi="Book Antiqua" w:cs="Book Antiqua"/>
          <w:i/>
          <w:iCs/>
          <w:sz w:val="22"/>
        </w:rPr>
        <w:t xml:space="preserve"> </w:t>
      </w:r>
      <w:r w:rsidRPr="00E85457">
        <w:rPr>
          <w:rFonts w:ascii="Book Antiqua" w:eastAsia="Book Antiqua" w:hAnsi="Book Antiqua" w:cs="Book Antiqua"/>
          <w:b/>
          <w:bCs/>
          <w:i/>
          <w:iCs/>
          <w:sz w:val="22"/>
        </w:rPr>
        <w:t xml:space="preserve">Rechazar las observaciones presentadas por la máster Diana Montero </w:t>
      </w:r>
      <w:proofErr w:type="spellStart"/>
      <w:r w:rsidRPr="00E85457">
        <w:rPr>
          <w:rFonts w:ascii="Book Antiqua" w:eastAsia="Book Antiqua" w:hAnsi="Book Antiqua" w:cs="Book Antiqua"/>
          <w:b/>
          <w:bCs/>
          <w:i/>
          <w:iCs/>
          <w:sz w:val="22"/>
        </w:rPr>
        <w:t>Montero</w:t>
      </w:r>
      <w:proofErr w:type="spellEnd"/>
      <w:r w:rsidRPr="00E85457">
        <w:rPr>
          <w:rFonts w:ascii="Book Antiqua" w:eastAsia="Book Antiqua" w:hAnsi="Book Antiqua" w:cs="Book Antiqua"/>
          <w:b/>
          <w:bCs/>
          <w:i/>
          <w:iCs/>
          <w:sz w:val="22"/>
        </w:rPr>
        <w:t xml:space="preserve">, </w:t>
      </w:r>
      <w:proofErr w:type="gramStart"/>
      <w:r w:rsidRPr="00E85457">
        <w:rPr>
          <w:rFonts w:ascii="Book Antiqua" w:eastAsia="Book Antiqua" w:hAnsi="Book Antiqua" w:cs="Book Antiqua"/>
          <w:b/>
          <w:bCs/>
          <w:i/>
          <w:iCs/>
          <w:sz w:val="22"/>
        </w:rPr>
        <w:t>Jefa</w:t>
      </w:r>
      <w:proofErr w:type="gramEnd"/>
      <w:r w:rsidRPr="00E85457">
        <w:rPr>
          <w:rFonts w:ascii="Book Antiqua" w:eastAsia="Book Antiqua" w:hAnsi="Book Antiqua" w:cs="Book Antiqua"/>
          <w:b/>
          <w:bCs/>
          <w:i/>
          <w:iCs/>
          <w:sz w:val="22"/>
        </w:rPr>
        <w:t xml:space="preserve"> interina de la Defensa Pública y mantener el informe </w:t>
      </w:r>
      <w:proofErr w:type="spellStart"/>
      <w:r w:rsidRPr="00E85457">
        <w:rPr>
          <w:rFonts w:ascii="Book Antiqua" w:eastAsia="Book Antiqua" w:hAnsi="Book Antiqua" w:cs="Book Antiqua"/>
          <w:b/>
          <w:bCs/>
          <w:i/>
          <w:iCs/>
          <w:sz w:val="22"/>
        </w:rPr>
        <w:t>Nº</w:t>
      </w:r>
      <w:proofErr w:type="spellEnd"/>
      <w:r w:rsidRPr="00E85457">
        <w:rPr>
          <w:rFonts w:ascii="Book Antiqua" w:eastAsia="Book Antiqua" w:hAnsi="Book Antiqua" w:cs="Book Antiqua"/>
          <w:b/>
          <w:bCs/>
          <w:i/>
          <w:iCs/>
          <w:sz w:val="22"/>
        </w:rPr>
        <w:t xml:space="preserve"> 507-PLA-RH-OI-2020. </w:t>
      </w:r>
      <w:r w:rsidRPr="00A864C3">
        <w:rPr>
          <w:rFonts w:ascii="Book Antiqua" w:eastAsia="Book Antiqua" w:hAnsi="Book Antiqua" w:cs="Book Antiqua"/>
          <w:b/>
          <w:bCs/>
          <w:i/>
          <w:iCs/>
          <w:sz w:val="22"/>
        </w:rPr>
        <w:t>4.)</w:t>
      </w:r>
      <w:r w:rsidRPr="00E85457">
        <w:rPr>
          <w:rFonts w:ascii="Book Antiqua" w:eastAsia="Book Antiqua" w:hAnsi="Book Antiqua" w:cs="Book Antiqua"/>
          <w:b/>
          <w:bCs/>
          <w:i/>
          <w:iCs/>
          <w:sz w:val="22"/>
        </w:rPr>
        <w:t xml:space="preserve"> Tomar nota de las observaciones presentadas por la máster Kattia Morales Navarro, Directora de Tecnología de la Información y tener por </w:t>
      </w:r>
      <w:r w:rsidRPr="00E85457">
        <w:rPr>
          <w:rFonts w:ascii="Book Antiqua" w:eastAsia="Book Antiqua" w:hAnsi="Book Antiqua" w:cs="Book Antiqua"/>
          <w:b/>
          <w:bCs/>
          <w:i/>
          <w:iCs/>
          <w:sz w:val="22"/>
        </w:rPr>
        <w:lastRenderedPageBreak/>
        <w:t>corregidas las observaciones señaladas, dentro del citado informe.</w:t>
      </w:r>
      <w:r w:rsidRPr="069FBBC5">
        <w:rPr>
          <w:rFonts w:ascii="Book Antiqua" w:eastAsia="Book Antiqua" w:hAnsi="Book Antiqua" w:cs="Book Antiqua"/>
          <w:i/>
          <w:iCs/>
          <w:sz w:val="22"/>
        </w:rPr>
        <w:t xml:space="preserve"> </w:t>
      </w:r>
      <w:r w:rsidRPr="069FBBC5">
        <w:rPr>
          <w:rFonts w:ascii="Book Antiqua" w:eastAsia="Book Antiqua" w:hAnsi="Book Antiqua" w:cs="Book Antiqua"/>
          <w:b/>
          <w:bCs/>
          <w:i/>
          <w:iCs/>
          <w:sz w:val="22"/>
        </w:rPr>
        <w:t>Se declara acuerdo firme.</w:t>
      </w:r>
      <w:r w:rsidRPr="069FBBC5">
        <w:rPr>
          <w:rFonts w:ascii="Book Antiqua" w:eastAsia="Book Antiqua" w:hAnsi="Book Antiqua" w:cs="Book Antiqua"/>
          <w:i/>
          <w:iCs/>
          <w:sz w:val="22"/>
        </w:rPr>
        <w:t>”</w:t>
      </w:r>
      <w:r w:rsidRPr="069FBBC5">
        <w:rPr>
          <w:rFonts w:ascii="Book Antiqua" w:eastAsia="Book Antiqua" w:hAnsi="Book Antiqua" w:cs="Book Antiqua"/>
          <w:szCs w:val="24"/>
        </w:rPr>
        <w:t>”</w:t>
      </w:r>
      <w:r w:rsidR="00687780">
        <w:rPr>
          <w:rFonts w:ascii="Book Antiqua" w:eastAsia="Book Antiqua" w:hAnsi="Book Antiqua" w:cs="Book Antiqua"/>
          <w:szCs w:val="24"/>
        </w:rPr>
        <w:t xml:space="preserve"> (La negrita no es del original)</w:t>
      </w:r>
    </w:p>
    <w:p w14:paraId="4E18B542" w14:textId="77777777" w:rsidR="00A12994" w:rsidRPr="00E85457" w:rsidRDefault="00A12994" w:rsidP="00E85457">
      <w:pPr>
        <w:spacing w:before="0" w:after="0" w:line="240" w:lineRule="auto"/>
        <w:rPr>
          <w:rFonts w:ascii="Book Antiqua" w:eastAsia="Arial" w:hAnsi="Book Antiqua" w:cs="Arial"/>
        </w:rPr>
      </w:pPr>
    </w:p>
    <w:p w14:paraId="0BDF789A" w14:textId="3576D016" w:rsidR="00094914" w:rsidRDefault="0084086A" w:rsidP="00E85457">
      <w:pPr>
        <w:spacing w:before="0" w:after="0" w:line="240" w:lineRule="auto"/>
        <w:rPr>
          <w:rFonts w:ascii="Book Antiqua" w:eastAsia="Book Antiqua" w:hAnsi="Book Antiqua" w:cs="Book Antiqua"/>
          <w:szCs w:val="24"/>
        </w:rPr>
      </w:pPr>
      <w:r>
        <w:rPr>
          <w:rFonts w:ascii="Book Antiqua" w:eastAsia="Book Antiqua" w:hAnsi="Book Antiqua" w:cs="Book Antiqua"/>
          <w:szCs w:val="24"/>
        </w:rPr>
        <w:t>El 17 de abril de 2020</w:t>
      </w:r>
      <w:r w:rsidR="00FC7B5C">
        <w:rPr>
          <w:rFonts w:ascii="Book Antiqua" w:eastAsia="Book Antiqua" w:hAnsi="Book Antiqua" w:cs="Book Antiqua"/>
          <w:szCs w:val="24"/>
        </w:rPr>
        <w:t>,</w:t>
      </w:r>
      <w:r w:rsidR="00F2176E">
        <w:rPr>
          <w:rFonts w:ascii="Book Antiqua" w:eastAsia="Book Antiqua" w:hAnsi="Book Antiqua" w:cs="Book Antiqua"/>
          <w:szCs w:val="24"/>
        </w:rPr>
        <w:t xml:space="preserve"> ingresó</w:t>
      </w:r>
      <w:r w:rsidR="00A12994" w:rsidRPr="00E85457">
        <w:rPr>
          <w:rFonts w:ascii="Book Antiqua" w:eastAsia="Book Antiqua" w:hAnsi="Book Antiqua" w:cs="Book Antiqua"/>
          <w:szCs w:val="24"/>
        </w:rPr>
        <w:t xml:space="preserve"> como respuesta extemporánea el o</w:t>
      </w:r>
      <w:r w:rsidR="006966DF" w:rsidRPr="00E85457">
        <w:rPr>
          <w:rFonts w:ascii="Book Antiqua" w:eastAsia="Book Antiqua" w:hAnsi="Book Antiqua" w:cs="Book Antiqua"/>
          <w:szCs w:val="24"/>
        </w:rPr>
        <w:t xml:space="preserve">ficio </w:t>
      </w:r>
      <w:r w:rsidR="00645B31" w:rsidRPr="00E85457">
        <w:rPr>
          <w:rFonts w:ascii="Book Antiqua" w:eastAsia="Book Antiqua" w:hAnsi="Book Antiqua" w:cs="Book Antiqua"/>
          <w:szCs w:val="24"/>
        </w:rPr>
        <w:t xml:space="preserve">CACC-116-2020 </w:t>
      </w:r>
      <w:r w:rsidR="00391DB8">
        <w:rPr>
          <w:rFonts w:ascii="Book Antiqua" w:eastAsia="Book Antiqua" w:hAnsi="Book Antiqua" w:cs="Book Antiqua"/>
          <w:szCs w:val="24"/>
        </w:rPr>
        <w:t xml:space="preserve">suscrito por el Magistrado por el Magistrado Jorge </w:t>
      </w:r>
      <w:proofErr w:type="spellStart"/>
      <w:r w:rsidR="00391DB8">
        <w:rPr>
          <w:rFonts w:ascii="Book Antiqua" w:eastAsia="Book Antiqua" w:hAnsi="Book Antiqua" w:cs="Book Antiqua"/>
          <w:szCs w:val="24"/>
        </w:rPr>
        <w:t>Olaso</w:t>
      </w:r>
      <w:proofErr w:type="spellEnd"/>
      <w:r w:rsidR="008E681C">
        <w:rPr>
          <w:rFonts w:ascii="Book Antiqua" w:eastAsia="Book Antiqua" w:hAnsi="Book Antiqua" w:cs="Book Antiqua"/>
          <w:szCs w:val="24"/>
        </w:rPr>
        <w:t xml:space="preserve"> </w:t>
      </w:r>
      <w:r w:rsidR="00BB0085">
        <w:rPr>
          <w:rFonts w:ascii="Book Antiqua" w:eastAsia="Book Antiqua" w:hAnsi="Book Antiqua" w:cs="Book Antiqua"/>
          <w:szCs w:val="24"/>
        </w:rPr>
        <w:t>Álvarez</w:t>
      </w:r>
      <w:r w:rsidR="00391DB8">
        <w:rPr>
          <w:rFonts w:ascii="Book Antiqua" w:eastAsia="Book Antiqua" w:hAnsi="Book Antiqua" w:cs="Book Antiqua"/>
          <w:szCs w:val="24"/>
        </w:rPr>
        <w:t xml:space="preserve">, Coordinador </w:t>
      </w:r>
      <w:r w:rsidR="00645B31" w:rsidRPr="00E85457">
        <w:rPr>
          <w:rFonts w:ascii="Book Antiqua" w:eastAsia="Book Antiqua" w:hAnsi="Book Antiqua" w:cs="Book Antiqua"/>
          <w:szCs w:val="24"/>
        </w:rPr>
        <w:t>de la Comisión de Acceso a la Justicia</w:t>
      </w:r>
      <w:r w:rsidR="00F2176E">
        <w:rPr>
          <w:rFonts w:ascii="Book Antiqua" w:eastAsia="Book Antiqua" w:hAnsi="Book Antiqua" w:cs="Book Antiqua"/>
          <w:szCs w:val="24"/>
        </w:rPr>
        <w:t>, donde emite sus observaciones al respecto</w:t>
      </w:r>
      <w:r w:rsidR="005C0939">
        <w:rPr>
          <w:rFonts w:ascii="Book Antiqua" w:eastAsia="Book Antiqua" w:hAnsi="Book Antiqua" w:cs="Book Antiqua"/>
          <w:szCs w:val="24"/>
        </w:rPr>
        <w:t xml:space="preserve"> (ver anexo 11).</w:t>
      </w:r>
    </w:p>
    <w:p w14:paraId="433F475C" w14:textId="77777777" w:rsidR="005516FA" w:rsidRDefault="005516FA" w:rsidP="00E85457">
      <w:pPr>
        <w:spacing w:before="0" w:after="0" w:line="240" w:lineRule="auto"/>
        <w:rPr>
          <w:rFonts w:ascii="Book Antiqua" w:hAnsi="Book Antiqua" w:cs="Arial"/>
          <w:szCs w:val="24"/>
        </w:rPr>
      </w:pPr>
    </w:p>
    <w:p w14:paraId="278F2866" w14:textId="2A19A92C" w:rsidR="00BB0085" w:rsidRDefault="005516FA" w:rsidP="00F659AD">
      <w:pPr>
        <w:spacing w:before="0" w:after="0" w:line="240" w:lineRule="auto"/>
        <w:rPr>
          <w:rFonts w:ascii="Book Antiqua" w:hAnsi="Book Antiqua" w:cs="Arial"/>
          <w:szCs w:val="24"/>
        </w:rPr>
      </w:pPr>
      <w:r>
        <w:rPr>
          <w:rFonts w:ascii="Book Antiqua" w:hAnsi="Book Antiqua" w:cs="Arial"/>
          <w:szCs w:val="24"/>
        </w:rPr>
        <w:t>E</w:t>
      </w:r>
      <w:r w:rsidRPr="0002286F">
        <w:rPr>
          <w:rFonts w:ascii="Book Antiqua" w:hAnsi="Book Antiqua" w:cs="Arial"/>
          <w:szCs w:val="24"/>
        </w:rPr>
        <w:t>l 27 de abril de 2020</w:t>
      </w:r>
      <w:r w:rsidR="00FC7B5C">
        <w:rPr>
          <w:rFonts w:ascii="Book Antiqua" w:hAnsi="Book Antiqua" w:cs="Arial"/>
          <w:szCs w:val="24"/>
        </w:rPr>
        <w:t>,</w:t>
      </w:r>
      <w:r w:rsidRPr="0002286F">
        <w:rPr>
          <w:rFonts w:ascii="Book Antiqua" w:hAnsi="Book Antiqua" w:cs="Arial"/>
          <w:szCs w:val="24"/>
        </w:rPr>
        <w:t xml:space="preserve"> se recibió de </w:t>
      </w:r>
      <w:r w:rsidRPr="00E85457">
        <w:rPr>
          <w:rFonts w:ascii="Book Antiqua" w:hAnsi="Book Antiqua" w:cs="Arial"/>
          <w:szCs w:val="24"/>
        </w:rPr>
        <w:t>forma extemporánea</w:t>
      </w:r>
      <w:r w:rsidRPr="0002286F">
        <w:rPr>
          <w:rFonts w:ascii="Book Antiqua" w:hAnsi="Book Antiqua" w:cs="Arial"/>
          <w:szCs w:val="24"/>
        </w:rPr>
        <w:t xml:space="preserve"> el oficio PJ-DGH-SAP-135-2020 de la Licda. Ma</w:t>
      </w:r>
      <w:r>
        <w:rPr>
          <w:rFonts w:ascii="Book Antiqua" w:hAnsi="Book Antiqua" w:cs="Arial"/>
          <w:szCs w:val="24"/>
        </w:rPr>
        <w:t>ría</w:t>
      </w:r>
      <w:r w:rsidRPr="0002286F">
        <w:rPr>
          <w:rFonts w:ascii="Book Antiqua" w:hAnsi="Book Antiqua" w:cs="Arial"/>
          <w:szCs w:val="24"/>
        </w:rPr>
        <w:t xml:space="preserve"> Gabriela Mora Zamora, Jefa de Sección de Análisis de Puestos</w:t>
      </w:r>
      <w:r w:rsidR="003E10D7">
        <w:rPr>
          <w:rFonts w:ascii="Book Antiqua" w:hAnsi="Book Antiqua" w:cs="Arial"/>
          <w:szCs w:val="24"/>
        </w:rPr>
        <w:t xml:space="preserve"> de la Dirección de Gestión Humana, donde realiza </w:t>
      </w:r>
      <w:r w:rsidR="00687780">
        <w:rPr>
          <w:rFonts w:ascii="Book Antiqua" w:hAnsi="Book Antiqua" w:cs="Arial"/>
          <w:szCs w:val="24"/>
        </w:rPr>
        <w:t>observaciones referentes</w:t>
      </w:r>
      <w:r w:rsidR="00E00600">
        <w:rPr>
          <w:rFonts w:ascii="Book Antiqua" w:hAnsi="Book Antiqua" w:cs="Arial"/>
          <w:szCs w:val="24"/>
        </w:rPr>
        <w:t xml:space="preserve"> al informe 507-PLA-RH-MI-2020</w:t>
      </w:r>
      <w:r w:rsidR="003E6A06">
        <w:rPr>
          <w:rFonts w:ascii="Book Antiqua" w:hAnsi="Book Antiqua" w:cs="Arial"/>
          <w:szCs w:val="24"/>
        </w:rPr>
        <w:t xml:space="preserve"> (ver anexo 12)</w:t>
      </w:r>
      <w:r w:rsidR="00E00600">
        <w:rPr>
          <w:rFonts w:ascii="Book Antiqua" w:hAnsi="Book Antiqua" w:cs="Arial"/>
          <w:szCs w:val="24"/>
        </w:rPr>
        <w:t>.</w:t>
      </w:r>
    </w:p>
    <w:p w14:paraId="4F2017AC" w14:textId="1D38F209" w:rsidR="00E7196E" w:rsidRDefault="00E7196E" w:rsidP="00F659AD">
      <w:pPr>
        <w:spacing w:before="0" w:after="0" w:line="240" w:lineRule="auto"/>
        <w:rPr>
          <w:rFonts w:ascii="Book Antiqua" w:hAnsi="Book Antiqua" w:cs="Arial"/>
          <w:szCs w:val="24"/>
        </w:rPr>
      </w:pPr>
    </w:p>
    <w:p w14:paraId="5D152314" w14:textId="2A930E1B" w:rsidR="00E7196E" w:rsidRDefault="00152524" w:rsidP="00E85457">
      <w:pPr>
        <w:spacing w:before="0" w:after="0" w:line="240" w:lineRule="auto"/>
        <w:rPr>
          <w:rFonts w:ascii="Book Antiqua" w:hAnsi="Book Antiqua" w:cs="Arial"/>
          <w:szCs w:val="24"/>
        </w:rPr>
      </w:pPr>
      <w:r>
        <w:rPr>
          <w:rFonts w:ascii="Book Antiqua" w:hAnsi="Book Antiqua" w:cs="Arial"/>
          <w:szCs w:val="24"/>
        </w:rPr>
        <w:t xml:space="preserve">En sesión extraordinaria del Consejo Superior </w:t>
      </w:r>
      <w:r w:rsidR="005A3729">
        <w:rPr>
          <w:rFonts w:ascii="Book Antiqua" w:hAnsi="Book Antiqua" w:cs="Arial"/>
          <w:szCs w:val="24"/>
        </w:rPr>
        <w:t>45-2020 del 8 de mayo de 2020</w:t>
      </w:r>
      <w:r w:rsidR="00B07101">
        <w:rPr>
          <w:rFonts w:ascii="Book Antiqua" w:hAnsi="Book Antiqua" w:cs="Arial"/>
          <w:szCs w:val="24"/>
        </w:rPr>
        <w:t>, artículo X</w:t>
      </w:r>
      <w:r w:rsidR="00FC7B5C">
        <w:rPr>
          <w:rFonts w:ascii="Book Antiqua" w:hAnsi="Book Antiqua" w:cs="Arial"/>
          <w:szCs w:val="24"/>
        </w:rPr>
        <w:t>X</w:t>
      </w:r>
      <w:r w:rsidR="00B07101">
        <w:rPr>
          <w:rFonts w:ascii="Book Antiqua" w:hAnsi="Book Antiqua" w:cs="Arial"/>
          <w:szCs w:val="24"/>
        </w:rPr>
        <w:t xml:space="preserve">II </w:t>
      </w:r>
      <w:r w:rsidR="003159B9">
        <w:rPr>
          <w:rFonts w:ascii="Book Antiqua" w:hAnsi="Book Antiqua" w:cs="Arial"/>
          <w:szCs w:val="24"/>
        </w:rPr>
        <w:t xml:space="preserve">fueron </w:t>
      </w:r>
      <w:r w:rsidR="00EB3DF9">
        <w:rPr>
          <w:rFonts w:ascii="Book Antiqua" w:hAnsi="Book Antiqua" w:cs="Arial"/>
          <w:szCs w:val="24"/>
        </w:rPr>
        <w:t>conocidos</w:t>
      </w:r>
      <w:r w:rsidR="003159B9">
        <w:rPr>
          <w:rFonts w:ascii="Book Antiqua" w:hAnsi="Book Antiqua" w:cs="Arial"/>
          <w:szCs w:val="24"/>
        </w:rPr>
        <w:t xml:space="preserve"> los oficios </w:t>
      </w:r>
      <w:r w:rsidR="0005643F">
        <w:rPr>
          <w:rFonts w:ascii="Book Antiqua" w:hAnsi="Book Antiqua" w:cs="Arial"/>
          <w:szCs w:val="24"/>
        </w:rPr>
        <w:t xml:space="preserve">659-PLA-RH-MI-2020 </w:t>
      </w:r>
      <w:r w:rsidR="002431F0">
        <w:rPr>
          <w:rFonts w:ascii="Book Antiqua" w:hAnsi="Book Antiqua" w:cs="Arial"/>
          <w:szCs w:val="24"/>
        </w:rPr>
        <w:t xml:space="preserve">y 660-PLA-RH-MI-2020 donde se </w:t>
      </w:r>
      <w:r w:rsidR="00951A88">
        <w:rPr>
          <w:rFonts w:ascii="Book Antiqua" w:hAnsi="Book Antiqua" w:cs="Arial"/>
          <w:szCs w:val="24"/>
        </w:rPr>
        <w:t xml:space="preserve">atendieron las </w:t>
      </w:r>
      <w:r w:rsidR="00410F64">
        <w:rPr>
          <w:rFonts w:ascii="Book Antiqua" w:hAnsi="Book Antiqua" w:cs="Arial"/>
          <w:szCs w:val="24"/>
        </w:rPr>
        <w:t>observaciones planteadas</w:t>
      </w:r>
      <w:r w:rsidR="00951A88">
        <w:rPr>
          <w:rFonts w:ascii="Book Antiqua" w:hAnsi="Book Antiqua" w:cs="Arial"/>
          <w:szCs w:val="24"/>
        </w:rPr>
        <w:t xml:space="preserve"> </w:t>
      </w:r>
      <w:r w:rsidR="00B07101">
        <w:rPr>
          <w:rFonts w:ascii="Book Antiqua" w:hAnsi="Book Antiqua" w:cs="Arial"/>
          <w:szCs w:val="24"/>
        </w:rPr>
        <w:t xml:space="preserve">por la Comisión de Acceso a la Justicia </w:t>
      </w:r>
      <w:r w:rsidR="00410F64">
        <w:rPr>
          <w:rFonts w:ascii="Book Antiqua" w:hAnsi="Book Antiqua" w:cs="Arial"/>
          <w:szCs w:val="24"/>
        </w:rPr>
        <w:t>y por</w:t>
      </w:r>
      <w:r w:rsidR="00951A88">
        <w:rPr>
          <w:rFonts w:ascii="Book Antiqua" w:hAnsi="Book Antiqua" w:cs="Arial"/>
          <w:szCs w:val="24"/>
        </w:rPr>
        <w:t xml:space="preserve"> la </w:t>
      </w:r>
      <w:r w:rsidR="00137977">
        <w:rPr>
          <w:rFonts w:ascii="Book Antiqua" w:hAnsi="Book Antiqua" w:cs="Arial"/>
          <w:szCs w:val="24"/>
        </w:rPr>
        <w:t>Sección de An</w:t>
      </w:r>
      <w:r w:rsidR="00B36657">
        <w:rPr>
          <w:rFonts w:ascii="Book Antiqua" w:hAnsi="Book Antiqua" w:cs="Arial"/>
          <w:szCs w:val="24"/>
        </w:rPr>
        <w:t xml:space="preserve">álisis de Puestos de la </w:t>
      </w:r>
      <w:r w:rsidR="00951A88">
        <w:rPr>
          <w:rFonts w:ascii="Book Antiqua" w:hAnsi="Book Antiqua" w:cs="Arial"/>
          <w:szCs w:val="24"/>
        </w:rPr>
        <w:t>Dirección de Gestión Humana</w:t>
      </w:r>
      <w:r w:rsidR="00CB1635">
        <w:rPr>
          <w:rFonts w:ascii="Book Antiqua" w:hAnsi="Book Antiqua" w:cs="Arial"/>
          <w:szCs w:val="24"/>
        </w:rPr>
        <w:t xml:space="preserve">; </w:t>
      </w:r>
      <w:r w:rsidR="006D15FA">
        <w:rPr>
          <w:rFonts w:ascii="Book Antiqua" w:hAnsi="Book Antiqua" w:cs="Arial"/>
          <w:szCs w:val="24"/>
        </w:rPr>
        <w:t>en el mismo se dispuso</w:t>
      </w:r>
      <w:r w:rsidR="00CB1635">
        <w:rPr>
          <w:rFonts w:ascii="Book Antiqua" w:hAnsi="Book Antiqua" w:cs="Arial"/>
          <w:szCs w:val="24"/>
        </w:rPr>
        <w:t xml:space="preserve"> </w:t>
      </w:r>
      <w:r w:rsidR="006D15FA">
        <w:rPr>
          <w:rFonts w:ascii="Book Antiqua" w:hAnsi="Book Antiqua" w:cs="Arial"/>
          <w:szCs w:val="24"/>
        </w:rPr>
        <w:t xml:space="preserve">por el Consejo Superior </w:t>
      </w:r>
      <w:r w:rsidR="00410F64">
        <w:rPr>
          <w:rFonts w:ascii="Book Antiqua" w:hAnsi="Book Antiqua" w:cs="Arial"/>
          <w:szCs w:val="24"/>
        </w:rPr>
        <w:t>aprobar ambos</w:t>
      </w:r>
      <w:r w:rsidR="00CB1635">
        <w:rPr>
          <w:rFonts w:ascii="Book Antiqua" w:hAnsi="Book Antiqua" w:cs="Arial"/>
          <w:szCs w:val="24"/>
        </w:rPr>
        <w:t xml:space="preserve"> oficios de la Dirección de Planificación y sus recomendaciones.</w:t>
      </w:r>
    </w:p>
    <w:p w14:paraId="28DA53B3" w14:textId="74E2ED48" w:rsidR="00BA04AC" w:rsidRPr="00E85457" w:rsidRDefault="00BA04AC" w:rsidP="00E85457">
      <w:pPr>
        <w:spacing w:before="0" w:after="0" w:line="240" w:lineRule="auto"/>
      </w:pPr>
    </w:p>
    <w:p w14:paraId="0DA22B0D" w14:textId="4F60E185" w:rsidR="7F015B2F" w:rsidRDefault="7F015B2F" w:rsidP="00E85457">
      <w:pPr>
        <w:spacing w:before="0" w:after="0" w:line="240" w:lineRule="auto"/>
        <w:rPr>
          <w:rFonts w:ascii="Book Antiqua" w:eastAsia="Book Antiqua" w:hAnsi="Book Antiqua" w:cs="Book Antiqua"/>
          <w:szCs w:val="24"/>
        </w:rPr>
      </w:pPr>
      <w:r w:rsidRPr="069FBBC5">
        <w:rPr>
          <w:rFonts w:ascii="Book Antiqua" w:eastAsia="Book Antiqua" w:hAnsi="Book Antiqua" w:cs="Book Antiqua"/>
          <w:szCs w:val="24"/>
        </w:rPr>
        <w:t>Posteriormente</w:t>
      </w:r>
      <w:r w:rsidR="00892CE0">
        <w:rPr>
          <w:rFonts w:ascii="Book Antiqua" w:eastAsia="Book Antiqua" w:hAnsi="Book Antiqua" w:cs="Book Antiqua"/>
          <w:szCs w:val="24"/>
        </w:rPr>
        <w:t xml:space="preserve">, como </w:t>
      </w:r>
      <w:r w:rsidR="00B524A3">
        <w:rPr>
          <w:rFonts w:ascii="Book Antiqua" w:eastAsia="Book Antiqua" w:hAnsi="Book Antiqua" w:cs="Book Antiqua"/>
          <w:szCs w:val="24"/>
        </w:rPr>
        <w:t xml:space="preserve">reconsideraciones </w:t>
      </w:r>
      <w:r w:rsidR="00B524A3" w:rsidRPr="069FBBC5">
        <w:rPr>
          <w:rFonts w:ascii="Book Antiqua" w:eastAsia="Book Antiqua" w:hAnsi="Book Antiqua" w:cs="Book Antiqua"/>
          <w:szCs w:val="24"/>
        </w:rPr>
        <w:t>al</w:t>
      </w:r>
      <w:r w:rsidRPr="069FBBC5">
        <w:rPr>
          <w:rFonts w:ascii="Book Antiqua" w:eastAsia="Book Antiqua" w:hAnsi="Book Antiqua" w:cs="Book Antiqua"/>
          <w:szCs w:val="24"/>
        </w:rPr>
        <w:t xml:space="preserve"> acuerdo tomado por el Consejo Superior en sesión extraordinaria 38-2020 (Presupuesto 2021), celebrada el 17 de abril del año en curso, artículo XXI, referente al estudio de Requerimiento de Recurso Humano 507-PLA-RH-MI-2020</w:t>
      </w:r>
      <w:r w:rsidR="00B524A3">
        <w:rPr>
          <w:rFonts w:ascii="Book Antiqua" w:eastAsia="Book Antiqua" w:hAnsi="Book Antiqua" w:cs="Book Antiqua"/>
          <w:szCs w:val="24"/>
        </w:rPr>
        <w:t xml:space="preserve">; </w:t>
      </w:r>
      <w:r w:rsidR="00B524A3" w:rsidRPr="069FBBC5">
        <w:rPr>
          <w:rFonts w:ascii="Book Antiqua" w:eastAsia="Book Antiqua" w:hAnsi="Book Antiqua" w:cs="Book Antiqua"/>
          <w:szCs w:val="24"/>
        </w:rPr>
        <w:t>se conoce</w:t>
      </w:r>
      <w:r w:rsidR="00DE0F9C">
        <w:rPr>
          <w:rFonts w:ascii="Book Antiqua" w:eastAsia="Book Antiqua" w:hAnsi="Book Antiqua" w:cs="Book Antiqua"/>
          <w:szCs w:val="24"/>
        </w:rPr>
        <w:t xml:space="preserve"> </w:t>
      </w:r>
      <w:r w:rsidR="00155BFC">
        <w:rPr>
          <w:rFonts w:ascii="Book Antiqua" w:eastAsia="Book Antiqua" w:hAnsi="Book Antiqua" w:cs="Book Antiqua"/>
          <w:szCs w:val="24"/>
        </w:rPr>
        <w:t>el</w:t>
      </w:r>
      <w:r w:rsidR="00DE0F9C">
        <w:rPr>
          <w:rFonts w:ascii="Book Antiqua" w:eastAsia="Book Antiqua" w:hAnsi="Book Antiqua" w:cs="Book Antiqua"/>
          <w:szCs w:val="24"/>
        </w:rPr>
        <w:t xml:space="preserve"> oficio </w:t>
      </w:r>
      <w:r w:rsidR="00DE0F9C" w:rsidRPr="00DE0F9C">
        <w:rPr>
          <w:rFonts w:ascii="Book Antiqua" w:eastAsia="Book Antiqua" w:hAnsi="Book Antiqua" w:cs="Book Antiqua"/>
          <w:szCs w:val="24"/>
        </w:rPr>
        <w:t xml:space="preserve">779-DTI-2020 </w:t>
      </w:r>
      <w:r w:rsidR="00DE0F9C">
        <w:rPr>
          <w:rFonts w:ascii="Book Antiqua" w:eastAsia="Book Antiqua" w:hAnsi="Book Antiqua" w:cs="Book Antiqua"/>
          <w:szCs w:val="24"/>
        </w:rPr>
        <w:t xml:space="preserve">del </w:t>
      </w:r>
      <w:r w:rsidR="0072032D">
        <w:rPr>
          <w:rFonts w:ascii="Book Antiqua" w:eastAsia="Book Antiqua" w:hAnsi="Book Antiqua" w:cs="Book Antiqua"/>
          <w:szCs w:val="24"/>
        </w:rPr>
        <w:t>29 de abril de 2020</w:t>
      </w:r>
      <w:r w:rsidR="00BE1AA9">
        <w:rPr>
          <w:rFonts w:ascii="Book Antiqua" w:eastAsia="Book Antiqua" w:hAnsi="Book Antiqua" w:cs="Book Antiqua"/>
          <w:szCs w:val="24"/>
        </w:rPr>
        <w:t xml:space="preserve"> </w:t>
      </w:r>
      <w:r w:rsidR="001421C6">
        <w:rPr>
          <w:rFonts w:ascii="Book Antiqua" w:eastAsia="Book Antiqua" w:hAnsi="Book Antiqua" w:cs="Book Antiqua"/>
          <w:szCs w:val="24"/>
        </w:rPr>
        <w:t xml:space="preserve">y el </w:t>
      </w:r>
      <w:r w:rsidR="007A315A">
        <w:rPr>
          <w:rFonts w:ascii="Book Antiqua" w:eastAsia="Book Antiqua" w:hAnsi="Book Antiqua" w:cs="Book Antiqua"/>
          <w:szCs w:val="24"/>
        </w:rPr>
        <w:t>782-</w:t>
      </w:r>
      <w:r w:rsidR="007D5D96">
        <w:rPr>
          <w:rFonts w:ascii="Book Antiqua" w:eastAsia="Book Antiqua" w:hAnsi="Book Antiqua" w:cs="Book Antiqua"/>
          <w:szCs w:val="24"/>
        </w:rPr>
        <w:t xml:space="preserve">DTI-2020 </w:t>
      </w:r>
      <w:r w:rsidR="00321DBF">
        <w:rPr>
          <w:rFonts w:ascii="Book Antiqua" w:eastAsia="Book Antiqua" w:hAnsi="Book Antiqua" w:cs="Book Antiqua"/>
          <w:szCs w:val="24"/>
        </w:rPr>
        <w:t xml:space="preserve">ambos </w:t>
      </w:r>
      <w:r w:rsidR="00BE1AA9">
        <w:rPr>
          <w:rFonts w:ascii="Book Antiqua" w:eastAsia="Book Antiqua" w:hAnsi="Book Antiqua" w:cs="Book Antiqua"/>
          <w:szCs w:val="24"/>
        </w:rPr>
        <w:t>de la Dirección de Tecnología de Información</w:t>
      </w:r>
      <w:r w:rsidR="00B524A3" w:rsidRPr="069FBBC5">
        <w:rPr>
          <w:rFonts w:ascii="Book Antiqua" w:eastAsia="Book Antiqua" w:hAnsi="Book Antiqua" w:cs="Book Antiqua"/>
          <w:szCs w:val="24"/>
        </w:rPr>
        <w:t xml:space="preserve"> </w:t>
      </w:r>
      <w:r w:rsidR="00F02C49">
        <w:rPr>
          <w:rFonts w:ascii="Book Antiqua" w:eastAsia="Book Antiqua" w:hAnsi="Book Antiqua" w:cs="Book Antiqua"/>
          <w:szCs w:val="24"/>
        </w:rPr>
        <w:t>(ver anexo 13)</w:t>
      </w:r>
      <w:r w:rsidR="007D5D96">
        <w:rPr>
          <w:rFonts w:ascii="Book Antiqua" w:eastAsia="Book Antiqua" w:hAnsi="Book Antiqua" w:cs="Book Antiqua"/>
          <w:szCs w:val="24"/>
        </w:rPr>
        <w:t>;</w:t>
      </w:r>
      <w:r w:rsidR="00F02C49">
        <w:rPr>
          <w:rFonts w:ascii="Book Antiqua" w:eastAsia="Book Antiqua" w:hAnsi="Book Antiqua" w:cs="Book Antiqua"/>
          <w:szCs w:val="24"/>
        </w:rPr>
        <w:t xml:space="preserve"> </w:t>
      </w:r>
      <w:r w:rsidR="0072032D">
        <w:rPr>
          <w:rFonts w:ascii="Book Antiqua" w:eastAsia="Book Antiqua" w:hAnsi="Book Antiqua" w:cs="Book Antiqua"/>
          <w:szCs w:val="24"/>
        </w:rPr>
        <w:t>y</w:t>
      </w:r>
      <w:r w:rsidR="005A1F8E">
        <w:rPr>
          <w:rFonts w:ascii="Book Antiqua" w:eastAsia="Book Antiqua" w:hAnsi="Book Antiqua" w:cs="Book Antiqua"/>
          <w:szCs w:val="24"/>
        </w:rPr>
        <w:t xml:space="preserve"> el </w:t>
      </w:r>
      <w:r w:rsidR="00B524A3" w:rsidRPr="069FBBC5">
        <w:rPr>
          <w:rFonts w:ascii="Book Antiqua" w:eastAsia="Book Antiqua" w:hAnsi="Book Antiqua" w:cs="Book Antiqua"/>
          <w:szCs w:val="24"/>
        </w:rPr>
        <w:t xml:space="preserve">oficio JEFDP-450-2020 del 04 de mayo de 2020, suscrito por la </w:t>
      </w:r>
      <w:proofErr w:type="spellStart"/>
      <w:r w:rsidR="00B524A3" w:rsidRPr="069FBBC5">
        <w:rPr>
          <w:rFonts w:ascii="Book Antiqua" w:eastAsia="Book Antiqua" w:hAnsi="Book Antiqua" w:cs="Book Antiqua"/>
          <w:szCs w:val="24"/>
        </w:rPr>
        <w:t>M.Sc</w:t>
      </w:r>
      <w:proofErr w:type="spellEnd"/>
      <w:r w:rsidR="00B524A3" w:rsidRPr="069FBBC5">
        <w:rPr>
          <w:rFonts w:ascii="Book Antiqua" w:eastAsia="Book Antiqua" w:hAnsi="Book Antiqua" w:cs="Book Antiqua"/>
          <w:szCs w:val="24"/>
        </w:rPr>
        <w:t xml:space="preserve">. Diana Montero </w:t>
      </w:r>
      <w:proofErr w:type="spellStart"/>
      <w:r w:rsidR="00B524A3" w:rsidRPr="069FBBC5">
        <w:rPr>
          <w:rFonts w:ascii="Book Antiqua" w:eastAsia="Book Antiqua" w:hAnsi="Book Antiqua" w:cs="Book Antiqua"/>
          <w:szCs w:val="24"/>
        </w:rPr>
        <w:t>Montero</w:t>
      </w:r>
      <w:proofErr w:type="spellEnd"/>
      <w:r w:rsidR="00B524A3" w:rsidRPr="069FBBC5">
        <w:rPr>
          <w:rFonts w:ascii="Book Antiqua" w:eastAsia="Book Antiqua" w:hAnsi="Book Antiqua" w:cs="Book Antiqua"/>
          <w:szCs w:val="24"/>
        </w:rPr>
        <w:t xml:space="preserve">, </w:t>
      </w:r>
      <w:r w:rsidR="00BE1AA9">
        <w:rPr>
          <w:rFonts w:ascii="Book Antiqua" w:eastAsia="Book Antiqua" w:hAnsi="Book Antiqua" w:cs="Book Antiqua"/>
          <w:szCs w:val="24"/>
        </w:rPr>
        <w:t>Jefatura</w:t>
      </w:r>
      <w:r w:rsidR="00B524A3" w:rsidRPr="069FBBC5">
        <w:rPr>
          <w:rFonts w:ascii="Book Antiqua" w:eastAsia="Book Antiqua" w:hAnsi="Book Antiqua" w:cs="Book Antiqua"/>
          <w:szCs w:val="24"/>
        </w:rPr>
        <w:t xml:space="preserve"> de la Defensa Pública</w:t>
      </w:r>
      <w:r w:rsidR="00155BFC">
        <w:rPr>
          <w:rFonts w:ascii="Book Antiqua" w:eastAsia="Book Antiqua" w:hAnsi="Book Antiqua" w:cs="Book Antiqua"/>
          <w:szCs w:val="24"/>
        </w:rPr>
        <w:t xml:space="preserve"> (ver anexo 1</w:t>
      </w:r>
      <w:r w:rsidR="00F02C49">
        <w:rPr>
          <w:rFonts w:ascii="Book Antiqua" w:eastAsia="Book Antiqua" w:hAnsi="Book Antiqua" w:cs="Book Antiqua"/>
          <w:szCs w:val="24"/>
        </w:rPr>
        <w:t>4</w:t>
      </w:r>
      <w:r w:rsidR="00155BFC">
        <w:rPr>
          <w:rFonts w:ascii="Book Antiqua" w:eastAsia="Book Antiqua" w:hAnsi="Book Antiqua" w:cs="Book Antiqua"/>
          <w:szCs w:val="24"/>
        </w:rPr>
        <w:t>)</w:t>
      </w:r>
      <w:r w:rsidR="00527D20">
        <w:rPr>
          <w:rFonts w:ascii="Book Antiqua" w:eastAsia="Book Antiqua" w:hAnsi="Book Antiqua" w:cs="Book Antiqua"/>
          <w:szCs w:val="24"/>
        </w:rPr>
        <w:t>.</w:t>
      </w:r>
    </w:p>
    <w:p w14:paraId="07FD9146" w14:textId="13F92EDE" w:rsidR="069FBBC5" w:rsidRDefault="069FBBC5" w:rsidP="069FBBC5">
      <w:pPr>
        <w:spacing w:before="0" w:after="0"/>
        <w:rPr>
          <w:rFonts w:ascii="Book Antiqua" w:eastAsia="Book Antiqua" w:hAnsi="Book Antiqua" w:cs="Book Antiqua"/>
          <w:szCs w:val="24"/>
        </w:rPr>
      </w:pPr>
    </w:p>
    <w:p w14:paraId="7CA5C57C" w14:textId="0C71CE43" w:rsidR="00C80BBE" w:rsidRDefault="00C80BBE" w:rsidP="00E85457">
      <w:pPr>
        <w:spacing w:before="0" w:after="0" w:line="240" w:lineRule="auto"/>
        <w:rPr>
          <w:rFonts w:ascii="Book Antiqua" w:eastAsia="Book Antiqua" w:hAnsi="Book Antiqua" w:cs="Book Antiqua"/>
          <w:szCs w:val="24"/>
        </w:rPr>
      </w:pPr>
      <w:r>
        <w:rPr>
          <w:rFonts w:ascii="Book Antiqua" w:eastAsia="Book Antiqua" w:hAnsi="Book Antiqua" w:cs="Book Antiqua"/>
          <w:szCs w:val="24"/>
        </w:rPr>
        <w:t xml:space="preserve">En sesión </w:t>
      </w:r>
      <w:r w:rsidR="00DB09E4">
        <w:rPr>
          <w:rFonts w:ascii="Book Antiqua" w:eastAsia="Book Antiqua" w:hAnsi="Book Antiqua" w:cs="Book Antiqua"/>
          <w:szCs w:val="24"/>
        </w:rPr>
        <w:t xml:space="preserve">extraordinaria del Consejo Superior </w:t>
      </w:r>
      <w:r w:rsidR="00AC57EB">
        <w:rPr>
          <w:rFonts w:ascii="Book Antiqua" w:eastAsia="Book Antiqua" w:hAnsi="Book Antiqua" w:cs="Book Antiqua"/>
          <w:szCs w:val="24"/>
        </w:rPr>
        <w:t>48</w:t>
      </w:r>
      <w:r w:rsidR="00781757">
        <w:rPr>
          <w:rFonts w:ascii="Book Antiqua" w:eastAsia="Book Antiqua" w:hAnsi="Book Antiqua" w:cs="Book Antiqua"/>
          <w:szCs w:val="24"/>
        </w:rPr>
        <w:t xml:space="preserve">-2020 del 14 de mayo </w:t>
      </w:r>
      <w:r w:rsidR="009F44FE">
        <w:rPr>
          <w:rFonts w:ascii="Book Antiqua" w:eastAsia="Book Antiqua" w:hAnsi="Book Antiqua" w:cs="Book Antiqua"/>
          <w:szCs w:val="24"/>
        </w:rPr>
        <w:t xml:space="preserve">en los artículos </w:t>
      </w:r>
      <w:r w:rsidR="0056073B">
        <w:rPr>
          <w:rFonts w:ascii="Book Antiqua" w:eastAsia="Book Antiqua" w:hAnsi="Book Antiqua" w:cs="Book Antiqua"/>
          <w:szCs w:val="24"/>
        </w:rPr>
        <w:t xml:space="preserve">VII y X </w:t>
      </w:r>
      <w:r w:rsidR="000B53FC">
        <w:rPr>
          <w:rFonts w:ascii="Book Antiqua" w:eastAsia="Book Antiqua" w:hAnsi="Book Antiqua" w:cs="Book Antiqua"/>
          <w:szCs w:val="24"/>
        </w:rPr>
        <w:t xml:space="preserve">se conocieron </w:t>
      </w:r>
      <w:r w:rsidR="00C5785E">
        <w:rPr>
          <w:rFonts w:ascii="Book Antiqua" w:eastAsia="Book Antiqua" w:hAnsi="Book Antiqua" w:cs="Book Antiqua"/>
          <w:szCs w:val="24"/>
        </w:rPr>
        <w:t>l</w:t>
      </w:r>
      <w:r w:rsidR="001A78A6">
        <w:rPr>
          <w:rFonts w:ascii="Book Antiqua" w:eastAsia="Book Antiqua" w:hAnsi="Book Antiqua" w:cs="Book Antiqua"/>
          <w:szCs w:val="24"/>
        </w:rPr>
        <w:t xml:space="preserve">os oficios </w:t>
      </w:r>
      <w:r w:rsidR="006E2612">
        <w:rPr>
          <w:rFonts w:ascii="Book Antiqua" w:eastAsia="Book Antiqua" w:hAnsi="Book Antiqua" w:cs="Book Antiqua"/>
          <w:szCs w:val="24"/>
        </w:rPr>
        <w:t xml:space="preserve">661-PLA-RH-MI-2020 </w:t>
      </w:r>
      <w:r w:rsidR="002522AC">
        <w:rPr>
          <w:rFonts w:ascii="Book Antiqua" w:eastAsia="Book Antiqua" w:hAnsi="Book Antiqua" w:cs="Book Antiqua"/>
          <w:szCs w:val="24"/>
        </w:rPr>
        <w:t xml:space="preserve">de la Dirección de Planificación referente a </w:t>
      </w:r>
      <w:r w:rsidR="004850B0">
        <w:rPr>
          <w:rFonts w:ascii="Book Antiqua" w:eastAsia="Book Antiqua" w:hAnsi="Book Antiqua" w:cs="Book Antiqua"/>
          <w:szCs w:val="24"/>
        </w:rPr>
        <w:t xml:space="preserve">las reconsideraciones planteadas por la Dirección de </w:t>
      </w:r>
      <w:r w:rsidR="00FB56D3">
        <w:rPr>
          <w:rFonts w:ascii="Book Antiqua" w:eastAsia="Book Antiqua" w:hAnsi="Book Antiqua" w:cs="Book Antiqua"/>
          <w:szCs w:val="24"/>
        </w:rPr>
        <w:t>Tecnología</w:t>
      </w:r>
      <w:r w:rsidR="004850B0">
        <w:rPr>
          <w:rFonts w:ascii="Book Antiqua" w:eastAsia="Book Antiqua" w:hAnsi="Book Antiqua" w:cs="Book Antiqua"/>
          <w:szCs w:val="24"/>
        </w:rPr>
        <w:t xml:space="preserve"> de Información y el oficio </w:t>
      </w:r>
      <w:r w:rsidR="00872423">
        <w:rPr>
          <w:rFonts w:ascii="Book Antiqua" w:eastAsia="Book Antiqua" w:hAnsi="Book Antiqua" w:cs="Book Antiqua"/>
          <w:szCs w:val="24"/>
        </w:rPr>
        <w:t xml:space="preserve">692-PLA-RH-MI-2020 en respuesta </w:t>
      </w:r>
      <w:r w:rsidR="00FB56D3">
        <w:rPr>
          <w:rFonts w:ascii="Book Antiqua" w:eastAsia="Book Antiqua" w:hAnsi="Book Antiqua" w:cs="Book Antiqua"/>
          <w:szCs w:val="24"/>
        </w:rPr>
        <w:t xml:space="preserve">las reconsideraciones </w:t>
      </w:r>
      <w:r w:rsidR="009D0DAA">
        <w:rPr>
          <w:rFonts w:ascii="Book Antiqua" w:eastAsia="Book Antiqua" w:hAnsi="Book Antiqua" w:cs="Book Antiqua"/>
          <w:szCs w:val="24"/>
        </w:rPr>
        <w:t>presentad</w:t>
      </w:r>
      <w:r w:rsidR="00FB56D3">
        <w:rPr>
          <w:rFonts w:ascii="Book Antiqua" w:eastAsia="Book Antiqua" w:hAnsi="Book Antiqua" w:cs="Book Antiqua"/>
          <w:szCs w:val="24"/>
        </w:rPr>
        <w:t>as</w:t>
      </w:r>
      <w:r w:rsidR="009D0DAA">
        <w:rPr>
          <w:rFonts w:ascii="Book Antiqua" w:eastAsia="Book Antiqua" w:hAnsi="Book Antiqua" w:cs="Book Antiqua"/>
          <w:szCs w:val="24"/>
        </w:rPr>
        <w:t xml:space="preserve"> por la Jefatura de la Defensa Pública</w:t>
      </w:r>
      <w:r w:rsidR="00B03FBB">
        <w:rPr>
          <w:rFonts w:ascii="Book Antiqua" w:eastAsia="Book Antiqua" w:hAnsi="Book Antiqua" w:cs="Book Antiqua"/>
          <w:szCs w:val="24"/>
        </w:rPr>
        <w:t>;</w:t>
      </w:r>
      <w:r w:rsidR="0013169E">
        <w:rPr>
          <w:rFonts w:ascii="Book Antiqua" w:eastAsia="Book Antiqua" w:hAnsi="Book Antiqua" w:cs="Book Antiqua"/>
          <w:szCs w:val="24"/>
        </w:rPr>
        <w:t xml:space="preserve"> e</w:t>
      </w:r>
      <w:r w:rsidR="00FE4D8A">
        <w:rPr>
          <w:rFonts w:ascii="Book Antiqua" w:eastAsia="Book Antiqua" w:hAnsi="Book Antiqua" w:cs="Book Antiqua"/>
          <w:szCs w:val="24"/>
        </w:rPr>
        <w:t xml:space="preserve">n ambos </w:t>
      </w:r>
      <w:r w:rsidR="008853F3">
        <w:rPr>
          <w:rFonts w:ascii="Book Antiqua" w:eastAsia="Book Antiqua" w:hAnsi="Book Antiqua" w:cs="Book Antiqua"/>
          <w:szCs w:val="24"/>
        </w:rPr>
        <w:t xml:space="preserve">artículos </w:t>
      </w:r>
      <w:r w:rsidR="001530C0">
        <w:rPr>
          <w:rFonts w:ascii="Book Antiqua" w:eastAsia="Book Antiqua" w:hAnsi="Book Antiqua" w:cs="Book Antiqua"/>
          <w:szCs w:val="24"/>
        </w:rPr>
        <w:t>s</w:t>
      </w:r>
      <w:r w:rsidR="00571FEB">
        <w:rPr>
          <w:rFonts w:ascii="Book Antiqua" w:eastAsia="Book Antiqua" w:hAnsi="Book Antiqua" w:cs="Book Antiqua"/>
          <w:szCs w:val="24"/>
        </w:rPr>
        <w:t>e dispuso aprobar lo</w:t>
      </w:r>
      <w:r w:rsidR="004421C2">
        <w:rPr>
          <w:rFonts w:ascii="Book Antiqua" w:eastAsia="Book Antiqua" w:hAnsi="Book Antiqua" w:cs="Book Antiqua"/>
          <w:szCs w:val="24"/>
        </w:rPr>
        <w:t xml:space="preserve">s informes de </w:t>
      </w:r>
      <w:r w:rsidR="00BA5FA5">
        <w:rPr>
          <w:rFonts w:ascii="Book Antiqua" w:eastAsia="Book Antiqua" w:hAnsi="Book Antiqua" w:cs="Book Antiqua"/>
          <w:szCs w:val="24"/>
        </w:rPr>
        <w:t xml:space="preserve">la Dirección de Planificación y mantener lo dispuesto </w:t>
      </w:r>
      <w:r w:rsidR="00291FD6" w:rsidRPr="00291FD6">
        <w:rPr>
          <w:rFonts w:ascii="Book Antiqua" w:eastAsia="Book Antiqua" w:hAnsi="Book Antiqua" w:cs="Book Antiqua"/>
          <w:szCs w:val="24"/>
        </w:rPr>
        <w:t>por el Consejo Superior en la sesión extraordinaria 38-2020 (Presupuesto 2021), celebrada el 17 de abril del año en curso, artículo XXI.</w:t>
      </w:r>
    </w:p>
    <w:p w14:paraId="48198746" w14:textId="0CBA9ABF" w:rsidR="00E5769D" w:rsidRDefault="00E5769D" w:rsidP="00055CFC">
      <w:pPr>
        <w:spacing w:before="0" w:after="0"/>
        <w:rPr>
          <w:rFonts w:eastAsia="Arial" w:cs="Arial"/>
        </w:rPr>
      </w:pPr>
    </w:p>
    <w:p w14:paraId="6B986D38" w14:textId="651D8735" w:rsidR="004E4FA2" w:rsidRDefault="007A7F0B" w:rsidP="00055CFC">
      <w:pPr>
        <w:spacing w:before="0" w:after="0"/>
        <w:rPr>
          <w:rFonts w:ascii="Book Antiqua" w:eastAsia="Book Antiqua" w:hAnsi="Book Antiqua" w:cs="Book Antiqua"/>
          <w:szCs w:val="24"/>
        </w:rPr>
      </w:pPr>
      <w:r w:rsidRPr="004E4FA2">
        <w:rPr>
          <w:rFonts w:ascii="Book Antiqua" w:eastAsia="Book Antiqua" w:hAnsi="Book Antiqua" w:cs="Book Antiqua"/>
          <w:szCs w:val="24"/>
        </w:rPr>
        <w:t>Finalmente, en sesión extraordinaria de Corte Plena 31-2020 celebrada el 2 de junio de 2020, artículos I y II</w:t>
      </w:r>
      <w:r w:rsidR="004E4FA2" w:rsidRPr="004E4FA2">
        <w:rPr>
          <w:rFonts w:ascii="Book Antiqua" w:eastAsia="Book Antiqua" w:hAnsi="Book Antiqua" w:cs="Book Antiqua"/>
          <w:szCs w:val="24"/>
        </w:rPr>
        <w:t xml:space="preserve"> </w:t>
      </w:r>
      <w:r w:rsidR="004E4FA2">
        <w:rPr>
          <w:rFonts w:ascii="Book Antiqua" w:eastAsia="Book Antiqua" w:hAnsi="Book Antiqua" w:cs="Book Antiqua"/>
          <w:szCs w:val="24"/>
        </w:rPr>
        <w:t xml:space="preserve">se acordó aprobar </w:t>
      </w:r>
      <w:r w:rsidR="005D46D1">
        <w:rPr>
          <w:rFonts w:ascii="Book Antiqua" w:eastAsia="Book Antiqua" w:hAnsi="Book Antiqua" w:cs="Book Antiqua"/>
          <w:szCs w:val="24"/>
        </w:rPr>
        <w:t>el</w:t>
      </w:r>
      <w:r w:rsidR="005D46D1" w:rsidRPr="004E4FA2">
        <w:rPr>
          <w:rFonts w:ascii="Book Antiqua" w:eastAsia="Book Antiqua" w:hAnsi="Book Antiqua" w:cs="Book Antiqua"/>
          <w:szCs w:val="24"/>
        </w:rPr>
        <w:t xml:space="preserve"> Presupuesto </w:t>
      </w:r>
      <w:r w:rsidR="005D46D1">
        <w:rPr>
          <w:rFonts w:ascii="Book Antiqua" w:eastAsia="Book Antiqua" w:hAnsi="Book Antiqua" w:cs="Book Antiqua"/>
          <w:szCs w:val="24"/>
        </w:rPr>
        <w:t>o</w:t>
      </w:r>
      <w:r w:rsidR="005D46D1" w:rsidRPr="004E4FA2">
        <w:rPr>
          <w:rFonts w:ascii="Book Antiqua" w:eastAsia="Book Antiqua" w:hAnsi="Book Antiqua" w:cs="Book Antiqua"/>
          <w:szCs w:val="24"/>
        </w:rPr>
        <w:t>rdinario del Poder Judicial</w:t>
      </w:r>
      <w:r w:rsidR="005D46D1">
        <w:rPr>
          <w:rFonts w:ascii="Book Antiqua" w:eastAsia="Book Antiqua" w:hAnsi="Book Antiqua" w:cs="Book Antiqua"/>
          <w:szCs w:val="24"/>
        </w:rPr>
        <w:t xml:space="preserve"> </w:t>
      </w:r>
      <w:r w:rsidR="005D46D1">
        <w:rPr>
          <w:rFonts w:ascii="Book Antiqua" w:eastAsia="Book Antiqua" w:hAnsi="Book Antiqua" w:cs="Book Antiqua"/>
          <w:szCs w:val="24"/>
        </w:rPr>
        <w:lastRenderedPageBreak/>
        <w:t xml:space="preserve">para el 2021 correspondiente a </w:t>
      </w:r>
      <w:r w:rsidR="005D46D1" w:rsidRPr="005D46D1">
        <w:rPr>
          <w:rFonts w:ascii="Book Antiqua" w:eastAsia="Book Antiqua" w:hAnsi="Book Antiqua" w:cs="Book Antiqua"/>
          <w:szCs w:val="24"/>
        </w:rPr>
        <w:t>la Ley de Acceso a la Justicia de los Pueblos Indígenas de Costa Rica</w:t>
      </w:r>
      <w:r w:rsidR="004E4FA2">
        <w:rPr>
          <w:rFonts w:ascii="Book Antiqua" w:eastAsia="Book Antiqua" w:hAnsi="Book Antiqua" w:cs="Book Antiqua"/>
          <w:szCs w:val="24"/>
        </w:rPr>
        <w:t>.</w:t>
      </w:r>
    </w:p>
    <w:p w14:paraId="2D802DEC" w14:textId="26782E64" w:rsidR="007A7F0B" w:rsidRPr="004E4FA2" w:rsidRDefault="004E4FA2" w:rsidP="00055CFC">
      <w:pPr>
        <w:spacing w:before="0" w:after="0"/>
        <w:rPr>
          <w:rFonts w:ascii="Book Antiqua" w:eastAsia="Book Antiqua" w:hAnsi="Book Antiqua" w:cs="Book Antiqua"/>
          <w:szCs w:val="24"/>
        </w:rPr>
      </w:pPr>
      <w:r w:rsidRPr="004E4FA2">
        <w:rPr>
          <w:rFonts w:ascii="Book Antiqua" w:eastAsia="Book Antiqua" w:hAnsi="Book Antiqua" w:cs="Book Antiqua"/>
          <w:szCs w:val="24"/>
        </w:rPr>
        <w:t xml:space="preserve"> </w:t>
      </w:r>
    </w:p>
    <w:p w14:paraId="5162A788" w14:textId="05F4F8E3" w:rsidR="0A67FD50" w:rsidRPr="008D2522" w:rsidRDefault="0A67FD50" w:rsidP="003C5978">
      <w:pPr>
        <w:pStyle w:val="Ttulo1"/>
      </w:pPr>
      <w:r w:rsidRPr="008D2522">
        <w:t>Justificación</w:t>
      </w:r>
    </w:p>
    <w:p w14:paraId="55ED4ABD" w14:textId="0F449F6E" w:rsidR="0A67FD50" w:rsidRPr="00377565" w:rsidRDefault="0A67FD50" w:rsidP="00377565">
      <w:pPr>
        <w:spacing w:line="240" w:lineRule="auto"/>
        <w:rPr>
          <w:rFonts w:ascii="Book Antiqua" w:hAnsi="Book Antiqua"/>
        </w:rPr>
      </w:pPr>
      <w:r w:rsidRPr="00377565">
        <w:rPr>
          <w:rFonts w:ascii="Book Antiqua" w:hAnsi="Book Antiqua"/>
        </w:rPr>
        <w:t xml:space="preserve">El siguiente informe responde a la </w:t>
      </w:r>
      <w:r w:rsidR="00F21C0D" w:rsidRPr="00377565">
        <w:rPr>
          <w:rFonts w:ascii="Book Antiqua" w:hAnsi="Book Antiqua"/>
        </w:rPr>
        <w:t>actualización de</w:t>
      </w:r>
      <w:r w:rsidR="0066728D" w:rsidRPr="00377565">
        <w:rPr>
          <w:rFonts w:ascii="Book Antiqua" w:hAnsi="Book Antiqua"/>
        </w:rPr>
        <w:t>l análisis presentado para el presupuesto 2020</w:t>
      </w:r>
      <w:r w:rsidR="00C4461C" w:rsidRPr="00377565">
        <w:rPr>
          <w:rFonts w:ascii="Book Antiqua" w:hAnsi="Book Antiqua"/>
        </w:rPr>
        <w:t xml:space="preserve"> que contempla los</w:t>
      </w:r>
      <w:r w:rsidRPr="00377565">
        <w:rPr>
          <w:rFonts w:ascii="Book Antiqua" w:hAnsi="Book Antiqua"/>
        </w:rPr>
        <w:t xml:space="preserve"> cambio</w:t>
      </w:r>
      <w:r w:rsidR="00C4461C" w:rsidRPr="00377565">
        <w:rPr>
          <w:rFonts w:ascii="Book Antiqua" w:hAnsi="Book Antiqua"/>
        </w:rPr>
        <w:t>s</w:t>
      </w:r>
      <w:r w:rsidRPr="00377565">
        <w:rPr>
          <w:rFonts w:ascii="Book Antiqua" w:hAnsi="Book Antiqua"/>
        </w:rPr>
        <w:t xml:space="preserve"> de entrada en vigencia de la Ley 9593 de Acceso a la Justicia de los Pueblos Indígenas</w:t>
      </w:r>
      <w:r w:rsidR="00C4461C" w:rsidRPr="00377565">
        <w:rPr>
          <w:rFonts w:ascii="Book Antiqua" w:hAnsi="Book Antiqua"/>
        </w:rPr>
        <w:t xml:space="preserve">, ya que en el presupuesto 2020 no se brindaron recursos para cubrir esta nueva legislación, por lo que </w:t>
      </w:r>
      <w:r w:rsidR="00780E45" w:rsidRPr="00377565">
        <w:rPr>
          <w:rFonts w:ascii="Book Antiqua" w:hAnsi="Book Antiqua"/>
        </w:rPr>
        <w:t xml:space="preserve">nuevamente </w:t>
      </w:r>
      <w:r w:rsidR="00C4461C" w:rsidRPr="00377565">
        <w:rPr>
          <w:rFonts w:ascii="Book Antiqua" w:hAnsi="Book Antiqua"/>
        </w:rPr>
        <w:t xml:space="preserve">se revisa y actualiza el informe para </w:t>
      </w:r>
      <w:r w:rsidR="00413D4B" w:rsidRPr="00377565">
        <w:rPr>
          <w:rFonts w:ascii="Book Antiqua" w:hAnsi="Book Antiqua"/>
        </w:rPr>
        <w:t>conocimiento del Consejo Superior y Corte Plena.</w:t>
      </w:r>
    </w:p>
    <w:p w14:paraId="3BA8F21E" w14:textId="77777777" w:rsidR="007227BC" w:rsidRDefault="007227BC" w:rsidP="00B2713C"/>
    <w:p w14:paraId="04318E2E" w14:textId="327D24AE" w:rsidR="66313767" w:rsidRPr="00742EE6" w:rsidRDefault="66313767" w:rsidP="003C5978">
      <w:pPr>
        <w:pStyle w:val="Ttulo1"/>
      </w:pPr>
      <w:r w:rsidRPr="00742EE6">
        <w:t>Metodología de trabajo</w:t>
      </w:r>
    </w:p>
    <w:p w14:paraId="0912309C" w14:textId="20509E4E" w:rsidR="66313767" w:rsidRPr="00377565" w:rsidRDefault="66313767" w:rsidP="00377565">
      <w:pPr>
        <w:spacing w:line="240" w:lineRule="auto"/>
        <w:rPr>
          <w:rFonts w:ascii="Book Antiqua" w:hAnsi="Book Antiqua"/>
        </w:rPr>
      </w:pPr>
      <w:r w:rsidRPr="00377565">
        <w:rPr>
          <w:rFonts w:ascii="Book Antiqua" w:hAnsi="Book Antiqua"/>
        </w:rPr>
        <w:t>A continuación, se detallan las principales actividades realizadas:</w:t>
      </w:r>
    </w:p>
    <w:p w14:paraId="70702509" w14:textId="26A576EC" w:rsidR="66313767" w:rsidRPr="00377565" w:rsidRDefault="1565C4BC" w:rsidP="00377565">
      <w:pPr>
        <w:spacing w:line="240" w:lineRule="auto"/>
        <w:rPr>
          <w:rFonts w:ascii="Book Antiqua" w:hAnsi="Book Antiqua"/>
        </w:rPr>
      </w:pPr>
      <w:r w:rsidRPr="00377565">
        <w:rPr>
          <w:rFonts w:ascii="Book Antiqua" w:hAnsi="Book Antiqua"/>
        </w:rPr>
        <w:t xml:space="preserve">De conformidad </w:t>
      </w:r>
      <w:r w:rsidR="3327C906" w:rsidRPr="00377565">
        <w:rPr>
          <w:rFonts w:ascii="Book Antiqua" w:hAnsi="Book Antiqua"/>
        </w:rPr>
        <w:t xml:space="preserve">al informe </w:t>
      </w:r>
      <w:r w:rsidR="6FE934D0" w:rsidRPr="00377565">
        <w:rPr>
          <w:rFonts w:ascii="Book Antiqua" w:hAnsi="Book Antiqua"/>
        </w:rPr>
        <w:t>634-PLA-RH-MI-2019 de la Dirección de Planificación sobre el Impacto organizacional y presupuestario en el Poder Judicial (Defensa Pública) a partir de la promulgación de la Ley 9593 de Acceso a la</w:t>
      </w:r>
      <w:r w:rsidR="004C069B" w:rsidRPr="00377565">
        <w:rPr>
          <w:rFonts w:ascii="Book Antiqua" w:hAnsi="Book Antiqua"/>
        </w:rPr>
        <w:t xml:space="preserve"> </w:t>
      </w:r>
      <w:r w:rsidR="6FE934D0" w:rsidRPr="00377565">
        <w:rPr>
          <w:rFonts w:ascii="Book Antiqua" w:hAnsi="Book Antiqua"/>
        </w:rPr>
        <w:t>Justicia de los Pueblos Indígenas</w:t>
      </w:r>
      <w:r w:rsidR="00B37009" w:rsidRPr="00377565">
        <w:rPr>
          <w:rFonts w:ascii="Book Antiqua" w:hAnsi="Book Antiqua"/>
        </w:rPr>
        <w:t xml:space="preserve"> en todas las materias</w:t>
      </w:r>
      <w:r w:rsidR="6FE934D0" w:rsidRPr="00377565">
        <w:rPr>
          <w:rFonts w:ascii="Book Antiqua" w:hAnsi="Book Antiqua"/>
        </w:rPr>
        <w:t>, aprobado por el Consejo Superior del Poder Judicial en la sesión extraordinaria 44-19 (Presupuesto 2020) artículo II, del 16 de mayo de 2019</w:t>
      </w:r>
      <w:r w:rsidR="00B37009" w:rsidRPr="00377565">
        <w:rPr>
          <w:rFonts w:ascii="Book Antiqua" w:hAnsi="Book Antiqua"/>
        </w:rPr>
        <w:t xml:space="preserve"> </w:t>
      </w:r>
      <w:r w:rsidR="003143C2" w:rsidRPr="00377565">
        <w:rPr>
          <w:rFonts w:ascii="Book Antiqua" w:hAnsi="Book Antiqua"/>
        </w:rPr>
        <w:t>y aprobado por Corte Plena mediante acuerdo del acta 022-2019 del 06 de junio de 2019</w:t>
      </w:r>
      <w:r w:rsidR="6FE934D0" w:rsidRPr="00377565">
        <w:rPr>
          <w:rFonts w:ascii="Book Antiqua" w:hAnsi="Book Antiqua"/>
        </w:rPr>
        <w:t xml:space="preserve">; se </w:t>
      </w:r>
      <w:r w:rsidR="1FC9937E" w:rsidRPr="00377565">
        <w:rPr>
          <w:rFonts w:ascii="Book Antiqua" w:hAnsi="Book Antiqua"/>
        </w:rPr>
        <w:t>da seguimiento a las recomendaciones expresas</w:t>
      </w:r>
      <w:r w:rsidR="1C0ADEC0" w:rsidRPr="00377565">
        <w:rPr>
          <w:rFonts w:ascii="Book Antiqua" w:hAnsi="Book Antiqua"/>
        </w:rPr>
        <w:t xml:space="preserve"> en dicho informe, con el propósito de determinar su cumplimiento.</w:t>
      </w:r>
    </w:p>
    <w:p w14:paraId="558FC399" w14:textId="470C6F4B" w:rsidR="66313767" w:rsidRPr="00377565" w:rsidRDefault="6951B241" w:rsidP="00377565">
      <w:pPr>
        <w:spacing w:line="240" w:lineRule="auto"/>
        <w:rPr>
          <w:rFonts w:ascii="Book Antiqua" w:hAnsi="Book Antiqua"/>
        </w:rPr>
      </w:pPr>
      <w:r w:rsidRPr="00377565">
        <w:rPr>
          <w:rFonts w:ascii="Book Antiqua" w:hAnsi="Book Antiqua"/>
        </w:rPr>
        <w:t xml:space="preserve">Seguidamente, </w:t>
      </w:r>
      <w:r w:rsidR="019D2DED" w:rsidRPr="00377565">
        <w:rPr>
          <w:rFonts w:ascii="Book Antiqua" w:hAnsi="Book Antiqua"/>
        </w:rPr>
        <w:t>mediante correo electrónico, el 27 de enero de 2020, se le solicita a la Licda. Ligia Jiménez Zamora, Supervisora de Personas Indígenas, la información</w:t>
      </w:r>
      <w:r w:rsidR="65ED75A4" w:rsidRPr="00377565">
        <w:rPr>
          <w:rFonts w:ascii="Book Antiqua" w:hAnsi="Book Antiqua"/>
        </w:rPr>
        <w:t xml:space="preserve"> </w:t>
      </w:r>
      <w:r w:rsidR="0ECE7071" w:rsidRPr="00377565">
        <w:rPr>
          <w:rFonts w:ascii="Book Antiqua" w:hAnsi="Book Antiqua"/>
        </w:rPr>
        <w:t>estadística</w:t>
      </w:r>
      <w:r w:rsidR="65ED75A4" w:rsidRPr="00377565">
        <w:rPr>
          <w:rFonts w:ascii="Book Antiqua" w:hAnsi="Book Antiqua"/>
        </w:rPr>
        <w:t xml:space="preserve"> relaciona</w:t>
      </w:r>
      <w:r w:rsidR="0174719B" w:rsidRPr="00377565">
        <w:rPr>
          <w:rFonts w:ascii="Book Antiqua" w:hAnsi="Book Antiqua"/>
        </w:rPr>
        <w:t xml:space="preserve">da con asuntos </w:t>
      </w:r>
      <w:r w:rsidR="0D15E6C0" w:rsidRPr="00377565">
        <w:rPr>
          <w:rFonts w:ascii="Book Antiqua" w:hAnsi="Book Antiqua"/>
        </w:rPr>
        <w:t xml:space="preserve">atendidos por la Defensa Pública </w:t>
      </w:r>
      <w:r w:rsidR="10C82E60" w:rsidRPr="00377565">
        <w:rPr>
          <w:rFonts w:ascii="Book Antiqua" w:hAnsi="Book Antiqua"/>
        </w:rPr>
        <w:t xml:space="preserve">que contengan </w:t>
      </w:r>
      <w:r w:rsidR="0174719B" w:rsidRPr="00377565">
        <w:rPr>
          <w:rFonts w:ascii="Book Antiqua" w:hAnsi="Book Antiqua"/>
        </w:rPr>
        <w:t xml:space="preserve">intervinientes </w:t>
      </w:r>
      <w:r w:rsidR="00377E2E" w:rsidRPr="00377565">
        <w:rPr>
          <w:rFonts w:ascii="Book Antiqua" w:hAnsi="Book Antiqua"/>
        </w:rPr>
        <w:t xml:space="preserve">de población </w:t>
      </w:r>
      <w:r w:rsidR="31F81702" w:rsidRPr="00377565">
        <w:rPr>
          <w:rFonts w:ascii="Book Antiqua" w:hAnsi="Book Antiqua"/>
        </w:rPr>
        <w:t>indígena</w:t>
      </w:r>
      <w:r w:rsidR="09268163" w:rsidRPr="00377565">
        <w:rPr>
          <w:rFonts w:ascii="Book Antiqua" w:hAnsi="Book Antiqua"/>
        </w:rPr>
        <w:t xml:space="preserve"> durante el año 2019</w:t>
      </w:r>
      <w:r w:rsidR="191C01FD" w:rsidRPr="00377565">
        <w:rPr>
          <w:rFonts w:ascii="Book Antiqua" w:hAnsi="Book Antiqua"/>
        </w:rPr>
        <w:t>, con la finalidad de analizar el comportamiento de la atención de los asuntos a nivel nacional.</w:t>
      </w:r>
    </w:p>
    <w:p w14:paraId="3767B0CF" w14:textId="05E7F3CD" w:rsidR="66313767" w:rsidRPr="00377565" w:rsidRDefault="564A872C" w:rsidP="00377565">
      <w:pPr>
        <w:spacing w:line="240" w:lineRule="auto"/>
        <w:rPr>
          <w:rFonts w:ascii="Book Antiqua" w:hAnsi="Book Antiqua"/>
        </w:rPr>
      </w:pPr>
      <w:r w:rsidRPr="00377565">
        <w:rPr>
          <w:rFonts w:ascii="Book Antiqua" w:hAnsi="Book Antiqua"/>
        </w:rPr>
        <w:t xml:space="preserve">Así mismo, </w:t>
      </w:r>
      <w:r w:rsidR="4FE95027" w:rsidRPr="00377565">
        <w:rPr>
          <w:rFonts w:ascii="Book Antiqua" w:hAnsi="Book Antiqua"/>
        </w:rPr>
        <w:t>mediante el correo electrónico enviado el 03 de febrero de 2020, se le solicita al Tribunal Contencioso Administrativo</w:t>
      </w:r>
      <w:r w:rsidR="05218F24" w:rsidRPr="00377565">
        <w:rPr>
          <w:rFonts w:ascii="Book Antiqua" w:hAnsi="Book Antiqua"/>
        </w:rPr>
        <w:t>, los datos estadísticos referentes a asuntos donde figuran como intervinientes personas servidoras judiciales e indígenas, sea como Asociación Integral de Desarrollo o com</w:t>
      </w:r>
      <w:r w:rsidR="37CE78B4" w:rsidRPr="00377565">
        <w:rPr>
          <w:rFonts w:ascii="Book Antiqua" w:hAnsi="Book Antiqua"/>
        </w:rPr>
        <w:t xml:space="preserve">o persona física. De ahí que, el día 04 de febrero de 2020, se </w:t>
      </w:r>
      <w:r w:rsidR="667740AE" w:rsidRPr="00377565">
        <w:rPr>
          <w:rFonts w:ascii="Book Antiqua" w:hAnsi="Book Antiqua"/>
        </w:rPr>
        <w:t xml:space="preserve">recibe correo electrónico de respuesta </w:t>
      </w:r>
      <w:r w:rsidR="07248D44" w:rsidRPr="00377565">
        <w:rPr>
          <w:rFonts w:ascii="Book Antiqua" w:hAnsi="Book Antiqua"/>
        </w:rPr>
        <w:t xml:space="preserve">con </w:t>
      </w:r>
      <w:r w:rsidR="68940F0F" w:rsidRPr="00377565">
        <w:rPr>
          <w:rFonts w:ascii="Book Antiqua" w:hAnsi="Book Antiqua"/>
        </w:rPr>
        <w:t xml:space="preserve">el listado de asuntos que lleva el Tribunal </w:t>
      </w:r>
      <w:r w:rsidR="07248D44" w:rsidRPr="00377565">
        <w:rPr>
          <w:rFonts w:ascii="Book Antiqua" w:hAnsi="Book Antiqua"/>
        </w:rPr>
        <w:t xml:space="preserve">e indicando </w:t>
      </w:r>
      <w:r w:rsidR="667740AE" w:rsidRPr="00377565">
        <w:rPr>
          <w:rFonts w:ascii="Book Antiqua" w:hAnsi="Book Antiqua"/>
        </w:rPr>
        <w:t xml:space="preserve">que, </w:t>
      </w:r>
      <w:r w:rsidR="375D394B" w:rsidRPr="00377565">
        <w:rPr>
          <w:rFonts w:ascii="Book Antiqua" w:hAnsi="Book Antiqua"/>
        </w:rPr>
        <w:t>únicamente</w:t>
      </w:r>
      <w:r w:rsidR="667740AE" w:rsidRPr="00377565">
        <w:rPr>
          <w:rFonts w:ascii="Book Antiqua" w:hAnsi="Book Antiqua"/>
        </w:rPr>
        <w:t xml:space="preserve"> se pueden filtrar los asuntos</w:t>
      </w:r>
      <w:r w:rsidR="555CD9FF" w:rsidRPr="00377565">
        <w:rPr>
          <w:rFonts w:ascii="Book Antiqua" w:hAnsi="Book Antiqua"/>
        </w:rPr>
        <w:t xml:space="preserve"> activos,</w:t>
      </w:r>
      <w:r w:rsidR="667740AE" w:rsidRPr="00377565">
        <w:rPr>
          <w:rFonts w:ascii="Book Antiqua" w:hAnsi="Book Antiqua"/>
        </w:rPr>
        <w:t xml:space="preserve"> en los cuales se encuentran como parte un</w:t>
      </w:r>
      <w:r w:rsidR="41904975" w:rsidRPr="00377565">
        <w:rPr>
          <w:rFonts w:ascii="Book Antiqua" w:hAnsi="Book Antiqua"/>
        </w:rPr>
        <w:t xml:space="preserve">a asociación </w:t>
      </w:r>
      <w:r w:rsidR="41904975" w:rsidRPr="00377565">
        <w:rPr>
          <w:rFonts w:ascii="Book Antiqua" w:hAnsi="Book Antiqua"/>
        </w:rPr>
        <w:lastRenderedPageBreak/>
        <w:t xml:space="preserve">indígena o la Comisión Nacional de Asuntos Indígenas, </w:t>
      </w:r>
      <w:r w:rsidR="589B1230" w:rsidRPr="00377565">
        <w:rPr>
          <w:rFonts w:ascii="Book Antiqua" w:hAnsi="Book Antiqua"/>
        </w:rPr>
        <w:t>no</w:t>
      </w:r>
      <w:r w:rsidR="41904975" w:rsidRPr="00377565">
        <w:rPr>
          <w:rFonts w:ascii="Book Antiqua" w:hAnsi="Book Antiqua"/>
        </w:rPr>
        <w:t xml:space="preserve"> así</w:t>
      </w:r>
      <w:r w:rsidR="11F167FB" w:rsidRPr="00377565">
        <w:rPr>
          <w:rFonts w:ascii="Book Antiqua" w:hAnsi="Book Antiqua"/>
        </w:rPr>
        <w:t>,</w:t>
      </w:r>
      <w:r w:rsidR="41904975" w:rsidRPr="00377565">
        <w:rPr>
          <w:rFonts w:ascii="Book Antiqua" w:hAnsi="Book Antiqua"/>
        </w:rPr>
        <w:t xml:space="preserve"> como persona física</w:t>
      </w:r>
      <w:r w:rsidR="5692C11D" w:rsidRPr="00377565">
        <w:rPr>
          <w:rFonts w:ascii="Book Antiqua" w:hAnsi="Book Antiqua"/>
        </w:rPr>
        <w:t xml:space="preserve"> o persona </w:t>
      </w:r>
      <w:r w:rsidR="7E7D9FE1" w:rsidRPr="00377565">
        <w:rPr>
          <w:rFonts w:ascii="Book Antiqua" w:hAnsi="Book Antiqua"/>
        </w:rPr>
        <w:t xml:space="preserve">servidora </w:t>
      </w:r>
      <w:r w:rsidR="5692C11D" w:rsidRPr="00377565">
        <w:rPr>
          <w:rFonts w:ascii="Book Antiqua" w:hAnsi="Book Antiqua"/>
        </w:rPr>
        <w:t>judicial.</w:t>
      </w:r>
    </w:p>
    <w:p w14:paraId="5E1FEA50" w14:textId="34CFF7AE" w:rsidR="66313767" w:rsidRPr="00377565" w:rsidRDefault="4A705B18" w:rsidP="00377565">
      <w:pPr>
        <w:spacing w:line="240" w:lineRule="auto"/>
        <w:rPr>
          <w:rFonts w:ascii="Book Antiqua" w:hAnsi="Book Antiqua"/>
        </w:rPr>
      </w:pPr>
      <w:r w:rsidRPr="00377565">
        <w:rPr>
          <w:rFonts w:ascii="Book Antiqua" w:hAnsi="Book Antiqua"/>
        </w:rPr>
        <w:t xml:space="preserve">Adicionalmente, </w:t>
      </w:r>
      <w:r w:rsidR="2DAE1A23" w:rsidRPr="00377565">
        <w:rPr>
          <w:rFonts w:ascii="Book Antiqua" w:hAnsi="Book Antiqua"/>
        </w:rPr>
        <w:t xml:space="preserve">el 03 de febrero de 2020 </w:t>
      </w:r>
      <w:r w:rsidRPr="00377565">
        <w:rPr>
          <w:rFonts w:ascii="Book Antiqua" w:hAnsi="Book Antiqua"/>
        </w:rPr>
        <w:t>se coordina una sesión de trabajo con la Administración de la Defensa Pública, respaldada en la minuta 29-PLA-MI-MNTA-</w:t>
      </w:r>
      <w:r w:rsidR="43F4B7A8" w:rsidRPr="00377565">
        <w:rPr>
          <w:rFonts w:ascii="Book Antiqua" w:hAnsi="Book Antiqua"/>
        </w:rPr>
        <w:t>2020</w:t>
      </w:r>
      <w:r w:rsidR="6F90E9A3" w:rsidRPr="00377565">
        <w:rPr>
          <w:rFonts w:ascii="Book Antiqua" w:hAnsi="Book Antiqua"/>
        </w:rPr>
        <w:t>;</w:t>
      </w:r>
      <w:r w:rsidR="43F4B7A8" w:rsidRPr="00377565">
        <w:rPr>
          <w:rFonts w:ascii="Book Antiqua" w:hAnsi="Book Antiqua"/>
        </w:rPr>
        <w:t xml:space="preserve"> con el propósito de identificar el impacto </w:t>
      </w:r>
      <w:r w:rsidR="003C4BE2" w:rsidRPr="00377565">
        <w:rPr>
          <w:rFonts w:ascii="Book Antiqua" w:hAnsi="Book Antiqua"/>
        </w:rPr>
        <w:t>dado</w:t>
      </w:r>
      <w:r w:rsidR="43F4B7A8" w:rsidRPr="00377565">
        <w:rPr>
          <w:rFonts w:ascii="Book Antiqua" w:hAnsi="Book Antiqua"/>
        </w:rPr>
        <w:t xml:space="preserve"> en la Defensa Pública a partir de la implementación de la Ley 9593 de </w:t>
      </w:r>
      <w:r w:rsidR="32970AC3" w:rsidRPr="00377565">
        <w:rPr>
          <w:rFonts w:ascii="Book Antiqua" w:hAnsi="Book Antiqua"/>
        </w:rPr>
        <w:t>Acceso</w:t>
      </w:r>
      <w:r w:rsidR="43F4B7A8" w:rsidRPr="00377565">
        <w:rPr>
          <w:rFonts w:ascii="Book Antiqua" w:hAnsi="Book Antiqua"/>
        </w:rPr>
        <w:t xml:space="preserve"> a la </w:t>
      </w:r>
      <w:r w:rsidR="4D0F05A0" w:rsidRPr="00377565">
        <w:rPr>
          <w:rFonts w:ascii="Book Antiqua" w:hAnsi="Book Antiqua"/>
        </w:rPr>
        <w:t>Justicia de los Pueblos Indígenas</w:t>
      </w:r>
      <w:r w:rsidR="33BBCE2B" w:rsidRPr="00377565">
        <w:rPr>
          <w:rFonts w:ascii="Book Antiqua" w:hAnsi="Book Antiqua"/>
        </w:rPr>
        <w:t xml:space="preserve"> y</w:t>
      </w:r>
      <w:r w:rsidR="4D0F05A0" w:rsidRPr="00377565">
        <w:rPr>
          <w:rFonts w:ascii="Book Antiqua" w:hAnsi="Book Antiqua"/>
        </w:rPr>
        <w:t>,</w:t>
      </w:r>
      <w:r w:rsidR="6636A477" w:rsidRPr="00377565">
        <w:rPr>
          <w:rFonts w:ascii="Book Antiqua" w:hAnsi="Book Antiqua"/>
        </w:rPr>
        <w:t xml:space="preserve"> </w:t>
      </w:r>
      <w:r w:rsidR="5D7B9351" w:rsidRPr="00377565">
        <w:rPr>
          <w:rFonts w:ascii="Book Antiqua" w:hAnsi="Book Antiqua"/>
        </w:rPr>
        <w:t>recibir retroalimentación de la manera de trabajo optada por la administración para solventar las necesidades de la población en mención.</w:t>
      </w:r>
    </w:p>
    <w:p w14:paraId="23BC8DE9" w14:textId="5B179CD7" w:rsidR="66313767" w:rsidRPr="00377565" w:rsidRDefault="40A9E280" w:rsidP="00377565">
      <w:pPr>
        <w:spacing w:line="240" w:lineRule="auto"/>
        <w:rPr>
          <w:rFonts w:ascii="Book Antiqua" w:hAnsi="Book Antiqua"/>
        </w:rPr>
      </w:pPr>
      <w:r w:rsidRPr="00377565">
        <w:rPr>
          <w:rFonts w:ascii="Book Antiqua" w:hAnsi="Book Antiqua"/>
        </w:rPr>
        <w:t>Con base en la información recolectada en reunión mencionada en el párrafo anterior y, con la información estadística enviada por la Administración de la Defensa Pública; se proced</w:t>
      </w:r>
      <w:r w:rsidR="00377E2E" w:rsidRPr="00377565">
        <w:rPr>
          <w:rFonts w:ascii="Book Antiqua" w:hAnsi="Book Antiqua"/>
        </w:rPr>
        <w:t>e</w:t>
      </w:r>
      <w:r w:rsidRPr="00377565">
        <w:rPr>
          <w:rFonts w:ascii="Book Antiqua" w:hAnsi="Book Antiqua"/>
        </w:rPr>
        <w:t xml:space="preserve"> a analizar las cargas de trabajo de las </w:t>
      </w:r>
      <w:r w:rsidR="7E6AD537" w:rsidRPr="00377565">
        <w:rPr>
          <w:rFonts w:ascii="Book Antiqua" w:hAnsi="Book Antiqua"/>
        </w:rPr>
        <w:t>plazas de Defensora o Defensor Público responsables de la tramitación de asuntos con interviniente persona usuaria indígena.</w:t>
      </w:r>
    </w:p>
    <w:p w14:paraId="2133F620" w14:textId="124E2272" w:rsidR="66313767" w:rsidRPr="00377565" w:rsidRDefault="66313767" w:rsidP="00377565">
      <w:pPr>
        <w:spacing w:line="240" w:lineRule="auto"/>
        <w:rPr>
          <w:rFonts w:ascii="Book Antiqua" w:hAnsi="Book Antiqua"/>
        </w:rPr>
      </w:pPr>
      <w:r w:rsidRPr="00377565">
        <w:rPr>
          <w:rFonts w:ascii="Book Antiqua" w:hAnsi="Book Antiqua"/>
        </w:rPr>
        <w:t xml:space="preserve">Seguido, se consultó a Unidad de Capacitación de la Defensa Pública sobre los lineamientos establecidos por parte de la </w:t>
      </w:r>
      <w:r w:rsidR="2F262F0C" w:rsidRPr="00377565">
        <w:rPr>
          <w:rFonts w:ascii="Book Antiqua" w:hAnsi="Book Antiqua"/>
        </w:rPr>
        <w:t xml:space="preserve">Jefatura </w:t>
      </w:r>
      <w:r w:rsidRPr="00377565">
        <w:rPr>
          <w:rFonts w:ascii="Book Antiqua" w:hAnsi="Book Antiqua"/>
        </w:rPr>
        <w:t xml:space="preserve">de la Defensa Pública para cubrir el tema de capacitación del personal de la Defensa Pública </w:t>
      </w:r>
      <w:r w:rsidR="1D8E70A2" w:rsidRPr="00377565">
        <w:rPr>
          <w:rFonts w:ascii="Book Antiqua" w:hAnsi="Book Antiqua"/>
        </w:rPr>
        <w:t>en la tramitación de asuntos con intervi</w:t>
      </w:r>
      <w:r w:rsidR="2DA7AA6C" w:rsidRPr="00377565">
        <w:rPr>
          <w:rFonts w:ascii="Book Antiqua" w:hAnsi="Book Antiqua"/>
        </w:rPr>
        <w:t>ni</w:t>
      </w:r>
      <w:r w:rsidR="1D8E70A2" w:rsidRPr="00377565">
        <w:rPr>
          <w:rFonts w:ascii="Book Antiqua" w:hAnsi="Book Antiqua"/>
        </w:rPr>
        <w:t>ente persona usuaria indígena.</w:t>
      </w:r>
    </w:p>
    <w:p w14:paraId="0BBC82F2" w14:textId="792E10DF" w:rsidR="02AE8854" w:rsidRDefault="02AE8854" w:rsidP="00377565">
      <w:pPr>
        <w:spacing w:line="240" w:lineRule="auto"/>
      </w:pPr>
      <w:r w:rsidRPr="00377565">
        <w:rPr>
          <w:rFonts w:ascii="Book Antiqua" w:hAnsi="Book Antiqua"/>
        </w:rPr>
        <w:t>Finalmen</w:t>
      </w:r>
      <w:r w:rsidR="17FF6304" w:rsidRPr="00377565">
        <w:rPr>
          <w:rFonts w:ascii="Book Antiqua" w:hAnsi="Book Antiqua"/>
        </w:rPr>
        <w:t>te, se realiza</w:t>
      </w:r>
      <w:r w:rsidR="00377E2E" w:rsidRPr="00377565">
        <w:rPr>
          <w:rFonts w:ascii="Book Antiqua" w:hAnsi="Book Antiqua"/>
        </w:rPr>
        <w:t xml:space="preserve">n consultas </w:t>
      </w:r>
      <w:r w:rsidR="6CD5C9B8" w:rsidRPr="00377565">
        <w:rPr>
          <w:rFonts w:ascii="Book Antiqua" w:hAnsi="Book Antiqua"/>
        </w:rPr>
        <w:t>al Instituto Nacional de Estadística y Censo</w:t>
      </w:r>
      <w:r w:rsidR="17FF6304" w:rsidRPr="00377565">
        <w:rPr>
          <w:rFonts w:ascii="Book Antiqua" w:hAnsi="Book Antiqua"/>
        </w:rPr>
        <w:t xml:space="preserve"> </w:t>
      </w:r>
      <w:r w:rsidR="59119B96" w:rsidRPr="00377565">
        <w:rPr>
          <w:rFonts w:ascii="Book Antiqua" w:hAnsi="Book Antiqua"/>
        </w:rPr>
        <w:t>(</w:t>
      </w:r>
      <w:r w:rsidR="17FF6304" w:rsidRPr="00377565">
        <w:rPr>
          <w:rFonts w:ascii="Book Antiqua" w:hAnsi="Book Antiqua"/>
        </w:rPr>
        <w:t>INEC</w:t>
      </w:r>
      <w:r w:rsidR="2D4DD838" w:rsidRPr="00377565">
        <w:rPr>
          <w:rFonts w:ascii="Book Antiqua" w:hAnsi="Book Antiqua"/>
        </w:rPr>
        <w:t>)</w:t>
      </w:r>
      <w:r w:rsidR="420C1596" w:rsidRPr="00377565">
        <w:rPr>
          <w:rFonts w:ascii="Book Antiqua" w:hAnsi="Book Antiqua"/>
        </w:rPr>
        <w:t xml:space="preserve"> para obtener </w:t>
      </w:r>
      <w:r w:rsidR="4F035A9E" w:rsidRPr="00377565">
        <w:rPr>
          <w:rFonts w:ascii="Book Antiqua" w:hAnsi="Book Antiqua"/>
        </w:rPr>
        <w:t>estadísticas de la población indígena</w:t>
      </w:r>
      <w:r w:rsidR="17FF6304" w:rsidRPr="00377565">
        <w:rPr>
          <w:rFonts w:ascii="Book Antiqua" w:hAnsi="Book Antiqua"/>
        </w:rPr>
        <w:t>,</w:t>
      </w:r>
      <w:r w:rsidR="07215142" w:rsidRPr="00377565">
        <w:rPr>
          <w:rFonts w:ascii="Book Antiqua" w:hAnsi="Book Antiqua"/>
        </w:rPr>
        <w:t xml:space="preserve"> a la</w:t>
      </w:r>
      <w:r w:rsidR="17FF6304" w:rsidRPr="00377565">
        <w:rPr>
          <w:rFonts w:ascii="Book Antiqua" w:hAnsi="Book Antiqua"/>
        </w:rPr>
        <w:t xml:space="preserve"> Comisión Nacional de</w:t>
      </w:r>
      <w:r w:rsidR="2440E655" w:rsidRPr="00377565">
        <w:rPr>
          <w:rFonts w:ascii="Book Antiqua" w:hAnsi="Book Antiqua"/>
        </w:rPr>
        <w:t xml:space="preserve"> Asuntos Indígenas (CONAI)</w:t>
      </w:r>
      <w:r w:rsidR="6BC67614" w:rsidRPr="00377565">
        <w:rPr>
          <w:rFonts w:ascii="Book Antiqua" w:hAnsi="Book Antiqua"/>
        </w:rPr>
        <w:t xml:space="preserve"> para </w:t>
      </w:r>
      <w:r w:rsidR="2E69E86E" w:rsidRPr="00377565">
        <w:rPr>
          <w:rFonts w:ascii="Book Antiqua" w:hAnsi="Book Antiqua"/>
        </w:rPr>
        <w:t>s</w:t>
      </w:r>
      <w:r w:rsidR="6BC67614" w:rsidRPr="00377565">
        <w:rPr>
          <w:rFonts w:ascii="Book Antiqua" w:hAnsi="Book Antiqua"/>
        </w:rPr>
        <w:t>egmentar</w:t>
      </w:r>
      <w:r w:rsidR="654FA97F" w:rsidRPr="00377565">
        <w:rPr>
          <w:rFonts w:ascii="Book Antiqua" w:hAnsi="Book Antiqua"/>
        </w:rPr>
        <w:t xml:space="preserve"> </w:t>
      </w:r>
      <w:r w:rsidR="4BDF8898" w:rsidRPr="00377565">
        <w:rPr>
          <w:rFonts w:ascii="Book Antiqua" w:hAnsi="Book Antiqua"/>
        </w:rPr>
        <w:t xml:space="preserve">la población por territorio según etnia </w:t>
      </w:r>
      <w:r w:rsidR="654FA97F" w:rsidRPr="00377565">
        <w:rPr>
          <w:rFonts w:ascii="Book Antiqua" w:hAnsi="Book Antiqua"/>
        </w:rPr>
        <w:t>y</w:t>
      </w:r>
      <w:r w:rsidR="2440E655" w:rsidRPr="00377565">
        <w:rPr>
          <w:rFonts w:ascii="Book Antiqua" w:hAnsi="Book Antiqua"/>
        </w:rPr>
        <w:t xml:space="preserve"> </w:t>
      </w:r>
      <w:r w:rsidR="7CCE5E96" w:rsidRPr="00377565">
        <w:rPr>
          <w:rFonts w:ascii="Book Antiqua" w:hAnsi="Book Antiqua"/>
        </w:rPr>
        <w:t>Defensa</w:t>
      </w:r>
      <w:r w:rsidR="2440E655" w:rsidRPr="00377565">
        <w:rPr>
          <w:rFonts w:ascii="Book Antiqua" w:hAnsi="Book Antiqua"/>
        </w:rPr>
        <w:t>s</w:t>
      </w:r>
      <w:r w:rsidR="7CCE5E96" w:rsidRPr="00377565">
        <w:rPr>
          <w:rFonts w:ascii="Book Antiqua" w:hAnsi="Book Antiqua"/>
        </w:rPr>
        <w:t xml:space="preserve"> Públicas</w:t>
      </w:r>
      <w:r w:rsidR="2440E655" w:rsidRPr="00377565">
        <w:rPr>
          <w:rFonts w:ascii="Book Antiqua" w:hAnsi="Book Antiqua"/>
        </w:rPr>
        <w:t xml:space="preserve"> </w:t>
      </w:r>
      <w:r w:rsidR="62FAA7CF" w:rsidRPr="00377565">
        <w:rPr>
          <w:rFonts w:ascii="Book Antiqua" w:hAnsi="Book Antiqua"/>
        </w:rPr>
        <w:t>r</w:t>
      </w:r>
      <w:r w:rsidR="2440E655" w:rsidRPr="00377565">
        <w:rPr>
          <w:rFonts w:ascii="Book Antiqua" w:hAnsi="Book Antiqua"/>
        </w:rPr>
        <w:t>egionales de las zonas</w:t>
      </w:r>
      <w:r w:rsidR="047F23C3" w:rsidRPr="00377565">
        <w:rPr>
          <w:rFonts w:ascii="Book Antiqua" w:hAnsi="Book Antiqua"/>
        </w:rPr>
        <w:t xml:space="preserve"> donde se concentra la mayor</w:t>
      </w:r>
      <w:r w:rsidR="3A2EE9DE" w:rsidRPr="00377565">
        <w:rPr>
          <w:rFonts w:ascii="Book Antiqua" w:hAnsi="Book Antiqua"/>
        </w:rPr>
        <w:t xml:space="preserve"> densidad de personas indígenas,</w:t>
      </w:r>
      <w:r w:rsidR="645095CB" w:rsidRPr="00377565">
        <w:rPr>
          <w:rFonts w:ascii="Book Antiqua" w:hAnsi="Book Antiqua"/>
        </w:rPr>
        <w:t xml:space="preserve"> para obtener particularidades </w:t>
      </w:r>
      <w:r w:rsidR="32A13085" w:rsidRPr="00377565">
        <w:rPr>
          <w:rFonts w:ascii="Book Antiqua" w:hAnsi="Book Antiqua"/>
        </w:rPr>
        <w:t>de las poblaciones</w:t>
      </w:r>
      <w:r w:rsidR="32A13085" w:rsidRPr="008D2522">
        <w:t>.</w:t>
      </w:r>
    </w:p>
    <w:p w14:paraId="774A33F1" w14:textId="77777777" w:rsidR="008D322C" w:rsidRDefault="008D322C" w:rsidP="00594E59"/>
    <w:p w14:paraId="53FA20DD" w14:textId="21FCCF7E" w:rsidR="3619292C" w:rsidRPr="008D2522" w:rsidRDefault="3619292C" w:rsidP="003C5978">
      <w:pPr>
        <w:pStyle w:val="Ttulo1"/>
      </w:pPr>
      <w:r w:rsidRPr="008D2522">
        <w:t>Información</w:t>
      </w:r>
      <w:r w:rsidR="0B6B3115" w:rsidRPr="008D2522">
        <w:t xml:space="preserve"> relevante</w:t>
      </w:r>
    </w:p>
    <w:p w14:paraId="24AE0A87" w14:textId="48AAEB96" w:rsidR="2105C029" w:rsidRPr="00377565" w:rsidRDefault="2105C029" w:rsidP="00377565">
      <w:pPr>
        <w:pStyle w:val="Ttulo2"/>
      </w:pPr>
      <w:r w:rsidRPr="00377565">
        <w:t>Aspectos demográficos a considerar</w:t>
      </w:r>
    </w:p>
    <w:p w14:paraId="6EE8804B" w14:textId="1FAC415D" w:rsidR="2105C029" w:rsidRPr="00377565" w:rsidRDefault="00D73F1D" w:rsidP="00377565">
      <w:pPr>
        <w:spacing w:line="240" w:lineRule="auto"/>
        <w:rPr>
          <w:rFonts w:ascii="Book Antiqua" w:hAnsi="Book Antiqua"/>
        </w:rPr>
      </w:pPr>
      <w:r w:rsidRPr="00377565">
        <w:rPr>
          <w:rFonts w:ascii="Book Antiqua" w:hAnsi="Book Antiqua"/>
        </w:rPr>
        <w:t xml:space="preserve">Con base en la consulta realizada al </w:t>
      </w:r>
      <w:r w:rsidRPr="00377565">
        <w:rPr>
          <w:rFonts w:ascii="Book Antiqua" w:eastAsia="Arial" w:hAnsi="Book Antiqua"/>
        </w:rPr>
        <w:t>Instituto Nacional de Estadística y Censo (INEC), l</w:t>
      </w:r>
      <w:r w:rsidR="2105C029" w:rsidRPr="00377565">
        <w:rPr>
          <w:rFonts w:ascii="Book Antiqua" w:hAnsi="Book Antiqua"/>
        </w:rPr>
        <w:t>a población indígena</w:t>
      </w:r>
      <w:r w:rsidRPr="00377565">
        <w:rPr>
          <w:rFonts w:ascii="Book Antiqua" w:hAnsi="Book Antiqua"/>
        </w:rPr>
        <w:t>,</w:t>
      </w:r>
      <w:r w:rsidR="2105C029" w:rsidRPr="00377565">
        <w:rPr>
          <w:rFonts w:ascii="Book Antiqua" w:hAnsi="Book Antiqua"/>
        </w:rPr>
        <w:t xml:space="preserve"> según el censo 2011</w:t>
      </w:r>
      <w:r w:rsidRPr="00377565">
        <w:rPr>
          <w:rFonts w:ascii="Book Antiqua" w:hAnsi="Book Antiqua"/>
        </w:rPr>
        <w:t>,</w:t>
      </w:r>
      <w:r w:rsidR="2105C029" w:rsidRPr="00377565">
        <w:rPr>
          <w:rFonts w:ascii="Book Antiqua" w:hAnsi="Book Antiqua"/>
        </w:rPr>
        <w:t xml:space="preserve"> es de 104</w:t>
      </w:r>
      <w:r w:rsidRPr="00377565">
        <w:rPr>
          <w:rFonts w:ascii="Book Antiqua" w:hAnsi="Book Antiqua"/>
        </w:rPr>
        <w:t xml:space="preserve"> </w:t>
      </w:r>
      <w:r w:rsidR="2105C029" w:rsidRPr="00377565">
        <w:rPr>
          <w:rFonts w:ascii="Book Antiqua" w:hAnsi="Book Antiqua"/>
        </w:rPr>
        <w:t>143 personas, las cuales están distribuidas a lo largo del territorio nacion</w:t>
      </w:r>
      <w:r w:rsidR="19EC1E04" w:rsidRPr="00377565">
        <w:rPr>
          <w:rFonts w:ascii="Book Antiqua" w:hAnsi="Book Antiqua"/>
        </w:rPr>
        <w:t>al, segmentad</w:t>
      </w:r>
      <w:r w:rsidR="7D39F1B4" w:rsidRPr="00377565">
        <w:rPr>
          <w:rFonts w:ascii="Book Antiqua" w:hAnsi="Book Antiqua"/>
        </w:rPr>
        <w:t>a</w:t>
      </w:r>
      <w:r w:rsidR="19EC1E04" w:rsidRPr="00377565">
        <w:rPr>
          <w:rFonts w:ascii="Book Antiqua" w:hAnsi="Book Antiqua"/>
        </w:rPr>
        <w:t xml:space="preserve"> </w:t>
      </w:r>
      <w:r w:rsidR="7D27087A" w:rsidRPr="00377565">
        <w:rPr>
          <w:rFonts w:ascii="Book Antiqua" w:hAnsi="Book Antiqua"/>
        </w:rPr>
        <w:t>en ocho</w:t>
      </w:r>
      <w:r w:rsidR="19EC1E04" w:rsidRPr="00377565">
        <w:rPr>
          <w:rFonts w:ascii="Book Antiqua" w:hAnsi="Book Antiqua"/>
        </w:rPr>
        <w:t xml:space="preserve"> etnias:</w:t>
      </w:r>
    </w:p>
    <w:p w14:paraId="2498BDF3" w14:textId="115058DF" w:rsidR="39B099C7" w:rsidRPr="00377565" w:rsidRDefault="39B099C7" w:rsidP="00055CFC">
      <w:pPr>
        <w:numPr>
          <w:ilvl w:val="0"/>
          <w:numId w:val="7"/>
        </w:numPr>
        <w:spacing w:before="0" w:after="0"/>
        <w:rPr>
          <w:rFonts w:ascii="Book Antiqua" w:hAnsi="Book Antiqua" w:cs="Arial"/>
        </w:rPr>
      </w:pPr>
      <w:r w:rsidRPr="00377565">
        <w:rPr>
          <w:rFonts w:ascii="Book Antiqua" w:hAnsi="Book Antiqua" w:cs="Arial"/>
        </w:rPr>
        <w:t>Bribrí</w:t>
      </w:r>
    </w:p>
    <w:p w14:paraId="1205125E" w14:textId="4061741B" w:rsidR="39B099C7" w:rsidRPr="00377565" w:rsidRDefault="00B97719" w:rsidP="00055CFC">
      <w:pPr>
        <w:numPr>
          <w:ilvl w:val="0"/>
          <w:numId w:val="7"/>
        </w:numPr>
        <w:spacing w:before="0" w:after="0"/>
        <w:rPr>
          <w:rFonts w:ascii="Book Antiqua" w:hAnsi="Book Antiqua" w:cs="Arial"/>
        </w:rPr>
      </w:pPr>
      <w:r w:rsidRPr="00377565">
        <w:rPr>
          <w:rFonts w:ascii="Book Antiqua" w:hAnsi="Book Antiqua" w:cs="Arial"/>
        </w:rPr>
        <w:t>Brunca</w:t>
      </w:r>
    </w:p>
    <w:p w14:paraId="65EC2753" w14:textId="3A5520C4" w:rsidR="39B099C7" w:rsidRPr="00377565" w:rsidRDefault="39B099C7" w:rsidP="00055CFC">
      <w:pPr>
        <w:numPr>
          <w:ilvl w:val="0"/>
          <w:numId w:val="7"/>
        </w:numPr>
        <w:spacing w:before="0" w:after="0"/>
        <w:rPr>
          <w:rFonts w:ascii="Book Antiqua" w:hAnsi="Book Antiqua" w:cs="Arial"/>
        </w:rPr>
      </w:pPr>
      <w:r w:rsidRPr="00377565">
        <w:rPr>
          <w:rFonts w:ascii="Book Antiqua" w:hAnsi="Book Antiqua" w:cs="Arial"/>
        </w:rPr>
        <w:t>T</w:t>
      </w:r>
      <w:r w:rsidR="744CA7DD" w:rsidRPr="00377565">
        <w:rPr>
          <w:rFonts w:ascii="Book Antiqua" w:hAnsi="Book Antiqua" w:cs="Arial"/>
        </w:rPr>
        <w:t>eribe</w:t>
      </w:r>
    </w:p>
    <w:p w14:paraId="2004F3FC" w14:textId="0E5BBE7D" w:rsidR="39B099C7" w:rsidRPr="00377565" w:rsidRDefault="39B099C7" w:rsidP="00055CFC">
      <w:pPr>
        <w:numPr>
          <w:ilvl w:val="0"/>
          <w:numId w:val="7"/>
        </w:numPr>
        <w:spacing w:before="0" w:after="0"/>
        <w:rPr>
          <w:rFonts w:ascii="Book Antiqua" w:hAnsi="Book Antiqua" w:cs="Arial"/>
        </w:rPr>
      </w:pPr>
      <w:proofErr w:type="spellStart"/>
      <w:r w:rsidRPr="00377565">
        <w:rPr>
          <w:rFonts w:ascii="Book Antiqua" w:hAnsi="Book Antiqua" w:cs="Arial"/>
        </w:rPr>
        <w:lastRenderedPageBreak/>
        <w:t>G</w:t>
      </w:r>
      <w:r w:rsidR="04F1B711" w:rsidRPr="00377565">
        <w:rPr>
          <w:rFonts w:ascii="Book Antiqua" w:hAnsi="Book Antiqua" w:cs="Arial"/>
        </w:rPr>
        <w:t>nobe</w:t>
      </w:r>
      <w:proofErr w:type="spellEnd"/>
      <w:r w:rsidR="04F1B711" w:rsidRPr="00377565">
        <w:rPr>
          <w:rFonts w:ascii="Book Antiqua" w:hAnsi="Book Antiqua" w:cs="Arial"/>
        </w:rPr>
        <w:t xml:space="preserve"> o </w:t>
      </w:r>
      <w:proofErr w:type="spellStart"/>
      <w:r w:rsidR="04F1B711" w:rsidRPr="00377565">
        <w:rPr>
          <w:rFonts w:ascii="Book Antiqua" w:hAnsi="Book Antiqua" w:cs="Arial"/>
        </w:rPr>
        <w:t>Guaymí</w:t>
      </w:r>
      <w:proofErr w:type="spellEnd"/>
    </w:p>
    <w:p w14:paraId="0DE7C1F0" w14:textId="7EAC03CF" w:rsidR="39B099C7" w:rsidRPr="00377565" w:rsidRDefault="39B099C7" w:rsidP="00055CFC">
      <w:pPr>
        <w:numPr>
          <w:ilvl w:val="0"/>
          <w:numId w:val="7"/>
        </w:numPr>
        <w:spacing w:before="0" w:after="0"/>
        <w:rPr>
          <w:rFonts w:ascii="Book Antiqua" w:hAnsi="Book Antiqua" w:cs="Arial"/>
        </w:rPr>
      </w:pPr>
      <w:r w:rsidRPr="00377565">
        <w:rPr>
          <w:rFonts w:ascii="Book Antiqua" w:hAnsi="Book Antiqua" w:cs="Arial"/>
        </w:rPr>
        <w:t>H</w:t>
      </w:r>
      <w:r w:rsidR="47C64A32" w:rsidRPr="00377565">
        <w:rPr>
          <w:rFonts w:ascii="Book Antiqua" w:hAnsi="Book Antiqua" w:cs="Arial"/>
        </w:rPr>
        <w:t>uetar</w:t>
      </w:r>
    </w:p>
    <w:p w14:paraId="1065A437" w14:textId="53F445E2" w:rsidR="39B099C7" w:rsidRPr="00377565" w:rsidRDefault="39B099C7" w:rsidP="00055CFC">
      <w:pPr>
        <w:numPr>
          <w:ilvl w:val="0"/>
          <w:numId w:val="7"/>
        </w:numPr>
        <w:spacing w:before="0" w:after="0"/>
        <w:rPr>
          <w:rFonts w:ascii="Book Antiqua" w:hAnsi="Book Antiqua" w:cs="Arial"/>
        </w:rPr>
      </w:pPr>
      <w:proofErr w:type="spellStart"/>
      <w:r w:rsidRPr="00377565">
        <w:rPr>
          <w:rFonts w:ascii="Book Antiqua" w:hAnsi="Book Antiqua" w:cs="Arial"/>
        </w:rPr>
        <w:t>M</w:t>
      </w:r>
      <w:r w:rsidR="70840A63" w:rsidRPr="00377565">
        <w:rPr>
          <w:rFonts w:ascii="Book Antiqua" w:hAnsi="Book Antiqua" w:cs="Arial"/>
        </w:rPr>
        <w:t>aleku</w:t>
      </w:r>
      <w:proofErr w:type="spellEnd"/>
      <w:r w:rsidRPr="00377565">
        <w:rPr>
          <w:rFonts w:ascii="Book Antiqua" w:hAnsi="Book Antiqua" w:cs="Arial"/>
        </w:rPr>
        <w:t xml:space="preserve"> (R</w:t>
      </w:r>
      <w:r w:rsidR="3A488623" w:rsidRPr="00377565">
        <w:rPr>
          <w:rFonts w:ascii="Book Antiqua" w:hAnsi="Book Antiqua" w:cs="Arial"/>
        </w:rPr>
        <w:t>egión Norte</w:t>
      </w:r>
      <w:r w:rsidRPr="00377565">
        <w:rPr>
          <w:rFonts w:ascii="Book Antiqua" w:hAnsi="Book Antiqua" w:cs="Arial"/>
        </w:rPr>
        <w:t>)</w:t>
      </w:r>
    </w:p>
    <w:p w14:paraId="1DF991CF" w14:textId="6254850F" w:rsidR="42D3EB6C" w:rsidRPr="00377565" w:rsidRDefault="42D3EB6C" w:rsidP="00055CFC">
      <w:pPr>
        <w:numPr>
          <w:ilvl w:val="0"/>
          <w:numId w:val="7"/>
        </w:numPr>
        <w:spacing w:before="0" w:after="0"/>
        <w:rPr>
          <w:rFonts w:ascii="Book Antiqua" w:hAnsi="Book Antiqua" w:cs="Arial"/>
        </w:rPr>
      </w:pPr>
      <w:r w:rsidRPr="00377565">
        <w:rPr>
          <w:rFonts w:ascii="Book Antiqua" w:hAnsi="Book Antiqua" w:cs="Arial"/>
        </w:rPr>
        <w:t>Chorotega</w:t>
      </w:r>
    </w:p>
    <w:p w14:paraId="4DB07BB1" w14:textId="063BD5BB" w:rsidR="39B099C7" w:rsidRPr="00377565" w:rsidRDefault="39B099C7" w:rsidP="00055CFC">
      <w:pPr>
        <w:numPr>
          <w:ilvl w:val="0"/>
          <w:numId w:val="7"/>
        </w:numPr>
        <w:spacing w:before="0" w:after="0"/>
        <w:rPr>
          <w:rFonts w:ascii="Book Antiqua" w:hAnsi="Book Antiqua" w:cs="Arial"/>
        </w:rPr>
      </w:pPr>
      <w:r w:rsidRPr="00377565">
        <w:rPr>
          <w:rFonts w:ascii="Book Antiqua" w:hAnsi="Book Antiqua" w:cs="Arial"/>
        </w:rPr>
        <w:t>C</w:t>
      </w:r>
      <w:r w:rsidR="3F1BCC74" w:rsidRPr="00377565">
        <w:rPr>
          <w:rFonts w:ascii="Book Antiqua" w:hAnsi="Book Antiqua" w:cs="Arial"/>
        </w:rPr>
        <w:t>ab</w:t>
      </w:r>
      <w:r w:rsidR="00D73F1D" w:rsidRPr="00377565">
        <w:rPr>
          <w:rFonts w:ascii="Book Antiqua" w:hAnsi="Book Antiqua" w:cs="Arial"/>
        </w:rPr>
        <w:t>é</w:t>
      </w:r>
      <w:r w:rsidR="3F1BCC74" w:rsidRPr="00377565">
        <w:rPr>
          <w:rFonts w:ascii="Book Antiqua" w:hAnsi="Book Antiqua" w:cs="Arial"/>
        </w:rPr>
        <w:t>car</w:t>
      </w:r>
    </w:p>
    <w:p w14:paraId="59166958" w14:textId="739420F3" w:rsidR="1A090B42" w:rsidRPr="00377565" w:rsidRDefault="1A090B42" w:rsidP="00377565">
      <w:pPr>
        <w:spacing w:line="240" w:lineRule="auto"/>
        <w:rPr>
          <w:rFonts w:ascii="Book Antiqua" w:hAnsi="Book Antiqua"/>
        </w:rPr>
      </w:pPr>
      <w:r w:rsidRPr="00377565">
        <w:rPr>
          <w:rFonts w:ascii="Book Antiqua" w:hAnsi="Book Antiqua"/>
        </w:rPr>
        <w:t xml:space="preserve">Las etnias que agrupan la mayor </w:t>
      </w:r>
      <w:r w:rsidR="5FD890C8" w:rsidRPr="00377565">
        <w:rPr>
          <w:rFonts w:ascii="Book Antiqua" w:hAnsi="Book Antiqua"/>
        </w:rPr>
        <w:t xml:space="preserve">cantidad de </w:t>
      </w:r>
      <w:r w:rsidRPr="00377565">
        <w:rPr>
          <w:rFonts w:ascii="Book Antiqua" w:hAnsi="Book Antiqua"/>
        </w:rPr>
        <w:t xml:space="preserve">población son los </w:t>
      </w:r>
      <w:proofErr w:type="spellStart"/>
      <w:r w:rsidRPr="00377565">
        <w:rPr>
          <w:rFonts w:ascii="Book Antiqua" w:hAnsi="Book Antiqua"/>
        </w:rPr>
        <w:t>Bribris</w:t>
      </w:r>
      <w:proofErr w:type="spellEnd"/>
      <w:r w:rsidRPr="00377565">
        <w:rPr>
          <w:rFonts w:ascii="Book Antiqua" w:hAnsi="Book Antiqua"/>
        </w:rPr>
        <w:t xml:space="preserve"> con un 35% y los </w:t>
      </w:r>
      <w:r w:rsidR="00D73F1D" w:rsidRPr="00377565">
        <w:rPr>
          <w:rFonts w:ascii="Book Antiqua" w:hAnsi="Book Antiqua"/>
        </w:rPr>
        <w:t>Cabécar</w:t>
      </w:r>
      <w:r w:rsidRPr="00377565">
        <w:rPr>
          <w:rFonts w:ascii="Book Antiqua" w:hAnsi="Book Antiqua"/>
        </w:rPr>
        <w:t xml:space="preserve"> con </w:t>
      </w:r>
      <w:r w:rsidR="0D45A4FB" w:rsidRPr="00377565">
        <w:rPr>
          <w:rFonts w:ascii="Book Antiqua" w:hAnsi="Book Antiqua"/>
        </w:rPr>
        <w:t>29%</w:t>
      </w:r>
      <w:r w:rsidR="00D73F1D" w:rsidRPr="00377565">
        <w:rPr>
          <w:rFonts w:ascii="Book Antiqua" w:hAnsi="Book Antiqua"/>
        </w:rPr>
        <w:t>. Estas dos etnias representan un 64% sobre el total de la población indígena en Costa Rica.</w:t>
      </w:r>
    </w:p>
    <w:p w14:paraId="14C0F86D" w14:textId="46E2814E" w:rsidR="00D73F1D" w:rsidRPr="00377565" w:rsidRDefault="00D73F1D" w:rsidP="00377565">
      <w:pPr>
        <w:spacing w:line="240" w:lineRule="auto"/>
        <w:rPr>
          <w:rFonts w:ascii="Book Antiqua" w:hAnsi="Book Antiqua"/>
        </w:rPr>
      </w:pPr>
      <w:r w:rsidRPr="00377565">
        <w:rPr>
          <w:rFonts w:ascii="Book Antiqua" w:hAnsi="Book Antiqua"/>
        </w:rPr>
        <w:t xml:space="preserve">En la siguiente figura se muestra la concentración de territorios indígenas de Costa Rica, según el Sistema </w:t>
      </w:r>
      <w:proofErr w:type="spellStart"/>
      <w:r w:rsidRPr="00377565">
        <w:rPr>
          <w:rFonts w:ascii="Book Antiqua" w:hAnsi="Book Antiqua"/>
        </w:rPr>
        <w:t>Georeferencial</w:t>
      </w:r>
      <w:proofErr w:type="spellEnd"/>
      <w:r w:rsidRPr="00377565">
        <w:rPr>
          <w:rFonts w:ascii="Book Antiqua" w:hAnsi="Book Antiqua"/>
        </w:rPr>
        <w:t xml:space="preserve"> del Poder Judicial. </w:t>
      </w:r>
    </w:p>
    <w:p w14:paraId="3716AD1D" w14:textId="03591AFD" w:rsidR="00093434" w:rsidRPr="008D2522" w:rsidRDefault="00093434" w:rsidP="00055CFC">
      <w:pPr>
        <w:pStyle w:val="Descripcin"/>
        <w:keepNext/>
        <w:spacing w:before="0" w:after="0"/>
        <w:jc w:val="center"/>
        <w:rPr>
          <w:rFonts w:cs="Arial"/>
          <w:sz w:val="24"/>
        </w:rPr>
      </w:pPr>
      <w:r w:rsidRPr="008D2522">
        <w:rPr>
          <w:rFonts w:cs="Arial"/>
          <w:sz w:val="24"/>
        </w:rPr>
        <w:t xml:space="preserve">Figura </w:t>
      </w:r>
      <w:r w:rsidRPr="008D2522">
        <w:rPr>
          <w:rFonts w:cs="Arial"/>
          <w:sz w:val="24"/>
        </w:rPr>
        <w:fldChar w:fldCharType="begin"/>
      </w:r>
      <w:r w:rsidRPr="008D2522">
        <w:rPr>
          <w:rFonts w:cs="Arial"/>
          <w:sz w:val="24"/>
        </w:rPr>
        <w:instrText xml:space="preserve"> SEQ Figura \* ARABIC </w:instrText>
      </w:r>
      <w:r w:rsidRPr="008D2522">
        <w:rPr>
          <w:rFonts w:cs="Arial"/>
          <w:sz w:val="24"/>
        </w:rPr>
        <w:fldChar w:fldCharType="separate"/>
      </w:r>
      <w:r w:rsidR="008276AA">
        <w:rPr>
          <w:rFonts w:cs="Arial"/>
          <w:noProof/>
          <w:sz w:val="24"/>
        </w:rPr>
        <w:t>1</w:t>
      </w:r>
      <w:r w:rsidRPr="008D2522">
        <w:rPr>
          <w:rFonts w:cs="Arial"/>
          <w:sz w:val="24"/>
        </w:rPr>
        <w:fldChar w:fldCharType="end"/>
      </w:r>
      <w:r w:rsidRPr="008D2522">
        <w:rPr>
          <w:rFonts w:cs="Arial"/>
          <w:sz w:val="24"/>
        </w:rPr>
        <w:t xml:space="preserve"> Mapa de territorios indígenas de Costa Rica</w:t>
      </w:r>
    </w:p>
    <w:p w14:paraId="18007AD5" w14:textId="34C736B0" w:rsidR="00093434" w:rsidRPr="008D2522" w:rsidRDefault="10DDF033" w:rsidP="00055CFC">
      <w:pPr>
        <w:keepNext/>
        <w:spacing w:before="0" w:after="0"/>
        <w:jc w:val="center"/>
        <w:rPr>
          <w:rFonts w:cs="Arial"/>
        </w:rPr>
      </w:pPr>
      <w:r>
        <w:rPr>
          <w:noProof/>
        </w:rPr>
        <w:drawing>
          <wp:inline distT="0" distB="0" distL="0" distR="0" wp14:anchorId="08C433FB" wp14:editId="672A68A6">
            <wp:extent cx="4572000" cy="3634105"/>
            <wp:effectExtent l="0" t="0" r="0" b="0"/>
            <wp:docPr id="141074986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13">
                      <a:extLst>
                        <a:ext uri="{28A0092B-C50C-407E-A947-70E740481C1C}">
                          <a14:useLocalDpi xmlns:a14="http://schemas.microsoft.com/office/drawing/2010/main" val="0"/>
                        </a:ext>
                      </a:extLst>
                    </a:blip>
                    <a:stretch>
                      <a:fillRect/>
                    </a:stretch>
                  </pic:blipFill>
                  <pic:spPr>
                    <a:xfrm>
                      <a:off x="0" y="0"/>
                      <a:ext cx="4572000" cy="3634105"/>
                    </a:xfrm>
                    <a:prstGeom prst="rect">
                      <a:avLst/>
                    </a:prstGeom>
                  </pic:spPr>
                </pic:pic>
              </a:graphicData>
            </a:graphic>
          </wp:inline>
        </w:drawing>
      </w:r>
    </w:p>
    <w:p w14:paraId="49E7FB24" w14:textId="0A2A43ED" w:rsidR="79C7B1A5" w:rsidRPr="008D2522" w:rsidRDefault="79C7B1A5" w:rsidP="00055CFC">
      <w:pPr>
        <w:spacing w:before="0" w:after="0"/>
        <w:rPr>
          <w:rFonts w:cs="Arial"/>
          <w:sz w:val="18"/>
          <w:szCs w:val="18"/>
        </w:rPr>
      </w:pPr>
      <w:r w:rsidRPr="008D2522">
        <w:rPr>
          <w:rFonts w:cs="Arial"/>
          <w:b/>
          <w:bCs/>
          <w:sz w:val="20"/>
          <w:szCs w:val="20"/>
        </w:rPr>
        <w:t>Fuente</w:t>
      </w:r>
      <w:r w:rsidRPr="008D2522">
        <w:rPr>
          <w:rFonts w:cs="Arial"/>
          <w:sz w:val="20"/>
          <w:szCs w:val="20"/>
        </w:rPr>
        <w:t xml:space="preserve">: </w:t>
      </w:r>
      <w:r w:rsidR="00D73F1D" w:rsidRPr="008D2522">
        <w:rPr>
          <w:rFonts w:eastAsia="Arial" w:cs="Arial"/>
          <w:sz w:val="20"/>
          <w:szCs w:val="20"/>
        </w:rPr>
        <w:t xml:space="preserve">Subproceso de Modernización Institucional, de la Dirección de Planificación, con datos tomados del </w:t>
      </w:r>
      <w:r w:rsidRPr="008D2522">
        <w:rPr>
          <w:rFonts w:cs="Arial"/>
          <w:sz w:val="20"/>
          <w:szCs w:val="20"/>
        </w:rPr>
        <w:t xml:space="preserve">Sistema </w:t>
      </w:r>
      <w:proofErr w:type="spellStart"/>
      <w:r w:rsidRPr="008D2522">
        <w:rPr>
          <w:rFonts w:cs="Arial"/>
          <w:sz w:val="20"/>
          <w:szCs w:val="20"/>
        </w:rPr>
        <w:t>Georeferencial</w:t>
      </w:r>
      <w:proofErr w:type="spellEnd"/>
      <w:r w:rsidR="00D73F1D" w:rsidRPr="008D2522">
        <w:rPr>
          <w:rFonts w:cs="Arial"/>
          <w:sz w:val="20"/>
          <w:szCs w:val="20"/>
        </w:rPr>
        <w:t xml:space="preserve"> del Poder Judicial</w:t>
      </w:r>
      <w:r w:rsidR="00C01A13" w:rsidRPr="008D2522">
        <w:rPr>
          <w:rFonts w:cs="Arial"/>
          <w:sz w:val="20"/>
          <w:szCs w:val="20"/>
        </w:rPr>
        <w:t xml:space="preserve">. </w:t>
      </w:r>
    </w:p>
    <w:p w14:paraId="09E8FF68" w14:textId="3C2834BC" w:rsidR="45260BB8" w:rsidRPr="00377565" w:rsidRDefault="45260BB8" w:rsidP="00377565">
      <w:pPr>
        <w:spacing w:line="240" w:lineRule="auto"/>
        <w:rPr>
          <w:rFonts w:ascii="Book Antiqua" w:hAnsi="Book Antiqua"/>
        </w:rPr>
      </w:pPr>
      <w:r w:rsidRPr="00377565">
        <w:rPr>
          <w:rFonts w:ascii="Book Antiqua" w:hAnsi="Book Antiqua"/>
        </w:rPr>
        <w:t>Con datos estadísticos del INEC y según la distribución de territorios, se puede determinar que un 78% de los pue</w:t>
      </w:r>
      <w:r w:rsidR="01D38417" w:rsidRPr="00377565">
        <w:rPr>
          <w:rFonts w:ascii="Book Antiqua" w:hAnsi="Book Antiqua"/>
        </w:rPr>
        <w:t>blos indígenas se encuentran en la</w:t>
      </w:r>
      <w:r w:rsidR="418E6D89" w:rsidRPr="00377565">
        <w:rPr>
          <w:rFonts w:ascii="Book Antiqua" w:hAnsi="Book Antiqua"/>
        </w:rPr>
        <w:t>s</w:t>
      </w:r>
      <w:r w:rsidR="01D38417" w:rsidRPr="00377565">
        <w:rPr>
          <w:rFonts w:ascii="Book Antiqua" w:hAnsi="Book Antiqua"/>
        </w:rPr>
        <w:t xml:space="preserve"> zona</w:t>
      </w:r>
      <w:r w:rsidR="76EAF431" w:rsidRPr="00377565">
        <w:rPr>
          <w:rFonts w:ascii="Book Antiqua" w:hAnsi="Book Antiqua"/>
        </w:rPr>
        <w:t xml:space="preserve">s </w:t>
      </w:r>
      <w:r w:rsidR="76EAF431" w:rsidRPr="00377565">
        <w:rPr>
          <w:rFonts w:ascii="Book Antiqua" w:hAnsi="Book Antiqua"/>
        </w:rPr>
        <w:lastRenderedPageBreak/>
        <w:t>ubicadas al</w:t>
      </w:r>
      <w:r w:rsidR="01D38417" w:rsidRPr="00377565">
        <w:rPr>
          <w:rFonts w:ascii="Book Antiqua" w:hAnsi="Book Antiqua"/>
        </w:rPr>
        <w:t xml:space="preserve"> sur del país, viviendo en las provincias de Limón 26%, Puntarenas </w:t>
      </w:r>
      <w:r w:rsidR="35267B4E" w:rsidRPr="00377565">
        <w:rPr>
          <w:rFonts w:ascii="Book Antiqua" w:hAnsi="Book Antiqua"/>
        </w:rPr>
        <w:t>24%, San José (zona sur) 19% y Cartago 8%.</w:t>
      </w:r>
      <w:r w:rsidR="1A2F3416" w:rsidRPr="00377565">
        <w:rPr>
          <w:rFonts w:ascii="Book Antiqua" w:hAnsi="Book Antiqua"/>
        </w:rPr>
        <w:t xml:space="preserve"> </w:t>
      </w:r>
      <w:r w:rsidR="332C2E5C" w:rsidRPr="00377565">
        <w:rPr>
          <w:rFonts w:ascii="Book Antiqua" w:hAnsi="Book Antiqua"/>
        </w:rPr>
        <w:t xml:space="preserve">El restante 22% se encuentra distribuido en Guanacaste 10%, Alajuela 8% y Heredia 4%. </w:t>
      </w:r>
      <w:r w:rsidR="1A2F3416" w:rsidRPr="00377565">
        <w:rPr>
          <w:rFonts w:ascii="Book Antiqua" w:hAnsi="Book Antiqua"/>
        </w:rPr>
        <w:t xml:space="preserve">Por tal motivo, se considera atender </w:t>
      </w:r>
      <w:r w:rsidR="00D73F1D" w:rsidRPr="00377565">
        <w:rPr>
          <w:rFonts w:ascii="Book Antiqua" w:hAnsi="Book Antiqua"/>
        </w:rPr>
        <w:t>de forma prioritaria</w:t>
      </w:r>
      <w:r w:rsidR="1A2F3416" w:rsidRPr="00377565">
        <w:rPr>
          <w:rFonts w:ascii="Book Antiqua" w:hAnsi="Book Antiqua"/>
        </w:rPr>
        <w:t xml:space="preserve"> las zonas con mayor densidad de población indígena</w:t>
      </w:r>
      <w:r w:rsidR="17A8817C" w:rsidRPr="00377565">
        <w:rPr>
          <w:rFonts w:ascii="Book Antiqua" w:hAnsi="Book Antiqua"/>
        </w:rPr>
        <w:t xml:space="preserve"> ubicadas en el sur</w:t>
      </w:r>
      <w:r w:rsidR="1A2F3416" w:rsidRPr="00377565">
        <w:rPr>
          <w:rFonts w:ascii="Book Antiqua" w:hAnsi="Book Antiqua"/>
        </w:rPr>
        <w:t>.</w:t>
      </w:r>
    </w:p>
    <w:p w14:paraId="1980553B" w14:textId="7E37B0B7" w:rsidR="00470277" w:rsidRPr="00377565" w:rsidRDefault="00470277" w:rsidP="00377565">
      <w:pPr>
        <w:spacing w:line="240" w:lineRule="auto"/>
        <w:rPr>
          <w:rFonts w:ascii="Book Antiqua" w:hAnsi="Book Antiqua"/>
        </w:rPr>
      </w:pPr>
      <w:r w:rsidRPr="00377565">
        <w:rPr>
          <w:rFonts w:ascii="Book Antiqua" w:hAnsi="Book Antiqua"/>
        </w:rPr>
        <w:t xml:space="preserve">En virtud de los datos anteriores </w:t>
      </w:r>
      <w:r w:rsidR="14906C4B" w:rsidRPr="00377565">
        <w:rPr>
          <w:rFonts w:ascii="Book Antiqua" w:hAnsi="Book Antiqua"/>
        </w:rPr>
        <w:t>y</w:t>
      </w:r>
      <w:r w:rsidR="00700829" w:rsidRPr="00377565">
        <w:rPr>
          <w:rFonts w:ascii="Book Antiqua" w:hAnsi="Book Antiqua"/>
        </w:rPr>
        <w:t>,</w:t>
      </w:r>
      <w:r w:rsidR="14906C4B" w:rsidRPr="00377565">
        <w:rPr>
          <w:rFonts w:ascii="Book Antiqua" w:hAnsi="Book Antiqua"/>
        </w:rPr>
        <w:t xml:space="preserve"> con </w:t>
      </w:r>
      <w:r w:rsidR="4F57D819" w:rsidRPr="00377565">
        <w:rPr>
          <w:rFonts w:ascii="Book Antiqua" w:hAnsi="Book Antiqua"/>
        </w:rPr>
        <w:t>los</w:t>
      </w:r>
      <w:r w:rsidR="14906C4B" w:rsidRPr="00377565">
        <w:rPr>
          <w:rFonts w:ascii="Book Antiqua" w:hAnsi="Book Antiqua"/>
        </w:rPr>
        <w:t xml:space="preserve"> obtenidos de la distribución de poblaciones indígenas del CONAI, se realiz</w:t>
      </w:r>
      <w:r w:rsidR="00D73F1D" w:rsidRPr="00377565">
        <w:rPr>
          <w:rFonts w:ascii="Book Antiqua" w:hAnsi="Book Antiqua"/>
        </w:rPr>
        <w:t>a</w:t>
      </w:r>
      <w:r w:rsidR="14906C4B" w:rsidRPr="00377565">
        <w:rPr>
          <w:rFonts w:ascii="Book Antiqua" w:hAnsi="Book Antiqua"/>
        </w:rPr>
        <w:t xml:space="preserve"> una estimación de </w:t>
      </w:r>
      <w:r w:rsidR="00956B6F" w:rsidRPr="00377565">
        <w:rPr>
          <w:rFonts w:ascii="Book Antiqua" w:hAnsi="Book Antiqua"/>
        </w:rPr>
        <w:t>la posible afluencia de persona</w:t>
      </w:r>
      <w:r w:rsidR="7A971C82" w:rsidRPr="00377565">
        <w:rPr>
          <w:rFonts w:ascii="Book Antiqua" w:hAnsi="Book Antiqua"/>
        </w:rPr>
        <w:t>s</w:t>
      </w:r>
      <w:r w:rsidR="00956B6F" w:rsidRPr="00377565">
        <w:rPr>
          <w:rFonts w:ascii="Book Antiqua" w:hAnsi="Book Antiqua"/>
        </w:rPr>
        <w:t xml:space="preserve"> indígena</w:t>
      </w:r>
      <w:r w:rsidR="106F773D" w:rsidRPr="00377565">
        <w:rPr>
          <w:rFonts w:ascii="Book Antiqua" w:hAnsi="Book Antiqua"/>
        </w:rPr>
        <w:t>s</w:t>
      </w:r>
      <w:r w:rsidR="00956B6F" w:rsidRPr="00377565">
        <w:rPr>
          <w:rFonts w:ascii="Book Antiqua" w:hAnsi="Book Antiqua"/>
        </w:rPr>
        <w:t xml:space="preserve"> según las </w:t>
      </w:r>
      <w:r w:rsidR="377ECF41" w:rsidRPr="00377565">
        <w:rPr>
          <w:rFonts w:ascii="Book Antiqua" w:hAnsi="Book Antiqua"/>
        </w:rPr>
        <w:t>defensas públicas más cercanas.</w:t>
      </w:r>
    </w:p>
    <w:p w14:paraId="43F03B09" w14:textId="7564FE7C" w:rsidR="00093434" w:rsidRPr="008D2522" w:rsidRDefault="00093434" w:rsidP="00055CFC">
      <w:pPr>
        <w:pStyle w:val="Descripcin"/>
        <w:keepNext/>
        <w:spacing w:before="0" w:after="0"/>
        <w:jc w:val="center"/>
        <w:rPr>
          <w:rFonts w:cs="Arial"/>
          <w:sz w:val="24"/>
          <w:szCs w:val="24"/>
        </w:rPr>
      </w:pPr>
      <w:r w:rsidRPr="008D2522">
        <w:rPr>
          <w:rFonts w:cs="Arial"/>
          <w:sz w:val="24"/>
          <w:szCs w:val="24"/>
        </w:rPr>
        <w:t xml:space="preserve">Figura </w:t>
      </w:r>
      <w:r w:rsidRPr="008D2522">
        <w:rPr>
          <w:rFonts w:cs="Arial"/>
          <w:sz w:val="24"/>
          <w:szCs w:val="24"/>
        </w:rPr>
        <w:fldChar w:fldCharType="begin"/>
      </w:r>
      <w:r w:rsidRPr="008D2522">
        <w:rPr>
          <w:rFonts w:cs="Arial"/>
          <w:sz w:val="24"/>
          <w:szCs w:val="24"/>
        </w:rPr>
        <w:instrText xml:space="preserve"> SEQ Figura \* ARABIC </w:instrText>
      </w:r>
      <w:r w:rsidRPr="008D2522">
        <w:rPr>
          <w:rFonts w:cs="Arial"/>
          <w:sz w:val="24"/>
          <w:szCs w:val="24"/>
        </w:rPr>
        <w:fldChar w:fldCharType="separate"/>
      </w:r>
      <w:r w:rsidR="008276AA">
        <w:rPr>
          <w:rFonts w:cs="Arial"/>
          <w:noProof/>
          <w:sz w:val="24"/>
          <w:szCs w:val="24"/>
        </w:rPr>
        <w:t>2</w:t>
      </w:r>
      <w:r w:rsidRPr="008D2522">
        <w:rPr>
          <w:rFonts w:cs="Arial"/>
          <w:sz w:val="24"/>
          <w:szCs w:val="24"/>
        </w:rPr>
        <w:fldChar w:fldCharType="end"/>
      </w:r>
      <w:r w:rsidRPr="008D2522">
        <w:rPr>
          <w:rFonts w:cs="Arial"/>
          <w:sz w:val="24"/>
          <w:szCs w:val="24"/>
        </w:rPr>
        <w:t xml:space="preserve"> Distribución porcentual de posible atención de persona indígena, según territorios y ubicaciones de la Defensas Públicas del país</w:t>
      </w:r>
    </w:p>
    <w:p w14:paraId="365E12D2" w14:textId="09A4A2A4" w:rsidR="377ECF41" w:rsidRPr="008D2522" w:rsidRDefault="008D1B0F" w:rsidP="00055CFC">
      <w:pPr>
        <w:spacing w:before="0" w:after="0"/>
        <w:jc w:val="center"/>
        <w:rPr>
          <w:rFonts w:cs="Arial"/>
        </w:rPr>
      </w:pPr>
      <w:r>
        <w:rPr>
          <w:noProof/>
        </w:rPr>
        <w:drawing>
          <wp:inline distT="0" distB="0" distL="0" distR="0" wp14:anchorId="787F3494" wp14:editId="57664652">
            <wp:extent cx="5614670" cy="3086100"/>
            <wp:effectExtent l="0" t="0" r="0" b="0"/>
            <wp:docPr id="4"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72C3E40" w14:textId="77777777" w:rsidR="00093434" w:rsidRPr="007146CF" w:rsidRDefault="00093434" w:rsidP="00055CFC">
      <w:pPr>
        <w:spacing w:before="0" w:after="0"/>
        <w:rPr>
          <w:rFonts w:eastAsia="Arial" w:cs="Arial"/>
          <w:sz w:val="18"/>
          <w:szCs w:val="18"/>
        </w:rPr>
      </w:pPr>
      <w:r w:rsidRPr="007146CF">
        <w:rPr>
          <w:rFonts w:eastAsia="Arial" w:cs="Arial"/>
          <w:b/>
          <w:bCs/>
          <w:sz w:val="18"/>
          <w:szCs w:val="18"/>
        </w:rPr>
        <w:t>Fuente:</w:t>
      </w:r>
      <w:r w:rsidRPr="007146CF">
        <w:rPr>
          <w:rFonts w:eastAsia="Arial" w:cs="Arial"/>
          <w:sz w:val="18"/>
          <w:szCs w:val="18"/>
        </w:rPr>
        <w:t xml:space="preserve"> Subproceso de Modernización Institucional, de la Dirección de Planificación con datos facilitados por la Administración de la Defensa Pública.</w:t>
      </w:r>
    </w:p>
    <w:p w14:paraId="7CFD0E41" w14:textId="738AE0FB" w:rsidR="418243E2" w:rsidRPr="00377565" w:rsidRDefault="418243E2" w:rsidP="00377565">
      <w:pPr>
        <w:spacing w:line="240" w:lineRule="auto"/>
        <w:rPr>
          <w:rFonts w:ascii="Book Antiqua" w:hAnsi="Book Antiqua"/>
        </w:rPr>
      </w:pPr>
      <w:r w:rsidRPr="00377565">
        <w:rPr>
          <w:rFonts w:ascii="Book Antiqua" w:hAnsi="Book Antiqua"/>
        </w:rPr>
        <w:t>Como resultado se obtuvo que Bribri</w:t>
      </w:r>
      <w:r w:rsidR="13C144C7" w:rsidRPr="00377565">
        <w:rPr>
          <w:rFonts w:ascii="Book Antiqua" w:hAnsi="Book Antiqua"/>
        </w:rPr>
        <w:t xml:space="preserve"> (2</w:t>
      </w:r>
      <w:r w:rsidR="00700829" w:rsidRPr="00377565">
        <w:rPr>
          <w:rFonts w:ascii="Book Antiqua" w:hAnsi="Book Antiqua"/>
        </w:rPr>
        <w:t>9</w:t>
      </w:r>
      <w:r w:rsidR="13C144C7" w:rsidRPr="00377565">
        <w:rPr>
          <w:rFonts w:ascii="Book Antiqua" w:hAnsi="Book Antiqua"/>
        </w:rPr>
        <w:t>%)</w:t>
      </w:r>
      <w:r w:rsidR="537C5425" w:rsidRPr="00377565">
        <w:rPr>
          <w:rFonts w:ascii="Book Antiqua" w:hAnsi="Book Antiqua"/>
        </w:rPr>
        <w:t>, Buenos Aires</w:t>
      </w:r>
      <w:r w:rsidR="7CF3476B" w:rsidRPr="00377565">
        <w:rPr>
          <w:rFonts w:ascii="Book Antiqua" w:hAnsi="Book Antiqua"/>
        </w:rPr>
        <w:t xml:space="preserve"> (26%)</w:t>
      </w:r>
      <w:r w:rsidR="537C5425" w:rsidRPr="00377565">
        <w:rPr>
          <w:rFonts w:ascii="Book Antiqua" w:hAnsi="Book Antiqua"/>
        </w:rPr>
        <w:t xml:space="preserve">, Limón </w:t>
      </w:r>
      <w:r w:rsidR="5FC426CB" w:rsidRPr="00377565">
        <w:rPr>
          <w:rFonts w:ascii="Book Antiqua" w:hAnsi="Book Antiqua"/>
        </w:rPr>
        <w:t xml:space="preserve">(12%) </w:t>
      </w:r>
      <w:r w:rsidR="537C5425" w:rsidRPr="00377565">
        <w:rPr>
          <w:rFonts w:ascii="Book Antiqua" w:hAnsi="Book Antiqua"/>
        </w:rPr>
        <w:t>y Turrialba</w:t>
      </w:r>
      <w:r w:rsidR="6F5085AD" w:rsidRPr="00377565">
        <w:rPr>
          <w:rFonts w:ascii="Book Antiqua" w:hAnsi="Book Antiqua"/>
        </w:rPr>
        <w:t xml:space="preserve"> (</w:t>
      </w:r>
      <w:r w:rsidR="00700829" w:rsidRPr="00377565">
        <w:rPr>
          <w:rFonts w:ascii="Book Antiqua" w:hAnsi="Book Antiqua"/>
        </w:rPr>
        <w:t>8</w:t>
      </w:r>
      <w:r w:rsidR="6F5085AD" w:rsidRPr="00377565">
        <w:rPr>
          <w:rFonts w:ascii="Book Antiqua" w:hAnsi="Book Antiqua"/>
        </w:rPr>
        <w:t>%)</w:t>
      </w:r>
      <w:r w:rsidR="537C5425" w:rsidRPr="00377565">
        <w:rPr>
          <w:rFonts w:ascii="Book Antiqua" w:hAnsi="Book Antiqua"/>
        </w:rPr>
        <w:t>, son las zonas que pueden tener mayor demanda en la atención de asuntos indígenas según su ubicación geográfica</w:t>
      </w:r>
      <w:r w:rsidR="1039675D" w:rsidRPr="00377565">
        <w:rPr>
          <w:rFonts w:ascii="Book Antiqua" w:hAnsi="Book Antiqua"/>
        </w:rPr>
        <w:t xml:space="preserve">, densidad de población indígena </w:t>
      </w:r>
      <w:r w:rsidR="4317F172" w:rsidRPr="00377565">
        <w:rPr>
          <w:rFonts w:ascii="Book Antiqua" w:hAnsi="Book Antiqua"/>
        </w:rPr>
        <w:t>y la presunta movilización de personas</w:t>
      </w:r>
      <w:r w:rsidR="17A6D75C" w:rsidRPr="00377565">
        <w:rPr>
          <w:rFonts w:ascii="Book Antiqua" w:hAnsi="Book Antiqua"/>
        </w:rPr>
        <w:t>;</w:t>
      </w:r>
      <w:r w:rsidR="2295FAD9" w:rsidRPr="00377565">
        <w:rPr>
          <w:rFonts w:ascii="Book Antiqua" w:hAnsi="Book Antiqua"/>
        </w:rPr>
        <w:t xml:space="preserve"> pues</w:t>
      </w:r>
      <w:r w:rsidR="74DCBB47" w:rsidRPr="00377565">
        <w:rPr>
          <w:rFonts w:ascii="Book Antiqua" w:hAnsi="Book Antiqua"/>
        </w:rPr>
        <w:t>,</w:t>
      </w:r>
      <w:r w:rsidR="2295FAD9" w:rsidRPr="00377565">
        <w:rPr>
          <w:rFonts w:ascii="Book Antiqua" w:hAnsi="Book Antiqua"/>
        </w:rPr>
        <w:t xml:space="preserve"> en conjunto agrupan el 75% de la posible afluencia</w:t>
      </w:r>
      <w:r w:rsidR="537C5425" w:rsidRPr="00377565">
        <w:rPr>
          <w:rFonts w:ascii="Book Antiqua" w:hAnsi="Book Antiqua"/>
        </w:rPr>
        <w:t>.</w:t>
      </w:r>
      <w:r w:rsidR="133AB9EB" w:rsidRPr="00377565">
        <w:rPr>
          <w:rFonts w:ascii="Book Antiqua" w:hAnsi="Book Antiqua"/>
        </w:rPr>
        <w:t xml:space="preserve"> </w:t>
      </w:r>
    </w:p>
    <w:p w14:paraId="5092B911" w14:textId="608711F5" w:rsidR="782E8942" w:rsidRPr="00377565" w:rsidRDefault="579E8E01" w:rsidP="00377565">
      <w:pPr>
        <w:spacing w:line="240" w:lineRule="auto"/>
        <w:rPr>
          <w:rFonts w:ascii="Book Antiqua" w:hAnsi="Book Antiqua"/>
        </w:rPr>
      </w:pPr>
      <w:r w:rsidRPr="00377565">
        <w:rPr>
          <w:rFonts w:ascii="Book Antiqua" w:hAnsi="Book Antiqua"/>
        </w:rPr>
        <w:t xml:space="preserve">En síntesis, según los datos demográficos </w:t>
      </w:r>
      <w:r w:rsidR="19392DC1" w:rsidRPr="00377565">
        <w:rPr>
          <w:rFonts w:ascii="Book Antiqua" w:hAnsi="Book Antiqua"/>
        </w:rPr>
        <w:t>obtenidos del INEC y según la competencia de las defensas públicas del país</w:t>
      </w:r>
      <w:r w:rsidR="2CEDAD21" w:rsidRPr="00377565">
        <w:rPr>
          <w:rFonts w:ascii="Book Antiqua" w:hAnsi="Book Antiqua"/>
        </w:rPr>
        <w:t xml:space="preserve"> ante la presunta movilización de personas indígenas, se puede ver que las zonas de Bribri y Bue</w:t>
      </w:r>
      <w:r w:rsidR="0A37B32C" w:rsidRPr="00377565">
        <w:rPr>
          <w:rFonts w:ascii="Book Antiqua" w:hAnsi="Book Antiqua"/>
        </w:rPr>
        <w:t>nos Aires</w:t>
      </w:r>
      <w:r w:rsidR="523FD649" w:rsidRPr="00377565">
        <w:rPr>
          <w:rFonts w:ascii="Book Antiqua" w:hAnsi="Book Antiqua"/>
        </w:rPr>
        <w:t xml:space="preserve"> en conjunto</w:t>
      </w:r>
      <w:r w:rsidR="0A37B32C" w:rsidRPr="00377565">
        <w:rPr>
          <w:rFonts w:ascii="Book Antiqua" w:hAnsi="Book Antiqua"/>
        </w:rPr>
        <w:t xml:space="preserve"> </w:t>
      </w:r>
      <w:r w:rsidR="0A37B32C" w:rsidRPr="00377565">
        <w:rPr>
          <w:rFonts w:ascii="Book Antiqua" w:hAnsi="Book Antiqua"/>
        </w:rPr>
        <w:lastRenderedPageBreak/>
        <w:t xml:space="preserve">poseen el 55% </w:t>
      </w:r>
      <w:r w:rsidR="739781FE" w:rsidRPr="00377565">
        <w:rPr>
          <w:rFonts w:ascii="Book Antiqua" w:hAnsi="Book Antiqua"/>
        </w:rPr>
        <w:t>de la posible demanda,</w:t>
      </w:r>
      <w:r w:rsidR="48760E9B" w:rsidRPr="00377565">
        <w:rPr>
          <w:rFonts w:ascii="Book Antiqua" w:hAnsi="Book Antiqua"/>
        </w:rPr>
        <w:t xml:space="preserve"> ubicadas</w:t>
      </w:r>
      <w:r w:rsidR="739781FE" w:rsidRPr="00377565">
        <w:rPr>
          <w:rFonts w:ascii="Book Antiqua" w:hAnsi="Book Antiqua"/>
        </w:rPr>
        <w:t xml:space="preserve"> muy por encima de las otras defensas públicas del país.</w:t>
      </w:r>
    </w:p>
    <w:p w14:paraId="774FD44F" w14:textId="170839D5" w:rsidR="739781FE" w:rsidRPr="00377565" w:rsidRDefault="739781FE" w:rsidP="00377565">
      <w:pPr>
        <w:spacing w:line="240" w:lineRule="auto"/>
        <w:rPr>
          <w:rFonts w:ascii="Book Antiqua" w:hAnsi="Book Antiqua"/>
        </w:rPr>
      </w:pPr>
      <w:r w:rsidRPr="00377565">
        <w:rPr>
          <w:rFonts w:ascii="Book Antiqua" w:hAnsi="Book Antiqua"/>
        </w:rPr>
        <w:t>Por otro lado, el 30 de abril de 2015 la Comisión Interamericana de Derechos Humanos, emitió la resolución 16/15 con la medida cautelar 321-12 donde solicita al Gobierno de Costa Rica, adoptar las medidas necesarias para garantizar la vida y la integridad personal de los miembros del pueblo indígena Teribe y del pueblo indígena Bribri de Salitre, quienes se encuentran en el sureste del Puntarenas; importante mencionar que esta zona es competencia de la Defensa Pública de Buenos Aires.</w:t>
      </w:r>
    </w:p>
    <w:p w14:paraId="319F5F18" w14:textId="77777777" w:rsidR="00DD7E11" w:rsidRPr="008D2522" w:rsidRDefault="00DD7E11" w:rsidP="00594E59"/>
    <w:p w14:paraId="1B04B72D" w14:textId="6A778309" w:rsidR="4A5AD05B" w:rsidRPr="008D2522" w:rsidRDefault="4A5AD05B" w:rsidP="00377565">
      <w:pPr>
        <w:pStyle w:val="Ttulo2"/>
      </w:pPr>
      <w:r w:rsidRPr="008D2522">
        <w:t>Análisis de datos estadísticos de la Defensa Pública</w:t>
      </w:r>
    </w:p>
    <w:p w14:paraId="19842993" w14:textId="6E1897A0" w:rsidR="0B6B3115" w:rsidRPr="00377565" w:rsidRDefault="0C57E0BD" w:rsidP="00410F64">
      <w:pPr>
        <w:pStyle w:val="Ttulo3"/>
      </w:pPr>
      <w:r w:rsidRPr="00377565">
        <w:t>Representación de la Defensa Pública en asuntos con personas usuarias indígenas</w:t>
      </w:r>
    </w:p>
    <w:p w14:paraId="2FF609CF" w14:textId="145C0B5A" w:rsidR="0C57E0BD" w:rsidRPr="00163514" w:rsidRDefault="0C57E0BD" w:rsidP="00163514">
      <w:pPr>
        <w:spacing w:line="240" w:lineRule="auto"/>
        <w:rPr>
          <w:rFonts w:ascii="Book Antiqua" w:hAnsi="Book Antiqua"/>
        </w:rPr>
      </w:pPr>
      <w:r w:rsidRPr="00163514">
        <w:rPr>
          <w:rFonts w:ascii="Book Antiqua" w:hAnsi="Book Antiqua"/>
        </w:rPr>
        <w:t xml:space="preserve">Como parte del proceso de recopilación de datos estadísticos, se solicita al Lic. Esteban Arguedas Madrigal, Coordinador de la Unidad Estadística de la Defensa Pública, y a la Licda. Ligia Jiménez Zamora, Supervisora de Asuntos de Pueblos Indígenas; la información estadística de la cantidad de personas </w:t>
      </w:r>
      <w:r w:rsidR="00317824" w:rsidRPr="00163514">
        <w:rPr>
          <w:rFonts w:ascii="Book Antiqua" w:hAnsi="Book Antiqua"/>
        </w:rPr>
        <w:t xml:space="preserve">usuarias </w:t>
      </w:r>
      <w:r w:rsidRPr="00163514">
        <w:rPr>
          <w:rFonts w:ascii="Book Antiqua" w:hAnsi="Book Antiqua"/>
        </w:rPr>
        <w:t xml:space="preserve">indígenas representadas </w:t>
      </w:r>
      <w:r w:rsidR="00224BCE" w:rsidRPr="00163514">
        <w:rPr>
          <w:rFonts w:ascii="Book Antiqua" w:hAnsi="Book Antiqua"/>
        </w:rPr>
        <w:t xml:space="preserve">por la Defensa Pública </w:t>
      </w:r>
      <w:r w:rsidRPr="00163514">
        <w:rPr>
          <w:rFonts w:ascii="Book Antiqua" w:hAnsi="Book Antiqua"/>
        </w:rPr>
        <w:t>en asuntos nuevos, de octubre de 2018 a setiembre de 2019; así como también, la cantidad de procesos activos (circulante) y asuntos terminados al cierre de setiembre de 2019 por cada una de las oficinas a nivel nacional.</w:t>
      </w:r>
    </w:p>
    <w:p w14:paraId="43CBF452" w14:textId="77777777" w:rsidR="00224BCE" w:rsidRPr="00163514" w:rsidRDefault="0C57E0BD" w:rsidP="00163514">
      <w:pPr>
        <w:spacing w:line="240" w:lineRule="auto"/>
        <w:rPr>
          <w:rFonts w:ascii="Book Antiqua" w:hAnsi="Book Antiqua"/>
        </w:rPr>
      </w:pPr>
      <w:r w:rsidRPr="00163514">
        <w:rPr>
          <w:rFonts w:ascii="Book Antiqua" w:hAnsi="Book Antiqua"/>
        </w:rPr>
        <w:t>En cuanto a los datos suministrados por la Defensa Pública, se encuentra</w:t>
      </w:r>
      <w:r w:rsidR="00224BCE" w:rsidRPr="00163514">
        <w:rPr>
          <w:rFonts w:ascii="Book Antiqua" w:hAnsi="Book Antiqua"/>
        </w:rPr>
        <w:t xml:space="preserve"> la cantidad de procesos (expedientes) activos al cierre de setiembre de 2019, así como la cantidad de expedientes que ingresaron de octubre 2018 a setiembre 2019 y la cantidad de personas usuarias indígenas representadas en dichos asuntos. </w:t>
      </w:r>
    </w:p>
    <w:p w14:paraId="55855D32" w14:textId="5422E0F6" w:rsidR="00011B33" w:rsidRPr="00163514" w:rsidRDefault="00011B33" w:rsidP="00163514">
      <w:pPr>
        <w:spacing w:line="240" w:lineRule="auto"/>
        <w:rPr>
          <w:rFonts w:ascii="Book Antiqua" w:hAnsi="Book Antiqua"/>
        </w:rPr>
      </w:pPr>
      <w:r w:rsidRPr="00163514">
        <w:rPr>
          <w:rFonts w:ascii="Book Antiqua" w:hAnsi="Book Antiqua"/>
        </w:rPr>
        <w:t xml:space="preserve">Es importante </w:t>
      </w:r>
      <w:r w:rsidR="009B3053" w:rsidRPr="00163514">
        <w:rPr>
          <w:rFonts w:ascii="Book Antiqua" w:hAnsi="Book Antiqua"/>
        </w:rPr>
        <w:t>aclarar</w:t>
      </w:r>
      <w:r w:rsidRPr="00163514">
        <w:rPr>
          <w:rFonts w:ascii="Book Antiqua" w:hAnsi="Book Antiqua"/>
        </w:rPr>
        <w:t xml:space="preserve"> que, según indica el Lic. Esteban Arguedas Madrigal, Coordinador de la Unidad Estadística de la Defensa Pública; por orden se contabilizan</w:t>
      </w:r>
      <w:r w:rsidR="00C750B2" w:rsidRPr="00163514">
        <w:rPr>
          <w:rFonts w:ascii="Book Antiqua" w:hAnsi="Book Antiqua"/>
        </w:rPr>
        <w:t xml:space="preserve"> por separado</w:t>
      </w:r>
      <w:r w:rsidRPr="00163514">
        <w:rPr>
          <w:rFonts w:ascii="Book Antiqua" w:hAnsi="Book Antiqua"/>
        </w:rPr>
        <w:t xml:space="preserve"> las representaciones y expedientes con interviniente persona usuaria indígena</w:t>
      </w:r>
      <w:r w:rsidR="009B3053" w:rsidRPr="00163514">
        <w:rPr>
          <w:rFonts w:ascii="Book Antiqua" w:hAnsi="Book Antiqua"/>
        </w:rPr>
        <w:t xml:space="preserve"> de la competencia antigua y la actual, en cumplimiento d</w:t>
      </w:r>
      <w:r w:rsidRPr="00163514">
        <w:rPr>
          <w:rFonts w:ascii="Book Antiqua" w:hAnsi="Book Antiqua"/>
        </w:rPr>
        <w:t>e la Ley de Acceso a la Justicia a los Pueblos Indígenas</w:t>
      </w:r>
      <w:r w:rsidR="00C750B2" w:rsidRPr="00163514">
        <w:rPr>
          <w:rFonts w:ascii="Book Antiqua" w:hAnsi="Book Antiqua"/>
        </w:rPr>
        <w:t>, donde se le amplía la competencia a la Defensa Pública</w:t>
      </w:r>
      <w:r w:rsidRPr="00163514">
        <w:rPr>
          <w:rFonts w:ascii="Book Antiqua" w:hAnsi="Book Antiqua"/>
        </w:rPr>
        <w:t>.</w:t>
      </w:r>
    </w:p>
    <w:p w14:paraId="1E2CB198" w14:textId="0510F9EC" w:rsidR="00224BCE" w:rsidRPr="00163514" w:rsidRDefault="00224BCE" w:rsidP="00163514">
      <w:pPr>
        <w:spacing w:line="240" w:lineRule="auto"/>
        <w:rPr>
          <w:rFonts w:ascii="Book Antiqua" w:hAnsi="Book Antiqua"/>
        </w:rPr>
      </w:pPr>
      <w:r w:rsidRPr="00163514">
        <w:rPr>
          <w:rFonts w:ascii="Book Antiqua" w:hAnsi="Book Antiqua"/>
        </w:rPr>
        <w:lastRenderedPageBreak/>
        <w:t>En la siguiente figura se muestra la representación por materia de l</w:t>
      </w:r>
      <w:r w:rsidR="00DF4E64" w:rsidRPr="00163514">
        <w:rPr>
          <w:rFonts w:ascii="Book Antiqua" w:hAnsi="Book Antiqua"/>
        </w:rPr>
        <w:t>os expedientes</w:t>
      </w:r>
      <w:r w:rsidRPr="00163514">
        <w:rPr>
          <w:rFonts w:ascii="Book Antiqua" w:hAnsi="Book Antiqua"/>
        </w:rPr>
        <w:t>, donde se cuenta como interviniente una persona usuaria indígena y, que ingresaron de octubre 2018 a setiembre 2019:</w:t>
      </w:r>
    </w:p>
    <w:p w14:paraId="320AE27D" w14:textId="09EA6E98" w:rsidR="00224BCE" w:rsidRPr="008D2522" w:rsidRDefault="00224BCE" w:rsidP="00055CFC">
      <w:pPr>
        <w:pStyle w:val="Descripcin"/>
        <w:keepNext/>
        <w:spacing w:before="0" w:after="0"/>
        <w:jc w:val="center"/>
        <w:rPr>
          <w:rFonts w:cs="Arial"/>
          <w:sz w:val="24"/>
          <w:szCs w:val="24"/>
        </w:rPr>
      </w:pPr>
      <w:bookmarkStart w:id="2" w:name="_Ref32912805"/>
      <w:r w:rsidRPr="008D2522">
        <w:rPr>
          <w:rFonts w:cs="Arial"/>
          <w:sz w:val="24"/>
          <w:szCs w:val="24"/>
        </w:rPr>
        <w:t xml:space="preserve">Figura </w:t>
      </w:r>
      <w:r w:rsidRPr="008D2522">
        <w:rPr>
          <w:rFonts w:cs="Arial"/>
          <w:sz w:val="24"/>
          <w:szCs w:val="24"/>
        </w:rPr>
        <w:fldChar w:fldCharType="begin"/>
      </w:r>
      <w:r w:rsidRPr="008D2522">
        <w:rPr>
          <w:rFonts w:cs="Arial"/>
          <w:sz w:val="24"/>
          <w:szCs w:val="24"/>
        </w:rPr>
        <w:instrText xml:space="preserve"> SEQ Figura \* ARABIC </w:instrText>
      </w:r>
      <w:r w:rsidRPr="008D2522">
        <w:rPr>
          <w:rFonts w:cs="Arial"/>
          <w:sz w:val="24"/>
          <w:szCs w:val="24"/>
        </w:rPr>
        <w:fldChar w:fldCharType="separate"/>
      </w:r>
      <w:r w:rsidR="008276AA">
        <w:rPr>
          <w:rFonts w:cs="Arial"/>
          <w:noProof/>
          <w:sz w:val="24"/>
          <w:szCs w:val="24"/>
        </w:rPr>
        <w:t>3</w:t>
      </w:r>
      <w:r w:rsidRPr="008D2522">
        <w:rPr>
          <w:rFonts w:cs="Arial"/>
          <w:sz w:val="24"/>
          <w:szCs w:val="24"/>
        </w:rPr>
        <w:fldChar w:fldCharType="end"/>
      </w:r>
      <w:r w:rsidRPr="008D2522">
        <w:rPr>
          <w:rFonts w:cs="Arial"/>
          <w:sz w:val="24"/>
          <w:szCs w:val="24"/>
        </w:rPr>
        <w:t xml:space="preserve"> Representación por materia de los asuntos ingresados, donde intervienen personas usuarias indígenas, de octubre 2018 a setiembre 2019</w:t>
      </w:r>
      <w:bookmarkEnd w:id="2"/>
    </w:p>
    <w:p w14:paraId="76B9F655" w14:textId="5E775FC4" w:rsidR="00224BCE" w:rsidRPr="008D2522" w:rsidRDefault="008D1B0F" w:rsidP="00055CFC">
      <w:pPr>
        <w:spacing w:before="0" w:after="0"/>
        <w:jc w:val="center"/>
        <w:rPr>
          <w:rFonts w:eastAsia="Arial" w:cs="Arial"/>
        </w:rPr>
      </w:pPr>
      <w:r>
        <w:rPr>
          <w:rFonts w:cs="Arial"/>
          <w:noProof/>
        </w:rPr>
        <w:drawing>
          <wp:inline distT="0" distB="0" distL="0" distR="0" wp14:anchorId="3C1A7C4F" wp14:editId="770F0CBD">
            <wp:extent cx="5639980" cy="261597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b="18204"/>
                    <a:stretch>
                      <a:fillRect/>
                    </a:stretch>
                  </pic:blipFill>
                  <pic:spPr bwMode="auto">
                    <a:xfrm>
                      <a:off x="0" y="0"/>
                      <a:ext cx="5653677" cy="2622332"/>
                    </a:xfrm>
                    <a:prstGeom prst="rect">
                      <a:avLst/>
                    </a:prstGeom>
                    <a:noFill/>
                    <a:ln>
                      <a:noFill/>
                    </a:ln>
                  </pic:spPr>
                </pic:pic>
              </a:graphicData>
            </a:graphic>
          </wp:inline>
        </w:drawing>
      </w:r>
    </w:p>
    <w:p w14:paraId="506B499E" w14:textId="77777777" w:rsidR="00164E40" w:rsidRPr="008D2522" w:rsidRDefault="00164E40" w:rsidP="00055CFC">
      <w:pPr>
        <w:spacing w:before="0" w:after="0"/>
        <w:rPr>
          <w:rFonts w:eastAsia="Arial" w:cs="Arial"/>
          <w:sz w:val="20"/>
          <w:szCs w:val="20"/>
        </w:rPr>
      </w:pPr>
      <w:r w:rsidRPr="008D2522">
        <w:rPr>
          <w:rFonts w:eastAsia="Arial" w:cs="Arial"/>
          <w:b/>
          <w:bCs/>
          <w:sz w:val="20"/>
          <w:szCs w:val="20"/>
        </w:rPr>
        <w:t>Fuente:</w:t>
      </w:r>
      <w:r w:rsidRPr="008D2522">
        <w:rPr>
          <w:rFonts w:eastAsia="Arial" w:cs="Arial"/>
          <w:sz w:val="20"/>
          <w:szCs w:val="20"/>
        </w:rPr>
        <w:t xml:space="preserve"> Subproceso de Modernización Institucional, de la Dirección de Planificación con datos facilitados por la Administración de la Defensa Pública.</w:t>
      </w:r>
    </w:p>
    <w:p w14:paraId="464F14E5" w14:textId="01A1745F" w:rsidR="00164E40" w:rsidRPr="00163514" w:rsidRDefault="0C57E0BD" w:rsidP="00163514">
      <w:pPr>
        <w:spacing w:line="240" w:lineRule="auto"/>
        <w:rPr>
          <w:rFonts w:ascii="Book Antiqua" w:hAnsi="Book Antiqua"/>
        </w:rPr>
      </w:pPr>
      <w:r w:rsidRPr="00163514">
        <w:rPr>
          <w:rFonts w:ascii="Book Antiqua" w:hAnsi="Book Antiqua"/>
        </w:rPr>
        <w:t>Con base en la información mostrada en la figura anterior, se puede inferir que</w:t>
      </w:r>
      <w:r w:rsidR="00631FE7" w:rsidRPr="00163514">
        <w:rPr>
          <w:rFonts w:ascii="Book Antiqua" w:hAnsi="Book Antiqua"/>
        </w:rPr>
        <w:t>,</w:t>
      </w:r>
      <w:r w:rsidRPr="00163514">
        <w:rPr>
          <w:rFonts w:ascii="Book Antiqua" w:hAnsi="Book Antiqua"/>
        </w:rPr>
        <w:t xml:space="preserve"> el 8</w:t>
      </w:r>
      <w:r w:rsidR="00164E40" w:rsidRPr="00163514">
        <w:rPr>
          <w:rFonts w:ascii="Book Antiqua" w:hAnsi="Book Antiqua"/>
        </w:rPr>
        <w:t>0</w:t>
      </w:r>
      <w:r w:rsidRPr="00163514">
        <w:rPr>
          <w:rFonts w:ascii="Book Antiqua" w:hAnsi="Book Antiqua"/>
        </w:rPr>
        <w:t xml:space="preserve">% de la cantidad de </w:t>
      </w:r>
      <w:r w:rsidR="00164E40" w:rsidRPr="00163514">
        <w:rPr>
          <w:rFonts w:ascii="Book Antiqua" w:hAnsi="Book Antiqua"/>
        </w:rPr>
        <w:t>expedientes</w:t>
      </w:r>
      <w:r w:rsidRPr="00163514">
        <w:rPr>
          <w:rFonts w:ascii="Book Antiqua" w:hAnsi="Book Antiqua"/>
        </w:rPr>
        <w:t>, de octubre 2018 a setiembre 2019, responden a personas indígenas en calidad de intervinientes en asuntos de Pensiones Alimentarias (3</w:t>
      </w:r>
      <w:r w:rsidR="00164E40" w:rsidRPr="00163514">
        <w:rPr>
          <w:rFonts w:ascii="Book Antiqua" w:hAnsi="Book Antiqua"/>
        </w:rPr>
        <w:t>6</w:t>
      </w:r>
      <w:r w:rsidRPr="00163514">
        <w:rPr>
          <w:rFonts w:ascii="Book Antiqua" w:hAnsi="Book Antiqua"/>
        </w:rPr>
        <w:t>%), Penal ordinario (2</w:t>
      </w:r>
      <w:r w:rsidR="00164E40" w:rsidRPr="00163514">
        <w:rPr>
          <w:rFonts w:ascii="Book Antiqua" w:hAnsi="Book Antiqua"/>
        </w:rPr>
        <w:t>5</w:t>
      </w:r>
      <w:r w:rsidRPr="00163514">
        <w:rPr>
          <w:rFonts w:ascii="Book Antiqua" w:hAnsi="Book Antiqua"/>
        </w:rPr>
        <w:t>%), Penalización de violencia contra mujer (1</w:t>
      </w:r>
      <w:r w:rsidR="00164E40" w:rsidRPr="00163514">
        <w:rPr>
          <w:rFonts w:ascii="Book Antiqua" w:hAnsi="Book Antiqua"/>
        </w:rPr>
        <w:t>1</w:t>
      </w:r>
      <w:r w:rsidRPr="00163514">
        <w:rPr>
          <w:rFonts w:ascii="Book Antiqua" w:hAnsi="Book Antiqua"/>
        </w:rPr>
        <w:t>%) y Agrario (8%)</w:t>
      </w:r>
      <w:r w:rsidR="00164E40" w:rsidRPr="00163514">
        <w:rPr>
          <w:rFonts w:ascii="Book Antiqua" w:hAnsi="Book Antiqua"/>
        </w:rPr>
        <w:t xml:space="preserve">. El </w:t>
      </w:r>
      <w:r w:rsidRPr="00163514">
        <w:rPr>
          <w:rFonts w:ascii="Book Antiqua" w:hAnsi="Book Antiqua"/>
        </w:rPr>
        <w:t xml:space="preserve">restante </w:t>
      </w:r>
      <w:r w:rsidR="00164E40" w:rsidRPr="00163514">
        <w:rPr>
          <w:rFonts w:ascii="Book Antiqua" w:hAnsi="Book Antiqua"/>
        </w:rPr>
        <w:t>20</w:t>
      </w:r>
      <w:r w:rsidRPr="00163514">
        <w:rPr>
          <w:rFonts w:ascii="Book Antiqua" w:hAnsi="Book Antiqua"/>
        </w:rPr>
        <w:t xml:space="preserve">% de </w:t>
      </w:r>
      <w:r w:rsidR="00164E40" w:rsidRPr="00163514">
        <w:rPr>
          <w:rFonts w:ascii="Book Antiqua" w:hAnsi="Book Antiqua"/>
        </w:rPr>
        <w:t>los asuntos entrados es en Laboral, Penal Juvenil, Familia, Ejecución de la Pena, Contravencional, Revisión y Ejecución Penal Juvenil.</w:t>
      </w:r>
    </w:p>
    <w:p w14:paraId="6360914A" w14:textId="5AB0E483" w:rsidR="00164E40" w:rsidRPr="00163514" w:rsidRDefault="0C57E0BD" w:rsidP="00163514">
      <w:pPr>
        <w:spacing w:line="240" w:lineRule="auto"/>
        <w:rPr>
          <w:rFonts w:ascii="Book Antiqua" w:hAnsi="Book Antiqua"/>
        </w:rPr>
      </w:pPr>
      <w:r w:rsidRPr="00163514">
        <w:rPr>
          <w:rFonts w:ascii="Book Antiqua" w:hAnsi="Book Antiqua"/>
        </w:rPr>
        <w:t xml:space="preserve">Dicho lo anterior, </w:t>
      </w:r>
      <w:r w:rsidR="00164E40" w:rsidRPr="00163514">
        <w:rPr>
          <w:rFonts w:ascii="Book Antiqua" w:hAnsi="Book Antiqua"/>
        </w:rPr>
        <w:t xml:space="preserve">en la siguiente tabla se evidencia la proporción de procesos entrados (expedientes), respecto a la cantidad de personas usuarias indígenas representadas en dichos procesos. </w:t>
      </w:r>
    </w:p>
    <w:p w14:paraId="79E1A281" w14:textId="345F9E3C" w:rsidR="00164E40" w:rsidRPr="008D2522" w:rsidRDefault="00164E40" w:rsidP="00631FE7">
      <w:pPr>
        <w:pStyle w:val="Descripcin"/>
        <w:keepNext/>
        <w:spacing w:before="0" w:after="0"/>
        <w:jc w:val="center"/>
        <w:rPr>
          <w:rFonts w:cs="Arial"/>
          <w:sz w:val="24"/>
          <w:szCs w:val="24"/>
        </w:rPr>
      </w:pPr>
      <w:bookmarkStart w:id="3" w:name="_Ref32905285"/>
      <w:r w:rsidRPr="008D2522">
        <w:rPr>
          <w:rFonts w:cs="Arial"/>
          <w:sz w:val="24"/>
          <w:szCs w:val="24"/>
        </w:rPr>
        <w:t xml:space="preserve">Tabla </w:t>
      </w:r>
      <w:r w:rsidRPr="008D2522">
        <w:rPr>
          <w:rFonts w:cs="Arial"/>
          <w:sz w:val="24"/>
          <w:szCs w:val="24"/>
        </w:rPr>
        <w:fldChar w:fldCharType="begin"/>
      </w:r>
      <w:r w:rsidRPr="008D2522">
        <w:rPr>
          <w:rFonts w:cs="Arial"/>
          <w:sz w:val="24"/>
          <w:szCs w:val="24"/>
        </w:rPr>
        <w:instrText xml:space="preserve"> SEQ Tabla \* ARABIC </w:instrText>
      </w:r>
      <w:r w:rsidRPr="008D2522">
        <w:rPr>
          <w:rFonts w:cs="Arial"/>
          <w:sz w:val="24"/>
          <w:szCs w:val="24"/>
        </w:rPr>
        <w:fldChar w:fldCharType="separate"/>
      </w:r>
      <w:r w:rsidR="005B5D07">
        <w:rPr>
          <w:rFonts w:cs="Arial"/>
          <w:noProof/>
          <w:sz w:val="24"/>
          <w:szCs w:val="24"/>
        </w:rPr>
        <w:t>1</w:t>
      </w:r>
      <w:r w:rsidRPr="008D2522">
        <w:rPr>
          <w:rFonts w:cs="Arial"/>
          <w:sz w:val="24"/>
          <w:szCs w:val="24"/>
        </w:rPr>
        <w:fldChar w:fldCharType="end"/>
      </w:r>
      <w:r w:rsidR="00DD4787" w:rsidRPr="008D2522">
        <w:rPr>
          <w:rFonts w:cs="Arial"/>
          <w:sz w:val="24"/>
          <w:szCs w:val="24"/>
        </w:rPr>
        <w:t xml:space="preserve"> Cantidad de asuntos entrados, de octubre 2018 a setiembre 2019, y la cantidad de personas usuarias indígenas intervinientes</w:t>
      </w:r>
      <w:bookmarkEnd w:id="3"/>
    </w:p>
    <w:tbl>
      <w:tblPr>
        <w:tblW w:w="9320" w:type="dxa"/>
        <w:tblInd w:w="75" w:type="dxa"/>
        <w:tblCellMar>
          <w:left w:w="70" w:type="dxa"/>
          <w:right w:w="70" w:type="dxa"/>
        </w:tblCellMar>
        <w:tblLook w:val="04A0" w:firstRow="1" w:lastRow="0" w:firstColumn="1" w:lastColumn="0" w:noHBand="0" w:noVBand="1"/>
      </w:tblPr>
      <w:tblGrid>
        <w:gridCol w:w="3280"/>
        <w:gridCol w:w="1480"/>
        <w:gridCol w:w="1340"/>
        <w:gridCol w:w="1660"/>
        <w:gridCol w:w="1560"/>
      </w:tblGrid>
      <w:tr w:rsidR="00AC17D9" w:rsidRPr="008D2522" w14:paraId="43140F7F" w14:textId="77777777" w:rsidTr="00E57630">
        <w:trPr>
          <w:trHeight w:val="840"/>
        </w:trPr>
        <w:tc>
          <w:tcPr>
            <w:tcW w:w="3280" w:type="dxa"/>
            <w:tcBorders>
              <w:top w:val="single" w:sz="4" w:space="0" w:color="auto"/>
              <w:left w:val="single" w:sz="4" w:space="0" w:color="auto"/>
              <w:bottom w:val="single" w:sz="4" w:space="0" w:color="auto"/>
              <w:right w:val="single" w:sz="4" w:space="0" w:color="auto"/>
            </w:tcBorders>
            <w:shd w:val="clear" w:color="auto" w:fill="1F3864"/>
            <w:vAlign w:val="center"/>
            <w:hideMark/>
          </w:tcPr>
          <w:p w14:paraId="6E6ECFDA" w14:textId="77777777" w:rsidR="00164E40" w:rsidRPr="008D2522" w:rsidRDefault="00164E40" w:rsidP="00055CFC">
            <w:pPr>
              <w:spacing w:before="0" w:after="0"/>
              <w:jc w:val="center"/>
              <w:rPr>
                <w:rFonts w:eastAsia="Times New Roman" w:cs="Arial"/>
                <w:b/>
                <w:bCs/>
                <w:color w:val="FFFFFF"/>
                <w:sz w:val="22"/>
                <w:lang w:eastAsia="es-CR"/>
              </w:rPr>
            </w:pPr>
            <w:r w:rsidRPr="008D2522">
              <w:rPr>
                <w:rFonts w:eastAsia="Times New Roman" w:cs="Arial"/>
                <w:b/>
                <w:bCs/>
                <w:color w:val="FFFFFF"/>
                <w:sz w:val="22"/>
                <w:lang w:eastAsia="es-CR"/>
              </w:rPr>
              <w:t>Materia</w:t>
            </w:r>
          </w:p>
        </w:tc>
        <w:tc>
          <w:tcPr>
            <w:tcW w:w="1480" w:type="dxa"/>
            <w:tcBorders>
              <w:top w:val="single" w:sz="4" w:space="0" w:color="auto"/>
              <w:left w:val="nil"/>
              <w:bottom w:val="single" w:sz="4" w:space="0" w:color="auto"/>
              <w:right w:val="single" w:sz="4" w:space="0" w:color="auto"/>
            </w:tcBorders>
            <w:shd w:val="clear" w:color="auto" w:fill="1F3864"/>
            <w:vAlign w:val="center"/>
            <w:hideMark/>
          </w:tcPr>
          <w:p w14:paraId="2C28CBBE" w14:textId="77777777" w:rsidR="00164E40" w:rsidRPr="008D2522" w:rsidRDefault="00164E40" w:rsidP="00055CFC">
            <w:pPr>
              <w:spacing w:before="0" w:after="0"/>
              <w:jc w:val="center"/>
              <w:rPr>
                <w:rFonts w:eastAsia="Times New Roman" w:cs="Arial"/>
                <w:b/>
                <w:bCs/>
                <w:color w:val="FFFFFF"/>
                <w:sz w:val="22"/>
                <w:lang w:eastAsia="es-CR"/>
              </w:rPr>
            </w:pPr>
            <w:r w:rsidRPr="008D2522">
              <w:rPr>
                <w:rFonts w:eastAsia="Times New Roman" w:cs="Arial"/>
                <w:b/>
                <w:bCs/>
                <w:color w:val="FFFFFF"/>
                <w:sz w:val="22"/>
                <w:lang w:eastAsia="es-CR"/>
              </w:rPr>
              <w:t>Cantidad de expedientes</w:t>
            </w:r>
          </w:p>
        </w:tc>
        <w:tc>
          <w:tcPr>
            <w:tcW w:w="1340" w:type="dxa"/>
            <w:tcBorders>
              <w:top w:val="single" w:sz="4" w:space="0" w:color="auto"/>
              <w:left w:val="nil"/>
              <w:bottom w:val="single" w:sz="4" w:space="0" w:color="auto"/>
              <w:right w:val="single" w:sz="4" w:space="0" w:color="auto"/>
            </w:tcBorders>
            <w:shd w:val="clear" w:color="auto" w:fill="1F3864"/>
            <w:vAlign w:val="center"/>
            <w:hideMark/>
          </w:tcPr>
          <w:p w14:paraId="341D0114" w14:textId="77777777" w:rsidR="00164E40" w:rsidRPr="008D2522" w:rsidRDefault="00164E40" w:rsidP="00055CFC">
            <w:pPr>
              <w:spacing w:before="0" w:after="0"/>
              <w:jc w:val="center"/>
              <w:rPr>
                <w:rFonts w:eastAsia="Times New Roman" w:cs="Arial"/>
                <w:b/>
                <w:bCs/>
                <w:color w:val="FFFFFF"/>
                <w:sz w:val="22"/>
                <w:lang w:eastAsia="es-CR"/>
              </w:rPr>
            </w:pPr>
            <w:r w:rsidRPr="008D2522">
              <w:rPr>
                <w:rFonts w:eastAsia="Times New Roman" w:cs="Arial"/>
                <w:b/>
                <w:bCs/>
                <w:color w:val="FFFFFF"/>
                <w:sz w:val="22"/>
                <w:lang w:eastAsia="es-CR"/>
              </w:rPr>
              <w:t>Personas indígenas</w:t>
            </w:r>
          </w:p>
        </w:tc>
        <w:tc>
          <w:tcPr>
            <w:tcW w:w="1660" w:type="dxa"/>
            <w:tcBorders>
              <w:top w:val="single" w:sz="4" w:space="0" w:color="auto"/>
              <w:left w:val="nil"/>
              <w:bottom w:val="single" w:sz="4" w:space="0" w:color="auto"/>
              <w:right w:val="single" w:sz="4" w:space="0" w:color="auto"/>
            </w:tcBorders>
            <w:shd w:val="clear" w:color="auto" w:fill="1F3864"/>
            <w:vAlign w:val="center"/>
            <w:hideMark/>
          </w:tcPr>
          <w:p w14:paraId="57BF39ED" w14:textId="250A9A91" w:rsidR="00164E40" w:rsidRPr="008D2522" w:rsidRDefault="00DD4787" w:rsidP="00055CFC">
            <w:pPr>
              <w:spacing w:before="0" w:after="0"/>
              <w:jc w:val="center"/>
              <w:rPr>
                <w:rFonts w:eastAsia="Times New Roman" w:cs="Arial"/>
                <w:b/>
                <w:bCs/>
                <w:color w:val="FFFFFF"/>
                <w:sz w:val="22"/>
                <w:lang w:eastAsia="es-CR"/>
              </w:rPr>
            </w:pPr>
            <w:r w:rsidRPr="008D2522">
              <w:rPr>
                <w:rFonts w:eastAsia="Times New Roman" w:cs="Arial"/>
                <w:b/>
                <w:bCs/>
                <w:color w:val="FFFFFF"/>
                <w:sz w:val="22"/>
                <w:lang w:eastAsia="es-CR"/>
              </w:rPr>
              <w:t>Promedio</w:t>
            </w:r>
            <w:r w:rsidR="00AE215C">
              <w:rPr>
                <w:rFonts w:eastAsia="Times New Roman" w:cs="Arial"/>
                <w:b/>
                <w:bCs/>
                <w:color w:val="FFFFFF"/>
                <w:sz w:val="22"/>
                <w:lang w:eastAsia="es-CR"/>
              </w:rPr>
              <w:t xml:space="preserve"> </w:t>
            </w:r>
            <w:r w:rsidR="00632D38">
              <w:rPr>
                <w:rFonts w:eastAsia="Times New Roman" w:cs="Arial"/>
                <w:b/>
                <w:bCs/>
                <w:color w:val="FFFFFF"/>
                <w:sz w:val="22"/>
                <w:lang w:eastAsia="es-CR"/>
              </w:rPr>
              <w:t xml:space="preserve">de </w:t>
            </w:r>
            <w:r w:rsidR="00AE215C">
              <w:rPr>
                <w:rFonts w:eastAsia="Times New Roman" w:cs="Arial"/>
                <w:b/>
                <w:bCs/>
                <w:color w:val="FFFFFF"/>
                <w:sz w:val="22"/>
                <w:lang w:eastAsia="es-CR"/>
              </w:rPr>
              <w:t>persona</w:t>
            </w:r>
            <w:r w:rsidR="00632D38">
              <w:rPr>
                <w:rFonts w:eastAsia="Times New Roman" w:cs="Arial"/>
                <w:b/>
                <w:bCs/>
                <w:color w:val="FFFFFF"/>
                <w:sz w:val="22"/>
                <w:lang w:eastAsia="es-CR"/>
              </w:rPr>
              <w:t>s</w:t>
            </w:r>
            <w:r w:rsidR="00AE215C">
              <w:rPr>
                <w:rFonts w:eastAsia="Times New Roman" w:cs="Arial"/>
                <w:b/>
                <w:bCs/>
                <w:color w:val="FFFFFF"/>
                <w:sz w:val="22"/>
                <w:lang w:eastAsia="es-CR"/>
              </w:rPr>
              <w:t xml:space="preserve"> </w:t>
            </w:r>
            <w:r w:rsidR="00AE215C">
              <w:rPr>
                <w:rFonts w:eastAsia="Times New Roman" w:cs="Arial"/>
                <w:b/>
                <w:bCs/>
                <w:color w:val="FFFFFF"/>
                <w:sz w:val="22"/>
                <w:lang w:eastAsia="es-CR"/>
              </w:rPr>
              <w:lastRenderedPageBreak/>
              <w:t>indígenas</w:t>
            </w:r>
            <w:r w:rsidRPr="008D2522">
              <w:rPr>
                <w:rFonts w:eastAsia="Times New Roman" w:cs="Arial"/>
                <w:b/>
                <w:bCs/>
                <w:color w:val="FFFFFF"/>
                <w:sz w:val="22"/>
                <w:lang w:eastAsia="es-CR"/>
              </w:rPr>
              <w:t xml:space="preserve"> por expediente</w:t>
            </w:r>
          </w:p>
        </w:tc>
        <w:tc>
          <w:tcPr>
            <w:tcW w:w="1560" w:type="dxa"/>
            <w:tcBorders>
              <w:top w:val="single" w:sz="4" w:space="0" w:color="auto"/>
              <w:left w:val="nil"/>
              <w:bottom w:val="single" w:sz="4" w:space="0" w:color="auto"/>
              <w:right w:val="single" w:sz="4" w:space="0" w:color="auto"/>
            </w:tcBorders>
            <w:shd w:val="clear" w:color="auto" w:fill="1F3864"/>
            <w:vAlign w:val="center"/>
            <w:hideMark/>
          </w:tcPr>
          <w:p w14:paraId="5E1E14E2" w14:textId="77777777" w:rsidR="00164E40" w:rsidRPr="008D2522" w:rsidRDefault="00164E40" w:rsidP="00055CFC">
            <w:pPr>
              <w:spacing w:before="0" w:after="0"/>
              <w:jc w:val="center"/>
              <w:rPr>
                <w:rFonts w:eastAsia="Times New Roman" w:cs="Arial"/>
                <w:b/>
                <w:bCs/>
                <w:color w:val="FFFFFF"/>
                <w:sz w:val="22"/>
                <w:lang w:eastAsia="es-CR"/>
              </w:rPr>
            </w:pPr>
            <w:r w:rsidRPr="008D2522">
              <w:rPr>
                <w:rFonts w:eastAsia="Times New Roman" w:cs="Arial"/>
                <w:b/>
                <w:bCs/>
                <w:color w:val="FFFFFF"/>
                <w:sz w:val="22"/>
                <w:lang w:eastAsia="es-CR"/>
              </w:rPr>
              <w:lastRenderedPageBreak/>
              <w:t>Diferencia</w:t>
            </w:r>
          </w:p>
        </w:tc>
      </w:tr>
      <w:tr w:rsidR="00164E40" w:rsidRPr="008D2522" w14:paraId="686FFB7F" w14:textId="77777777" w:rsidTr="00164E40">
        <w:trPr>
          <w:trHeight w:val="31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73A35C77" w14:textId="77777777" w:rsidR="00164E40" w:rsidRPr="008D2522" w:rsidRDefault="00164E40" w:rsidP="00055CFC">
            <w:pPr>
              <w:spacing w:before="0" w:after="0"/>
              <w:jc w:val="left"/>
              <w:rPr>
                <w:rFonts w:eastAsia="Times New Roman" w:cs="Arial"/>
                <w:color w:val="000000"/>
                <w:sz w:val="22"/>
                <w:lang w:eastAsia="es-CR"/>
              </w:rPr>
            </w:pPr>
            <w:r w:rsidRPr="008D2522">
              <w:rPr>
                <w:rFonts w:eastAsia="Times New Roman" w:cs="Arial"/>
                <w:color w:val="000000"/>
                <w:sz w:val="22"/>
                <w:lang w:eastAsia="es-CR"/>
              </w:rPr>
              <w:t>Pensiones Alimentarias</w:t>
            </w:r>
          </w:p>
        </w:tc>
        <w:tc>
          <w:tcPr>
            <w:tcW w:w="1480" w:type="dxa"/>
            <w:tcBorders>
              <w:top w:val="nil"/>
              <w:left w:val="nil"/>
              <w:bottom w:val="single" w:sz="4" w:space="0" w:color="auto"/>
              <w:right w:val="single" w:sz="4" w:space="0" w:color="auto"/>
            </w:tcBorders>
            <w:shd w:val="clear" w:color="auto" w:fill="auto"/>
            <w:noWrap/>
            <w:vAlign w:val="bottom"/>
            <w:hideMark/>
          </w:tcPr>
          <w:p w14:paraId="5D1F3F8F" w14:textId="77777777" w:rsidR="00164E40" w:rsidRPr="008D2522" w:rsidRDefault="00164E40"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412</w:t>
            </w:r>
          </w:p>
        </w:tc>
        <w:tc>
          <w:tcPr>
            <w:tcW w:w="1340" w:type="dxa"/>
            <w:tcBorders>
              <w:top w:val="nil"/>
              <w:left w:val="nil"/>
              <w:bottom w:val="single" w:sz="4" w:space="0" w:color="auto"/>
              <w:right w:val="single" w:sz="4" w:space="0" w:color="auto"/>
            </w:tcBorders>
            <w:shd w:val="clear" w:color="auto" w:fill="auto"/>
            <w:noWrap/>
            <w:vAlign w:val="bottom"/>
            <w:hideMark/>
          </w:tcPr>
          <w:p w14:paraId="12D63462" w14:textId="77777777" w:rsidR="00164E40" w:rsidRPr="008D2522" w:rsidRDefault="00164E40"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438</w:t>
            </w:r>
          </w:p>
        </w:tc>
        <w:tc>
          <w:tcPr>
            <w:tcW w:w="1660" w:type="dxa"/>
            <w:tcBorders>
              <w:top w:val="nil"/>
              <w:left w:val="nil"/>
              <w:bottom w:val="single" w:sz="4" w:space="0" w:color="auto"/>
              <w:right w:val="single" w:sz="4" w:space="0" w:color="auto"/>
            </w:tcBorders>
            <w:shd w:val="clear" w:color="auto" w:fill="auto"/>
            <w:noWrap/>
            <w:vAlign w:val="bottom"/>
            <w:hideMark/>
          </w:tcPr>
          <w:p w14:paraId="3EA44880" w14:textId="77777777" w:rsidR="00164E40" w:rsidRPr="008D2522" w:rsidRDefault="00164E40"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1,06</w:t>
            </w:r>
          </w:p>
        </w:tc>
        <w:tc>
          <w:tcPr>
            <w:tcW w:w="1560" w:type="dxa"/>
            <w:tcBorders>
              <w:top w:val="nil"/>
              <w:left w:val="nil"/>
              <w:bottom w:val="single" w:sz="4" w:space="0" w:color="auto"/>
              <w:right w:val="single" w:sz="4" w:space="0" w:color="auto"/>
            </w:tcBorders>
            <w:shd w:val="clear" w:color="auto" w:fill="auto"/>
            <w:noWrap/>
            <w:vAlign w:val="bottom"/>
            <w:hideMark/>
          </w:tcPr>
          <w:p w14:paraId="3F7E397B" w14:textId="77777777" w:rsidR="00164E40" w:rsidRPr="008D2522" w:rsidRDefault="00164E40"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26</w:t>
            </w:r>
          </w:p>
        </w:tc>
      </w:tr>
      <w:tr w:rsidR="00164E40" w:rsidRPr="008D2522" w14:paraId="602D6629" w14:textId="77777777" w:rsidTr="00164E40">
        <w:trPr>
          <w:trHeight w:val="31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2B1032D8" w14:textId="77777777" w:rsidR="00164E40" w:rsidRPr="008D2522" w:rsidRDefault="00164E40" w:rsidP="00055CFC">
            <w:pPr>
              <w:spacing w:before="0" w:after="0"/>
              <w:jc w:val="left"/>
              <w:rPr>
                <w:rFonts w:eastAsia="Times New Roman" w:cs="Arial"/>
                <w:color w:val="000000"/>
                <w:sz w:val="22"/>
                <w:lang w:eastAsia="es-CR"/>
              </w:rPr>
            </w:pPr>
            <w:r w:rsidRPr="008D2522">
              <w:rPr>
                <w:rFonts w:eastAsia="Times New Roman" w:cs="Arial"/>
                <w:color w:val="000000"/>
                <w:sz w:val="22"/>
                <w:lang w:eastAsia="es-CR"/>
              </w:rPr>
              <w:t>Penal</w:t>
            </w:r>
          </w:p>
        </w:tc>
        <w:tc>
          <w:tcPr>
            <w:tcW w:w="1480" w:type="dxa"/>
            <w:tcBorders>
              <w:top w:val="nil"/>
              <w:left w:val="nil"/>
              <w:bottom w:val="single" w:sz="4" w:space="0" w:color="auto"/>
              <w:right w:val="single" w:sz="4" w:space="0" w:color="auto"/>
            </w:tcBorders>
            <w:shd w:val="clear" w:color="auto" w:fill="auto"/>
            <w:noWrap/>
            <w:vAlign w:val="bottom"/>
            <w:hideMark/>
          </w:tcPr>
          <w:p w14:paraId="277B5E0A" w14:textId="77777777" w:rsidR="00164E40" w:rsidRPr="008D2522" w:rsidRDefault="00164E40"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295</w:t>
            </w:r>
          </w:p>
        </w:tc>
        <w:tc>
          <w:tcPr>
            <w:tcW w:w="1340" w:type="dxa"/>
            <w:tcBorders>
              <w:top w:val="nil"/>
              <w:left w:val="nil"/>
              <w:bottom w:val="single" w:sz="4" w:space="0" w:color="auto"/>
              <w:right w:val="single" w:sz="4" w:space="0" w:color="auto"/>
            </w:tcBorders>
            <w:shd w:val="clear" w:color="auto" w:fill="auto"/>
            <w:noWrap/>
            <w:vAlign w:val="bottom"/>
            <w:hideMark/>
          </w:tcPr>
          <w:p w14:paraId="42D369BE" w14:textId="77777777" w:rsidR="00164E40" w:rsidRPr="008D2522" w:rsidRDefault="00164E40"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369</w:t>
            </w:r>
          </w:p>
        </w:tc>
        <w:tc>
          <w:tcPr>
            <w:tcW w:w="1660" w:type="dxa"/>
            <w:tcBorders>
              <w:top w:val="nil"/>
              <w:left w:val="nil"/>
              <w:bottom w:val="single" w:sz="4" w:space="0" w:color="auto"/>
              <w:right w:val="single" w:sz="4" w:space="0" w:color="auto"/>
            </w:tcBorders>
            <w:shd w:val="clear" w:color="auto" w:fill="auto"/>
            <w:noWrap/>
            <w:vAlign w:val="bottom"/>
            <w:hideMark/>
          </w:tcPr>
          <w:p w14:paraId="438C7C22" w14:textId="77777777" w:rsidR="00164E40" w:rsidRPr="008D2522" w:rsidRDefault="00164E40"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1,25</w:t>
            </w:r>
          </w:p>
        </w:tc>
        <w:tc>
          <w:tcPr>
            <w:tcW w:w="1560" w:type="dxa"/>
            <w:tcBorders>
              <w:top w:val="nil"/>
              <w:left w:val="nil"/>
              <w:bottom w:val="single" w:sz="4" w:space="0" w:color="auto"/>
              <w:right w:val="single" w:sz="4" w:space="0" w:color="auto"/>
            </w:tcBorders>
            <w:shd w:val="clear" w:color="auto" w:fill="auto"/>
            <w:noWrap/>
            <w:vAlign w:val="bottom"/>
            <w:hideMark/>
          </w:tcPr>
          <w:p w14:paraId="7F830395" w14:textId="77777777" w:rsidR="00164E40" w:rsidRPr="008D2522" w:rsidRDefault="00164E40"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74</w:t>
            </w:r>
          </w:p>
        </w:tc>
      </w:tr>
      <w:tr w:rsidR="00164E40" w:rsidRPr="008D2522" w14:paraId="5AD54EB3" w14:textId="77777777" w:rsidTr="00164E40">
        <w:trPr>
          <w:trHeight w:val="28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48B516A0" w14:textId="77777777" w:rsidR="00164E40" w:rsidRPr="008D2522" w:rsidRDefault="00164E40" w:rsidP="00055CFC">
            <w:pPr>
              <w:spacing w:before="0" w:after="0"/>
              <w:jc w:val="left"/>
              <w:rPr>
                <w:rFonts w:eastAsia="Times New Roman" w:cs="Arial"/>
                <w:color w:val="000000"/>
                <w:sz w:val="22"/>
                <w:lang w:eastAsia="es-CR"/>
              </w:rPr>
            </w:pPr>
            <w:r w:rsidRPr="008D2522">
              <w:rPr>
                <w:rFonts w:eastAsia="Times New Roman" w:cs="Arial"/>
                <w:color w:val="000000"/>
                <w:sz w:val="22"/>
                <w:lang w:eastAsia="es-CR"/>
              </w:rPr>
              <w:t>Penalización Contra Mujer</w:t>
            </w:r>
          </w:p>
        </w:tc>
        <w:tc>
          <w:tcPr>
            <w:tcW w:w="1480" w:type="dxa"/>
            <w:tcBorders>
              <w:top w:val="nil"/>
              <w:left w:val="nil"/>
              <w:bottom w:val="single" w:sz="4" w:space="0" w:color="auto"/>
              <w:right w:val="single" w:sz="4" w:space="0" w:color="auto"/>
            </w:tcBorders>
            <w:shd w:val="clear" w:color="auto" w:fill="auto"/>
            <w:noWrap/>
            <w:vAlign w:val="bottom"/>
            <w:hideMark/>
          </w:tcPr>
          <w:p w14:paraId="6631C8E5" w14:textId="77777777" w:rsidR="00164E40" w:rsidRPr="008D2522" w:rsidRDefault="00164E40"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132</w:t>
            </w:r>
          </w:p>
        </w:tc>
        <w:tc>
          <w:tcPr>
            <w:tcW w:w="1340" w:type="dxa"/>
            <w:tcBorders>
              <w:top w:val="nil"/>
              <w:left w:val="nil"/>
              <w:bottom w:val="single" w:sz="4" w:space="0" w:color="auto"/>
              <w:right w:val="single" w:sz="4" w:space="0" w:color="auto"/>
            </w:tcBorders>
            <w:shd w:val="clear" w:color="auto" w:fill="auto"/>
            <w:noWrap/>
            <w:vAlign w:val="bottom"/>
            <w:hideMark/>
          </w:tcPr>
          <w:p w14:paraId="1EF4F20E" w14:textId="77777777" w:rsidR="00164E40" w:rsidRPr="008D2522" w:rsidRDefault="00164E40"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150</w:t>
            </w:r>
          </w:p>
        </w:tc>
        <w:tc>
          <w:tcPr>
            <w:tcW w:w="1660" w:type="dxa"/>
            <w:tcBorders>
              <w:top w:val="nil"/>
              <w:left w:val="nil"/>
              <w:bottom w:val="single" w:sz="4" w:space="0" w:color="auto"/>
              <w:right w:val="single" w:sz="4" w:space="0" w:color="auto"/>
            </w:tcBorders>
            <w:shd w:val="clear" w:color="auto" w:fill="auto"/>
            <w:noWrap/>
            <w:vAlign w:val="bottom"/>
            <w:hideMark/>
          </w:tcPr>
          <w:p w14:paraId="35F6B60A" w14:textId="77777777" w:rsidR="00164E40" w:rsidRPr="008D2522" w:rsidRDefault="00164E40"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1,14</w:t>
            </w:r>
          </w:p>
        </w:tc>
        <w:tc>
          <w:tcPr>
            <w:tcW w:w="1560" w:type="dxa"/>
            <w:tcBorders>
              <w:top w:val="nil"/>
              <w:left w:val="nil"/>
              <w:bottom w:val="single" w:sz="4" w:space="0" w:color="auto"/>
              <w:right w:val="single" w:sz="4" w:space="0" w:color="auto"/>
            </w:tcBorders>
            <w:shd w:val="clear" w:color="auto" w:fill="auto"/>
            <w:noWrap/>
            <w:vAlign w:val="bottom"/>
            <w:hideMark/>
          </w:tcPr>
          <w:p w14:paraId="54B264E4" w14:textId="77777777" w:rsidR="00164E40" w:rsidRPr="008D2522" w:rsidRDefault="00164E40"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18</w:t>
            </w:r>
          </w:p>
        </w:tc>
      </w:tr>
      <w:tr w:rsidR="00164E40" w:rsidRPr="008D2522" w14:paraId="45C2CC67" w14:textId="77777777" w:rsidTr="00164E40">
        <w:trPr>
          <w:trHeight w:val="280"/>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91AFE" w14:textId="77777777" w:rsidR="00164E40" w:rsidRPr="008D2522" w:rsidRDefault="00164E40" w:rsidP="00055CFC">
            <w:pPr>
              <w:spacing w:before="0" w:after="0"/>
              <w:jc w:val="left"/>
              <w:rPr>
                <w:rFonts w:eastAsia="Times New Roman" w:cs="Arial"/>
                <w:color w:val="000000"/>
                <w:sz w:val="22"/>
                <w:lang w:eastAsia="es-CR"/>
              </w:rPr>
            </w:pPr>
            <w:r w:rsidRPr="008D2522">
              <w:rPr>
                <w:rFonts w:eastAsia="Times New Roman" w:cs="Arial"/>
                <w:color w:val="000000"/>
                <w:sz w:val="22"/>
                <w:lang w:eastAsia="es-CR"/>
              </w:rPr>
              <w:t>Agraria</w:t>
            </w:r>
          </w:p>
        </w:tc>
        <w:tc>
          <w:tcPr>
            <w:tcW w:w="1480" w:type="dxa"/>
            <w:tcBorders>
              <w:top w:val="nil"/>
              <w:left w:val="nil"/>
              <w:bottom w:val="single" w:sz="4" w:space="0" w:color="auto"/>
              <w:right w:val="single" w:sz="4" w:space="0" w:color="auto"/>
            </w:tcBorders>
            <w:shd w:val="clear" w:color="auto" w:fill="auto"/>
            <w:noWrap/>
            <w:vAlign w:val="bottom"/>
            <w:hideMark/>
          </w:tcPr>
          <w:p w14:paraId="5DCD66AD" w14:textId="77777777" w:rsidR="00164E40" w:rsidRPr="008D2522" w:rsidRDefault="00164E40"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91</w:t>
            </w:r>
          </w:p>
        </w:tc>
        <w:tc>
          <w:tcPr>
            <w:tcW w:w="1340" w:type="dxa"/>
            <w:tcBorders>
              <w:top w:val="nil"/>
              <w:left w:val="nil"/>
              <w:bottom w:val="single" w:sz="4" w:space="0" w:color="auto"/>
              <w:right w:val="single" w:sz="4" w:space="0" w:color="auto"/>
            </w:tcBorders>
            <w:shd w:val="clear" w:color="auto" w:fill="auto"/>
            <w:noWrap/>
            <w:vAlign w:val="bottom"/>
            <w:hideMark/>
          </w:tcPr>
          <w:p w14:paraId="2BE8E3F9" w14:textId="77777777" w:rsidR="00164E40" w:rsidRPr="008D2522" w:rsidRDefault="00164E40"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102</w:t>
            </w:r>
          </w:p>
        </w:tc>
        <w:tc>
          <w:tcPr>
            <w:tcW w:w="1660" w:type="dxa"/>
            <w:tcBorders>
              <w:top w:val="nil"/>
              <w:left w:val="nil"/>
              <w:bottom w:val="single" w:sz="4" w:space="0" w:color="auto"/>
              <w:right w:val="single" w:sz="4" w:space="0" w:color="auto"/>
            </w:tcBorders>
            <w:shd w:val="clear" w:color="auto" w:fill="auto"/>
            <w:noWrap/>
            <w:vAlign w:val="bottom"/>
            <w:hideMark/>
          </w:tcPr>
          <w:p w14:paraId="207E9B3B" w14:textId="77777777" w:rsidR="00164E40" w:rsidRPr="008D2522" w:rsidRDefault="00164E40"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1,12</w:t>
            </w:r>
          </w:p>
        </w:tc>
        <w:tc>
          <w:tcPr>
            <w:tcW w:w="1560" w:type="dxa"/>
            <w:tcBorders>
              <w:top w:val="nil"/>
              <w:left w:val="nil"/>
              <w:bottom w:val="single" w:sz="4" w:space="0" w:color="auto"/>
              <w:right w:val="single" w:sz="4" w:space="0" w:color="auto"/>
            </w:tcBorders>
            <w:shd w:val="clear" w:color="auto" w:fill="auto"/>
            <w:noWrap/>
            <w:vAlign w:val="bottom"/>
            <w:hideMark/>
          </w:tcPr>
          <w:p w14:paraId="3415DCC2" w14:textId="77777777" w:rsidR="00164E40" w:rsidRPr="008D2522" w:rsidRDefault="00164E40"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11</w:t>
            </w:r>
          </w:p>
        </w:tc>
      </w:tr>
      <w:tr w:rsidR="00164E40" w:rsidRPr="008D2522" w14:paraId="3616E95C" w14:textId="77777777" w:rsidTr="007C3175">
        <w:trPr>
          <w:trHeight w:val="280"/>
        </w:trPr>
        <w:tc>
          <w:tcPr>
            <w:tcW w:w="3280" w:type="dxa"/>
            <w:tcBorders>
              <w:top w:val="single" w:sz="4" w:space="0" w:color="auto"/>
              <w:left w:val="single" w:sz="4" w:space="0" w:color="auto"/>
              <w:bottom w:val="single" w:sz="4" w:space="0" w:color="auto"/>
              <w:right w:val="nil"/>
            </w:tcBorders>
            <w:shd w:val="clear" w:color="auto" w:fill="auto"/>
            <w:noWrap/>
            <w:vAlign w:val="bottom"/>
            <w:hideMark/>
          </w:tcPr>
          <w:p w14:paraId="5D2861A9" w14:textId="77777777" w:rsidR="00164E40" w:rsidRPr="008D2522" w:rsidRDefault="00164E40" w:rsidP="00055CFC">
            <w:pPr>
              <w:spacing w:before="0" w:after="0"/>
              <w:jc w:val="left"/>
              <w:rPr>
                <w:rFonts w:eastAsia="Times New Roman" w:cs="Arial"/>
                <w:color w:val="000000"/>
                <w:sz w:val="22"/>
                <w:lang w:eastAsia="es-CR"/>
              </w:rPr>
            </w:pPr>
            <w:r w:rsidRPr="008D2522">
              <w:rPr>
                <w:rFonts w:eastAsia="Times New Roman" w:cs="Arial"/>
                <w:color w:val="000000"/>
                <w:sz w:val="22"/>
                <w:lang w:eastAsia="es-CR"/>
              </w:rPr>
              <w:t>Demás materias</w:t>
            </w: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1376CDA" w14:textId="77777777" w:rsidR="00164E40" w:rsidRPr="008D2522" w:rsidRDefault="00164E40"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227</w:t>
            </w:r>
          </w:p>
        </w:tc>
        <w:tc>
          <w:tcPr>
            <w:tcW w:w="1340" w:type="dxa"/>
            <w:tcBorders>
              <w:top w:val="nil"/>
              <w:left w:val="nil"/>
              <w:bottom w:val="single" w:sz="4" w:space="0" w:color="auto"/>
              <w:right w:val="single" w:sz="4" w:space="0" w:color="auto"/>
            </w:tcBorders>
            <w:shd w:val="clear" w:color="auto" w:fill="auto"/>
            <w:noWrap/>
            <w:vAlign w:val="bottom"/>
            <w:hideMark/>
          </w:tcPr>
          <w:p w14:paraId="7657ECF0" w14:textId="77777777" w:rsidR="00164E40" w:rsidRPr="008D2522" w:rsidRDefault="00164E40"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241</w:t>
            </w:r>
          </w:p>
        </w:tc>
        <w:tc>
          <w:tcPr>
            <w:tcW w:w="1660" w:type="dxa"/>
            <w:tcBorders>
              <w:top w:val="nil"/>
              <w:left w:val="nil"/>
              <w:bottom w:val="single" w:sz="4" w:space="0" w:color="auto"/>
              <w:right w:val="single" w:sz="4" w:space="0" w:color="auto"/>
            </w:tcBorders>
            <w:shd w:val="clear" w:color="auto" w:fill="auto"/>
            <w:noWrap/>
            <w:vAlign w:val="bottom"/>
            <w:hideMark/>
          </w:tcPr>
          <w:p w14:paraId="2629BC3C" w14:textId="77777777" w:rsidR="00164E40" w:rsidRPr="008D2522" w:rsidRDefault="00164E40"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1,06</w:t>
            </w:r>
          </w:p>
        </w:tc>
        <w:tc>
          <w:tcPr>
            <w:tcW w:w="1560" w:type="dxa"/>
            <w:tcBorders>
              <w:top w:val="nil"/>
              <w:left w:val="nil"/>
              <w:bottom w:val="single" w:sz="4" w:space="0" w:color="auto"/>
              <w:right w:val="single" w:sz="4" w:space="0" w:color="auto"/>
            </w:tcBorders>
            <w:shd w:val="clear" w:color="auto" w:fill="auto"/>
            <w:noWrap/>
            <w:vAlign w:val="bottom"/>
            <w:hideMark/>
          </w:tcPr>
          <w:p w14:paraId="2A2705D1" w14:textId="77777777" w:rsidR="00164E40" w:rsidRPr="008D2522" w:rsidRDefault="00164E40"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14</w:t>
            </w:r>
          </w:p>
        </w:tc>
      </w:tr>
      <w:tr w:rsidR="00164E40" w:rsidRPr="008D2522" w14:paraId="1D468F62" w14:textId="77777777" w:rsidTr="007C3175">
        <w:trPr>
          <w:trHeight w:val="280"/>
        </w:trPr>
        <w:tc>
          <w:tcPr>
            <w:tcW w:w="32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8033E5F" w14:textId="77777777" w:rsidR="00164E40" w:rsidRPr="008D2522" w:rsidRDefault="00164E40" w:rsidP="00055CFC">
            <w:pPr>
              <w:spacing w:before="0" w:after="0"/>
              <w:jc w:val="center"/>
              <w:rPr>
                <w:rFonts w:eastAsia="Times New Roman" w:cs="Arial"/>
                <w:b/>
                <w:bCs/>
                <w:color w:val="000000"/>
                <w:sz w:val="22"/>
                <w:lang w:eastAsia="es-CR"/>
              </w:rPr>
            </w:pPr>
            <w:r w:rsidRPr="008D2522">
              <w:rPr>
                <w:rFonts w:eastAsia="Times New Roman" w:cs="Arial"/>
                <w:b/>
                <w:bCs/>
                <w:color w:val="000000"/>
                <w:sz w:val="22"/>
                <w:lang w:eastAsia="es-CR"/>
              </w:rPr>
              <w:t>Total</w:t>
            </w:r>
          </w:p>
        </w:tc>
        <w:tc>
          <w:tcPr>
            <w:tcW w:w="1480" w:type="dxa"/>
            <w:tcBorders>
              <w:top w:val="single" w:sz="4" w:space="0" w:color="auto"/>
              <w:left w:val="nil"/>
              <w:bottom w:val="single" w:sz="4" w:space="0" w:color="auto"/>
              <w:right w:val="single" w:sz="4" w:space="0" w:color="auto"/>
            </w:tcBorders>
            <w:shd w:val="clear" w:color="auto" w:fill="D9D9D9"/>
            <w:noWrap/>
            <w:vAlign w:val="bottom"/>
            <w:hideMark/>
          </w:tcPr>
          <w:p w14:paraId="1F7C9516" w14:textId="77777777" w:rsidR="00164E40" w:rsidRPr="008D2522" w:rsidRDefault="00164E40" w:rsidP="00055CFC">
            <w:pPr>
              <w:spacing w:before="0" w:after="0"/>
              <w:jc w:val="center"/>
              <w:rPr>
                <w:rFonts w:eastAsia="Times New Roman" w:cs="Arial"/>
                <w:b/>
                <w:bCs/>
                <w:color w:val="000000"/>
                <w:sz w:val="22"/>
                <w:lang w:eastAsia="es-CR"/>
              </w:rPr>
            </w:pPr>
            <w:r w:rsidRPr="008D2522">
              <w:rPr>
                <w:rFonts w:eastAsia="Times New Roman" w:cs="Arial"/>
                <w:b/>
                <w:bCs/>
                <w:color w:val="000000"/>
                <w:sz w:val="22"/>
                <w:lang w:eastAsia="es-CR"/>
              </w:rPr>
              <w:t>1157</w:t>
            </w:r>
          </w:p>
        </w:tc>
        <w:tc>
          <w:tcPr>
            <w:tcW w:w="1340" w:type="dxa"/>
            <w:tcBorders>
              <w:top w:val="single" w:sz="4" w:space="0" w:color="auto"/>
              <w:left w:val="nil"/>
              <w:bottom w:val="single" w:sz="4" w:space="0" w:color="auto"/>
              <w:right w:val="single" w:sz="4" w:space="0" w:color="auto"/>
            </w:tcBorders>
            <w:shd w:val="clear" w:color="auto" w:fill="D9D9D9"/>
            <w:noWrap/>
            <w:vAlign w:val="bottom"/>
            <w:hideMark/>
          </w:tcPr>
          <w:p w14:paraId="097026EA" w14:textId="77777777" w:rsidR="00164E40" w:rsidRPr="008D2522" w:rsidRDefault="00164E40" w:rsidP="00055CFC">
            <w:pPr>
              <w:spacing w:before="0" w:after="0"/>
              <w:jc w:val="center"/>
              <w:rPr>
                <w:rFonts w:eastAsia="Times New Roman" w:cs="Arial"/>
                <w:b/>
                <w:bCs/>
                <w:color w:val="000000"/>
                <w:sz w:val="22"/>
                <w:lang w:eastAsia="es-CR"/>
              </w:rPr>
            </w:pPr>
            <w:r w:rsidRPr="008D2522">
              <w:rPr>
                <w:rFonts w:eastAsia="Times New Roman" w:cs="Arial"/>
                <w:b/>
                <w:bCs/>
                <w:color w:val="000000"/>
                <w:sz w:val="22"/>
                <w:lang w:eastAsia="es-CR"/>
              </w:rPr>
              <w:t>1300</w:t>
            </w:r>
          </w:p>
        </w:tc>
        <w:tc>
          <w:tcPr>
            <w:tcW w:w="1660" w:type="dxa"/>
            <w:tcBorders>
              <w:top w:val="single" w:sz="4" w:space="0" w:color="auto"/>
              <w:left w:val="nil"/>
              <w:bottom w:val="single" w:sz="4" w:space="0" w:color="auto"/>
              <w:right w:val="single" w:sz="4" w:space="0" w:color="auto"/>
            </w:tcBorders>
            <w:shd w:val="clear" w:color="auto" w:fill="D9D9D9"/>
            <w:noWrap/>
            <w:vAlign w:val="bottom"/>
            <w:hideMark/>
          </w:tcPr>
          <w:p w14:paraId="2E91A225" w14:textId="77777777" w:rsidR="00164E40" w:rsidRPr="008D2522" w:rsidRDefault="00164E40" w:rsidP="00055CFC">
            <w:pPr>
              <w:spacing w:before="0" w:after="0"/>
              <w:jc w:val="center"/>
              <w:rPr>
                <w:rFonts w:eastAsia="Times New Roman" w:cs="Arial"/>
                <w:b/>
                <w:bCs/>
                <w:color w:val="000000"/>
                <w:sz w:val="22"/>
                <w:lang w:eastAsia="es-CR"/>
              </w:rPr>
            </w:pPr>
            <w:r w:rsidRPr="008D2522">
              <w:rPr>
                <w:rFonts w:eastAsia="Times New Roman" w:cs="Arial"/>
                <w:b/>
                <w:bCs/>
                <w:color w:val="000000"/>
                <w:sz w:val="22"/>
                <w:lang w:eastAsia="es-CR"/>
              </w:rPr>
              <w:t>1,12</w:t>
            </w:r>
          </w:p>
        </w:tc>
        <w:tc>
          <w:tcPr>
            <w:tcW w:w="1560" w:type="dxa"/>
            <w:tcBorders>
              <w:top w:val="single" w:sz="4" w:space="0" w:color="auto"/>
              <w:left w:val="nil"/>
              <w:bottom w:val="single" w:sz="4" w:space="0" w:color="auto"/>
              <w:right w:val="single" w:sz="4" w:space="0" w:color="auto"/>
            </w:tcBorders>
            <w:shd w:val="clear" w:color="auto" w:fill="D9D9D9"/>
            <w:noWrap/>
            <w:vAlign w:val="bottom"/>
            <w:hideMark/>
          </w:tcPr>
          <w:p w14:paraId="240635B1" w14:textId="77777777" w:rsidR="00164E40" w:rsidRPr="008D2522" w:rsidRDefault="00164E40" w:rsidP="00055CFC">
            <w:pPr>
              <w:spacing w:before="0" w:after="0"/>
              <w:jc w:val="center"/>
              <w:rPr>
                <w:rFonts w:eastAsia="Times New Roman" w:cs="Arial"/>
                <w:b/>
                <w:bCs/>
                <w:color w:val="000000"/>
                <w:sz w:val="22"/>
                <w:lang w:eastAsia="es-CR"/>
              </w:rPr>
            </w:pPr>
            <w:r w:rsidRPr="008D2522">
              <w:rPr>
                <w:rFonts w:eastAsia="Times New Roman" w:cs="Arial"/>
                <w:b/>
                <w:bCs/>
                <w:color w:val="000000"/>
                <w:sz w:val="22"/>
                <w:lang w:eastAsia="es-CR"/>
              </w:rPr>
              <w:t>143</w:t>
            </w:r>
          </w:p>
        </w:tc>
      </w:tr>
    </w:tbl>
    <w:p w14:paraId="07B4C97A" w14:textId="77777777" w:rsidR="00DD4787" w:rsidRPr="008D2522" w:rsidRDefault="00DD4787" w:rsidP="003848C2">
      <w:pPr>
        <w:spacing w:after="0"/>
        <w:rPr>
          <w:rFonts w:eastAsia="Arial" w:cs="Arial"/>
          <w:sz w:val="20"/>
          <w:szCs w:val="20"/>
        </w:rPr>
      </w:pPr>
      <w:r w:rsidRPr="008D2522">
        <w:rPr>
          <w:rFonts w:eastAsia="Arial" w:cs="Arial"/>
          <w:b/>
          <w:bCs/>
          <w:sz w:val="20"/>
          <w:szCs w:val="20"/>
        </w:rPr>
        <w:t>Fuente:</w:t>
      </w:r>
      <w:r w:rsidRPr="008D2522">
        <w:rPr>
          <w:rFonts w:eastAsia="Arial" w:cs="Arial"/>
          <w:sz w:val="20"/>
          <w:szCs w:val="20"/>
        </w:rPr>
        <w:t xml:space="preserve"> Subproceso de Modernización Institucional, de la Dirección de Planificación con datos facilitados por la Administración de la Defensa Pública.</w:t>
      </w:r>
    </w:p>
    <w:p w14:paraId="4989DD3C" w14:textId="22D88325" w:rsidR="00DD4787" w:rsidRPr="00163514" w:rsidRDefault="00DD4787" w:rsidP="00163514">
      <w:pPr>
        <w:spacing w:line="240" w:lineRule="auto"/>
        <w:rPr>
          <w:rFonts w:ascii="Book Antiqua" w:hAnsi="Book Antiqua"/>
        </w:rPr>
      </w:pPr>
      <w:r w:rsidRPr="00163514">
        <w:rPr>
          <w:rFonts w:ascii="Book Antiqua" w:hAnsi="Book Antiqua"/>
        </w:rPr>
        <w:t>Con base en la tabla anterior, se puede observar que, un proceso</w:t>
      </w:r>
      <w:r w:rsidR="00C0058A" w:rsidRPr="00163514">
        <w:rPr>
          <w:rFonts w:ascii="Book Antiqua" w:hAnsi="Book Antiqua"/>
        </w:rPr>
        <w:t xml:space="preserve"> (expediente)</w:t>
      </w:r>
      <w:r w:rsidRPr="00163514">
        <w:rPr>
          <w:rFonts w:ascii="Book Antiqua" w:hAnsi="Book Antiqua"/>
        </w:rPr>
        <w:t xml:space="preserve"> mantiene en promedio 1,12 personas usuarias indígenas como intervinientes, </w:t>
      </w:r>
      <w:r w:rsidR="008E16BF" w:rsidRPr="00163514">
        <w:rPr>
          <w:rFonts w:ascii="Book Antiqua" w:hAnsi="Book Antiqua"/>
        </w:rPr>
        <w:t>en lo</w:t>
      </w:r>
      <w:r w:rsidR="00632D38" w:rsidRPr="00163514">
        <w:rPr>
          <w:rFonts w:ascii="Book Antiqua" w:hAnsi="Book Antiqua"/>
        </w:rPr>
        <w:t>s</w:t>
      </w:r>
      <w:r w:rsidR="008E16BF" w:rsidRPr="00163514">
        <w:rPr>
          <w:rFonts w:ascii="Book Antiqua" w:hAnsi="Book Antiqua"/>
        </w:rPr>
        <w:t xml:space="preserve"> cuales </w:t>
      </w:r>
      <w:r w:rsidRPr="00163514">
        <w:rPr>
          <w:rFonts w:ascii="Book Antiqua" w:hAnsi="Book Antiqua"/>
        </w:rPr>
        <w:t>hay 143 personas usuarias indígenas</w:t>
      </w:r>
      <w:r w:rsidR="00C0058A" w:rsidRPr="00163514">
        <w:rPr>
          <w:rFonts w:ascii="Book Antiqua" w:hAnsi="Book Antiqua"/>
        </w:rPr>
        <w:t xml:space="preserve"> en calidad de interviniente </w:t>
      </w:r>
      <w:r w:rsidRPr="00163514">
        <w:rPr>
          <w:rFonts w:ascii="Book Antiqua" w:hAnsi="Book Antiqua"/>
        </w:rPr>
        <w:t xml:space="preserve">en asuntos donde hay dos o más personas indígenas intervinientes. </w:t>
      </w:r>
    </w:p>
    <w:p w14:paraId="053F0702" w14:textId="7963BAC2" w:rsidR="00164E40" w:rsidRPr="00163514" w:rsidRDefault="00DD4787" w:rsidP="00163514">
      <w:pPr>
        <w:spacing w:line="240" w:lineRule="auto"/>
        <w:rPr>
          <w:rFonts w:ascii="Book Antiqua" w:eastAsia="Arial" w:hAnsi="Book Antiqua" w:cs="Arial"/>
        </w:rPr>
      </w:pPr>
      <w:r w:rsidRPr="00163514">
        <w:rPr>
          <w:rFonts w:ascii="Book Antiqua" w:eastAsia="Arial" w:hAnsi="Book Antiqua" w:cs="Arial"/>
        </w:rPr>
        <w:t>Haciendo la segregación por materia, se evidencia que</w:t>
      </w:r>
      <w:r w:rsidR="00C0058A" w:rsidRPr="00163514">
        <w:rPr>
          <w:rFonts w:ascii="Book Antiqua" w:eastAsia="Arial" w:hAnsi="Book Antiqua" w:cs="Arial"/>
        </w:rPr>
        <w:t>,</w:t>
      </w:r>
      <w:r w:rsidRPr="00163514">
        <w:rPr>
          <w:rFonts w:ascii="Book Antiqua" w:eastAsia="Arial" w:hAnsi="Book Antiqua" w:cs="Arial"/>
        </w:rPr>
        <w:t xml:space="preserve"> </w:t>
      </w:r>
      <w:r w:rsidR="00C0058A" w:rsidRPr="00163514">
        <w:rPr>
          <w:rFonts w:ascii="Book Antiqua" w:eastAsia="Arial" w:hAnsi="Book Antiqua" w:cs="Arial"/>
        </w:rPr>
        <w:t xml:space="preserve">de los asuntos que ingresaron de octubre de 2018 a setiembre 2019, </w:t>
      </w:r>
      <w:r w:rsidRPr="00163514">
        <w:rPr>
          <w:rFonts w:ascii="Book Antiqua" w:eastAsia="Arial" w:hAnsi="Book Antiqua" w:cs="Arial"/>
        </w:rPr>
        <w:t xml:space="preserve">la materia penal mantiene la mayor proporción de </w:t>
      </w:r>
      <w:r w:rsidR="00C0058A" w:rsidRPr="00163514">
        <w:rPr>
          <w:rFonts w:ascii="Book Antiqua" w:eastAsia="Arial" w:hAnsi="Book Antiqua" w:cs="Arial"/>
        </w:rPr>
        <w:t xml:space="preserve">cantidad de personas usuarias indígenas por expediente (1,25); es decir, hay 74 personas usuarias indígenas que se mantienen en procesos con dos o más intervinientes. Aunado a lo anterior, materia agraria mantiene un promedio de 1,12 personas usuarias indígenas por proceso, pero 11 personas se mantienen en asuntos con dos o más intervinientes. Las demás materias mantienen en promedio 1,06 personas indígenas intervinientes por cada expediente, lo </w:t>
      </w:r>
      <w:r w:rsidR="00B85871" w:rsidRPr="00163514">
        <w:rPr>
          <w:rFonts w:ascii="Book Antiqua" w:eastAsia="Arial" w:hAnsi="Book Antiqua" w:cs="Arial"/>
        </w:rPr>
        <w:t xml:space="preserve">anterior </w:t>
      </w:r>
      <w:r w:rsidR="00C0058A" w:rsidRPr="00163514">
        <w:rPr>
          <w:rFonts w:ascii="Book Antiqua" w:eastAsia="Arial" w:hAnsi="Book Antiqua" w:cs="Arial"/>
        </w:rPr>
        <w:t xml:space="preserve">equivale a </w:t>
      </w:r>
      <w:r w:rsidR="00B85871" w:rsidRPr="00163514">
        <w:rPr>
          <w:rFonts w:ascii="Book Antiqua" w:eastAsia="Arial" w:hAnsi="Book Antiqua" w:cs="Arial"/>
        </w:rPr>
        <w:t>que</w:t>
      </w:r>
      <w:r w:rsidR="0059168A" w:rsidRPr="00163514">
        <w:rPr>
          <w:rFonts w:ascii="Book Antiqua" w:eastAsia="Arial" w:hAnsi="Book Antiqua" w:cs="Arial"/>
        </w:rPr>
        <w:t xml:space="preserve"> solo</w:t>
      </w:r>
      <w:r w:rsidR="00B85871" w:rsidRPr="00163514">
        <w:rPr>
          <w:rFonts w:ascii="Book Antiqua" w:eastAsia="Arial" w:hAnsi="Book Antiqua" w:cs="Arial"/>
        </w:rPr>
        <w:t xml:space="preserve"> </w:t>
      </w:r>
      <w:r w:rsidR="00C0058A" w:rsidRPr="00163514">
        <w:rPr>
          <w:rFonts w:ascii="Book Antiqua" w:eastAsia="Arial" w:hAnsi="Book Antiqua" w:cs="Arial"/>
        </w:rPr>
        <w:t xml:space="preserve">6 </w:t>
      </w:r>
      <w:r w:rsidR="00B85871" w:rsidRPr="00163514">
        <w:rPr>
          <w:rFonts w:ascii="Book Antiqua" w:eastAsia="Arial" w:hAnsi="Book Antiqua" w:cs="Arial"/>
        </w:rPr>
        <w:t xml:space="preserve">de cada 100 </w:t>
      </w:r>
      <w:r w:rsidR="00C0058A" w:rsidRPr="00163514">
        <w:rPr>
          <w:rFonts w:ascii="Book Antiqua" w:eastAsia="Arial" w:hAnsi="Book Antiqua" w:cs="Arial"/>
        </w:rPr>
        <w:t xml:space="preserve">personas </w:t>
      </w:r>
      <w:r w:rsidR="00B85871" w:rsidRPr="00163514">
        <w:rPr>
          <w:rFonts w:ascii="Book Antiqua" w:eastAsia="Arial" w:hAnsi="Book Antiqua" w:cs="Arial"/>
        </w:rPr>
        <w:t xml:space="preserve">indígenas, en los asuntos ingresados, sean </w:t>
      </w:r>
      <w:r w:rsidR="00C0058A" w:rsidRPr="00163514">
        <w:rPr>
          <w:rFonts w:ascii="Book Antiqua" w:eastAsia="Arial" w:hAnsi="Book Antiqua" w:cs="Arial"/>
        </w:rPr>
        <w:t xml:space="preserve">partícipes en asuntos con dos o más intervinientes. </w:t>
      </w:r>
    </w:p>
    <w:p w14:paraId="27EE3CFE" w14:textId="77777777" w:rsidR="00DA63C3" w:rsidRPr="00163514" w:rsidRDefault="00DA63C3" w:rsidP="00163514">
      <w:pPr>
        <w:spacing w:line="240" w:lineRule="auto"/>
        <w:rPr>
          <w:rFonts w:ascii="Book Antiqua" w:eastAsia="Arial" w:hAnsi="Book Antiqua" w:cs="Arial"/>
        </w:rPr>
      </w:pPr>
      <w:r w:rsidRPr="00163514">
        <w:rPr>
          <w:rFonts w:ascii="Book Antiqua" w:eastAsia="Arial" w:hAnsi="Book Antiqua" w:cs="Arial"/>
        </w:rPr>
        <w:t xml:space="preserve">Ahora bien, se tiene como excepción algunos asuntos conocidos dentro de la Defensa Pública, donde la Supervisora de Asuntos Indígenas indica que intervienen gran cantidad de personas usuarias indígenas y por ello, se toma en consideración dentro del análisis actual. </w:t>
      </w:r>
    </w:p>
    <w:p w14:paraId="3DC80B95" w14:textId="3E1E39BD" w:rsidR="00DA63C3" w:rsidRDefault="00DA63C3" w:rsidP="00163514">
      <w:pPr>
        <w:spacing w:line="240" w:lineRule="auto"/>
        <w:rPr>
          <w:rFonts w:ascii="Book Antiqua" w:eastAsia="Arial" w:hAnsi="Book Antiqua" w:cs="Arial"/>
        </w:rPr>
      </w:pPr>
      <w:r w:rsidRPr="00163514">
        <w:rPr>
          <w:rFonts w:ascii="Book Antiqua" w:eastAsia="Arial" w:hAnsi="Book Antiqua" w:cs="Arial"/>
        </w:rPr>
        <w:t xml:space="preserve">Sin embargo, con base en el informe 634-PLA-RH-MI-2019 </w:t>
      </w:r>
      <w:r w:rsidRPr="00163514">
        <w:rPr>
          <w:rFonts w:ascii="Book Antiqua" w:eastAsia="Arial" w:hAnsi="Book Antiqua" w:cs="Arial"/>
          <w:i/>
          <w:iCs/>
        </w:rPr>
        <w:t>“Impacto organizacional y presupuestario en el Poder Judicial, (Defensa Pública) a partir de la promulgación de la Ley 9593 de Acceso a la Justicia de los Pueblos Indígenas (incluye materia disciplinaria, agraria y pensión alimentaria)”</w:t>
      </w:r>
      <w:r w:rsidRPr="00163514">
        <w:rPr>
          <w:rFonts w:ascii="Book Antiqua" w:eastAsia="Arial" w:hAnsi="Book Antiqua" w:cs="Arial"/>
        </w:rPr>
        <w:t xml:space="preserve"> y el presente análisis estadístico, se infiere técnicamente que dichos expedientes responden a casos aislados y se encuentran fuera de los límites </w:t>
      </w:r>
      <w:r w:rsidRPr="00163514">
        <w:rPr>
          <w:rFonts w:ascii="Book Antiqua" w:eastAsia="Arial" w:hAnsi="Book Antiqua" w:cs="Arial"/>
        </w:rPr>
        <w:lastRenderedPageBreak/>
        <w:t>de control, debido a que en el amplio periodo de tiempo de estudio no se refleja el comportamiento descrito.</w:t>
      </w:r>
    </w:p>
    <w:p w14:paraId="2899DB0F" w14:textId="77777777" w:rsidR="00163514" w:rsidRPr="00163514" w:rsidRDefault="00163514" w:rsidP="00163514">
      <w:pPr>
        <w:spacing w:line="240" w:lineRule="auto"/>
        <w:rPr>
          <w:rFonts w:ascii="Book Antiqua" w:eastAsia="Arial" w:hAnsi="Book Antiqua" w:cs="Arial"/>
        </w:rPr>
      </w:pPr>
    </w:p>
    <w:p w14:paraId="56F89A20" w14:textId="75F19AEA" w:rsidR="0C57E0BD" w:rsidRPr="00163514" w:rsidRDefault="00B85871" w:rsidP="00163514">
      <w:pPr>
        <w:spacing w:line="240" w:lineRule="auto"/>
        <w:rPr>
          <w:rFonts w:ascii="Book Antiqua" w:eastAsia="Arial" w:hAnsi="Book Antiqua" w:cs="Arial"/>
        </w:rPr>
      </w:pPr>
      <w:r w:rsidRPr="00163514">
        <w:rPr>
          <w:rFonts w:ascii="Book Antiqua" w:eastAsia="Arial" w:hAnsi="Book Antiqua" w:cs="Arial"/>
        </w:rPr>
        <w:t>Además, de la</w:t>
      </w:r>
      <w:r w:rsidR="008E16BF" w:rsidRPr="00163514">
        <w:rPr>
          <w:rFonts w:ascii="Book Antiqua" w:eastAsia="Arial" w:hAnsi="Book Antiqua" w:cs="Arial"/>
        </w:rPr>
        <w:t xml:space="preserve"> </w:t>
      </w:r>
      <w:r w:rsidR="008E16BF" w:rsidRPr="00163514">
        <w:rPr>
          <w:rFonts w:ascii="Book Antiqua" w:eastAsia="Arial" w:hAnsi="Book Antiqua" w:cs="Arial"/>
          <w:b/>
          <w:bCs/>
        </w:rPr>
        <w:fldChar w:fldCharType="begin"/>
      </w:r>
      <w:r w:rsidR="008E16BF" w:rsidRPr="00163514">
        <w:rPr>
          <w:rFonts w:ascii="Book Antiqua" w:eastAsia="Arial" w:hAnsi="Book Antiqua" w:cs="Arial"/>
          <w:b/>
          <w:bCs/>
        </w:rPr>
        <w:instrText xml:space="preserve"> REF _Ref32905285 \h  \* MERGEFORMAT </w:instrText>
      </w:r>
      <w:r w:rsidR="008E16BF" w:rsidRPr="00163514">
        <w:rPr>
          <w:rFonts w:ascii="Book Antiqua" w:eastAsia="Arial" w:hAnsi="Book Antiqua" w:cs="Arial"/>
          <w:b/>
          <w:bCs/>
        </w:rPr>
      </w:r>
      <w:r w:rsidR="008E16BF" w:rsidRPr="00163514">
        <w:rPr>
          <w:rFonts w:ascii="Book Antiqua" w:eastAsia="Arial" w:hAnsi="Book Antiqua" w:cs="Arial"/>
          <w:b/>
          <w:bCs/>
        </w:rPr>
        <w:fldChar w:fldCharType="separate"/>
      </w:r>
      <w:r w:rsidR="002F267E" w:rsidRPr="00163514">
        <w:rPr>
          <w:rFonts w:ascii="Book Antiqua" w:hAnsi="Book Antiqua" w:cs="Arial"/>
          <w:b/>
          <w:bCs/>
          <w:szCs w:val="24"/>
        </w:rPr>
        <w:t xml:space="preserve">Tabla </w:t>
      </w:r>
      <w:r w:rsidR="002F267E" w:rsidRPr="00163514">
        <w:rPr>
          <w:rFonts w:ascii="Book Antiqua" w:hAnsi="Book Antiqua" w:cs="Arial"/>
          <w:b/>
          <w:bCs/>
          <w:noProof/>
          <w:szCs w:val="24"/>
        </w:rPr>
        <w:t>1</w:t>
      </w:r>
      <w:r w:rsidR="002F267E" w:rsidRPr="00163514">
        <w:rPr>
          <w:rFonts w:ascii="Book Antiqua" w:hAnsi="Book Antiqua" w:cs="Arial"/>
          <w:b/>
          <w:bCs/>
          <w:szCs w:val="24"/>
        </w:rPr>
        <w:t xml:space="preserve"> Cantidad de asuntos entrados, de octubre 2018 a setiembre 2019, y la cantidad de personas usuarias indígenas intervinientes</w:t>
      </w:r>
      <w:r w:rsidR="008E16BF" w:rsidRPr="00163514">
        <w:rPr>
          <w:rFonts w:ascii="Book Antiqua" w:eastAsia="Arial" w:hAnsi="Book Antiqua" w:cs="Arial"/>
          <w:b/>
          <w:bCs/>
        </w:rPr>
        <w:fldChar w:fldCharType="end"/>
      </w:r>
      <w:r w:rsidR="008E16BF" w:rsidRPr="00163514">
        <w:rPr>
          <w:rFonts w:ascii="Book Antiqua" w:eastAsia="Arial" w:hAnsi="Book Antiqua" w:cs="Arial"/>
        </w:rPr>
        <w:t>;</w:t>
      </w:r>
      <w:r w:rsidRPr="00163514">
        <w:rPr>
          <w:rFonts w:ascii="Book Antiqua" w:eastAsia="Arial" w:hAnsi="Book Antiqua" w:cs="Arial"/>
        </w:rPr>
        <w:t xml:space="preserve"> se puede inferir que la entrada promedio mensual de asuntos</w:t>
      </w:r>
      <w:r w:rsidR="002A15B9" w:rsidRPr="00163514">
        <w:rPr>
          <w:rFonts w:ascii="Book Antiqua" w:eastAsia="Arial" w:hAnsi="Book Antiqua" w:cs="Arial"/>
        </w:rPr>
        <w:t>, a nivel nacional,</w:t>
      </w:r>
      <w:r w:rsidRPr="00163514">
        <w:rPr>
          <w:rFonts w:ascii="Book Antiqua" w:eastAsia="Arial" w:hAnsi="Book Antiqua" w:cs="Arial"/>
        </w:rPr>
        <w:t xml:space="preserve"> es de 103, con 116 personas usuarias indígenas intervinientes. </w:t>
      </w:r>
      <w:r w:rsidR="002A15B9" w:rsidRPr="00163514">
        <w:rPr>
          <w:rFonts w:ascii="Book Antiqua" w:eastAsia="Arial" w:hAnsi="Book Antiqua" w:cs="Arial"/>
        </w:rPr>
        <w:t xml:space="preserve">De esos 103 asuntos nuevos a nivel nacional, en promedio 37 son de Pensiones Alimentarias, 26 de Penal Ordinario, 12 de Penalización de Violencia contra Mujer, 8 de materia agraria y, las restantes 20 causas son </w:t>
      </w:r>
      <w:r w:rsidR="0C57E0BD" w:rsidRPr="00163514">
        <w:rPr>
          <w:rFonts w:ascii="Book Antiqua" w:eastAsia="Arial" w:hAnsi="Book Antiqua" w:cs="Arial"/>
        </w:rPr>
        <w:t>Laboral, Familia, Penal Juvenil, Ejecución de la Pena, Contravencional, Revisiones y Ejecución de la Pena en Penal Juvenil.</w:t>
      </w:r>
    </w:p>
    <w:p w14:paraId="6E074823" w14:textId="6A9ECAF4" w:rsidR="0C57E0BD" w:rsidRPr="00163514" w:rsidRDefault="0C57E0BD" w:rsidP="00163514">
      <w:pPr>
        <w:spacing w:line="240" w:lineRule="auto"/>
        <w:rPr>
          <w:rFonts w:ascii="Book Antiqua" w:eastAsia="Arial" w:hAnsi="Book Antiqua" w:cs="Arial"/>
        </w:rPr>
      </w:pPr>
      <w:r w:rsidRPr="00163514">
        <w:rPr>
          <w:rFonts w:ascii="Book Antiqua" w:eastAsia="Arial" w:hAnsi="Book Antiqua" w:cs="Arial"/>
        </w:rPr>
        <w:t xml:space="preserve">Ahora, en la siguiente figura se evidencia la concentración mensual por oficina de la Defensa Pública, de la cantidad de </w:t>
      </w:r>
      <w:r w:rsidR="002A15B9" w:rsidRPr="00163514">
        <w:rPr>
          <w:rFonts w:ascii="Book Antiqua" w:eastAsia="Arial" w:hAnsi="Book Antiqua" w:cs="Arial"/>
        </w:rPr>
        <w:t>asuntos entrados con</w:t>
      </w:r>
      <w:r w:rsidRPr="00163514">
        <w:rPr>
          <w:rFonts w:ascii="Book Antiqua" w:eastAsia="Arial" w:hAnsi="Book Antiqua" w:cs="Arial"/>
        </w:rPr>
        <w:t xml:space="preserve"> </w:t>
      </w:r>
      <w:r w:rsidR="002A15B9" w:rsidRPr="00163514">
        <w:rPr>
          <w:rFonts w:ascii="Book Antiqua" w:eastAsia="Arial" w:hAnsi="Book Antiqua" w:cs="Arial"/>
        </w:rPr>
        <w:t xml:space="preserve">personas </w:t>
      </w:r>
      <w:r w:rsidRPr="00163514">
        <w:rPr>
          <w:rFonts w:ascii="Book Antiqua" w:eastAsia="Arial" w:hAnsi="Book Antiqua" w:cs="Arial"/>
        </w:rPr>
        <w:t xml:space="preserve">usuarias indígenas durante octubre 2018 hasta setiembre 2019. </w:t>
      </w:r>
    </w:p>
    <w:p w14:paraId="56FDDB92" w14:textId="68DCD312" w:rsidR="002A15B9" w:rsidRPr="008D2522" w:rsidRDefault="002A15B9" w:rsidP="00055CFC">
      <w:pPr>
        <w:pStyle w:val="Descripcin"/>
        <w:keepNext/>
        <w:spacing w:before="0" w:after="0"/>
        <w:jc w:val="center"/>
        <w:rPr>
          <w:rFonts w:cs="Arial"/>
          <w:sz w:val="24"/>
          <w:szCs w:val="24"/>
        </w:rPr>
      </w:pPr>
      <w:r w:rsidRPr="008D2522">
        <w:rPr>
          <w:rFonts w:cs="Arial"/>
          <w:sz w:val="24"/>
          <w:szCs w:val="24"/>
        </w:rPr>
        <w:t xml:space="preserve">Figura </w:t>
      </w:r>
      <w:r w:rsidRPr="008D2522">
        <w:rPr>
          <w:rFonts w:cs="Arial"/>
          <w:sz w:val="24"/>
          <w:szCs w:val="24"/>
        </w:rPr>
        <w:fldChar w:fldCharType="begin"/>
      </w:r>
      <w:r w:rsidRPr="008D2522">
        <w:rPr>
          <w:rFonts w:cs="Arial"/>
          <w:sz w:val="24"/>
          <w:szCs w:val="24"/>
        </w:rPr>
        <w:instrText xml:space="preserve"> SEQ Figura \* ARABIC </w:instrText>
      </w:r>
      <w:r w:rsidRPr="008D2522">
        <w:rPr>
          <w:rFonts w:cs="Arial"/>
          <w:sz w:val="24"/>
          <w:szCs w:val="24"/>
        </w:rPr>
        <w:fldChar w:fldCharType="separate"/>
      </w:r>
      <w:r w:rsidR="008276AA">
        <w:rPr>
          <w:rFonts w:cs="Arial"/>
          <w:noProof/>
          <w:sz w:val="24"/>
          <w:szCs w:val="24"/>
        </w:rPr>
        <w:t>4</w:t>
      </w:r>
      <w:r w:rsidRPr="008D2522">
        <w:rPr>
          <w:rFonts w:cs="Arial"/>
          <w:sz w:val="24"/>
          <w:szCs w:val="24"/>
        </w:rPr>
        <w:fldChar w:fldCharType="end"/>
      </w:r>
      <w:r w:rsidRPr="008D2522">
        <w:rPr>
          <w:rFonts w:cs="Arial"/>
          <w:sz w:val="24"/>
          <w:szCs w:val="24"/>
        </w:rPr>
        <w:t xml:space="preserve"> </w:t>
      </w:r>
      <w:r w:rsidRPr="008D2522">
        <w:rPr>
          <w:rFonts w:eastAsia="Arial" w:cs="Arial"/>
          <w:sz w:val="24"/>
          <w:szCs w:val="24"/>
        </w:rPr>
        <w:t>Cantidad de asuntos entrados de octubre 2018 a setiembre 2019, con personas indígenas representadas por la Defensa Pública</w:t>
      </w:r>
    </w:p>
    <w:p w14:paraId="7C2EF4C7" w14:textId="4D7252F6" w:rsidR="0C57E0BD" w:rsidRPr="008D2522" w:rsidRDefault="008D1B0F" w:rsidP="00055CFC">
      <w:pPr>
        <w:spacing w:before="0" w:after="0"/>
        <w:jc w:val="center"/>
        <w:rPr>
          <w:rFonts w:cs="Arial"/>
        </w:rPr>
      </w:pPr>
      <w:r>
        <w:rPr>
          <w:rFonts w:cs="Arial"/>
          <w:noProof/>
        </w:rPr>
        <mc:AlternateContent>
          <mc:Choice Requires="cx2">
            <w:drawing>
              <wp:inline distT="0" distB="0" distL="0" distR="0" wp14:anchorId="2C2700CE" wp14:editId="478B7E1F">
                <wp:extent cx="5937885" cy="3211830"/>
                <wp:effectExtent l="0" t="0" r="0" b="0"/>
                <wp:docPr id="6" name="Imagen 6"/>
                <wp:cNvGraphicFramePr>
                  <a:graphicFrameLocks xmlns:a="http://schemas.openxmlformats.org/drawingml/2006/main" noGrp="1" noChangeAspect="1" noMove="1" noResize="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6"/>
                  </a:graphicData>
                </a:graphic>
              </wp:inline>
            </w:drawing>
          </mc:Choice>
          <mc:Fallback xmlns:arto="http://schemas.microsoft.com/office/word/2006/arto" xmlns:a16="http://schemas.microsoft.com/office/drawing/2014/main" xmlns:c="http://schemas.openxmlformats.org/drawingml/2006/chart" xmlns:a14="http://schemas.microsoft.com/office/drawing/2010/main" xmlns:pic="http://schemas.openxmlformats.org/drawingml/2006/picture" xmlns:a="http://schemas.openxmlformats.org/drawingml/2006/main" xmlns:w16="http://schemas.microsoft.com/office/word/2018/wordml" xmlns:w16cex="http://schemas.microsoft.com/office/word/2018/wordml/cex">
            <w:drawing>
              <wp:inline distT="0" distB="0" distL="0" distR="0" wp14:anchorId="3AFB6DD1" wp14:editId="478B7E1F">
                <wp:extent cx="5937885" cy="3211830"/>
                <wp:effectExtent l="0" t="0" r="0" b="0"/>
                <wp:docPr id="598219617" name="Imagen 6"/>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6" name="Imagen 6"/>
                        <pic:cNvPicPr>
                          <a:picLocks noGrp="1" noRot="1" noChangeAspect="1" noMove="1" noResize="1" noEditPoints="1" noAdjustHandles="1" noChangeArrowheads="1" noChangeShapeType="1"/>
                        </pic:cNvPicPr>
                      </pic:nvPicPr>
                      <pic:blipFill>
                        <a:blip r:embed="rId18"/>
                        <a:stretch>
                          <a:fillRect/>
                        </a:stretch>
                      </pic:blipFill>
                      <pic:spPr>
                        <a:xfrm>
                          <a:off x="0" y="0"/>
                          <a:ext cx="5937885" cy="3211830"/>
                        </a:xfrm>
                        <a:prstGeom prst="rect">
                          <a:avLst/>
                        </a:prstGeom>
                      </pic:spPr>
                    </pic:pic>
                  </a:graphicData>
                </a:graphic>
              </wp:inline>
            </w:drawing>
          </mc:Fallback>
        </mc:AlternateContent>
      </w:r>
    </w:p>
    <w:p w14:paraId="49399672" w14:textId="1D7D9509" w:rsidR="0C57E0BD" w:rsidRPr="008D2522" w:rsidRDefault="0C57E0BD" w:rsidP="00055CFC">
      <w:pPr>
        <w:spacing w:before="0" w:after="0"/>
        <w:rPr>
          <w:rFonts w:eastAsia="Arial" w:cs="Arial"/>
          <w:sz w:val="20"/>
          <w:szCs w:val="20"/>
        </w:rPr>
      </w:pPr>
      <w:r w:rsidRPr="008D2522">
        <w:rPr>
          <w:rFonts w:eastAsia="Arial" w:cs="Arial"/>
          <w:b/>
          <w:bCs/>
          <w:sz w:val="20"/>
          <w:szCs w:val="20"/>
        </w:rPr>
        <w:t>Fuente:</w:t>
      </w:r>
      <w:r w:rsidRPr="008D2522">
        <w:rPr>
          <w:rFonts w:eastAsia="Arial" w:cs="Arial"/>
          <w:sz w:val="20"/>
          <w:szCs w:val="20"/>
        </w:rPr>
        <w:t xml:space="preserve"> Subproceso de Modernización Institucional, de la Dirección de Planificación con datos facilitados por la Administración de la Defensa Pública.</w:t>
      </w:r>
    </w:p>
    <w:p w14:paraId="7AC1A3AD" w14:textId="7A9A50F9" w:rsidR="006359B9" w:rsidRPr="00163514" w:rsidRDefault="0C57E0BD" w:rsidP="00163514">
      <w:pPr>
        <w:spacing w:line="240" w:lineRule="auto"/>
        <w:rPr>
          <w:rFonts w:ascii="Book Antiqua" w:hAnsi="Book Antiqua"/>
        </w:rPr>
      </w:pPr>
      <w:r w:rsidRPr="00163514">
        <w:rPr>
          <w:rFonts w:ascii="Book Antiqua" w:hAnsi="Book Antiqua"/>
        </w:rPr>
        <w:lastRenderedPageBreak/>
        <w:t xml:space="preserve">Con base en la información mostrada en la figura anterior, </w:t>
      </w:r>
      <w:r w:rsidR="00B058E2" w:rsidRPr="00163514">
        <w:rPr>
          <w:rFonts w:ascii="Book Antiqua" w:hAnsi="Book Antiqua"/>
        </w:rPr>
        <w:t xml:space="preserve">en un primer bloque </w:t>
      </w:r>
      <w:r w:rsidRPr="00163514">
        <w:rPr>
          <w:rFonts w:ascii="Book Antiqua" w:hAnsi="Book Antiqua"/>
        </w:rPr>
        <w:t xml:space="preserve">se puede inferir que la mayor concentración de </w:t>
      </w:r>
      <w:r w:rsidR="002A15B9" w:rsidRPr="00163514">
        <w:rPr>
          <w:rFonts w:ascii="Book Antiqua" w:hAnsi="Book Antiqua"/>
        </w:rPr>
        <w:t>asuntos con personas</w:t>
      </w:r>
      <w:r w:rsidRPr="00163514">
        <w:rPr>
          <w:rFonts w:ascii="Book Antiqua" w:hAnsi="Book Antiqua"/>
        </w:rPr>
        <w:t xml:space="preserve"> usuarias indígenas </w:t>
      </w:r>
      <w:r w:rsidR="002A15B9" w:rsidRPr="00163514">
        <w:rPr>
          <w:rFonts w:ascii="Book Antiqua" w:hAnsi="Book Antiqua"/>
        </w:rPr>
        <w:t xml:space="preserve">se encuentra en </w:t>
      </w:r>
      <w:r w:rsidRPr="00163514">
        <w:rPr>
          <w:rFonts w:ascii="Book Antiqua" w:hAnsi="Book Antiqua"/>
        </w:rPr>
        <w:t xml:space="preserve">la Defensa Pública de Buenos Aires, con un promedio de ingreso </w:t>
      </w:r>
      <w:r w:rsidR="002A15B9" w:rsidRPr="00163514">
        <w:rPr>
          <w:rFonts w:ascii="Book Antiqua" w:hAnsi="Book Antiqua"/>
        </w:rPr>
        <w:t xml:space="preserve">mensual </w:t>
      </w:r>
      <w:r w:rsidRPr="00163514">
        <w:rPr>
          <w:rFonts w:ascii="Book Antiqua" w:hAnsi="Book Antiqua"/>
        </w:rPr>
        <w:t>de 3</w:t>
      </w:r>
      <w:r w:rsidR="002A15B9" w:rsidRPr="00163514">
        <w:rPr>
          <w:rFonts w:ascii="Book Antiqua" w:hAnsi="Book Antiqua"/>
        </w:rPr>
        <w:t>0</w:t>
      </w:r>
      <w:r w:rsidRPr="00163514">
        <w:rPr>
          <w:rFonts w:ascii="Book Antiqua" w:hAnsi="Book Antiqua"/>
        </w:rPr>
        <w:t xml:space="preserve"> </w:t>
      </w:r>
      <w:r w:rsidR="002A15B9" w:rsidRPr="00163514">
        <w:rPr>
          <w:rFonts w:ascii="Book Antiqua" w:hAnsi="Book Antiqua"/>
        </w:rPr>
        <w:t>expedientes</w:t>
      </w:r>
      <w:r w:rsidRPr="00163514">
        <w:rPr>
          <w:rFonts w:ascii="Book Antiqua" w:hAnsi="Book Antiqua"/>
        </w:rPr>
        <w:t>; seguido de la Defensa Pública de Bribri, con un promedio de ingreso</w:t>
      </w:r>
      <w:r w:rsidR="00631F95" w:rsidRPr="00163514">
        <w:rPr>
          <w:rFonts w:ascii="Book Antiqua" w:hAnsi="Book Antiqua"/>
        </w:rPr>
        <w:t xml:space="preserve"> mensual</w:t>
      </w:r>
      <w:r w:rsidRPr="00163514">
        <w:rPr>
          <w:rFonts w:ascii="Book Antiqua" w:hAnsi="Book Antiqua"/>
        </w:rPr>
        <w:t xml:space="preserve"> de </w:t>
      </w:r>
      <w:r w:rsidR="00631F95" w:rsidRPr="00163514">
        <w:rPr>
          <w:rFonts w:ascii="Book Antiqua" w:hAnsi="Book Antiqua"/>
        </w:rPr>
        <w:t>29 asuntos</w:t>
      </w:r>
      <w:r w:rsidRPr="00163514">
        <w:rPr>
          <w:rFonts w:ascii="Book Antiqua" w:hAnsi="Book Antiqua"/>
        </w:rPr>
        <w:t xml:space="preserve">. Las dos oficinas de la Defensa Pública mencionadas anteriormente responden al </w:t>
      </w:r>
      <w:r w:rsidR="00631F95" w:rsidRPr="00163514">
        <w:rPr>
          <w:rFonts w:ascii="Book Antiqua" w:hAnsi="Book Antiqua"/>
        </w:rPr>
        <w:t>58</w:t>
      </w:r>
      <w:r w:rsidRPr="00163514">
        <w:rPr>
          <w:rFonts w:ascii="Book Antiqua" w:hAnsi="Book Antiqua"/>
        </w:rPr>
        <w:t xml:space="preserve">% del total de </w:t>
      </w:r>
      <w:r w:rsidR="00631F95" w:rsidRPr="00163514">
        <w:rPr>
          <w:rFonts w:ascii="Book Antiqua" w:hAnsi="Book Antiqua"/>
        </w:rPr>
        <w:t>asuntos entrados a nivel nacional</w:t>
      </w:r>
      <w:r w:rsidRPr="00163514">
        <w:rPr>
          <w:rFonts w:ascii="Book Antiqua" w:hAnsi="Book Antiqua"/>
        </w:rPr>
        <w:t xml:space="preserve">. </w:t>
      </w:r>
    </w:p>
    <w:p w14:paraId="324B2948" w14:textId="5E5AFF94" w:rsidR="006359B9" w:rsidRPr="00163514" w:rsidRDefault="006359B9" w:rsidP="00163514">
      <w:pPr>
        <w:spacing w:line="240" w:lineRule="auto"/>
        <w:rPr>
          <w:rFonts w:ascii="Book Antiqua" w:hAnsi="Book Antiqua"/>
        </w:rPr>
      </w:pPr>
      <w:r w:rsidRPr="00163514">
        <w:rPr>
          <w:rFonts w:ascii="Book Antiqua" w:hAnsi="Book Antiqua"/>
        </w:rPr>
        <w:t xml:space="preserve">Lo anterior, es congruente con la cantidad de población indígena en las zonas, según los datos demográficos detallados en el apartado anterior. </w:t>
      </w:r>
    </w:p>
    <w:p w14:paraId="0F665F47" w14:textId="0E66CEA0" w:rsidR="00423D29" w:rsidRPr="00163514" w:rsidRDefault="0C57E0BD" w:rsidP="00163514">
      <w:pPr>
        <w:spacing w:line="240" w:lineRule="auto"/>
        <w:rPr>
          <w:rFonts w:ascii="Book Antiqua" w:hAnsi="Book Antiqua"/>
        </w:rPr>
      </w:pPr>
      <w:r w:rsidRPr="00163514">
        <w:rPr>
          <w:rFonts w:ascii="Book Antiqua" w:hAnsi="Book Antiqua"/>
        </w:rPr>
        <w:t>Ahora bien, en la figura anterior</w:t>
      </w:r>
      <w:r w:rsidR="00B058E2" w:rsidRPr="00163514">
        <w:rPr>
          <w:rFonts w:ascii="Book Antiqua" w:hAnsi="Book Antiqua"/>
        </w:rPr>
        <w:t>, como un segundo bloque,</w:t>
      </w:r>
      <w:r w:rsidRPr="00163514">
        <w:rPr>
          <w:rFonts w:ascii="Book Antiqua" w:hAnsi="Book Antiqua"/>
        </w:rPr>
        <w:t xml:space="preserve"> podemos observar que las oficinas de la Defensa Pública de Turrialba, Pérez Zeledón, Limón, Coto Brus, Cartago y Corredores mantienen un promedio de ingreso mensual entre cuatro y </w:t>
      </w:r>
      <w:r w:rsidR="00631F95" w:rsidRPr="00163514">
        <w:rPr>
          <w:rFonts w:ascii="Book Antiqua" w:hAnsi="Book Antiqua"/>
        </w:rPr>
        <w:t>siete</w:t>
      </w:r>
      <w:r w:rsidRPr="00163514">
        <w:rPr>
          <w:rFonts w:ascii="Book Antiqua" w:hAnsi="Book Antiqua"/>
        </w:rPr>
        <w:t xml:space="preserve"> representaciones. </w:t>
      </w:r>
    </w:p>
    <w:p w14:paraId="29D5FC35" w14:textId="77507E90" w:rsidR="00423D29" w:rsidRPr="00163514" w:rsidRDefault="0C57E0BD" w:rsidP="00163514">
      <w:pPr>
        <w:spacing w:line="240" w:lineRule="auto"/>
        <w:rPr>
          <w:rFonts w:ascii="Book Antiqua" w:hAnsi="Book Antiqua"/>
        </w:rPr>
      </w:pPr>
      <w:r w:rsidRPr="00163514">
        <w:rPr>
          <w:rFonts w:ascii="Book Antiqua" w:hAnsi="Book Antiqua"/>
        </w:rPr>
        <w:t xml:space="preserve">Estas oficinas representan un </w:t>
      </w:r>
      <w:r w:rsidR="00631F95" w:rsidRPr="00163514">
        <w:rPr>
          <w:rFonts w:ascii="Book Antiqua" w:hAnsi="Book Antiqua"/>
        </w:rPr>
        <w:t>31</w:t>
      </w:r>
      <w:r w:rsidRPr="00163514">
        <w:rPr>
          <w:rFonts w:ascii="Book Antiqua" w:hAnsi="Book Antiqua"/>
        </w:rPr>
        <w:t>% del total de representaciones mensuales, el equivalente a 3</w:t>
      </w:r>
      <w:r w:rsidR="00631F95" w:rsidRPr="00163514">
        <w:rPr>
          <w:rFonts w:ascii="Book Antiqua" w:hAnsi="Book Antiqua"/>
        </w:rPr>
        <w:t>2</w:t>
      </w:r>
      <w:r w:rsidRPr="00163514">
        <w:rPr>
          <w:rFonts w:ascii="Book Antiqua" w:hAnsi="Book Antiqua"/>
        </w:rPr>
        <w:t xml:space="preserve"> personas usuarias indígenas. Haciendo la aclaración que, según explica la Licda. Ligia Jiménez Zamora, Supervisora de Pueblos Indígenas, debido a la necesidad particular de cada oficina, se ha optado por que personas defensoras se trasladen una o dos veces por semana a brindar soporte a otras oficinas; tal es el caso de Pérez Zeledón que brinda soporte a Buenos Aires, Cartago a Turrialba, Limón a Bribri y Corredores a Coto Brus. </w:t>
      </w:r>
    </w:p>
    <w:p w14:paraId="2BE7AB5E" w14:textId="3B8294AA" w:rsidR="0C57E0BD" w:rsidRPr="00163514" w:rsidRDefault="0C57E0BD" w:rsidP="00163514">
      <w:pPr>
        <w:spacing w:line="240" w:lineRule="auto"/>
        <w:rPr>
          <w:rFonts w:ascii="Book Antiqua" w:hAnsi="Book Antiqua"/>
        </w:rPr>
      </w:pPr>
      <w:r w:rsidRPr="00163514">
        <w:rPr>
          <w:rFonts w:ascii="Book Antiqua" w:hAnsi="Book Antiqua"/>
        </w:rPr>
        <w:t>De lo anterior y, considerando que el control de asuntos se realiza por el Libro de Registro de la Defensa Pública por persona defensora, se podría reporta</w:t>
      </w:r>
      <w:r w:rsidR="00583DAF" w:rsidRPr="00163514">
        <w:rPr>
          <w:rFonts w:ascii="Book Antiqua" w:hAnsi="Book Antiqua"/>
        </w:rPr>
        <w:t>r</w:t>
      </w:r>
      <w:r w:rsidRPr="00163514">
        <w:rPr>
          <w:rFonts w:ascii="Book Antiqua" w:hAnsi="Book Antiqua"/>
        </w:rPr>
        <w:t xml:space="preserve"> </w:t>
      </w:r>
      <w:r w:rsidR="00631F95" w:rsidRPr="00163514">
        <w:rPr>
          <w:rFonts w:ascii="Book Antiqua" w:hAnsi="Book Antiqua"/>
        </w:rPr>
        <w:t>expedientes</w:t>
      </w:r>
      <w:r w:rsidRPr="00163514">
        <w:rPr>
          <w:rFonts w:ascii="Book Antiqua" w:hAnsi="Book Antiqua"/>
        </w:rPr>
        <w:t xml:space="preserve"> de personas usuarias indígenas en las oficinas que brindan el soporte, cuando la persona indígena es atendida en la oficina a la que se le brinda </w:t>
      </w:r>
      <w:r w:rsidR="00583DAF" w:rsidRPr="00163514">
        <w:rPr>
          <w:rFonts w:ascii="Book Antiqua" w:hAnsi="Book Antiqua"/>
        </w:rPr>
        <w:t>dicha colaboración</w:t>
      </w:r>
      <w:r w:rsidRPr="00163514">
        <w:rPr>
          <w:rFonts w:ascii="Book Antiqua" w:hAnsi="Book Antiqua"/>
        </w:rPr>
        <w:t xml:space="preserve">. </w:t>
      </w:r>
    </w:p>
    <w:p w14:paraId="4D2F5515" w14:textId="3D7DEFEA" w:rsidR="0C57E0BD" w:rsidRDefault="002718F6" w:rsidP="00163514">
      <w:pPr>
        <w:spacing w:line="240" w:lineRule="auto"/>
        <w:rPr>
          <w:rFonts w:ascii="Book Antiqua" w:hAnsi="Book Antiqua"/>
        </w:rPr>
      </w:pPr>
      <w:r w:rsidRPr="00163514">
        <w:rPr>
          <w:rFonts w:ascii="Book Antiqua" w:hAnsi="Book Antiqua"/>
        </w:rPr>
        <w:t>Finalmente, en un tercer bloque, e</w:t>
      </w:r>
      <w:r w:rsidR="0C57E0BD" w:rsidRPr="00163514">
        <w:rPr>
          <w:rFonts w:ascii="Book Antiqua" w:hAnsi="Book Antiqua"/>
        </w:rPr>
        <w:t>l restante 1</w:t>
      </w:r>
      <w:r w:rsidR="00631F95" w:rsidRPr="00163514">
        <w:rPr>
          <w:rFonts w:ascii="Book Antiqua" w:hAnsi="Book Antiqua"/>
        </w:rPr>
        <w:t>1</w:t>
      </w:r>
      <w:r w:rsidR="0C57E0BD" w:rsidRPr="00163514">
        <w:rPr>
          <w:rFonts w:ascii="Book Antiqua" w:hAnsi="Book Antiqua"/>
        </w:rPr>
        <w:t>% del ingreso mensual de representaciones a personas indígenas, equivale a un promedio de 1</w:t>
      </w:r>
      <w:r w:rsidR="00631F95" w:rsidRPr="00163514">
        <w:rPr>
          <w:rFonts w:ascii="Book Antiqua" w:hAnsi="Book Antiqua"/>
        </w:rPr>
        <w:t>1</w:t>
      </w:r>
      <w:r w:rsidR="0C57E0BD" w:rsidRPr="00163514">
        <w:rPr>
          <w:rFonts w:ascii="Book Antiqua" w:hAnsi="Book Antiqua"/>
        </w:rPr>
        <w:t xml:space="preserve"> personas y, estas se distribuyen en el resto del país en las diferentes materias.</w:t>
      </w:r>
    </w:p>
    <w:p w14:paraId="2369B30F" w14:textId="313CD2D0" w:rsidR="00860B67" w:rsidRPr="00163514" w:rsidRDefault="00860B67" w:rsidP="00163514">
      <w:pPr>
        <w:spacing w:line="240" w:lineRule="auto"/>
        <w:rPr>
          <w:rFonts w:ascii="Book Antiqua" w:hAnsi="Book Antiqua"/>
        </w:rPr>
      </w:pPr>
      <w:r>
        <w:rPr>
          <w:rFonts w:ascii="Book Antiqua" w:hAnsi="Book Antiqua"/>
        </w:rPr>
        <w:t xml:space="preserve">Es importante aclarar que </w:t>
      </w:r>
      <w:r w:rsidRPr="001364F8">
        <w:rPr>
          <w:rFonts w:ascii="Book Antiqua" w:hAnsi="Book Antiqua"/>
        </w:rPr>
        <w:t>el registro e informe de personas usuarias y procesos se realiza en la oficina en que se atiende según la competencia territorial, no en la oficina de la que se brinda la colaboración</w:t>
      </w:r>
      <w:r>
        <w:rPr>
          <w:rFonts w:ascii="Book Antiqua" w:hAnsi="Book Antiqua"/>
        </w:rPr>
        <w:t>.</w:t>
      </w:r>
    </w:p>
    <w:p w14:paraId="267D3B30" w14:textId="147A7247" w:rsidR="0C57E0BD" w:rsidRPr="00163514" w:rsidRDefault="0C57E0BD" w:rsidP="00163514">
      <w:pPr>
        <w:spacing w:line="240" w:lineRule="auto"/>
        <w:rPr>
          <w:rFonts w:ascii="Book Antiqua" w:hAnsi="Book Antiqua"/>
        </w:rPr>
      </w:pPr>
      <w:r w:rsidRPr="00163514">
        <w:rPr>
          <w:rFonts w:ascii="Book Antiqua" w:hAnsi="Book Antiqua"/>
        </w:rPr>
        <w:t xml:space="preserve">Dicho lo anterior, la siguiente tabla muestra la cantidad de personas representadas en asuntos nuevos en promedio por mes, en las oficinas que representan el </w:t>
      </w:r>
      <w:r w:rsidR="00775F9C" w:rsidRPr="00163514">
        <w:rPr>
          <w:rFonts w:ascii="Book Antiqua" w:hAnsi="Book Antiqua"/>
        </w:rPr>
        <w:t>89</w:t>
      </w:r>
      <w:r w:rsidRPr="00163514">
        <w:rPr>
          <w:rFonts w:ascii="Book Antiqua" w:hAnsi="Book Antiqua"/>
        </w:rPr>
        <w:t xml:space="preserve">% de las representaciones de la Defensa Pública a nivel nacional. </w:t>
      </w:r>
    </w:p>
    <w:p w14:paraId="6B91C800" w14:textId="0D214ED4" w:rsidR="00775F9C" w:rsidRPr="008D2522" w:rsidRDefault="00775F9C" w:rsidP="00055CFC">
      <w:pPr>
        <w:pStyle w:val="Descripcin"/>
        <w:keepNext/>
        <w:spacing w:before="0" w:after="0"/>
        <w:jc w:val="center"/>
        <w:rPr>
          <w:rFonts w:cs="Arial"/>
          <w:sz w:val="24"/>
          <w:szCs w:val="24"/>
        </w:rPr>
      </w:pPr>
      <w:r w:rsidRPr="008D2522">
        <w:rPr>
          <w:rFonts w:cs="Arial"/>
          <w:sz w:val="24"/>
          <w:szCs w:val="24"/>
        </w:rPr>
        <w:lastRenderedPageBreak/>
        <w:t xml:space="preserve">Tabla </w:t>
      </w:r>
      <w:r w:rsidRPr="008D2522">
        <w:rPr>
          <w:rFonts w:cs="Arial"/>
          <w:sz w:val="24"/>
          <w:szCs w:val="24"/>
        </w:rPr>
        <w:fldChar w:fldCharType="begin"/>
      </w:r>
      <w:r w:rsidRPr="008D2522">
        <w:rPr>
          <w:rFonts w:cs="Arial"/>
          <w:sz w:val="24"/>
          <w:szCs w:val="24"/>
        </w:rPr>
        <w:instrText xml:space="preserve"> SEQ Tabla \* ARABIC </w:instrText>
      </w:r>
      <w:r w:rsidRPr="008D2522">
        <w:rPr>
          <w:rFonts w:cs="Arial"/>
          <w:sz w:val="24"/>
          <w:szCs w:val="24"/>
        </w:rPr>
        <w:fldChar w:fldCharType="separate"/>
      </w:r>
      <w:r w:rsidR="005B5D07">
        <w:rPr>
          <w:rFonts w:cs="Arial"/>
          <w:noProof/>
          <w:sz w:val="24"/>
          <w:szCs w:val="24"/>
        </w:rPr>
        <w:t>2</w:t>
      </w:r>
      <w:r w:rsidRPr="008D2522">
        <w:rPr>
          <w:rFonts w:cs="Arial"/>
          <w:sz w:val="24"/>
          <w:szCs w:val="24"/>
        </w:rPr>
        <w:fldChar w:fldCharType="end"/>
      </w:r>
      <w:r w:rsidRPr="008D2522">
        <w:rPr>
          <w:rFonts w:eastAsia="Arial" w:cs="Arial"/>
          <w:sz w:val="24"/>
          <w:szCs w:val="24"/>
        </w:rPr>
        <w:t xml:space="preserve"> Promedio de asuntos mensuales entrados en las oficinas que representan el 89% del ingreso mensual a nivel nacional</w:t>
      </w:r>
    </w:p>
    <w:tbl>
      <w:tblPr>
        <w:tblW w:w="5000" w:type="pct"/>
        <w:tblCellMar>
          <w:left w:w="70" w:type="dxa"/>
          <w:right w:w="70" w:type="dxa"/>
        </w:tblCellMar>
        <w:tblLook w:val="04A0" w:firstRow="1" w:lastRow="0" w:firstColumn="1" w:lastColumn="0" w:noHBand="0" w:noVBand="1"/>
      </w:tblPr>
      <w:tblGrid>
        <w:gridCol w:w="1751"/>
        <w:gridCol w:w="1461"/>
        <w:gridCol w:w="1135"/>
        <w:gridCol w:w="1613"/>
        <w:gridCol w:w="1012"/>
        <w:gridCol w:w="1087"/>
        <w:gridCol w:w="769"/>
      </w:tblGrid>
      <w:tr w:rsidR="00AC17D9" w:rsidRPr="008D2522" w14:paraId="7F85FD2A" w14:textId="77777777" w:rsidTr="00E57630">
        <w:trPr>
          <w:trHeight w:val="560"/>
        </w:trPr>
        <w:tc>
          <w:tcPr>
            <w:tcW w:w="1002"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62271A24" w14:textId="77777777" w:rsidR="00775F9C" w:rsidRPr="008D2522" w:rsidRDefault="00775F9C" w:rsidP="00055CFC">
            <w:pPr>
              <w:spacing w:before="0" w:after="0"/>
              <w:jc w:val="center"/>
              <w:rPr>
                <w:rFonts w:eastAsia="Times New Roman" w:cs="Arial"/>
                <w:b/>
                <w:bCs/>
                <w:color w:val="FFFFFF"/>
                <w:sz w:val="22"/>
                <w:lang w:eastAsia="es-CR"/>
              </w:rPr>
            </w:pPr>
            <w:r w:rsidRPr="008D2522">
              <w:rPr>
                <w:rFonts w:eastAsia="Times New Roman" w:cs="Arial"/>
                <w:b/>
                <w:bCs/>
                <w:color w:val="FFFFFF"/>
                <w:sz w:val="22"/>
                <w:lang w:eastAsia="es-CR"/>
              </w:rPr>
              <w:t>Oficina</w:t>
            </w:r>
          </w:p>
        </w:tc>
        <w:tc>
          <w:tcPr>
            <w:tcW w:w="769" w:type="pct"/>
            <w:tcBorders>
              <w:top w:val="single" w:sz="4" w:space="0" w:color="auto"/>
              <w:left w:val="nil"/>
              <w:bottom w:val="single" w:sz="4" w:space="0" w:color="auto"/>
              <w:right w:val="single" w:sz="4" w:space="0" w:color="auto"/>
            </w:tcBorders>
            <w:shd w:val="clear" w:color="auto" w:fill="1F3864"/>
            <w:vAlign w:val="center"/>
            <w:hideMark/>
          </w:tcPr>
          <w:p w14:paraId="1122C740" w14:textId="77777777" w:rsidR="00775F9C" w:rsidRPr="008D2522" w:rsidRDefault="00775F9C" w:rsidP="00055CFC">
            <w:pPr>
              <w:spacing w:before="0" w:after="0"/>
              <w:jc w:val="center"/>
              <w:rPr>
                <w:rFonts w:eastAsia="Times New Roman" w:cs="Arial"/>
                <w:b/>
                <w:bCs/>
                <w:color w:val="FFFFFF"/>
                <w:sz w:val="22"/>
                <w:lang w:eastAsia="es-CR"/>
              </w:rPr>
            </w:pPr>
            <w:r w:rsidRPr="008D2522">
              <w:rPr>
                <w:rFonts w:eastAsia="Times New Roman" w:cs="Arial"/>
                <w:b/>
                <w:bCs/>
                <w:color w:val="FFFFFF"/>
                <w:sz w:val="22"/>
                <w:lang w:eastAsia="es-CR"/>
              </w:rPr>
              <w:t>Pensiones Alimentarias</w:t>
            </w:r>
          </w:p>
        </w:tc>
        <w:tc>
          <w:tcPr>
            <w:tcW w:w="653" w:type="pct"/>
            <w:tcBorders>
              <w:top w:val="single" w:sz="4" w:space="0" w:color="auto"/>
              <w:left w:val="nil"/>
              <w:bottom w:val="single" w:sz="4" w:space="0" w:color="auto"/>
              <w:right w:val="single" w:sz="4" w:space="0" w:color="auto"/>
            </w:tcBorders>
            <w:shd w:val="clear" w:color="auto" w:fill="1F3864"/>
            <w:vAlign w:val="center"/>
            <w:hideMark/>
          </w:tcPr>
          <w:p w14:paraId="7E429280" w14:textId="77777777" w:rsidR="00775F9C" w:rsidRPr="008D2522" w:rsidRDefault="00775F9C" w:rsidP="00055CFC">
            <w:pPr>
              <w:spacing w:before="0" w:after="0"/>
              <w:jc w:val="center"/>
              <w:rPr>
                <w:rFonts w:eastAsia="Times New Roman" w:cs="Arial"/>
                <w:b/>
                <w:bCs/>
                <w:color w:val="FFFFFF"/>
                <w:sz w:val="22"/>
                <w:lang w:eastAsia="es-CR"/>
              </w:rPr>
            </w:pPr>
            <w:r w:rsidRPr="008D2522">
              <w:rPr>
                <w:rFonts w:eastAsia="Times New Roman" w:cs="Arial"/>
                <w:b/>
                <w:bCs/>
                <w:color w:val="FFFFFF"/>
                <w:sz w:val="22"/>
                <w:lang w:eastAsia="es-CR"/>
              </w:rPr>
              <w:t>Penal</w:t>
            </w:r>
          </w:p>
        </w:tc>
        <w:tc>
          <w:tcPr>
            <w:tcW w:w="923" w:type="pct"/>
            <w:tcBorders>
              <w:top w:val="single" w:sz="4" w:space="0" w:color="auto"/>
              <w:left w:val="nil"/>
              <w:bottom w:val="single" w:sz="4" w:space="0" w:color="auto"/>
              <w:right w:val="single" w:sz="4" w:space="0" w:color="auto"/>
            </w:tcBorders>
            <w:shd w:val="clear" w:color="auto" w:fill="1F3864"/>
            <w:vAlign w:val="center"/>
            <w:hideMark/>
          </w:tcPr>
          <w:p w14:paraId="5AFB37CD" w14:textId="77777777" w:rsidR="00775F9C" w:rsidRPr="008D2522" w:rsidRDefault="00775F9C" w:rsidP="00055CFC">
            <w:pPr>
              <w:spacing w:before="0" w:after="0"/>
              <w:jc w:val="center"/>
              <w:rPr>
                <w:rFonts w:eastAsia="Times New Roman" w:cs="Arial"/>
                <w:b/>
                <w:bCs/>
                <w:color w:val="FFFFFF"/>
                <w:sz w:val="22"/>
                <w:lang w:eastAsia="es-CR"/>
              </w:rPr>
            </w:pPr>
            <w:r w:rsidRPr="008D2522">
              <w:rPr>
                <w:rFonts w:eastAsia="Times New Roman" w:cs="Arial"/>
                <w:b/>
                <w:bCs/>
                <w:color w:val="FFFFFF"/>
                <w:sz w:val="22"/>
                <w:lang w:eastAsia="es-CR"/>
              </w:rPr>
              <w:t>Penalización Contra Mujer</w:t>
            </w:r>
          </w:p>
        </w:tc>
        <w:tc>
          <w:tcPr>
            <w:tcW w:w="583" w:type="pct"/>
            <w:tcBorders>
              <w:top w:val="single" w:sz="4" w:space="0" w:color="auto"/>
              <w:left w:val="nil"/>
              <w:bottom w:val="single" w:sz="4" w:space="0" w:color="auto"/>
              <w:right w:val="single" w:sz="4" w:space="0" w:color="auto"/>
            </w:tcBorders>
            <w:shd w:val="clear" w:color="auto" w:fill="1F3864"/>
            <w:vAlign w:val="center"/>
            <w:hideMark/>
          </w:tcPr>
          <w:p w14:paraId="7298A4B0" w14:textId="77777777" w:rsidR="00775F9C" w:rsidRPr="008D2522" w:rsidRDefault="00775F9C" w:rsidP="00055CFC">
            <w:pPr>
              <w:spacing w:before="0" w:after="0"/>
              <w:jc w:val="center"/>
              <w:rPr>
                <w:rFonts w:eastAsia="Times New Roman" w:cs="Arial"/>
                <w:b/>
                <w:bCs/>
                <w:color w:val="FFFFFF"/>
                <w:sz w:val="22"/>
                <w:lang w:eastAsia="es-CR"/>
              </w:rPr>
            </w:pPr>
            <w:r w:rsidRPr="008D2522">
              <w:rPr>
                <w:rFonts w:eastAsia="Times New Roman" w:cs="Arial"/>
                <w:b/>
                <w:bCs/>
                <w:color w:val="FFFFFF"/>
                <w:sz w:val="22"/>
                <w:lang w:eastAsia="es-CR"/>
              </w:rPr>
              <w:t>Agraria</w:t>
            </w:r>
          </w:p>
        </w:tc>
        <w:tc>
          <w:tcPr>
            <w:tcW w:w="625" w:type="pct"/>
            <w:tcBorders>
              <w:top w:val="single" w:sz="4" w:space="0" w:color="auto"/>
              <w:left w:val="nil"/>
              <w:bottom w:val="single" w:sz="4" w:space="0" w:color="auto"/>
              <w:right w:val="single" w:sz="4" w:space="0" w:color="auto"/>
            </w:tcBorders>
            <w:shd w:val="clear" w:color="auto" w:fill="1F3864"/>
            <w:vAlign w:val="center"/>
            <w:hideMark/>
          </w:tcPr>
          <w:p w14:paraId="64F2DF62" w14:textId="77777777" w:rsidR="00775F9C" w:rsidRPr="008D2522" w:rsidRDefault="00775F9C" w:rsidP="00055CFC">
            <w:pPr>
              <w:spacing w:before="0" w:after="0"/>
              <w:jc w:val="center"/>
              <w:rPr>
                <w:rFonts w:eastAsia="Times New Roman" w:cs="Arial"/>
                <w:b/>
                <w:bCs/>
                <w:color w:val="FFFFFF"/>
                <w:sz w:val="22"/>
                <w:lang w:eastAsia="es-CR"/>
              </w:rPr>
            </w:pPr>
            <w:r w:rsidRPr="008D2522">
              <w:rPr>
                <w:rFonts w:eastAsia="Times New Roman" w:cs="Arial"/>
                <w:b/>
                <w:bCs/>
                <w:color w:val="FFFFFF"/>
                <w:sz w:val="22"/>
                <w:lang w:eastAsia="es-CR"/>
              </w:rPr>
              <w:t>Demás materias</w:t>
            </w:r>
          </w:p>
        </w:tc>
        <w:tc>
          <w:tcPr>
            <w:tcW w:w="445" w:type="pct"/>
            <w:tcBorders>
              <w:top w:val="single" w:sz="4" w:space="0" w:color="auto"/>
              <w:left w:val="nil"/>
              <w:bottom w:val="single" w:sz="4" w:space="0" w:color="auto"/>
              <w:right w:val="single" w:sz="4" w:space="0" w:color="auto"/>
            </w:tcBorders>
            <w:shd w:val="clear" w:color="auto" w:fill="1F3864"/>
            <w:vAlign w:val="center"/>
            <w:hideMark/>
          </w:tcPr>
          <w:p w14:paraId="54709EB9" w14:textId="77777777" w:rsidR="00775F9C" w:rsidRPr="008D2522" w:rsidRDefault="00775F9C" w:rsidP="00055CFC">
            <w:pPr>
              <w:spacing w:before="0" w:after="0"/>
              <w:jc w:val="center"/>
              <w:rPr>
                <w:rFonts w:eastAsia="Times New Roman" w:cs="Arial"/>
                <w:b/>
                <w:bCs/>
                <w:color w:val="FFFFFF"/>
                <w:sz w:val="22"/>
                <w:lang w:eastAsia="es-CR"/>
              </w:rPr>
            </w:pPr>
            <w:r w:rsidRPr="008D2522">
              <w:rPr>
                <w:rFonts w:eastAsia="Times New Roman" w:cs="Arial"/>
                <w:b/>
                <w:bCs/>
                <w:color w:val="FFFFFF"/>
                <w:sz w:val="22"/>
                <w:lang w:eastAsia="es-CR"/>
              </w:rPr>
              <w:t>Total</w:t>
            </w:r>
          </w:p>
        </w:tc>
      </w:tr>
      <w:tr w:rsidR="00775F9C" w:rsidRPr="008D2522" w14:paraId="6BA4A401" w14:textId="77777777" w:rsidTr="00775F9C">
        <w:trPr>
          <w:trHeight w:val="280"/>
        </w:trPr>
        <w:tc>
          <w:tcPr>
            <w:tcW w:w="1002" w:type="pct"/>
            <w:tcBorders>
              <w:top w:val="nil"/>
              <w:left w:val="single" w:sz="4" w:space="0" w:color="auto"/>
              <w:bottom w:val="single" w:sz="4" w:space="0" w:color="auto"/>
              <w:right w:val="single" w:sz="4" w:space="0" w:color="auto"/>
            </w:tcBorders>
            <w:shd w:val="clear" w:color="auto" w:fill="auto"/>
            <w:noWrap/>
            <w:vAlign w:val="bottom"/>
            <w:hideMark/>
          </w:tcPr>
          <w:p w14:paraId="524E2BEB" w14:textId="77777777" w:rsidR="00775F9C" w:rsidRPr="008D2522" w:rsidRDefault="00775F9C" w:rsidP="00055CFC">
            <w:pPr>
              <w:spacing w:before="0" w:after="0"/>
              <w:jc w:val="left"/>
              <w:rPr>
                <w:rFonts w:eastAsia="Times New Roman" w:cs="Arial"/>
                <w:color w:val="000000"/>
                <w:sz w:val="22"/>
                <w:lang w:eastAsia="es-CR"/>
              </w:rPr>
            </w:pPr>
            <w:r w:rsidRPr="008D2522">
              <w:rPr>
                <w:rFonts w:eastAsia="Times New Roman" w:cs="Arial"/>
                <w:color w:val="000000"/>
                <w:sz w:val="22"/>
                <w:lang w:eastAsia="es-CR"/>
              </w:rPr>
              <w:t>Bribrí</w:t>
            </w:r>
          </w:p>
        </w:tc>
        <w:tc>
          <w:tcPr>
            <w:tcW w:w="769" w:type="pct"/>
            <w:tcBorders>
              <w:top w:val="nil"/>
              <w:left w:val="nil"/>
              <w:bottom w:val="single" w:sz="4" w:space="0" w:color="auto"/>
              <w:right w:val="single" w:sz="4" w:space="0" w:color="auto"/>
            </w:tcBorders>
            <w:shd w:val="clear" w:color="auto" w:fill="auto"/>
            <w:noWrap/>
            <w:vAlign w:val="bottom"/>
            <w:hideMark/>
          </w:tcPr>
          <w:p w14:paraId="1BF7B35C"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14</w:t>
            </w:r>
          </w:p>
        </w:tc>
        <w:tc>
          <w:tcPr>
            <w:tcW w:w="653" w:type="pct"/>
            <w:tcBorders>
              <w:top w:val="nil"/>
              <w:left w:val="nil"/>
              <w:bottom w:val="single" w:sz="4" w:space="0" w:color="auto"/>
              <w:right w:val="single" w:sz="4" w:space="0" w:color="auto"/>
            </w:tcBorders>
            <w:shd w:val="clear" w:color="auto" w:fill="auto"/>
            <w:noWrap/>
            <w:vAlign w:val="bottom"/>
            <w:hideMark/>
          </w:tcPr>
          <w:p w14:paraId="08A893DC"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8</w:t>
            </w:r>
          </w:p>
        </w:tc>
        <w:tc>
          <w:tcPr>
            <w:tcW w:w="923" w:type="pct"/>
            <w:tcBorders>
              <w:top w:val="nil"/>
              <w:left w:val="nil"/>
              <w:bottom w:val="single" w:sz="4" w:space="0" w:color="auto"/>
              <w:right w:val="single" w:sz="4" w:space="0" w:color="auto"/>
            </w:tcBorders>
            <w:shd w:val="clear" w:color="auto" w:fill="auto"/>
            <w:noWrap/>
            <w:vAlign w:val="bottom"/>
            <w:hideMark/>
          </w:tcPr>
          <w:p w14:paraId="463D24AE"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6</w:t>
            </w:r>
          </w:p>
        </w:tc>
        <w:tc>
          <w:tcPr>
            <w:tcW w:w="583" w:type="pct"/>
            <w:tcBorders>
              <w:top w:val="nil"/>
              <w:left w:val="nil"/>
              <w:bottom w:val="single" w:sz="4" w:space="0" w:color="auto"/>
              <w:right w:val="single" w:sz="4" w:space="0" w:color="auto"/>
            </w:tcBorders>
            <w:shd w:val="clear" w:color="auto" w:fill="auto"/>
            <w:noWrap/>
            <w:vAlign w:val="bottom"/>
            <w:hideMark/>
          </w:tcPr>
          <w:p w14:paraId="32B5052C"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0</w:t>
            </w:r>
          </w:p>
        </w:tc>
        <w:tc>
          <w:tcPr>
            <w:tcW w:w="625" w:type="pct"/>
            <w:tcBorders>
              <w:top w:val="nil"/>
              <w:left w:val="nil"/>
              <w:bottom w:val="single" w:sz="4" w:space="0" w:color="auto"/>
              <w:right w:val="single" w:sz="4" w:space="0" w:color="auto"/>
            </w:tcBorders>
            <w:shd w:val="clear" w:color="auto" w:fill="auto"/>
            <w:noWrap/>
            <w:vAlign w:val="bottom"/>
            <w:hideMark/>
          </w:tcPr>
          <w:p w14:paraId="65943A48"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3</w:t>
            </w:r>
          </w:p>
        </w:tc>
        <w:tc>
          <w:tcPr>
            <w:tcW w:w="445" w:type="pct"/>
            <w:tcBorders>
              <w:top w:val="nil"/>
              <w:left w:val="nil"/>
              <w:bottom w:val="single" w:sz="4" w:space="0" w:color="auto"/>
              <w:right w:val="single" w:sz="4" w:space="0" w:color="auto"/>
            </w:tcBorders>
            <w:shd w:val="clear" w:color="auto" w:fill="auto"/>
            <w:noWrap/>
            <w:vAlign w:val="bottom"/>
            <w:hideMark/>
          </w:tcPr>
          <w:p w14:paraId="028CB912"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30</w:t>
            </w:r>
          </w:p>
        </w:tc>
      </w:tr>
      <w:tr w:rsidR="00775F9C" w:rsidRPr="008D2522" w14:paraId="64428940" w14:textId="77777777" w:rsidTr="00775F9C">
        <w:trPr>
          <w:trHeight w:val="280"/>
        </w:trPr>
        <w:tc>
          <w:tcPr>
            <w:tcW w:w="1002" w:type="pct"/>
            <w:tcBorders>
              <w:top w:val="nil"/>
              <w:left w:val="single" w:sz="4" w:space="0" w:color="auto"/>
              <w:bottom w:val="single" w:sz="4" w:space="0" w:color="auto"/>
              <w:right w:val="single" w:sz="4" w:space="0" w:color="auto"/>
            </w:tcBorders>
            <w:shd w:val="clear" w:color="auto" w:fill="auto"/>
            <w:noWrap/>
            <w:vAlign w:val="bottom"/>
            <w:hideMark/>
          </w:tcPr>
          <w:p w14:paraId="2634AA9C" w14:textId="77777777" w:rsidR="00775F9C" w:rsidRPr="008D2522" w:rsidRDefault="00775F9C" w:rsidP="00055CFC">
            <w:pPr>
              <w:spacing w:before="0" w:after="0"/>
              <w:jc w:val="left"/>
              <w:rPr>
                <w:rFonts w:eastAsia="Times New Roman" w:cs="Arial"/>
                <w:color w:val="000000"/>
                <w:sz w:val="22"/>
                <w:lang w:eastAsia="es-CR"/>
              </w:rPr>
            </w:pPr>
            <w:r w:rsidRPr="008D2522">
              <w:rPr>
                <w:rFonts w:eastAsia="Times New Roman" w:cs="Arial"/>
                <w:color w:val="000000"/>
                <w:sz w:val="22"/>
                <w:lang w:eastAsia="es-CR"/>
              </w:rPr>
              <w:t>Buenos Aires</w:t>
            </w:r>
          </w:p>
        </w:tc>
        <w:tc>
          <w:tcPr>
            <w:tcW w:w="769" w:type="pct"/>
            <w:tcBorders>
              <w:top w:val="nil"/>
              <w:left w:val="nil"/>
              <w:bottom w:val="single" w:sz="4" w:space="0" w:color="auto"/>
              <w:right w:val="single" w:sz="4" w:space="0" w:color="auto"/>
            </w:tcBorders>
            <w:shd w:val="clear" w:color="auto" w:fill="auto"/>
            <w:noWrap/>
            <w:vAlign w:val="bottom"/>
            <w:hideMark/>
          </w:tcPr>
          <w:p w14:paraId="4D81F0F9"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6</w:t>
            </w:r>
          </w:p>
        </w:tc>
        <w:tc>
          <w:tcPr>
            <w:tcW w:w="653" w:type="pct"/>
            <w:tcBorders>
              <w:top w:val="nil"/>
              <w:left w:val="nil"/>
              <w:bottom w:val="single" w:sz="4" w:space="0" w:color="auto"/>
              <w:right w:val="single" w:sz="4" w:space="0" w:color="auto"/>
            </w:tcBorders>
            <w:shd w:val="clear" w:color="auto" w:fill="auto"/>
            <w:noWrap/>
            <w:vAlign w:val="bottom"/>
            <w:hideMark/>
          </w:tcPr>
          <w:p w14:paraId="0D06532E"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10</w:t>
            </w:r>
          </w:p>
        </w:tc>
        <w:tc>
          <w:tcPr>
            <w:tcW w:w="923" w:type="pct"/>
            <w:tcBorders>
              <w:top w:val="nil"/>
              <w:left w:val="nil"/>
              <w:bottom w:val="single" w:sz="4" w:space="0" w:color="auto"/>
              <w:right w:val="single" w:sz="4" w:space="0" w:color="auto"/>
            </w:tcBorders>
            <w:shd w:val="clear" w:color="auto" w:fill="auto"/>
            <w:noWrap/>
            <w:vAlign w:val="bottom"/>
            <w:hideMark/>
          </w:tcPr>
          <w:p w14:paraId="46B1D391"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4</w:t>
            </w:r>
          </w:p>
        </w:tc>
        <w:tc>
          <w:tcPr>
            <w:tcW w:w="583" w:type="pct"/>
            <w:tcBorders>
              <w:top w:val="nil"/>
              <w:left w:val="nil"/>
              <w:bottom w:val="single" w:sz="4" w:space="0" w:color="auto"/>
              <w:right w:val="single" w:sz="4" w:space="0" w:color="auto"/>
            </w:tcBorders>
            <w:shd w:val="clear" w:color="auto" w:fill="auto"/>
            <w:noWrap/>
            <w:vAlign w:val="bottom"/>
            <w:hideMark/>
          </w:tcPr>
          <w:p w14:paraId="2F0E42EF"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w:t>
            </w:r>
          </w:p>
        </w:tc>
        <w:tc>
          <w:tcPr>
            <w:tcW w:w="625" w:type="pct"/>
            <w:tcBorders>
              <w:top w:val="nil"/>
              <w:left w:val="nil"/>
              <w:bottom w:val="single" w:sz="4" w:space="0" w:color="auto"/>
              <w:right w:val="single" w:sz="4" w:space="0" w:color="auto"/>
            </w:tcBorders>
            <w:shd w:val="clear" w:color="auto" w:fill="auto"/>
            <w:noWrap/>
            <w:vAlign w:val="bottom"/>
            <w:hideMark/>
          </w:tcPr>
          <w:p w14:paraId="512A9BD2"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7</w:t>
            </w:r>
          </w:p>
        </w:tc>
        <w:tc>
          <w:tcPr>
            <w:tcW w:w="445" w:type="pct"/>
            <w:tcBorders>
              <w:top w:val="nil"/>
              <w:left w:val="nil"/>
              <w:bottom w:val="single" w:sz="4" w:space="0" w:color="auto"/>
              <w:right w:val="single" w:sz="4" w:space="0" w:color="auto"/>
            </w:tcBorders>
            <w:shd w:val="clear" w:color="auto" w:fill="auto"/>
            <w:noWrap/>
            <w:vAlign w:val="bottom"/>
            <w:hideMark/>
          </w:tcPr>
          <w:p w14:paraId="6AA8AEB0"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29</w:t>
            </w:r>
          </w:p>
        </w:tc>
      </w:tr>
      <w:tr w:rsidR="00775F9C" w:rsidRPr="008D2522" w14:paraId="5AB32BD6" w14:textId="77777777" w:rsidTr="00775F9C">
        <w:trPr>
          <w:trHeight w:val="280"/>
        </w:trPr>
        <w:tc>
          <w:tcPr>
            <w:tcW w:w="1002" w:type="pct"/>
            <w:tcBorders>
              <w:top w:val="nil"/>
              <w:left w:val="single" w:sz="4" w:space="0" w:color="auto"/>
              <w:bottom w:val="single" w:sz="4" w:space="0" w:color="auto"/>
              <w:right w:val="single" w:sz="4" w:space="0" w:color="auto"/>
            </w:tcBorders>
            <w:shd w:val="clear" w:color="auto" w:fill="auto"/>
            <w:noWrap/>
            <w:vAlign w:val="bottom"/>
            <w:hideMark/>
          </w:tcPr>
          <w:p w14:paraId="67984AFE" w14:textId="77777777" w:rsidR="00775F9C" w:rsidRPr="008D2522" w:rsidRDefault="00775F9C" w:rsidP="00055CFC">
            <w:pPr>
              <w:spacing w:before="0" w:after="0"/>
              <w:jc w:val="left"/>
              <w:rPr>
                <w:rFonts w:eastAsia="Times New Roman" w:cs="Arial"/>
                <w:color w:val="000000"/>
                <w:sz w:val="22"/>
                <w:lang w:eastAsia="es-CR"/>
              </w:rPr>
            </w:pPr>
            <w:r w:rsidRPr="008D2522">
              <w:rPr>
                <w:rFonts w:eastAsia="Times New Roman" w:cs="Arial"/>
                <w:color w:val="000000"/>
                <w:sz w:val="22"/>
                <w:lang w:eastAsia="es-CR"/>
              </w:rPr>
              <w:t>Turrialba</w:t>
            </w:r>
          </w:p>
        </w:tc>
        <w:tc>
          <w:tcPr>
            <w:tcW w:w="769" w:type="pct"/>
            <w:tcBorders>
              <w:top w:val="nil"/>
              <w:left w:val="nil"/>
              <w:bottom w:val="single" w:sz="4" w:space="0" w:color="auto"/>
              <w:right w:val="single" w:sz="4" w:space="0" w:color="auto"/>
            </w:tcBorders>
            <w:shd w:val="clear" w:color="auto" w:fill="auto"/>
            <w:noWrap/>
            <w:vAlign w:val="bottom"/>
            <w:hideMark/>
          </w:tcPr>
          <w:p w14:paraId="5881DDF2"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3</w:t>
            </w:r>
          </w:p>
        </w:tc>
        <w:tc>
          <w:tcPr>
            <w:tcW w:w="653" w:type="pct"/>
            <w:tcBorders>
              <w:top w:val="nil"/>
              <w:left w:val="nil"/>
              <w:bottom w:val="single" w:sz="4" w:space="0" w:color="auto"/>
              <w:right w:val="single" w:sz="4" w:space="0" w:color="auto"/>
            </w:tcBorders>
            <w:shd w:val="clear" w:color="auto" w:fill="auto"/>
            <w:noWrap/>
            <w:vAlign w:val="bottom"/>
            <w:hideMark/>
          </w:tcPr>
          <w:p w14:paraId="092C676E"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w:t>
            </w:r>
          </w:p>
        </w:tc>
        <w:tc>
          <w:tcPr>
            <w:tcW w:w="923" w:type="pct"/>
            <w:tcBorders>
              <w:top w:val="nil"/>
              <w:left w:val="nil"/>
              <w:bottom w:val="single" w:sz="4" w:space="0" w:color="auto"/>
              <w:right w:val="single" w:sz="4" w:space="0" w:color="auto"/>
            </w:tcBorders>
            <w:shd w:val="clear" w:color="auto" w:fill="auto"/>
            <w:noWrap/>
            <w:vAlign w:val="bottom"/>
            <w:hideMark/>
          </w:tcPr>
          <w:p w14:paraId="0788AAA0"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w:t>
            </w:r>
          </w:p>
        </w:tc>
        <w:tc>
          <w:tcPr>
            <w:tcW w:w="583" w:type="pct"/>
            <w:tcBorders>
              <w:top w:val="nil"/>
              <w:left w:val="nil"/>
              <w:bottom w:val="single" w:sz="4" w:space="0" w:color="auto"/>
              <w:right w:val="single" w:sz="4" w:space="0" w:color="auto"/>
            </w:tcBorders>
            <w:shd w:val="clear" w:color="auto" w:fill="auto"/>
            <w:noWrap/>
            <w:vAlign w:val="bottom"/>
            <w:hideMark/>
          </w:tcPr>
          <w:p w14:paraId="2106706D"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0</w:t>
            </w:r>
          </w:p>
        </w:tc>
        <w:tc>
          <w:tcPr>
            <w:tcW w:w="625" w:type="pct"/>
            <w:tcBorders>
              <w:top w:val="nil"/>
              <w:left w:val="nil"/>
              <w:bottom w:val="single" w:sz="4" w:space="0" w:color="auto"/>
              <w:right w:val="single" w:sz="4" w:space="0" w:color="auto"/>
            </w:tcBorders>
            <w:shd w:val="clear" w:color="auto" w:fill="auto"/>
            <w:noWrap/>
            <w:vAlign w:val="bottom"/>
            <w:hideMark/>
          </w:tcPr>
          <w:p w14:paraId="0F13D733"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w:t>
            </w:r>
          </w:p>
        </w:tc>
        <w:tc>
          <w:tcPr>
            <w:tcW w:w="445" w:type="pct"/>
            <w:tcBorders>
              <w:top w:val="nil"/>
              <w:left w:val="nil"/>
              <w:bottom w:val="single" w:sz="4" w:space="0" w:color="auto"/>
              <w:right w:val="single" w:sz="4" w:space="0" w:color="auto"/>
            </w:tcBorders>
            <w:shd w:val="clear" w:color="auto" w:fill="auto"/>
            <w:noWrap/>
            <w:vAlign w:val="bottom"/>
            <w:hideMark/>
          </w:tcPr>
          <w:p w14:paraId="07336B97"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7</w:t>
            </w:r>
          </w:p>
        </w:tc>
      </w:tr>
      <w:tr w:rsidR="00775F9C" w:rsidRPr="008D2522" w14:paraId="4B510119" w14:textId="77777777" w:rsidTr="00775F9C">
        <w:trPr>
          <w:trHeight w:val="280"/>
        </w:trPr>
        <w:tc>
          <w:tcPr>
            <w:tcW w:w="1002" w:type="pct"/>
            <w:tcBorders>
              <w:top w:val="nil"/>
              <w:left w:val="single" w:sz="4" w:space="0" w:color="auto"/>
              <w:bottom w:val="single" w:sz="4" w:space="0" w:color="auto"/>
              <w:right w:val="single" w:sz="4" w:space="0" w:color="auto"/>
            </w:tcBorders>
            <w:shd w:val="clear" w:color="auto" w:fill="auto"/>
            <w:noWrap/>
            <w:vAlign w:val="bottom"/>
            <w:hideMark/>
          </w:tcPr>
          <w:p w14:paraId="26A5A27C" w14:textId="77777777" w:rsidR="00775F9C" w:rsidRPr="008D2522" w:rsidRDefault="00775F9C" w:rsidP="00055CFC">
            <w:pPr>
              <w:spacing w:before="0" w:after="0"/>
              <w:jc w:val="left"/>
              <w:rPr>
                <w:rFonts w:eastAsia="Times New Roman" w:cs="Arial"/>
                <w:color w:val="000000"/>
                <w:sz w:val="22"/>
                <w:lang w:eastAsia="es-CR"/>
              </w:rPr>
            </w:pPr>
            <w:r w:rsidRPr="008D2522">
              <w:rPr>
                <w:rFonts w:eastAsia="Times New Roman" w:cs="Arial"/>
                <w:color w:val="000000"/>
                <w:sz w:val="22"/>
                <w:lang w:eastAsia="es-CR"/>
              </w:rPr>
              <w:t>Pérez Zeledón</w:t>
            </w:r>
          </w:p>
        </w:tc>
        <w:tc>
          <w:tcPr>
            <w:tcW w:w="769" w:type="pct"/>
            <w:tcBorders>
              <w:top w:val="nil"/>
              <w:left w:val="nil"/>
              <w:bottom w:val="single" w:sz="4" w:space="0" w:color="auto"/>
              <w:right w:val="single" w:sz="4" w:space="0" w:color="auto"/>
            </w:tcBorders>
            <w:shd w:val="clear" w:color="auto" w:fill="auto"/>
            <w:noWrap/>
            <w:vAlign w:val="bottom"/>
            <w:hideMark/>
          </w:tcPr>
          <w:p w14:paraId="3B573E8C"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3</w:t>
            </w:r>
          </w:p>
        </w:tc>
        <w:tc>
          <w:tcPr>
            <w:tcW w:w="653" w:type="pct"/>
            <w:tcBorders>
              <w:top w:val="nil"/>
              <w:left w:val="nil"/>
              <w:bottom w:val="single" w:sz="4" w:space="0" w:color="auto"/>
              <w:right w:val="single" w:sz="4" w:space="0" w:color="auto"/>
            </w:tcBorders>
            <w:shd w:val="clear" w:color="auto" w:fill="auto"/>
            <w:noWrap/>
            <w:vAlign w:val="bottom"/>
            <w:hideMark/>
          </w:tcPr>
          <w:p w14:paraId="1D074FFC"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0</w:t>
            </w:r>
          </w:p>
        </w:tc>
        <w:tc>
          <w:tcPr>
            <w:tcW w:w="923" w:type="pct"/>
            <w:tcBorders>
              <w:top w:val="nil"/>
              <w:left w:val="nil"/>
              <w:bottom w:val="single" w:sz="4" w:space="0" w:color="auto"/>
              <w:right w:val="single" w:sz="4" w:space="0" w:color="auto"/>
            </w:tcBorders>
            <w:shd w:val="clear" w:color="auto" w:fill="auto"/>
            <w:noWrap/>
            <w:vAlign w:val="bottom"/>
            <w:hideMark/>
          </w:tcPr>
          <w:p w14:paraId="3C944931"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0</w:t>
            </w:r>
          </w:p>
        </w:tc>
        <w:tc>
          <w:tcPr>
            <w:tcW w:w="583" w:type="pct"/>
            <w:tcBorders>
              <w:top w:val="nil"/>
              <w:left w:val="nil"/>
              <w:bottom w:val="single" w:sz="4" w:space="0" w:color="auto"/>
              <w:right w:val="single" w:sz="4" w:space="0" w:color="auto"/>
            </w:tcBorders>
            <w:shd w:val="clear" w:color="auto" w:fill="auto"/>
            <w:noWrap/>
            <w:vAlign w:val="bottom"/>
            <w:hideMark/>
          </w:tcPr>
          <w:p w14:paraId="1FC8C40E"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w:t>
            </w:r>
          </w:p>
        </w:tc>
        <w:tc>
          <w:tcPr>
            <w:tcW w:w="625" w:type="pct"/>
            <w:tcBorders>
              <w:top w:val="nil"/>
              <w:left w:val="nil"/>
              <w:bottom w:val="single" w:sz="4" w:space="0" w:color="auto"/>
              <w:right w:val="single" w:sz="4" w:space="0" w:color="auto"/>
            </w:tcBorders>
            <w:shd w:val="clear" w:color="auto" w:fill="auto"/>
            <w:noWrap/>
            <w:vAlign w:val="bottom"/>
            <w:hideMark/>
          </w:tcPr>
          <w:p w14:paraId="74160C19"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w:t>
            </w:r>
          </w:p>
        </w:tc>
        <w:tc>
          <w:tcPr>
            <w:tcW w:w="445" w:type="pct"/>
            <w:tcBorders>
              <w:top w:val="nil"/>
              <w:left w:val="nil"/>
              <w:bottom w:val="single" w:sz="4" w:space="0" w:color="auto"/>
              <w:right w:val="single" w:sz="4" w:space="0" w:color="auto"/>
            </w:tcBorders>
            <w:shd w:val="clear" w:color="auto" w:fill="auto"/>
            <w:noWrap/>
            <w:vAlign w:val="bottom"/>
            <w:hideMark/>
          </w:tcPr>
          <w:p w14:paraId="0CDB1212"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7</w:t>
            </w:r>
          </w:p>
        </w:tc>
      </w:tr>
      <w:tr w:rsidR="00775F9C" w:rsidRPr="008D2522" w14:paraId="6D426DA4" w14:textId="77777777" w:rsidTr="00775F9C">
        <w:trPr>
          <w:trHeight w:val="280"/>
        </w:trPr>
        <w:tc>
          <w:tcPr>
            <w:tcW w:w="1002" w:type="pct"/>
            <w:tcBorders>
              <w:top w:val="nil"/>
              <w:left w:val="single" w:sz="4" w:space="0" w:color="auto"/>
              <w:bottom w:val="single" w:sz="4" w:space="0" w:color="auto"/>
              <w:right w:val="single" w:sz="4" w:space="0" w:color="auto"/>
            </w:tcBorders>
            <w:shd w:val="clear" w:color="auto" w:fill="auto"/>
            <w:noWrap/>
            <w:vAlign w:val="bottom"/>
            <w:hideMark/>
          </w:tcPr>
          <w:p w14:paraId="7DA3FDA3" w14:textId="77777777" w:rsidR="00775F9C" w:rsidRPr="008D2522" w:rsidRDefault="00775F9C" w:rsidP="00055CFC">
            <w:pPr>
              <w:spacing w:before="0" w:after="0"/>
              <w:jc w:val="left"/>
              <w:rPr>
                <w:rFonts w:eastAsia="Times New Roman" w:cs="Arial"/>
                <w:color w:val="000000"/>
                <w:sz w:val="22"/>
                <w:lang w:eastAsia="es-CR"/>
              </w:rPr>
            </w:pPr>
            <w:r w:rsidRPr="008D2522">
              <w:rPr>
                <w:rFonts w:eastAsia="Times New Roman" w:cs="Arial"/>
                <w:color w:val="000000"/>
                <w:sz w:val="22"/>
                <w:lang w:eastAsia="es-CR"/>
              </w:rPr>
              <w:t>Limón</w:t>
            </w:r>
          </w:p>
        </w:tc>
        <w:tc>
          <w:tcPr>
            <w:tcW w:w="769" w:type="pct"/>
            <w:tcBorders>
              <w:top w:val="nil"/>
              <w:left w:val="nil"/>
              <w:bottom w:val="single" w:sz="4" w:space="0" w:color="auto"/>
              <w:right w:val="single" w:sz="4" w:space="0" w:color="auto"/>
            </w:tcBorders>
            <w:shd w:val="clear" w:color="auto" w:fill="auto"/>
            <w:noWrap/>
            <w:vAlign w:val="bottom"/>
            <w:hideMark/>
          </w:tcPr>
          <w:p w14:paraId="17464317"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w:t>
            </w:r>
          </w:p>
        </w:tc>
        <w:tc>
          <w:tcPr>
            <w:tcW w:w="653" w:type="pct"/>
            <w:tcBorders>
              <w:top w:val="nil"/>
              <w:left w:val="nil"/>
              <w:bottom w:val="single" w:sz="4" w:space="0" w:color="auto"/>
              <w:right w:val="single" w:sz="4" w:space="0" w:color="auto"/>
            </w:tcBorders>
            <w:shd w:val="clear" w:color="auto" w:fill="auto"/>
            <w:noWrap/>
            <w:vAlign w:val="bottom"/>
            <w:hideMark/>
          </w:tcPr>
          <w:p w14:paraId="7D8879FB"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w:t>
            </w:r>
          </w:p>
        </w:tc>
        <w:tc>
          <w:tcPr>
            <w:tcW w:w="923" w:type="pct"/>
            <w:tcBorders>
              <w:top w:val="nil"/>
              <w:left w:val="nil"/>
              <w:bottom w:val="single" w:sz="4" w:space="0" w:color="auto"/>
              <w:right w:val="single" w:sz="4" w:space="0" w:color="auto"/>
            </w:tcBorders>
            <w:shd w:val="clear" w:color="auto" w:fill="auto"/>
            <w:noWrap/>
            <w:vAlign w:val="bottom"/>
            <w:hideMark/>
          </w:tcPr>
          <w:p w14:paraId="77BC8DF6"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0</w:t>
            </w:r>
          </w:p>
        </w:tc>
        <w:tc>
          <w:tcPr>
            <w:tcW w:w="583" w:type="pct"/>
            <w:tcBorders>
              <w:top w:val="nil"/>
              <w:left w:val="nil"/>
              <w:bottom w:val="single" w:sz="4" w:space="0" w:color="auto"/>
              <w:right w:val="single" w:sz="4" w:space="0" w:color="auto"/>
            </w:tcBorders>
            <w:shd w:val="clear" w:color="auto" w:fill="auto"/>
            <w:noWrap/>
            <w:vAlign w:val="bottom"/>
            <w:hideMark/>
          </w:tcPr>
          <w:p w14:paraId="179F1945"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w:t>
            </w:r>
          </w:p>
        </w:tc>
        <w:tc>
          <w:tcPr>
            <w:tcW w:w="625" w:type="pct"/>
            <w:tcBorders>
              <w:top w:val="nil"/>
              <w:left w:val="nil"/>
              <w:bottom w:val="single" w:sz="4" w:space="0" w:color="auto"/>
              <w:right w:val="single" w:sz="4" w:space="0" w:color="auto"/>
            </w:tcBorders>
            <w:shd w:val="clear" w:color="auto" w:fill="auto"/>
            <w:noWrap/>
            <w:vAlign w:val="bottom"/>
            <w:hideMark/>
          </w:tcPr>
          <w:p w14:paraId="4D992C21"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w:t>
            </w:r>
          </w:p>
        </w:tc>
        <w:tc>
          <w:tcPr>
            <w:tcW w:w="445" w:type="pct"/>
            <w:tcBorders>
              <w:top w:val="nil"/>
              <w:left w:val="nil"/>
              <w:bottom w:val="single" w:sz="4" w:space="0" w:color="auto"/>
              <w:right w:val="single" w:sz="4" w:space="0" w:color="auto"/>
            </w:tcBorders>
            <w:shd w:val="clear" w:color="auto" w:fill="auto"/>
            <w:noWrap/>
            <w:vAlign w:val="bottom"/>
            <w:hideMark/>
          </w:tcPr>
          <w:p w14:paraId="083ED372"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6</w:t>
            </w:r>
          </w:p>
        </w:tc>
      </w:tr>
      <w:tr w:rsidR="00775F9C" w:rsidRPr="008D2522" w14:paraId="5A9C94E1" w14:textId="77777777" w:rsidTr="00775F9C">
        <w:trPr>
          <w:trHeight w:val="280"/>
        </w:trPr>
        <w:tc>
          <w:tcPr>
            <w:tcW w:w="1002" w:type="pct"/>
            <w:tcBorders>
              <w:top w:val="nil"/>
              <w:left w:val="single" w:sz="4" w:space="0" w:color="auto"/>
              <w:bottom w:val="single" w:sz="4" w:space="0" w:color="auto"/>
              <w:right w:val="single" w:sz="4" w:space="0" w:color="auto"/>
            </w:tcBorders>
            <w:shd w:val="clear" w:color="auto" w:fill="auto"/>
            <w:noWrap/>
            <w:vAlign w:val="bottom"/>
            <w:hideMark/>
          </w:tcPr>
          <w:p w14:paraId="28751362" w14:textId="77777777" w:rsidR="00775F9C" w:rsidRPr="008D2522" w:rsidRDefault="00775F9C" w:rsidP="00055CFC">
            <w:pPr>
              <w:spacing w:before="0" w:after="0"/>
              <w:jc w:val="left"/>
              <w:rPr>
                <w:rFonts w:eastAsia="Times New Roman" w:cs="Arial"/>
                <w:color w:val="000000"/>
                <w:sz w:val="22"/>
                <w:lang w:eastAsia="es-CR"/>
              </w:rPr>
            </w:pPr>
            <w:r w:rsidRPr="008D2522">
              <w:rPr>
                <w:rFonts w:eastAsia="Times New Roman" w:cs="Arial"/>
                <w:color w:val="000000"/>
                <w:sz w:val="22"/>
                <w:lang w:eastAsia="es-CR"/>
              </w:rPr>
              <w:t>Coto Brus</w:t>
            </w:r>
          </w:p>
        </w:tc>
        <w:tc>
          <w:tcPr>
            <w:tcW w:w="769" w:type="pct"/>
            <w:tcBorders>
              <w:top w:val="nil"/>
              <w:left w:val="nil"/>
              <w:bottom w:val="single" w:sz="4" w:space="0" w:color="auto"/>
              <w:right w:val="single" w:sz="4" w:space="0" w:color="auto"/>
            </w:tcBorders>
            <w:shd w:val="clear" w:color="auto" w:fill="auto"/>
            <w:noWrap/>
            <w:vAlign w:val="bottom"/>
            <w:hideMark/>
          </w:tcPr>
          <w:p w14:paraId="2E75522C"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w:t>
            </w:r>
          </w:p>
        </w:tc>
        <w:tc>
          <w:tcPr>
            <w:tcW w:w="653" w:type="pct"/>
            <w:tcBorders>
              <w:top w:val="nil"/>
              <w:left w:val="nil"/>
              <w:bottom w:val="single" w:sz="4" w:space="0" w:color="auto"/>
              <w:right w:val="single" w:sz="4" w:space="0" w:color="auto"/>
            </w:tcBorders>
            <w:shd w:val="clear" w:color="auto" w:fill="auto"/>
            <w:noWrap/>
            <w:vAlign w:val="bottom"/>
            <w:hideMark/>
          </w:tcPr>
          <w:p w14:paraId="65DE24F8"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w:t>
            </w:r>
          </w:p>
        </w:tc>
        <w:tc>
          <w:tcPr>
            <w:tcW w:w="923" w:type="pct"/>
            <w:tcBorders>
              <w:top w:val="nil"/>
              <w:left w:val="nil"/>
              <w:bottom w:val="single" w:sz="4" w:space="0" w:color="auto"/>
              <w:right w:val="single" w:sz="4" w:space="0" w:color="auto"/>
            </w:tcBorders>
            <w:shd w:val="clear" w:color="auto" w:fill="auto"/>
            <w:noWrap/>
            <w:vAlign w:val="bottom"/>
            <w:hideMark/>
          </w:tcPr>
          <w:p w14:paraId="163D26C5"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w:t>
            </w:r>
          </w:p>
        </w:tc>
        <w:tc>
          <w:tcPr>
            <w:tcW w:w="583" w:type="pct"/>
            <w:tcBorders>
              <w:top w:val="nil"/>
              <w:left w:val="nil"/>
              <w:bottom w:val="single" w:sz="4" w:space="0" w:color="auto"/>
              <w:right w:val="single" w:sz="4" w:space="0" w:color="auto"/>
            </w:tcBorders>
            <w:shd w:val="clear" w:color="auto" w:fill="auto"/>
            <w:noWrap/>
            <w:vAlign w:val="bottom"/>
            <w:hideMark/>
          </w:tcPr>
          <w:p w14:paraId="430523E4"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0</w:t>
            </w:r>
          </w:p>
        </w:tc>
        <w:tc>
          <w:tcPr>
            <w:tcW w:w="625" w:type="pct"/>
            <w:tcBorders>
              <w:top w:val="nil"/>
              <w:left w:val="nil"/>
              <w:bottom w:val="single" w:sz="4" w:space="0" w:color="auto"/>
              <w:right w:val="single" w:sz="4" w:space="0" w:color="auto"/>
            </w:tcBorders>
            <w:shd w:val="clear" w:color="auto" w:fill="auto"/>
            <w:noWrap/>
            <w:vAlign w:val="bottom"/>
            <w:hideMark/>
          </w:tcPr>
          <w:p w14:paraId="373EB0E1"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w:t>
            </w:r>
          </w:p>
        </w:tc>
        <w:tc>
          <w:tcPr>
            <w:tcW w:w="445" w:type="pct"/>
            <w:tcBorders>
              <w:top w:val="nil"/>
              <w:left w:val="nil"/>
              <w:bottom w:val="single" w:sz="4" w:space="0" w:color="auto"/>
              <w:right w:val="single" w:sz="4" w:space="0" w:color="auto"/>
            </w:tcBorders>
            <w:shd w:val="clear" w:color="auto" w:fill="auto"/>
            <w:noWrap/>
            <w:vAlign w:val="bottom"/>
            <w:hideMark/>
          </w:tcPr>
          <w:p w14:paraId="7B14736A"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5</w:t>
            </w:r>
          </w:p>
        </w:tc>
      </w:tr>
      <w:tr w:rsidR="00775F9C" w:rsidRPr="008D2522" w14:paraId="7A373102" w14:textId="77777777" w:rsidTr="00775F9C">
        <w:trPr>
          <w:trHeight w:val="280"/>
        </w:trPr>
        <w:tc>
          <w:tcPr>
            <w:tcW w:w="1002" w:type="pct"/>
            <w:tcBorders>
              <w:top w:val="nil"/>
              <w:left w:val="single" w:sz="4" w:space="0" w:color="auto"/>
              <w:bottom w:val="single" w:sz="4" w:space="0" w:color="auto"/>
              <w:right w:val="single" w:sz="4" w:space="0" w:color="auto"/>
            </w:tcBorders>
            <w:shd w:val="clear" w:color="auto" w:fill="auto"/>
            <w:noWrap/>
            <w:vAlign w:val="bottom"/>
            <w:hideMark/>
          </w:tcPr>
          <w:p w14:paraId="440860D1" w14:textId="77777777" w:rsidR="00775F9C" w:rsidRPr="008D2522" w:rsidRDefault="00775F9C" w:rsidP="00055CFC">
            <w:pPr>
              <w:spacing w:before="0" w:after="0"/>
              <w:jc w:val="left"/>
              <w:rPr>
                <w:rFonts w:eastAsia="Times New Roman" w:cs="Arial"/>
                <w:color w:val="000000"/>
                <w:sz w:val="22"/>
                <w:lang w:eastAsia="es-CR"/>
              </w:rPr>
            </w:pPr>
            <w:r w:rsidRPr="008D2522">
              <w:rPr>
                <w:rFonts w:eastAsia="Times New Roman" w:cs="Arial"/>
                <w:color w:val="000000"/>
                <w:sz w:val="22"/>
                <w:lang w:eastAsia="es-CR"/>
              </w:rPr>
              <w:t>Cartago</w:t>
            </w:r>
          </w:p>
        </w:tc>
        <w:tc>
          <w:tcPr>
            <w:tcW w:w="769" w:type="pct"/>
            <w:tcBorders>
              <w:top w:val="nil"/>
              <w:left w:val="nil"/>
              <w:bottom w:val="single" w:sz="4" w:space="0" w:color="auto"/>
              <w:right w:val="single" w:sz="4" w:space="0" w:color="auto"/>
            </w:tcBorders>
            <w:shd w:val="clear" w:color="auto" w:fill="auto"/>
            <w:noWrap/>
            <w:vAlign w:val="bottom"/>
            <w:hideMark/>
          </w:tcPr>
          <w:p w14:paraId="10770D0B"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w:t>
            </w:r>
          </w:p>
        </w:tc>
        <w:tc>
          <w:tcPr>
            <w:tcW w:w="653" w:type="pct"/>
            <w:tcBorders>
              <w:top w:val="nil"/>
              <w:left w:val="nil"/>
              <w:bottom w:val="single" w:sz="4" w:space="0" w:color="auto"/>
              <w:right w:val="single" w:sz="4" w:space="0" w:color="auto"/>
            </w:tcBorders>
            <w:shd w:val="clear" w:color="auto" w:fill="auto"/>
            <w:noWrap/>
            <w:vAlign w:val="bottom"/>
            <w:hideMark/>
          </w:tcPr>
          <w:p w14:paraId="423C0DAD"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0</w:t>
            </w:r>
          </w:p>
        </w:tc>
        <w:tc>
          <w:tcPr>
            <w:tcW w:w="923" w:type="pct"/>
            <w:tcBorders>
              <w:top w:val="nil"/>
              <w:left w:val="nil"/>
              <w:bottom w:val="single" w:sz="4" w:space="0" w:color="auto"/>
              <w:right w:val="single" w:sz="4" w:space="0" w:color="auto"/>
            </w:tcBorders>
            <w:shd w:val="clear" w:color="auto" w:fill="auto"/>
            <w:noWrap/>
            <w:vAlign w:val="bottom"/>
            <w:hideMark/>
          </w:tcPr>
          <w:p w14:paraId="14E585E9"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0</w:t>
            </w:r>
          </w:p>
        </w:tc>
        <w:tc>
          <w:tcPr>
            <w:tcW w:w="583" w:type="pct"/>
            <w:tcBorders>
              <w:top w:val="nil"/>
              <w:left w:val="nil"/>
              <w:bottom w:val="single" w:sz="4" w:space="0" w:color="auto"/>
              <w:right w:val="single" w:sz="4" w:space="0" w:color="auto"/>
            </w:tcBorders>
            <w:shd w:val="clear" w:color="auto" w:fill="auto"/>
            <w:noWrap/>
            <w:vAlign w:val="bottom"/>
            <w:hideMark/>
          </w:tcPr>
          <w:p w14:paraId="444EE9E0"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w:t>
            </w:r>
          </w:p>
        </w:tc>
        <w:tc>
          <w:tcPr>
            <w:tcW w:w="625" w:type="pct"/>
            <w:tcBorders>
              <w:top w:val="nil"/>
              <w:left w:val="nil"/>
              <w:bottom w:val="single" w:sz="4" w:space="0" w:color="auto"/>
              <w:right w:val="single" w:sz="4" w:space="0" w:color="auto"/>
            </w:tcBorders>
            <w:shd w:val="clear" w:color="auto" w:fill="auto"/>
            <w:noWrap/>
            <w:vAlign w:val="bottom"/>
            <w:hideMark/>
          </w:tcPr>
          <w:p w14:paraId="226F12FD"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0</w:t>
            </w:r>
          </w:p>
        </w:tc>
        <w:tc>
          <w:tcPr>
            <w:tcW w:w="445" w:type="pct"/>
            <w:tcBorders>
              <w:top w:val="nil"/>
              <w:left w:val="nil"/>
              <w:bottom w:val="single" w:sz="4" w:space="0" w:color="auto"/>
              <w:right w:val="single" w:sz="4" w:space="0" w:color="auto"/>
            </w:tcBorders>
            <w:shd w:val="clear" w:color="auto" w:fill="auto"/>
            <w:noWrap/>
            <w:vAlign w:val="bottom"/>
            <w:hideMark/>
          </w:tcPr>
          <w:p w14:paraId="1A383ADF"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4</w:t>
            </w:r>
          </w:p>
        </w:tc>
      </w:tr>
      <w:tr w:rsidR="00775F9C" w:rsidRPr="008D2522" w14:paraId="7FBDC3C6" w14:textId="77777777" w:rsidTr="00775F9C">
        <w:trPr>
          <w:trHeight w:val="280"/>
        </w:trPr>
        <w:tc>
          <w:tcPr>
            <w:tcW w:w="1002" w:type="pct"/>
            <w:tcBorders>
              <w:top w:val="nil"/>
              <w:left w:val="single" w:sz="4" w:space="0" w:color="auto"/>
              <w:bottom w:val="single" w:sz="4" w:space="0" w:color="auto"/>
              <w:right w:val="single" w:sz="4" w:space="0" w:color="auto"/>
            </w:tcBorders>
            <w:shd w:val="clear" w:color="auto" w:fill="auto"/>
            <w:noWrap/>
            <w:vAlign w:val="bottom"/>
            <w:hideMark/>
          </w:tcPr>
          <w:p w14:paraId="32601C2E" w14:textId="77777777" w:rsidR="00775F9C" w:rsidRPr="008D2522" w:rsidRDefault="00775F9C" w:rsidP="00055CFC">
            <w:pPr>
              <w:spacing w:before="0" w:after="0"/>
              <w:jc w:val="left"/>
              <w:rPr>
                <w:rFonts w:eastAsia="Times New Roman" w:cs="Arial"/>
                <w:color w:val="000000"/>
                <w:sz w:val="22"/>
                <w:lang w:eastAsia="es-CR"/>
              </w:rPr>
            </w:pPr>
            <w:r w:rsidRPr="008D2522">
              <w:rPr>
                <w:rFonts w:eastAsia="Times New Roman" w:cs="Arial"/>
                <w:color w:val="000000"/>
                <w:sz w:val="22"/>
                <w:lang w:eastAsia="es-CR"/>
              </w:rPr>
              <w:t>Corredores</w:t>
            </w:r>
          </w:p>
        </w:tc>
        <w:tc>
          <w:tcPr>
            <w:tcW w:w="769" w:type="pct"/>
            <w:tcBorders>
              <w:top w:val="nil"/>
              <w:left w:val="nil"/>
              <w:bottom w:val="single" w:sz="4" w:space="0" w:color="auto"/>
              <w:right w:val="single" w:sz="4" w:space="0" w:color="auto"/>
            </w:tcBorders>
            <w:shd w:val="clear" w:color="auto" w:fill="auto"/>
            <w:noWrap/>
            <w:vAlign w:val="bottom"/>
            <w:hideMark/>
          </w:tcPr>
          <w:p w14:paraId="2C25CD54"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w:t>
            </w:r>
          </w:p>
        </w:tc>
        <w:tc>
          <w:tcPr>
            <w:tcW w:w="653" w:type="pct"/>
            <w:tcBorders>
              <w:top w:val="nil"/>
              <w:left w:val="nil"/>
              <w:bottom w:val="single" w:sz="4" w:space="0" w:color="auto"/>
              <w:right w:val="single" w:sz="4" w:space="0" w:color="auto"/>
            </w:tcBorders>
            <w:shd w:val="clear" w:color="auto" w:fill="auto"/>
            <w:noWrap/>
            <w:vAlign w:val="bottom"/>
            <w:hideMark/>
          </w:tcPr>
          <w:p w14:paraId="4142E755"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w:t>
            </w:r>
          </w:p>
        </w:tc>
        <w:tc>
          <w:tcPr>
            <w:tcW w:w="923" w:type="pct"/>
            <w:tcBorders>
              <w:top w:val="nil"/>
              <w:left w:val="nil"/>
              <w:bottom w:val="single" w:sz="4" w:space="0" w:color="auto"/>
              <w:right w:val="single" w:sz="4" w:space="0" w:color="auto"/>
            </w:tcBorders>
            <w:shd w:val="clear" w:color="auto" w:fill="auto"/>
            <w:noWrap/>
            <w:vAlign w:val="bottom"/>
            <w:hideMark/>
          </w:tcPr>
          <w:p w14:paraId="3EB17D39"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0</w:t>
            </w:r>
          </w:p>
        </w:tc>
        <w:tc>
          <w:tcPr>
            <w:tcW w:w="583" w:type="pct"/>
            <w:tcBorders>
              <w:top w:val="nil"/>
              <w:left w:val="nil"/>
              <w:bottom w:val="single" w:sz="4" w:space="0" w:color="auto"/>
              <w:right w:val="single" w:sz="4" w:space="0" w:color="auto"/>
            </w:tcBorders>
            <w:shd w:val="clear" w:color="auto" w:fill="auto"/>
            <w:noWrap/>
            <w:vAlign w:val="bottom"/>
            <w:hideMark/>
          </w:tcPr>
          <w:p w14:paraId="3A1DC947"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w:t>
            </w:r>
          </w:p>
        </w:tc>
        <w:tc>
          <w:tcPr>
            <w:tcW w:w="625" w:type="pct"/>
            <w:tcBorders>
              <w:top w:val="nil"/>
              <w:left w:val="nil"/>
              <w:bottom w:val="single" w:sz="4" w:space="0" w:color="auto"/>
              <w:right w:val="single" w:sz="4" w:space="0" w:color="auto"/>
            </w:tcBorders>
            <w:shd w:val="clear" w:color="auto" w:fill="auto"/>
            <w:noWrap/>
            <w:vAlign w:val="bottom"/>
            <w:hideMark/>
          </w:tcPr>
          <w:p w14:paraId="23BF6CE8"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w:t>
            </w:r>
          </w:p>
        </w:tc>
        <w:tc>
          <w:tcPr>
            <w:tcW w:w="445" w:type="pct"/>
            <w:tcBorders>
              <w:top w:val="nil"/>
              <w:left w:val="nil"/>
              <w:bottom w:val="single" w:sz="4" w:space="0" w:color="auto"/>
              <w:right w:val="single" w:sz="4" w:space="0" w:color="auto"/>
            </w:tcBorders>
            <w:shd w:val="clear" w:color="auto" w:fill="auto"/>
            <w:noWrap/>
            <w:vAlign w:val="bottom"/>
            <w:hideMark/>
          </w:tcPr>
          <w:p w14:paraId="01C1B808"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4</w:t>
            </w:r>
          </w:p>
        </w:tc>
      </w:tr>
      <w:tr w:rsidR="00775F9C" w:rsidRPr="008D2522" w14:paraId="36B8D4DB" w14:textId="77777777" w:rsidTr="00775F9C">
        <w:trPr>
          <w:trHeight w:val="280"/>
        </w:trPr>
        <w:tc>
          <w:tcPr>
            <w:tcW w:w="1002" w:type="pct"/>
            <w:tcBorders>
              <w:top w:val="nil"/>
              <w:left w:val="single" w:sz="4" w:space="0" w:color="auto"/>
              <w:bottom w:val="single" w:sz="4" w:space="0" w:color="auto"/>
              <w:right w:val="single" w:sz="4" w:space="0" w:color="auto"/>
            </w:tcBorders>
            <w:shd w:val="clear" w:color="auto" w:fill="auto"/>
            <w:noWrap/>
            <w:vAlign w:val="bottom"/>
            <w:hideMark/>
          </w:tcPr>
          <w:p w14:paraId="2E0C7DF7" w14:textId="77777777" w:rsidR="00775F9C" w:rsidRPr="008D2522" w:rsidRDefault="00775F9C" w:rsidP="00055CFC">
            <w:pPr>
              <w:spacing w:before="0" w:after="0"/>
              <w:jc w:val="left"/>
              <w:rPr>
                <w:rFonts w:eastAsia="Times New Roman" w:cs="Arial"/>
                <w:color w:val="000000"/>
                <w:sz w:val="22"/>
                <w:lang w:eastAsia="es-CR"/>
              </w:rPr>
            </w:pPr>
            <w:r w:rsidRPr="008D2522">
              <w:rPr>
                <w:rFonts w:eastAsia="Times New Roman" w:cs="Arial"/>
                <w:color w:val="000000"/>
                <w:sz w:val="22"/>
                <w:lang w:eastAsia="es-CR"/>
              </w:rPr>
              <w:t>Demás oficinas</w:t>
            </w:r>
          </w:p>
        </w:tc>
        <w:tc>
          <w:tcPr>
            <w:tcW w:w="769" w:type="pct"/>
            <w:tcBorders>
              <w:top w:val="nil"/>
              <w:left w:val="nil"/>
              <w:bottom w:val="single" w:sz="4" w:space="0" w:color="auto"/>
              <w:right w:val="single" w:sz="4" w:space="0" w:color="auto"/>
            </w:tcBorders>
            <w:shd w:val="clear" w:color="auto" w:fill="auto"/>
            <w:noWrap/>
            <w:vAlign w:val="bottom"/>
            <w:hideMark/>
          </w:tcPr>
          <w:p w14:paraId="30494107"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3</w:t>
            </w:r>
          </w:p>
        </w:tc>
        <w:tc>
          <w:tcPr>
            <w:tcW w:w="653" w:type="pct"/>
            <w:tcBorders>
              <w:top w:val="nil"/>
              <w:left w:val="nil"/>
              <w:bottom w:val="single" w:sz="4" w:space="0" w:color="auto"/>
              <w:right w:val="single" w:sz="4" w:space="0" w:color="auto"/>
            </w:tcBorders>
            <w:shd w:val="clear" w:color="auto" w:fill="auto"/>
            <w:noWrap/>
            <w:vAlign w:val="bottom"/>
            <w:hideMark/>
          </w:tcPr>
          <w:p w14:paraId="05506A49"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3</w:t>
            </w:r>
          </w:p>
        </w:tc>
        <w:tc>
          <w:tcPr>
            <w:tcW w:w="923" w:type="pct"/>
            <w:tcBorders>
              <w:top w:val="nil"/>
              <w:left w:val="nil"/>
              <w:bottom w:val="single" w:sz="4" w:space="0" w:color="auto"/>
              <w:right w:val="single" w:sz="4" w:space="0" w:color="auto"/>
            </w:tcBorders>
            <w:shd w:val="clear" w:color="auto" w:fill="auto"/>
            <w:noWrap/>
            <w:vAlign w:val="bottom"/>
            <w:hideMark/>
          </w:tcPr>
          <w:p w14:paraId="790A2398"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0</w:t>
            </w:r>
          </w:p>
        </w:tc>
        <w:tc>
          <w:tcPr>
            <w:tcW w:w="583" w:type="pct"/>
            <w:tcBorders>
              <w:top w:val="nil"/>
              <w:left w:val="nil"/>
              <w:bottom w:val="single" w:sz="4" w:space="0" w:color="auto"/>
              <w:right w:val="single" w:sz="4" w:space="0" w:color="auto"/>
            </w:tcBorders>
            <w:shd w:val="clear" w:color="auto" w:fill="auto"/>
            <w:noWrap/>
            <w:vAlign w:val="bottom"/>
            <w:hideMark/>
          </w:tcPr>
          <w:p w14:paraId="15047D73"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0</w:t>
            </w:r>
          </w:p>
        </w:tc>
        <w:tc>
          <w:tcPr>
            <w:tcW w:w="625" w:type="pct"/>
            <w:tcBorders>
              <w:top w:val="nil"/>
              <w:left w:val="nil"/>
              <w:bottom w:val="single" w:sz="4" w:space="0" w:color="auto"/>
              <w:right w:val="single" w:sz="4" w:space="0" w:color="auto"/>
            </w:tcBorders>
            <w:shd w:val="clear" w:color="auto" w:fill="auto"/>
            <w:noWrap/>
            <w:vAlign w:val="bottom"/>
            <w:hideMark/>
          </w:tcPr>
          <w:p w14:paraId="684D68BC"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4</w:t>
            </w:r>
          </w:p>
        </w:tc>
        <w:tc>
          <w:tcPr>
            <w:tcW w:w="445" w:type="pct"/>
            <w:tcBorders>
              <w:top w:val="nil"/>
              <w:left w:val="nil"/>
              <w:bottom w:val="single" w:sz="4" w:space="0" w:color="auto"/>
              <w:right w:val="single" w:sz="4" w:space="0" w:color="auto"/>
            </w:tcBorders>
            <w:shd w:val="clear" w:color="auto" w:fill="auto"/>
            <w:noWrap/>
            <w:vAlign w:val="bottom"/>
            <w:hideMark/>
          </w:tcPr>
          <w:p w14:paraId="7CB7EAD4" w14:textId="77777777" w:rsidR="00775F9C" w:rsidRPr="008D2522" w:rsidRDefault="00775F9C"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11</w:t>
            </w:r>
          </w:p>
        </w:tc>
      </w:tr>
      <w:tr w:rsidR="00775F9C" w:rsidRPr="008D2522" w14:paraId="67EA5AC5" w14:textId="77777777" w:rsidTr="00E57630">
        <w:trPr>
          <w:trHeight w:val="280"/>
        </w:trPr>
        <w:tc>
          <w:tcPr>
            <w:tcW w:w="1002" w:type="pct"/>
            <w:tcBorders>
              <w:top w:val="nil"/>
              <w:left w:val="single" w:sz="4" w:space="0" w:color="auto"/>
              <w:bottom w:val="single" w:sz="4" w:space="0" w:color="auto"/>
              <w:right w:val="single" w:sz="4" w:space="0" w:color="auto"/>
            </w:tcBorders>
            <w:shd w:val="clear" w:color="auto" w:fill="D9D9D9"/>
            <w:noWrap/>
            <w:vAlign w:val="bottom"/>
            <w:hideMark/>
          </w:tcPr>
          <w:p w14:paraId="6BCAA98D" w14:textId="77777777" w:rsidR="00775F9C" w:rsidRPr="008D2522" w:rsidRDefault="00775F9C" w:rsidP="00055CFC">
            <w:pPr>
              <w:spacing w:before="0" w:after="0"/>
              <w:jc w:val="left"/>
              <w:rPr>
                <w:rFonts w:eastAsia="Times New Roman" w:cs="Arial"/>
                <w:b/>
                <w:bCs/>
                <w:color w:val="000000"/>
                <w:sz w:val="22"/>
                <w:lang w:eastAsia="es-CR"/>
              </w:rPr>
            </w:pPr>
            <w:r w:rsidRPr="008D2522">
              <w:rPr>
                <w:rFonts w:eastAsia="Times New Roman" w:cs="Arial"/>
                <w:b/>
                <w:bCs/>
                <w:color w:val="000000"/>
                <w:sz w:val="22"/>
                <w:lang w:eastAsia="es-CR"/>
              </w:rPr>
              <w:t>Total</w:t>
            </w:r>
          </w:p>
        </w:tc>
        <w:tc>
          <w:tcPr>
            <w:tcW w:w="769" w:type="pct"/>
            <w:tcBorders>
              <w:top w:val="nil"/>
              <w:left w:val="nil"/>
              <w:bottom w:val="single" w:sz="4" w:space="0" w:color="auto"/>
              <w:right w:val="single" w:sz="4" w:space="0" w:color="auto"/>
            </w:tcBorders>
            <w:shd w:val="clear" w:color="auto" w:fill="D9D9D9"/>
            <w:noWrap/>
            <w:vAlign w:val="bottom"/>
            <w:hideMark/>
          </w:tcPr>
          <w:p w14:paraId="58D777D0" w14:textId="77777777" w:rsidR="00775F9C" w:rsidRPr="008D2522" w:rsidRDefault="00775F9C" w:rsidP="00055CFC">
            <w:pPr>
              <w:spacing w:before="0" w:after="0"/>
              <w:jc w:val="center"/>
              <w:rPr>
                <w:rFonts w:eastAsia="Times New Roman" w:cs="Arial"/>
                <w:b/>
                <w:bCs/>
                <w:color w:val="000000"/>
                <w:sz w:val="22"/>
                <w:lang w:eastAsia="es-CR"/>
              </w:rPr>
            </w:pPr>
            <w:r w:rsidRPr="008D2522">
              <w:rPr>
                <w:rFonts w:eastAsia="Times New Roman" w:cs="Arial"/>
                <w:b/>
                <w:bCs/>
                <w:color w:val="000000"/>
                <w:sz w:val="22"/>
                <w:lang w:eastAsia="es-CR"/>
              </w:rPr>
              <w:t>37</w:t>
            </w:r>
          </w:p>
        </w:tc>
        <w:tc>
          <w:tcPr>
            <w:tcW w:w="653" w:type="pct"/>
            <w:tcBorders>
              <w:top w:val="nil"/>
              <w:left w:val="nil"/>
              <w:bottom w:val="single" w:sz="4" w:space="0" w:color="auto"/>
              <w:right w:val="single" w:sz="4" w:space="0" w:color="auto"/>
            </w:tcBorders>
            <w:shd w:val="clear" w:color="auto" w:fill="D9D9D9"/>
            <w:noWrap/>
            <w:vAlign w:val="bottom"/>
            <w:hideMark/>
          </w:tcPr>
          <w:p w14:paraId="5D1C4E7D" w14:textId="77777777" w:rsidR="00775F9C" w:rsidRPr="008D2522" w:rsidRDefault="00775F9C" w:rsidP="00055CFC">
            <w:pPr>
              <w:spacing w:before="0" w:after="0"/>
              <w:jc w:val="center"/>
              <w:rPr>
                <w:rFonts w:eastAsia="Times New Roman" w:cs="Arial"/>
                <w:b/>
                <w:bCs/>
                <w:color w:val="000000"/>
                <w:sz w:val="22"/>
                <w:lang w:eastAsia="es-CR"/>
              </w:rPr>
            </w:pPr>
            <w:r w:rsidRPr="008D2522">
              <w:rPr>
                <w:rFonts w:eastAsia="Times New Roman" w:cs="Arial"/>
                <w:b/>
                <w:bCs/>
                <w:color w:val="000000"/>
                <w:sz w:val="22"/>
                <w:lang w:eastAsia="es-CR"/>
              </w:rPr>
              <w:t>26</w:t>
            </w:r>
          </w:p>
        </w:tc>
        <w:tc>
          <w:tcPr>
            <w:tcW w:w="923" w:type="pct"/>
            <w:tcBorders>
              <w:top w:val="nil"/>
              <w:left w:val="nil"/>
              <w:bottom w:val="single" w:sz="4" w:space="0" w:color="auto"/>
              <w:right w:val="single" w:sz="4" w:space="0" w:color="auto"/>
            </w:tcBorders>
            <w:shd w:val="clear" w:color="auto" w:fill="D9D9D9"/>
            <w:noWrap/>
            <w:vAlign w:val="bottom"/>
            <w:hideMark/>
          </w:tcPr>
          <w:p w14:paraId="21FBE8C7" w14:textId="77777777" w:rsidR="00775F9C" w:rsidRPr="008D2522" w:rsidRDefault="00775F9C" w:rsidP="00055CFC">
            <w:pPr>
              <w:spacing w:before="0" w:after="0"/>
              <w:jc w:val="center"/>
              <w:rPr>
                <w:rFonts w:eastAsia="Times New Roman" w:cs="Arial"/>
                <w:b/>
                <w:bCs/>
                <w:color w:val="000000"/>
                <w:sz w:val="22"/>
                <w:lang w:eastAsia="es-CR"/>
              </w:rPr>
            </w:pPr>
            <w:r w:rsidRPr="008D2522">
              <w:rPr>
                <w:rFonts w:eastAsia="Times New Roman" w:cs="Arial"/>
                <w:b/>
                <w:bCs/>
                <w:color w:val="000000"/>
                <w:sz w:val="22"/>
                <w:lang w:eastAsia="es-CR"/>
              </w:rPr>
              <w:t>12</w:t>
            </w:r>
          </w:p>
        </w:tc>
        <w:tc>
          <w:tcPr>
            <w:tcW w:w="583" w:type="pct"/>
            <w:tcBorders>
              <w:top w:val="nil"/>
              <w:left w:val="nil"/>
              <w:bottom w:val="single" w:sz="4" w:space="0" w:color="auto"/>
              <w:right w:val="single" w:sz="4" w:space="0" w:color="auto"/>
            </w:tcBorders>
            <w:shd w:val="clear" w:color="auto" w:fill="D9D9D9"/>
            <w:noWrap/>
            <w:vAlign w:val="bottom"/>
            <w:hideMark/>
          </w:tcPr>
          <w:p w14:paraId="581DEC30" w14:textId="77777777" w:rsidR="00775F9C" w:rsidRPr="008D2522" w:rsidRDefault="00775F9C" w:rsidP="00055CFC">
            <w:pPr>
              <w:spacing w:before="0" w:after="0"/>
              <w:jc w:val="center"/>
              <w:rPr>
                <w:rFonts w:eastAsia="Times New Roman" w:cs="Arial"/>
                <w:b/>
                <w:bCs/>
                <w:color w:val="000000"/>
                <w:sz w:val="22"/>
                <w:lang w:eastAsia="es-CR"/>
              </w:rPr>
            </w:pPr>
            <w:r w:rsidRPr="008D2522">
              <w:rPr>
                <w:rFonts w:eastAsia="Times New Roman" w:cs="Arial"/>
                <w:b/>
                <w:bCs/>
                <w:color w:val="000000"/>
                <w:sz w:val="22"/>
                <w:lang w:eastAsia="es-CR"/>
              </w:rPr>
              <w:t>8</w:t>
            </w:r>
          </w:p>
        </w:tc>
        <w:tc>
          <w:tcPr>
            <w:tcW w:w="625" w:type="pct"/>
            <w:tcBorders>
              <w:top w:val="nil"/>
              <w:left w:val="nil"/>
              <w:bottom w:val="single" w:sz="4" w:space="0" w:color="auto"/>
              <w:right w:val="single" w:sz="4" w:space="0" w:color="auto"/>
            </w:tcBorders>
            <w:shd w:val="clear" w:color="auto" w:fill="D9D9D9"/>
            <w:noWrap/>
            <w:vAlign w:val="bottom"/>
            <w:hideMark/>
          </w:tcPr>
          <w:p w14:paraId="0EFADBBC" w14:textId="77777777" w:rsidR="00775F9C" w:rsidRPr="008D2522" w:rsidRDefault="00775F9C" w:rsidP="00055CFC">
            <w:pPr>
              <w:spacing w:before="0" w:after="0"/>
              <w:jc w:val="center"/>
              <w:rPr>
                <w:rFonts w:eastAsia="Times New Roman" w:cs="Arial"/>
                <w:b/>
                <w:bCs/>
                <w:color w:val="000000"/>
                <w:sz w:val="22"/>
                <w:lang w:eastAsia="es-CR"/>
              </w:rPr>
            </w:pPr>
            <w:r w:rsidRPr="008D2522">
              <w:rPr>
                <w:rFonts w:eastAsia="Times New Roman" w:cs="Arial"/>
                <w:b/>
                <w:bCs/>
                <w:color w:val="000000"/>
                <w:sz w:val="22"/>
                <w:lang w:eastAsia="es-CR"/>
              </w:rPr>
              <w:t>20</w:t>
            </w:r>
          </w:p>
        </w:tc>
        <w:tc>
          <w:tcPr>
            <w:tcW w:w="445" w:type="pct"/>
            <w:tcBorders>
              <w:top w:val="nil"/>
              <w:left w:val="nil"/>
              <w:bottom w:val="single" w:sz="4" w:space="0" w:color="auto"/>
              <w:right w:val="single" w:sz="4" w:space="0" w:color="auto"/>
            </w:tcBorders>
            <w:shd w:val="clear" w:color="auto" w:fill="D9D9D9"/>
            <w:noWrap/>
            <w:vAlign w:val="bottom"/>
            <w:hideMark/>
          </w:tcPr>
          <w:p w14:paraId="48CC7D29" w14:textId="77777777" w:rsidR="00775F9C" w:rsidRPr="008D2522" w:rsidRDefault="00775F9C" w:rsidP="00055CFC">
            <w:pPr>
              <w:spacing w:before="0" w:after="0"/>
              <w:jc w:val="center"/>
              <w:rPr>
                <w:rFonts w:eastAsia="Times New Roman" w:cs="Arial"/>
                <w:b/>
                <w:bCs/>
                <w:color w:val="000000"/>
                <w:sz w:val="22"/>
                <w:lang w:eastAsia="es-CR"/>
              </w:rPr>
            </w:pPr>
            <w:r w:rsidRPr="008D2522">
              <w:rPr>
                <w:rFonts w:eastAsia="Times New Roman" w:cs="Arial"/>
                <w:b/>
                <w:bCs/>
                <w:color w:val="000000"/>
                <w:sz w:val="22"/>
                <w:lang w:eastAsia="es-CR"/>
              </w:rPr>
              <w:t>103</w:t>
            </w:r>
          </w:p>
        </w:tc>
      </w:tr>
    </w:tbl>
    <w:p w14:paraId="07F849D6" w14:textId="1D7D9509" w:rsidR="0C57E0BD" w:rsidRPr="008D2522" w:rsidRDefault="0C57E0BD" w:rsidP="003848C2">
      <w:pPr>
        <w:spacing w:after="0"/>
        <w:rPr>
          <w:rFonts w:eastAsia="Arial" w:cs="Arial"/>
          <w:sz w:val="20"/>
          <w:szCs w:val="20"/>
        </w:rPr>
      </w:pPr>
      <w:r w:rsidRPr="008D2522">
        <w:rPr>
          <w:rFonts w:eastAsia="Arial" w:cs="Arial"/>
          <w:b/>
          <w:bCs/>
          <w:sz w:val="20"/>
          <w:szCs w:val="20"/>
        </w:rPr>
        <w:t>Fuente:</w:t>
      </w:r>
      <w:r w:rsidRPr="008D2522">
        <w:rPr>
          <w:rFonts w:eastAsia="Arial" w:cs="Arial"/>
          <w:sz w:val="20"/>
          <w:szCs w:val="20"/>
        </w:rPr>
        <w:t xml:space="preserve"> Subproceso de Modernización Institucional, de la Dirección de Planificación con datos facilitados por la Administración de la Defensa Pública.</w:t>
      </w:r>
    </w:p>
    <w:p w14:paraId="709BBEE7" w14:textId="2667A795" w:rsidR="00366557" w:rsidRPr="00F249A1" w:rsidRDefault="00366557" w:rsidP="00055CFC">
      <w:pPr>
        <w:spacing w:before="0" w:after="0"/>
        <w:rPr>
          <w:rFonts w:cs="Arial"/>
          <w:i/>
          <w:iCs/>
          <w:sz w:val="18"/>
          <w:szCs w:val="16"/>
        </w:rPr>
      </w:pPr>
      <w:r w:rsidRPr="00F249A1">
        <w:rPr>
          <w:rFonts w:cs="Arial"/>
          <w:i/>
          <w:iCs/>
          <w:sz w:val="18"/>
          <w:szCs w:val="16"/>
        </w:rPr>
        <w:t>Nota: La Defensa Pública reporta, de octubre 2018 a setiembre 2019, asuntos entrados con persona usuaria indígena en 34 oficinas; por lo que la fila “Demás oficinas” contempla un total de 26 oficinas.</w:t>
      </w:r>
    </w:p>
    <w:p w14:paraId="2B6CE49E" w14:textId="2F09A476" w:rsidR="00D469A1" w:rsidRPr="00163514" w:rsidRDefault="0C57E0BD" w:rsidP="00163514">
      <w:pPr>
        <w:spacing w:line="240" w:lineRule="auto"/>
        <w:rPr>
          <w:rFonts w:ascii="Book Antiqua" w:hAnsi="Book Antiqua"/>
        </w:rPr>
      </w:pPr>
      <w:r w:rsidRPr="00163514">
        <w:rPr>
          <w:rFonts w:ascii="Book Antiqua" w:hAnsi="Book Antiqua"/>
        </w:rPr>
        <w:t xml:space="preserve">De la tabla anterior se puede extraer que, el promedio de ingreso mensual de </w:t>
      </w:r>
      <w:r w:rsidR="00107BA2" w:rsidRPr="00163514">
        <w:rPr>
          <w:rFonts w:ascii="Book Antiqua" w:hAnsi="Book Antiqua"/>
        </w:rPr>
        <w:t xml:space="preserve">asuntos mensuales </w:t>
      </w:r>
      <w:r w:rsidRPr="00163514">
        <w:rPr>
          <w:rFonts w:ascii="Book Antiqua" w:hAnsi="Book Antiqua"/>
        </w:rPr>
        <w:t xml:space="preserve">es similar para la Defensa Pública de </w:t>
      </w:r>
      <w:r w:rsidR="00107BA2" w:rsidRPr="00163514">
        <w:rPr>
          <w:rFonts w:ascii="Book Antiqua" w:hAnsi="Book Antiqua"/>
        </w:rPr>
        <w:t xml:space="preserve">Bribri </w:t>
      </w:r>
      <w:r w:rsidRPr="00163514">
        <w:rPr>
          <w:rFonts w:ascii="Book Antiqua" w:hAnsi="Book Antiqua"/>
        </w:rPr>
        <w:t>(3</w:t>
      </w:r>
      <w:r w:rsidR="00107BA2" w:rsidRPr="00163514">
        <w:rPr>
          <w:rFonts w:ascii="Book Antiqua" w:hAnsi="Book Antiqua"/>
        </w:rPr>
        <w:t>0</w:t>
      </w:r>
      <w:r w:rsidRPr="00163514">
        <w:rPr>
          <w:rFonts w:ascii="Book Antiqua" w:hAnsi="Book Antiqua"/>
        </w:rPr>
        <w:t xml:space="preserve">) y </w:t>
      </w:r>
      <w:r w:rsidR="00107BA2" w:rsidRPr="00163514">
        <w:rPr>
          <w:rFonts w:ascii="Book Antiqua" w:hAnsi="Book Antiqua"/>
        </w:rPr>
        <w:t xml:space="preserve">Buenos Aires </w:t>
      </w:r>
      <w:r w:rsidRPr="00163514">
        <w:rPr>
          <w:rFonts w:ascii="Book Antiqua" w:hAnsi="Book Antiqua"/>
        </w:rPr>
        <w:t>(</w:t>
      </w:r>
      <w:r w:rsidR="00107BA2" w:rsidRPr="00163514">
        <w:rPr>
          <w:rFonts w:ascii="Book Antiqua" w:hAnsi="Book Antiqua"/>
        </w:rPr>
        <w:t>29</w:t>
      </w:r>
      <w:r w:rsidRPr="00163514">
        <w:rPr>
          <w:rFonts w:ascii="Book Antiqua" w:hAnsi="Book Antiqua"/>
        </w:rPr>
        <w:t xml:space="preserve">). No obstante, la segmentación </w:t>
      </w:r>
      <w:r w:rsidR="00107BA2" w:rsidRPr="00163514">
        <w:rPr>
          <w:rFonts w:ascii="Book Antiqua" w:hAnsi="Book Antiqua"/>
        </w:rPr>
        <w:t>de asuntos entrados p</w:t>
      </w:r>
      <w:r w:rsidRPr="00163514">
        <w:rPr>
          <w:rFonts w:ascii="Book Antiqua" w:hAnsi="Book Antiqua"/>
        </w:rPr>
        <w:t>or materia varía en su comportamiento, debido a que en</w:t>
      </w:r>
      <w:r w:rsidR="00847355" w:rsidRPr="00163514">
        <w:rPr>
          <w:rFonts w:ascii="Book Antiqua" w:hAnsi="Book Antiqua"/>
        </w:rPr>
        <w:t xml:space="preserve"> Bribri el 46% de los asuntos entrados son de Pensiones Alimentarias (14), mientras que, en Buenos Aires el 34% de los asuntos entrados son Penales Ordinarios (10)</w:t>
      </w:r>
      <w:r w:rsidRPr="00163514">
        <w:rPr>
          <w:rFonts w:ascii="Book Antiqua" w:hAnsi="Book Antiqua"/>
        </w:rPr>
        <w:t>.</w:t>
      </w:r>
    </w:p>
    <w:p w14:paraId="6D060CFB" w14:textId="06821C8B" w:rsidR="0C57E0BD" w:rsidRPr="00163514" w:rsidRDefault="0C57E0BD" w:rsidP="00163514">
      <w:pPr>
        <w:spacing w:line="240" w:lineRule="auto"/>
        <w:rPr>
          <w:rFonts w:ascii="Book Antiqua" w:hAnsi="Book Antiqua"/>
        </w:rPr>
      </w:pPr>
      <w:r w:rsidRPr="00163514">
        <w:rPr>
          <w:rFonts w:ascii="Book Antiqua" w:hAnsi="Book Antiqua"/>
        </w:rPr>
        <w:t>Las oficinas de Turrialba, Pérez Zeledón, Limón, Coto Brus, Cartago y Corredores mantienen una representación mensual entre uno y tres asuntos en Pensiones Alimentarias y, entre uno y dos asuntos en Penal Ordinario.</w:t>
      </w:r>
    </w:p>
    <w:p w14:paraId="1ADDA5E6" w14:textId="6FFDD128" w:rsidR="00055CFC" w:rsidRPr="00163514" w:rsidRDefault="0C57E0BD" w:rsidP="00163514">
      <w:pPr>
        <w:spacing w:line="240" w:lineRule="auto"/>
        <w:rPr>
          <w:rFonts w:ascii="Book Antiqua" w:hAnsi="Book Antiqua"/>
        </w:rPr>
      </w:pPr>
      <w:r w:rsidRPr="00163514">
        <w:rPr>
          <w:rFonts w:ascii="Book Antiqua" w:hAnsi="Book Antiqua"/>
        </w:rPr>
        <w:t xml:space="preserve">Respecto a Penalización de Violencia contra la Mujer, se observa que las oficinas de </w:t>
      </w:r>
      <w:r w:rsidR="00847355" w:rsidRPr="00163514">
        <w:rPr>
          <w:rFonts w:ascii="Book Antiqua" w:hAnsi="Book Antiqua"/>
        </w:rPr>
        <w:t xml:space="preserve">Bribri y </w:t>
      </w:r>
      <w:r w:rsidRPr="00163514">
        <w:rPr>
          <w:rFonts w:ascii="Book Antiqua" w:hAnsi="Book Antiqua"/>
        </w:rPr>
        <w:t xml:space="preserve">Buenos Aires presentan una entrada mensual promedio de </w:t>
      </w:r>
      <w:r w:rsidR="00847355" w:rsidRPr="00163514">
        <w:rPr>
          <w:rFonts w:ascii="Book Antiqua" w:hAnsi="Book Antiqua"/>
        </w:rPr>
        <w:t>seis</w:t>
      </w:r>
      <w:r w:rsidRPr="00163514">
        <w:rPr>
          <w:rFonts w:ascii="Book Antiqua" w:hAnsi="Book Antiqua"/>
        </w:rPr>
        <w:t xml:space="preserve"> y </w:t>
      </w:r>
      <w:r w:rsidR="00847355" w:rsidRPr="00163514">
        <w:rPr>
          <w:rFonts w:ascii="Book Antiqua" w:hAnsi="Book Antiqua"/>
        </w:rPr>
        <w:t>cuatro</w:t>
      </w:r>
      <w:r w:rsidRPr="00163514">
        <w:rPr>
          <w:rFonts w:ascii="Book Antiqua" w:hAnsi="Book Antiqua"/>
        </w:rPr>
        <w:t xml:space="preserve">, respectivamente. Las demás oficinas de la Defensa Pública a nivel nacional mantienen un ingreso promedio mensual </w:t>
      </w:r>
      <w:r w:rsidR="00847355" w:rsidRPr="00163514">
        <w:rPr>
          <w:rFonts w:ascii="Book Antiqua" w:hAnsi="Book Antiqua"/>
        </w:rPr>
        <w:t xml:space="preserve">igual o </w:t>
      </w:r>
      <w:r w:rsidRPr="00163514">
        <w:rPr>
          <w:rFonts w:ascii="Book Antiqua" w:hAnsi="Book Antiqua"/>
        </w:rPr>
        <w:t xml:space="preserve">inferior a uno, por lo que se puede decir que hay meses que </w:t>
      </w:r>
      <w:r w:rsidR="00847355" w:rsidRPr="00163514">
        <w:rPr>
          <w:rFonts w:ascii="Book Antiqua" w:hAnsi="Book Antiqua"/>
        </w:rPr>
        <w:t xml:space="preserve">ingresa un asunto </w:t>
      </w:r>
      <w:r w:rsidRPr="00163514">
        <w:rPr>
          <w:rFonts w:ascii="Book Antiqua" w:hAnsi="Book Antiqua"/>
        </w:rPr>
        <w:t>nuev</w:t>
      </w:r>
      <w:r w:rsidR="00847355" w:rsidRPr="00163514">
        <w:rPr>
          <w:rFonts w:ascii="Book Antiqua" w:hAnsi="Book Antiqua"/>
        </w:rPr>
        <w:t>o</w:t>
      </w:r>
      <w:r w:rsidRPr="00163514">
        <w:rPr>
          <w:rFonts w:ascii="Book Antiqua" w:hAnsi="Book Antiqua"/>
        </w:rPr>
        <w:t xml:space="preserve"> y meses donde no hay un ingreso.</w:t>
      </w:r>
    </w:p>
    <w:p w14:paraId="5B3E4DD5" w14:textId="0B6D348B" w:rsidR="00542222" w:rsidRPr="00163514" w:rsidRDefault="00847355" w:rsidP="00163514">
      <w:pPr>
        <w:spacing w:line="240" w:lineRule="auto"/>
        <w:rPr>
          <w:rFonts w:ascii="Book Antiqua" w:hAnsi="Book Antiqua"/>
        </w:rPr>
      </w:pPr>
      <w:r w:rsidRPr="00163514">
        <w:rPr>
          <w:rFonts w:ascii="Book Antiqua" w:hAnsi="Book Antiqua"/>
        </w:rPr>
        <w:lastRenderedPageBreak/>
        <w:t xml:space="preserve">Respecto a las causas entradas en materia agraria, en </w:t>
      </w:r>
      <w:r w:rsidR="00966AEA" w:rsidRPr="00163514">
        <w:rPr>
          <w:rFonts w:ascii="Book Antiqua" w:hAnsi="Book Antiqua"/>
        </w:rPr>
        <w:t>la tabla</w:t>
      </w:r>
      <w:r w:rsidRPr="00163514">
        <w:rPr>
          <w:rFonts w:ascii="Book Antiqua" w:hAnsi="Book Antiqua"/>
        </w:rPr>
        <w:t xml:space="preserve"> anterior se evidencia que, la Defensa Pública de Buenos Aires, Pérez Zeledón y Cartago mantienen un promedio mensual de dos asuntos; en las demás oficinas hay meses que ingresa un asunto y meses en los que la entrada es nula.</w:t>
      </w:r>
    </w:p>
    <w:p w14:paraId="6C67CFD1" w14:textId="778573C3" w:rsidR="00847355" w:rsidRPr="00163514" w:rsidRDefault="00847355" w:rsidP="00163514">
      <w:pPr>
        <w:spacing w:line="240" w:lineRule="auto"/>
        <w:rPr>
          <w:rFonts w:ascii="Book Antiqua" w:hAnsi="Book Antiqua"/>
        </w:rPr>
      </w:pPr>
      <w:r w:rsidRPr="00163514">
        <w:rPr>
          <w:rFonts w:ascii="Book Antiqua" w:hAnsi="Book Antiqua"/>
        </w:rPr>
        <w:t>Es importante reco</w:t>
      </w:r>
      <w:r w:rsidR="00542222" w:rsidRPr="00163514">
        <w:rPr>
          <w:rFonts w:ascii="Book Antiqua" w:hAnsi="Book Antiqua"/>
        </w:rPr>
        <w:t>r</w:t>
      </w:r>
      <w:r w:rsidRPr="00163514">
        <w:rPr>
          <w:rFonts w:ascii="Book Antiqua" w:hAnsi="Book Antiqua"/>
        </w:rPr>
        <w:t xml:space="preserve">dar que la Defensa Pública de Pérez Zeledón le brinda soporte a la Defensa Pública de Buenos Aires y, en ese sentido, se puede inferir que la mayor cantidad de asuntos agrarios entrados se encuentran en el Primer Circuito Judicial de la Zona Sur. </w:t>
      </w:r>
    </w:p>
    <w:p w14:paraId="528BFB73" w14:textId="66AF2D28" w:rsidR="00E232AF" w:rsidRPr="00163514" w:rsidRDefault="002A0037" w:rsidP="00163514">
      <w:pPr>
        <w:spacing w:line="240" w:lineRule="auto"/>
        <w:rPr>
          <w:rFonts w:ascii="Book Antiqua" w:hAnsi="Book Antiqua"/>
        </w:rPr>
      </w:pPr>
      <w:r w:rsidRPr="00163514">
        <w:rPr>
          <w:rFonts w:ascii="Book Antiqua" w:hAnsi="Book Antiqua"/>
        </w:rPr>
        <w:t>E</w:t>
      </w:r>
      <w:r w:rsidR="004D5C65" w:rsidRPr="00163514">
        <w:rPr>
          <w:rFonts w:ascii="Book Antiqua" w:hAnsi="Book Antiqua"/>
        </w:rPr>
        <w:t>n los expedientes</w:t>
      </w:r>
      <w:r w:rsidR="0C57E0BD" w:rsidRPr="00163514">
        <w:rPr>
          <w:rFonts w:ascii="Book Antiqua" w:hAnsi="Book Antiqua"/>
        </w:rPr>
        <w:t xml:space="preserve"> contabilizadas en “Otras materias”, </w:t>
      </w:r>
      <w:r w:rsidR="004D5C65" w:rsidRPr="00163514">
        <w:rPr>
          <w:rFonts w:ascii="Book Antiqua" w:hAnsi="Book Antiqua"/>
        </w:rPr>
        <w:t>l</w:t>
      </w:r>
      <w:r w:rsidR="0C57E0BD" w:rsidRPr="00163514">
        <w:rPr>
          <w:rFonts w:ascii="Book Antiqua" w:hAnsi="Book Antiqua"/>
        </w:rPr>
        <w:t>a Defensa Pública de Buenos Aires presenta el ingreso del 3</w:t>
      </w:r>
      <w:r w:rsidR="004D5C65" w:rsidRPr="00163514">
        <w:rPr>
          <w:rFonts w:ascii="Book Antiqua" w:hAnsi="Book Antiqua"/>
        </w:rPr>
        <w:t>7</w:t>
      </w:r>
      <w:r w:rsidR="0C57E0BD" w:rsidRPr="00163514">
        <w:rPr>
          <w:rFonts w:ascii="Book Antiqua" w:hAnsi="Book Antiqua"/>
        </w:rPr>
        <w:t xml:space="preserve">% de las representaciones nuevas por mes; por lo que es importante mencionar que dichos asuntos se concentran en Laboral (un </w:t>
      </w:r>
      <w:r w:rsidR="004D5C65" w:rsidRPr="00163514">
        <w:rPr>
          <w:rFonts w:ascii="Book Antiqua" w:hAnsi="Book Antiqua"/>
        </w:rPr>
        <w:t>asunto</w:t>
      </w:r>
      <w:r w:rsidR="0C57E0BD" w:rsidRPr="00163514">
        <w:rPr>
          <w:rFonts w:ascii="Book Antiqua" w:hAnsi="Book Antiqua"/>
        </w:rPr>
        <w:t xml:space="preserve"> mensual), </w:t>
      </w:r>
      <w:r w:rsidR="004D5C65" w:rsidRPr="00163514">
        <w:rPr>
          <w:rFonts w:ascii="Book Antiqua" w:hAnsi="Book Antiqua"/>
        </w:rPr>
        <w:t xml:space="preserve">Penal Juvenil (3 asuntos mensuales), Familia (2 asuntos mensuales) y Contravencional (2 asuntos mensuales). </w:t>
      </w:r>
      <w:r w:rsidR="0C57E0BD" w:rsidRPr="00163514">
        <w:rPr>
          <w:rFonts w:ascii="Book Antiqua" w:hAnsi="Book Antiqua"/>
        </w:rPr>
        <w:t>Además, la Defensa Pública de Bribri e</w:t>
      </w:r>
      <w:r w:rsidR="004D5C65" w:rsidRPr="00163514">
        <w:rPr>
          <w:rFonts w:ascii="Book Antiqua" w:hAnsi="Book Antiqua"/>
        </w:rPr>
        <w:t>l</w:t>
      </w:r>
      <w:r w:rsidR="0C57E0BD" w:rsidRPr="00163514">
        <w:rPr>
          <w:rFonts w:ascii="Book Antiqua" w:hAnsi="Book Antiqua"/>
        </w:rPr>
        <w:t xml:space="preserve"> promedio</w:t>
      </w:r>
      <w:r w:rsidR="004D5C65" w:rsidRPr="00163514">
        <w:rPr>
          <w:rFonts w:ascii="Book Antiqua" w:hAnsi="Book Antiqua"/>
        </w:rPr>
        <w:t xml:space="preserve"> de “Otras materias” se</w:t>
      </w:r>
      <w:r w:rsidR="0C57E0BD" w:rsidRPr="00163514">
        <w:rPr>
          <w:rFonts w:ascii="Book Antiqua" w:hAnsi="Book Antiqua"/>
        </w:rPr>
        <w:t xml:space="preserve"> mantiene </w:t>
      </w:r>
      <w:r w:rsidR="004D5C65" w:rsidRPr="00163514">
        <w:rPr>
          <w:rFonts w:ascii="Book Antiqua" w:hAnsi="Book Antiqua"/>
        </w:rPr>
        <w:t xml:space="preserve">en </w:t>
      </w:r>
      <w:r w:rsidR="0C57E0BD" w:rsidRPr="00163514">
        <w:rPr>
          <w:rFonts w:ascii="Book Antiqua" w:hAnsi="Book Antiqua"/>
        </w:rPr>
        <w:t xml:space="preserve">tres </w:t>
      </w:r>
      <w:r w:rsidR="004D5C65" w:rsidRPr="00163514">
        <w:rPr>
          <w:rFonts w:ascii="Book Antiqua" w:hAnsi="Book Antiqua"/>
        </w:rPr>
        <w:t xml:space="preserve">causas </w:t>
      </w:r>
      <w:r w:rsidR="0C57E0BD" w:rsidRPr="00163514">
        <w:rPr>
          <w:rFonts w:ascii="Book Antiqua" w:hAnsi="Book Antiqua"/>
        </w:rPr>
        <w:t>nuevas por mes, concentradas</w:t>
      </w:r>
      <w:r w:rsidR="004D5C65" w:rsidRPr="00163514">
        <w:rPr>
          <w:rFonts w:ascii="Book Antiqua" w:hAnsi="Book Antiqua"/>
        </w:rPr>
        <w:t xml:space="preserve"> principalmente</w:t>
      </w:r>
      <w:r w:rsidR="0C57E0BD" w:rsidRPr="00163514">
        <w:rPr>
          <w:rFonts w:ascii="Book Antiqua" w:hAnsi="Book Antiqua"/>
        </w:rPr>
        <w:t xml:space="preserve"> en</w:t>
      </w:r>
      <w:r w:rsidR="004D5C65" w:rsidRPr="00163514">
        <w:rPr>
          <w:rFonts w:ascii="Book Antiqua" w:hAnsi="Book Antiqua"/>
        </w:rPr>
        <w:t xml:space="preserve"> materia</w:t>
      </w:r>
      <w:r w:rsidR="0C57E0BD" w:rsidRPr="00163514">
        <w:rPr>
          <w:rFonts w:ascii="Book Antiqua" w:hAnsi="Book Antiqua"/>
        </w:rPr>
        <w:t xml:space="preserve"> Laboral</w:t>
      </w:r>
      <w:r w:rsidR="004D5C65" w:rsidRPr="00163514">
        <w:rPr>
          <w:rFonts w:ascii="Book Antiqua" w:hAnsi="Book Antiqua"/>
        </w:rPr>
        <w:t>.</w:t>
      </w:r>
    </w:p>
    <w:p w14:paraId="718AE265" w14:textId="50F03675" w:rsidR="00F90343" w:rsidRPr="00163514" w:rsidRDefault="002A0037" w:rsidP="00163514">
      <w:pPr>
        <w:spacing w:line="240" w:lineRule="auto"/>
        <w:rPr>
          <w:rFonts w:ascii="Book Antiqua" w:hAnsi="Book Antiqua"/>
        </w:rPr>
      </w:pPr>
      <w:r w:rsidRPr="00163514">
        <w:rPr>
          <w:rFonts w:ascii="Book Antiqua" w:hAnsi="Book Antiqua"/>
        </w:rPr>
        <w:t>Finalmente, cabe manifestar que la</w:t>
      </w:r>
      <w:r w:rsidR="000D41F4" w:rsidRPr="00163514">
        <w:rPr>
          <w:rFonts w:ascii="Book Antiqua" w:hAnsi="Book Antiqua"/>
        </w:rPr>
        <w:t xml:space="preserve"> representación en materias como Penal, Laboral, Agrario, Pensiones</w:t>
      </w:r>
      <w:r w:rsidR="006075BF" w:rsidRPr="00163514">
        <w:rPr>
          <w:rFonts w:ascii="Book Antiqua" w:hAnsi="Book Antiqua"/>
        </w:rPr>
        <w:t xml:space="preserve">, Penalización contra la mujer y Penal juvenil, se </w:t>
      </w:r>
      <w:r w:rsidR="009C141A" w:rsidRPr="00163514">
        <w:rPr>
          <w:rFonts w:ascii="Book Antiqua" w:hAnsi="Book Antiqua"/>
        </w:rPr>
        <w:t xml:space="preserve">atiende por la Defensa Pública, desde antes de la entrada en vigencia de la </w:t>
      </w:r>
      <w:r w:rsidR="00F90343" w:rsidRPr="00163514">
        <w:rPr>
          <w:rFonts w:ascii="Book Antiqua" w:hAnsi="Book Antiqua"/>
        </w:rPr>
        <w:t>Ley 9593 de Acceso a la Justicia de los Pueblos Indígenas.</w:t>
      </w:r>
    </w:p>
    <w:p w14:paraId="4EB1876C" w14:textId="2F7E3E1F" w:rsidR="001971DC" w:rsidRDefault="001971DC" w:rsidP="00127E8E"/>
    <w:p w14:paraId="50A1C884" w14:textId="179C7778" w:rsidR="4602F816" w:rsidRPr="00127E8E" w:rsidRDefault="00E232AF" w:rsidP="00410F64">
      <w:pPr>
        <w:pStyle w:val="Ttulo3"/>
      </w:pPr>
      <w:r w:rsidRPr="00127E8E">
        <w:t>Circulante de asuntos con interviniente persona usuaria indígena</w:t>
      </w:r>
      <w:r w:rsidR="0073164D">
        <w:t>, antes y después de la promulgación de la Ley 9593 de Acceso a la Justicia a los Pueblos Indígenas</w:t>
      </w:r>
      <w:r w:rsidRPr="00127E8E">
        <w:t xml:space="preserve"> </w:t>
      </w:r>
    </w:p>
    <w:p w14:paraId="0036BB44" w14:textId="6964344A" w:rsidR="00E232AF" w:rsidRDefault="00E232AF" w:rsidP="00163514">
      <w:pPr>
        <w:spacing w:line="240" w:lineRule="auto"/>
      </w:pPr>
      <w:r w:rsidRPr="00163514">
        <w:rPr>
          <w:rFonts w:ascii="Book Antiqua" w:hAnsi="Book Antiqua"/>
        </w:rPr>
        <w:t xml:space="preserve">Con base en los datos estadísticos facilitados por el Lic. Esteban Arguedas Madrigal, Coordinador de la Unidad Estadística de la Defensa Pública; se tiene que, </w:t>
      </w:r>
      <w:r w:rsidR="00966AEA" w:rsidRPr="00163514">
        <w:rPr>
          <w:rFonts w:ascii="Book Antiqua" w:hAnsi="Book Antiqua"/>
        </w:rPr>
        <w:t xml:space="preserve">con base </w:t>
      </w:r>
      <w:r w:rsidR="003518C9" w:rsidRPr="00163514">
        <w:rPr>
          <w:rFonts w:ascii="Book Antiqua" w:hAnsi="Book Antiqua"/>
        </w:rPr>
        <w:t>en</w:t>
      </w:r>
      <w:r w:rsidR="00966AEA" w:rsidRPr="00163514">
        <w:rPr>
          <w:rFonts w:ascii="Book Antiqua" w:hAnsi="Book Antiqua"/>
        </w:rPr>
        <w:t xml:space="preserve"> la competencia de la Defensa Pública antes de la promulgación de la Ley 9593 de Acceso a la Justicia a Pueblos Indígenas, </w:t>
      </w:r>
      <w:r w:rsidRPr="00163514">
        <w:rPr>
          <w:rFonts w:ascii="Book Antiqua" w:hAnsi="Book Antiqua"/>
        </w:rPr>
        <w:t>al cierre del mes de setiembre de 2019, el circulante a nivel nacional de asuntos con persona usuaria indígena en calidad de interviniente es el siguiente</w:t>
      </w:r>
      <w:r w:rsidRPr="008D2522">
        <w:t>:</w:t>
      </w:r>
    </w:p>
    <w:p w14:paraId="23D6E634" w14:textId="319A8071" w:rsidR="00876AF6" w:rsidRPr="008D2522" w:rsidRDefault="00876AF6" w:rsidP="00055CFC">
      <w:pPr>
        <w:pStyle w:val="Descripcin"/>
        <w:keepNext/>
        <w:spacing w:before="0" w:after="0"/>
        <w:jc w:val="center"/>
        <w:rPr>
          <w:rFonts w:cs="Arial"/>
          <w:sz w:val="24"/>
          <w:szCs w:val="24"/>
        </w:rPr>
      </w:pPr>
      <w:bookmarkStart w:id="4" w:name="_Ref32912823"/>
      <w:r w:rsidRPr="008D2522">
        <w:rPr>
          <w:rFonts w:cs="Arial"/>
          <w:sz w:val="24"/>
          <w:szCs w:val="24"/>
        </w:rPr>
        <w:lastRenderedPageBreak/>
        <w:t xml:space="preserve">Figura </w:t>
      </w:r>
      <w:r w:rsidRPr="008D2522">
        <w:rPr>
          <w:rFonts w:cs="Arial"/>
          <w:sz w:val="24"/>
          <w:szCs w:val="24"/>
        </w:rPr>
        <w:fldChar w:fldCharType="begin"/>
      </w:r>
      <w:r w:rsidRPr="008D2522">
        <w:rPr>
          <w:rFonts w:cs="Arial"/>
          <w:sz w:val="24"/>
          <w:szCs w:val="24"/>
        </w:rPr>
        <w:instrText xml:space="preserve"> SEQ Figura \* ARABIC </w:instrText>
      </w:r>
      <w:r w:rsidRPr="008D2522">
        <w:rPr>
          <w:rFonts w:cs="Arial"/>
          <w:sz w:val="24"/>
          <w:szCs w:val="24"/>
        </w:rPr>
        <w:fldChar w:fldCharType="separate"/>
      </w:r>
      <w:r w:rsidR="008276AA">
        <w:rPr>
          <w:rFonts w:cs="Arial"/>
          <w:noProof/>
          <w:sz w:val="24"/>
          <w:szCs w:val="24"/>
        </w:rPr>
        <w:t>5</w:t>
      </w:r>
      <w:r w:rsidRPr="008D2522">
        <w:rPr>
          <w:rFonts w:cs="Arial"/>
          <w:sz w:val="24"/>
          <w:szCs w:val="24"/>
        </w:rPr>
        <w:fldChar w:fldCharType="end"/>
      </w:r>
      <w:r w:rsidRPr="008D2522">
        <w:rPr>
          <w:rFonts w:cs="Arial"/>
          <w:sz w:val="24"/>
          <w:szCs w:val="24"/>
        </w:rPr>
        <w:t xml:space="preserve"> Circulante activo</w:t>
      </w:r>
      <w:r w:rsidR="00355B40">
        <w:rPr>
          <w:rFonts w:cs="Arial"/>
          <w:sz w:val="24"/>
          <w:szCs w:val="24"/>
        </w:rPr>
        <w:t xml:space="preserve"> con la competencia antes de la promulgación de la Ley 9593</w:t>
      </w:r>
      <w:r w:rsidRPr="008D2522">
        <w:rPr>
          <w:rFonts w:cs="Arial"/>
          <w:sz w:val="24"/>
          <w:szCs w:val="24"/>
        </w:rPr>
        <w:t>, con interviniente persona indígena, al cierre de setiembre de 2019</w:t>
      </w:r>
      <w:bookmarkEnd w:id="4"/>
    </w:p>
    <w:p w14:paraId="4EBD64F5" w14:textId="3F7FA685" w:rsidR="00E232AF" w:rsidRPr="008D2522" w:rsidRDefault="008D1B0F" w:rsidP="00055CFC">
      <w:pPr>
        <w:spacing w:before="0" w:after="0"/>
        <w:jc w:val="center"/>
        <w:rPr>
          <w:rFonts w:cs="Arial"/>
        </w:rPr>
      </w:pPr>
      <w:r>
        <w:rPr>
          <w:rFonts w:cs="Arial"/>
          <w:noProof/>
        </w:rPr>
        <w:drawing>
          <wp:inline distT="0" distB="0" distL="0" distR="0" wp14:anchorId="0985E76C" wp14:editId="011937D5">
            <wp:extent cx="4951730" cy="3159125"/>
            <wp:effectExtent l="0" t="0" r="0" b="0"/>
            <wp:docPr id="7"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9">
                      <a:extLst>
                        <a:ext uri="{28A0092B-C50C-407E-A947-70E740481C1C}">
                          <a14:useLocalDpi xmlns:a14="http://schemas.microsoft.com/office/drawing/2010/main" val="0"/>
                        </a:ext>
                      </a:extLst>
                    </a:blip>
                    <a:srcRect l="18416" r="15672" b="-27"/>
                    <a:stretch>
                      <a:fillRect/>
                    </a:stretch>
                  </pic:blipFill>
                  <pic:spPr bwMode="auto">
                    <a:xfrm>
                      <a:off x="0" y="0"/>
                      <a:ext cx="4951730" cy="3159125"/>
                    </a:xfrm>
                    <a:prstGeom prst="rect">
                      <a:avLst/>
                    </a:prstGeom>
                    <a:noFill/>
                    <a:ln>
                      <a:noFill/>
                    </a:ln>
                  </pic:spPr>
                </pic:pic>
              </a:graphicData>
            </a:graphic>
          </wp:inline>
        </w:drawing>
      </w:r>
    </w:p>
    <w:p w14:paraId="7544DC2C" w14:textId="0D7C9AE2" w:rsidR="00E232AF" w:rsidRPr="008D2522" w:rsidRDefault="00E232AF" w:rsidP="00055CFC">
      <w:pPr>
        <w:spacing w:before="0" w:after="0"/>
        <w:rPr>
          <w:rFonts w:eastAsia="Arial" w:cs="Arial"/>
          <w:sz w:val="20"/>
          <w:szCs w:val="20"/>
        </w:rPr>
      </w:pPr>
      <w:r w:rsidRPr="008D2522">
        <w:rPr>
          <w:rFonts w:eastAsia="Arial" w:cs="Arial"/>
          <w:b/>
          <w:bCs/>
          <w:sz w:val="20"/>
          <w:szCs w:val="20"/>
        </w:rPr>
        <w:t>Fuente:</w:t>
      </w:r>
      <w:r w:rsidRPr="008D2522">
        <w:rPr>
          <w:rFonts w:eastAsia="Arial" w:cs="Arial"/>
          <w:sz w:val="20"/>
          <w:szCs w:val="20"/>
        </w:rPr>
        <w:t xml:space="preserve"> Subproceso de Modernización Institucional, de la Dirección de Planificación con datos facilitados por la Administración de la Defensa Pública.</w:t>
      </w:r>
    </w:p>
    <w:p w14:paraId="66088526" w14:textId="0FA982BD" w:rsidR="00E232AF" w:rsidRPr="00163514" w:rsidRDefault="00366557" w:rsidP="00163514">
      <w:pPr>
        <w:spacing w:line="240" w:lineRule="auto"/>
        <w:rPr>
          <w:rFonts w:ascii="Book Antiqua" w:hAnsi="Book Antiqua"/>
        </w:rPr>
      </w:pPr>
      <w:r w:rsidRPr="00163514">
        <w:rPr>
          <w:rFonts w:ascii="Book Antiqua" w:hAnsi="Book Antiqua"/>
        </w:rPr>
        <w:t>El gráfico anterior segmenta las materias que representan el 80% del circulante</w:t>
      </w:r>
      <w:r w:rsidR="00966AEA" w:rsidRPr="00163514">
        <w:rPr>
          <w:rFonts w:ascii="Book Antiqua" w:hAnsi="Book Antiqua"/>
        </w:rPr>
        <w:t>, con la competencia antes de la promulgación de la Ley 9593,</w:t>
      </w:r>
      <w:r w:rsidRPr="00163514">
        <w:rPr>
          <w:rFonts w:ascii="Book Antiqua" w:hAnsi="Book Antiqua"/>
        </w:rPr>
        <w:t xml:space="preserve"> de la población indígena a nivel nacional, donde se puede observar que el 40% de los asuntos activos se concentran en materia penal (615 expedientes), el 20% en Pensiones Alimentarias (300 </w:t>
      </w:r>
      <w:r w:rsidR="00273775" w:rsidRPr="00163514">
        <w:rPr>
          <w:rFonts w:ascii="Book Antiqua" w:hAnsi="Book Antiqua"/>
        </w:rPr>
        <w:t>expedientes</w:t>
      </w:r>
      <w:r w:rsidRPr="00163514">
        <w:rPr>
          <w:rFonts w:ascii="Book Antiqua" w:hAnsi="Book Antiqua"/>
        </w:rPr>
        <w:t xml:space="preserve">), el 13% en materia agraria (196 </w:t>
      </w:r>
      <w:r w:rsidR="00273775" w:rsidRPr="00163514">
        <w:rPr>
          <w:rFonts w:ascii="Book Antiqua" w:hAnsi="Book Antiqua"/>
        </w:rPr>
        <w:t>expedientes</w:t>
      </w:r>
      <w:r w:rsidRPr="00163514">
        <w:rPr>
          <w:rFonts w:ascii="Book Antiqua" w:hAnsi="Book Antiqua"/>
        </w:rPr>
        <w:t xml:space="preserve">), el 8% en Penalización de Violencia contra Mujer (126 </w:t>
      </w:r>
      <w:r w:rsidR="00273775" w:rsidRPr="00163514">
        <w:rPr>
          <w:rFonts w:ascii="Book Antiqua" w:hAnsi="Book Antiqua"/>
        </w:rPr>
        <w:t>expedientes</w:t>
      </w:r>
      <w:r w:rsidRPr="00163514">
        <w:rPr>
          <w:rFonts w:ascii="Book Antiqua" w:hAnsi="Book Antiqua"/>
        </w:rPr>
        <w:t>) y, el restante 20% se concentra en las demás materias</w:t>
      </w:r>
      <w:r w:rsidR="00273775" w:rsidRPr="00163514">
        <w:rPr>
          <w:rFonts w:ascii="Book Antiqua" w:hAnsi="Book Antiqua"/>
        </w:rPr>
        <w:t xml:space="preserve"> (283 expedientes)</w:t>
      </w:r>
      <w:r w:rsidRPr="00163514">
        <w:rPr>
          <w:rFonts w:ascii="Book Antiqua" w:hAnsi="Book Antiqua"/>
        </w:rPr>
        <w:t>.</w:t>
      </w:r>
    </w:p>
    <w:p w14:paraId="57D7C466" w14:textId="7BF7A2EA" w:rsidR="00E232AF" w:rsidRPr="00163514" w:rsidRDefault="00273775" w:rsidP="00163514">
      <w:pPr>
        <w:spacing w:line="240" w:lineRule="auto"/>
        <w:rPr>
          <w:rFonts w:ascii="Book Antiqua" w:hAnsi="Book Antiqua"/>
        </w:rPr>
      </w:pPr>
      <w:r w:rsidRPr="00163514">
        <w:rPr>
          <w:rFonts w:ascii="Book Antiqua" w:hAnsi="Book Antiqua"/>
        </w:rPr>
        <w:t>Haciendo la comparación entre la</w:t>
      </w:r>
      <w:r w:rsidR="0073164D" w:rsidRPr="00163514">
        <w:rPr>
          <w:rFonts w:ascii="Book Antiqua" w:hAnsi="Book Antiqua"/>
        </w:rPr>
        <w:t xml:space="preserve"> </w:t>
      </w:r>
      <w:r w:rsidR="0073164D" w:rsidRPr="00163514">
        <w:rPr>
          <w:rFonts w:ascii="Book Antiqua" w:hAnsi="Book Antiqua"/>
          <w:b/>
          <w:bCs/>
        </w:rPr>
        <w:fldChar w:fldCharType="begin"/>
      </w:r>
      <w:r w:rsidR="0073164D" w:rsidRPr="00163514">
        <w:rPr>
          <w:rFonts w:ascii="Book Antiqua" w:hAnsi="Book Antiqua"/>
          <w:b/>
          <w:bCs/>
        </w:rPr>
        <w:instrText xml:space="preserve"> REF _Ref32912805 \h  \* MERGEFORMAT </w:instrText>
      </w:r>
      <w:r w:rsidR="0073164D" w:rsidRPr="00163514">
        <w:rPr>
          <w:rFonts w:ascii="Book Antiqua" w:hAnsi="Book Antiqua"/>
          <w:b/>
          <w:bCs/>
        </w:rPr>
      </w:r>
      <w:r w:rsidR="0073164D" w:rsidRPr="00163514">
        <w:rPr>
          <w:rFonts w:ascii="Book Antiqua" w:hAnsi="Book Antiqua"/>
          <w:b/>
          <w:bCs/>
        </w:rPr>
        <w:fldChar w:fldCharType="separate"/>
      </w:r>
      <w:r w:rsidR="002F267E" w:rsidRPr="00163514">
        <w:rPr>
          <w:rFonts w:ascii="Book Antiqua" w:hAnsi="Book Antiqua" w:cs="Arial"/>
          <w:b/>
          <w:bCs/>
          <w:szCs w:val="24"/>
        </w:rPr>
        <w:t xml:space="preserve">Figura </w:t>
      </w:r>
      <w:r w:rsidR="002F267E" w:rsidRPr="00163514">
        <w:rPr>
          <w:rFonts w:ascii="Book Antiqua" w:hAnsi="Book Antiqua" w:cs="Arial"/>
          <w:b/>
          <w:bCs/>
          <w:noProof/>
          <w:szCs w:val="24"/>
        </w:rPr>
        <w:t>3</w:t>
      </w:r>
      <w:r w:rsidR="002F267E" w:rsidRPr="00163514">
        <w:rPr>
          <w:rFonts w:ascii="Book Antiqua" w:hAnsi="Book Antiqua" w:cs="Arial"/>
          <w:b/>
          <w:bCs/>
          <w:szCs w:val="24"/>
        </w:rPr>
        <w:t xml:space="preserve"> Representación por materia de los asuntos ingresados, donde intervienen personas usuarias indígenas, de octubre 2018 a setiembre 2019</w:t>
      </w:r>
      <w:r w:rsidR="0073164D" w:rsidRPr="00163514">
        <w:rPr>
          <w:rFonts w:ascii="Book Antiqua" w:hAnsi="Book Antiqua"/>
          <w:b/>
          <w:bCs/>
        </w:rPr>
        <w:fldChar w:fldCharType="end"/>
      </w:r>
      <w:r w:rsidRPr="00163514">
        <w:rPr>
          <w:rFonts w:ascii="Book Antiqua" w:hAnsi="Book Antiqua"/>
        </w:rPr>
        <w:t xml:space="preserve"> y la</w:t>
      </w:r>
      <w:r w:rsidR="0073164D" w:rsidRPr="00163514">
        <w:rPr>
          <w:rFonts w:ascii="Book Antiqua" w:hAnsi="Book Antiqua"/>
        </w:rPr>
        <w:t xml:space="preserve"> </w:t>
      </w:r>
      <w:r w:rsidR="0073164D" w:rsidRPr="00163514">
        <w:rPr>
          <w:rFonts w:ascii="Book Antiqua" w:hAnsi="Book Antiqua"/>
          <w:b/>
          <w:bCs/>
        </w:rPr>
        <w:fldChar w:fldCharType="begin"/>
      </w:r>
      <w:r w:rsidR="0073164D" w:rsidRPr="00163514">
        <w:rPr>
          <w:rFonts w:ascii="Book Antiqua" w:hAnsi="Book Antiqua"/>
          <w:b/>
          <w:bCs/>
        </w:rPr>
        <w:instrText xml:space="preserve"> REF _Ref32912823 \h  \* MERGEFORMAT </w:instrText>
      </w:r>
      <w:r w:rsidR="0073164D" w:rsidRPr="00163514">
        <w:rPr>
          <w:rFonts w:ascii="Book Antiqua" w:hAnsi="Book Antiqua"/>
          <w:b/>
          <w:bCs/>
        </w:rPr>
      </w:r>
      <w:r w:rsidR="0073164D" w:rsidRPr="00163514">
        <w:rPr>
          <w:rFonts w:ascii="Book Antiqua" w:hAnsi="Book Antiqua"/>
          <w:b/>
          <w:bCs/>
        </w:rPr>
        <w:fldChar w:fldCharType="separate"/>
      </w:r>
      <w:r w:rsidR="002F267E" w:rsidRPr="00163514">
        <w:rPr>
          <w:rFonts w:ascii="Book Antiqua" w:hAnsi="Book Antiqua" w:cs="Arial"/>
          <w:b/>
          <w:bCs/>
          <w:szCs w:val="24"/>
        </w:rPr>
        <w:t xml:space="preserve">Figura </w:t>
      </w:r>
      <w:r w:rsidR="002F267E" w:rsidRPr="00163514">
        <w:rPr>
          <w:rFonts w:ascii="Book Antiqua" w:hAnsi="Book Antiqua" w:cs="Arial"/>
          <w:b/>
          <w:bCs/>
          <w:noProof/>
          <w:szCs w:val="24"/>
        </w:rPr>
        <w:t>5</w:t>
      </w:r>
      <w:r w:rsidR="002F267E" w:rsidRPr="00163514">
        <w:rPr>
          <w:rFonts w:ascii="Book Antiqua" w:hAnsi="Book Antiqua" w:cs="Arial"/>
          <w:b/>
          <w:bCs/>
          <w:szCs w:val="24"/>
        </w:rPr>
        <w:t xml:space="preserve"> Circulante activo con la competencia antes de la promulgación de la Ley 9593, con interviniente persona indígena, al cierre de setiembre de 2019</w:t>
      </w:r>
      <w:r w:rsidR="0073164D" w:rsidRPr="00163514">
        <w:rPr>
          <w:rFonts w:ascii="Book Antiqua" w:hAnsi="Book Antiqua"/>
          <w:b/>
          <w:bCs/>
        </w:rPr>
        <w:fldChar w:fldCharType="end"/>
      </w:r>
      <w:r w:rsidRPr="00163514">
        <w:rPr>
          <w:rFonts w:ascii="Book Antiqua" w:hAnsi="Book Antiqua"/>
        </w:rPr>
        <w:t xml:space="preserve">, se tiene que, a pesar que el mayor ingreso mensual se encuentra en Pensiones Alimentarias, el circulante demuestra se concentra principalmente en materia penal. De conformidad con lo anterior, se puede concluir el tiempo de tramitación de asuntos de Pensiones Alimentarias es menor al tiempo de tramitación de asuntos Penales. </w:t>
      </w:r>
    </w:p>
    <w:p w14:paraId="26915F57" w14:textId="0E33357D" w:rsidR="00273775" w:rsidRPr="00163514" w:rsidRDefault="00273775" w:rsidP="00163514">
      <w:pPr>
        <w:spacing w:line="240" w:lineRule="auto"/>
        <w:rPr>
          <w:rFonts w:ascii="Book Antiqua" w:hAnsi="Book Antiqua"/>
        </w:rPr>
      </w:pPr>
      <w:r w:rsidRPr="00163514">
        <w:rPr>
          <w:rFonts w:ascii="Book Antiqua" w:hAnsi="Book Antiqua"/>
        </w:rPr>
        <w:lastRenderedPageBreak/>
        <w:t>Ahora, en la siguiente tabla se muestra la concentración de asuntos activos, con persona usuaria indígena en calidad de interviniente</w:t>
      </w:r>
      <w:r w:rsidR="00355B40" w:rsidRPr="00163514">
        <w:rPr>
          <w:rFonts w:ascii="Book Antiqua" w:hAnsi="Book Antiqua"/>
        </w:rPr>
        <w:t xml:space="preserve"> y, con la competencia antes de la promulgación de la Ley 9593 de Acceso a la Justicia a Pueblos Indígenas</w:t>
      </w:r>
      <w:r w:rsidRPr="00163514">
        <w:rPr>
          <w:rFonts w:ascii="Book Antiqua" w:hAnsi="Book Antiqua"/>
        </w:rPr>
        <w:t>, por oficina de la Defensa Pública y materia, al cierre de setiembre de 2019.</w:t>
      </w:r>
    </w:p>
    <w:p w14:paraId="173818ED" w14:textId="5AA82A52" w:rsidR="008932D7" w:rsidRPr="008D2522" w:rsidRDefault="008932D7" w:rsidP="00055CFC">
      <w:pPr>
        <w:pStyle w:val="Descripcin"/>
        <w:keepNext/>
        <w:spacing w:before="0" w:after="0"/>
        <w:jc w:val="center"/>
        <w:rPr>
          <w:rFonts w:cs="Arial"/>
          <w:sz w:val="24"/>
          <w:szCs w:val="24"/>
        </w:rPr>
      </w:pPr>
      <w:r w:rsidRPr="008D2522">
        <w:rPr>
          <w:rFonts w:cs="Arial"/>
          <w:sz w:val="24"/>
          <w:szCs w:val="24"/>
        </w:rPr>
        <w:t xml:space="preserve">Tabla </w:t>
      </w:r>
      <w:r w:rsidRPr="008D2522">
        <w:rPr>
          <w:rFonts w:cs="Arial"/>
          <w:sz w:val="24"/>
          <w:szCs w:val="24"/>
        </w:rPr>
        <w:fldChar w:fldCharType="begin"/>
      </w:r>
      <w:r w:rsidRPr="008D2522">
        <w:rPr>
          <w:rFonts w:cs="Arial"/>
          <w:sz w:val="24"/>
          <w:szCs w:val="24"/>
        </w:rPr>
        <w:instrText xml:space="preserve"> SEQ Tabla \* ARABIC </w:instrText>
      </w:r>
      <w:r w:rsidRPr="008D2522">
        <w:rPr>
          <w:rFonts w:cs="Arial"/>
          <w:sz w:val="24"/>
          <w:szCs w:val="24"/>
        </w:rPr>
        <w:fldChar w:fldCharType="separate"/>
      </w:r>
      <w:r w:rsidR="005B5D07">
        <w:rPr>
          <w:rFonts w:cs="Arial"/>
          <w:noProof/>
          <w:sz w:val="24"/>
          <w:szCs w:val="24"/>
        </w:rPr>
        <w:t>3</w:t>
      </w:r>
      <w:r w:rsidRPr="008D2522">
        <w:rPr>
          <w:rFonts w:cs="Arial"/>
          <w:sz w:val="24"/>
          <w:szCs w:val="24"/>
        </w:rPr>
        <w:fldChar w:fldCharType="end"/>
      </w:r>
      <w:r w:rsidRPr="008D2522">
        <w:rPr>
          <w:rFonts w:cs="Arial"/>
          <w:sz w:val="24"/>
          <w:szCs w:val="24"/>
        </w:rPr>
        <w:t xml:space="preserve"> Asuntos activos </w:t>
      </w:r>
      <w:r w:rsidR="00355B40">
        <w:rPr>
          <w:rFonts w:cs="Arial"/>
          <w:sz w:val="24"/>
          <w:szCs w:val="24"/>
        </w:rPr>
        <w:t xml:space="preserve">con persona indígena conforme a la competencia de la Defensa Pública antes de la promulgación de la Ley 9593, </w:t>
      </w:r>
      <w:r w:rsidRPr="008D2522">
        <w:rPr>
          <w:rFonts w:cs="Arial"/>
          <w:sz w:val="24"/>
          <w:szCs w:val="24"/>
        </w:rPr>
        <w:t>al cierre de setiembre de 2019, segregado por materia y oficina</w:t>
      </w:r>
    </w:p>
    <w:tbl>
      <w:tblPr>
        <w:tblW w:w="5000" w:type="pct"/>
        <w:tblCellMar>
          <w:left w:w="70" w:type="dxa"/>
          <w:right w:w="70" w:type="dxa"/>
        </w:tblCellMar>
        <w:tblLook w:val="04A0" w:firstRow="1" w:lastRow="0" w:firstColumn="1" w:lastColumn="0" w:noHBand="0" w:noVBand="1"/>
      </w:tblPr>
      <w:tblGrid>
        <w:gridCol w:w="1701"/>
        <w:gridCol w:w="1118"/>
        <w:gridCol w:w="1461"/>
        <w:gridCol w:w="1100"/>
        <w:gridCol w:w="1626"/>
        <w:gridCol w:w="1046"/>
        <w:gridCol w:w="776"/>
      </w:tblGrid>
      <w:tr w:rsidR="00AC17D9" w:rsidRPr="008D2522" w14:paraId="0D8CDD83" w14:textId="77777777" w:rsidTr="00E57630">
        <w:trPr>
          <w:trHeight w:val="560"/>
        </w:trPr>
        <w:tc>
          <w:tcPr>
            <w:tcW w:w="927"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77CB1A33" w14:textId="77777777" w:rsidR="00273775" w:rsidRPr="008D2522" w:rsidRDefault="00273775" w:rsidP="00055CFC">
            <w:pPr>
              <w:spacing w:before="0" w:after="0"/>
              <w:jc w:val="center"/>
              <w:rPr>
                <w:rFonts w:eastAsia="Times New Roman" w:cs="Arial"/>
                <w:b/>
                <w:bCs/>
                <w:color w:val="FFFFFF"/>
                <w:sz w:val="22"/>
                <w:lang w:eastAsia="es-CR"/>
              </w:rPr>
            </w:pPr>
            <w:r w:rsidRPr="008D2522">
              <w:rPr>
                <w:rFonts w:eastAsia="Times New Roman" w:cs="Arial"/>
                <w:b/>
                <w:bCs/>
                <w:color w:val="FFFFFF"/>
                <w:sz w:val="22"/>
                <w:lang w:eastAsia="es-CR"/>
              </w:rPr>
              <w:t>Oficina</w:t>
            </w:r>
          </w:p>
        </w:tc>
        <w:tc>
          <w:tcPr>
            <w:tcW w:w="667" w:type="pct"/>
            <w:tcBorders>
              <w:top w:val="single" w:sz="4" w:space="0" w:color="auto"/>
              <w:left w:val="nil"/>
              <w:bottom w:val="single" w:sz="4" w:space="0" w:color="auto"/>
              <w:right w:val="single" w:sz="4" w:space="0" w:color="auto"/>
            </w:tcBorders>
            <w:shd w:val="clear" w:color="auto" w:fill="1F3864"/>
            <w:vAlign w:val="center"/>
            <w:hideMark/>
          </w:tcPr>
          <w:p w14:paraId="45B90D83" w14:textId="77777777" w:rsidR="00273775" w:rsidRPr="008D2522" w:rsidRDefault="00273775" w:rsidP="00055CFC">
            <w:pPr>
              <w:spacing w:before="0" w:after="0"/>
              <w:jc w:val="center"/>
              <w:rPr>
                <w:rFonts w:eastAsia="Times New Roman" w:cs="Arial"/>
                <w:b/>
                <w:bCs/>
                <w:color w:val="FFFFFF"/>
                <w:sz w:val="22"/>
                <w:lang w:eastAsia="es-CR"/>
              </w:rPr>
            </w:pPr>
            <w:r w:rsidRPr="008D2522">
              <w:rPr>
                <w:rFonts w:eastAsia="Times New Roman" w:cs="Arial"/>
                <w:b/>
                <w:bCs/>
                <w:color w:val="FFFFFF"/>
                <w:sz w:val="22"/>
                <w:lang w:eastAsia="es-CR"/>
              </w:rPr>
              <w:t>Penal</w:t>
            </w:r>
          </w:p>
        </w:tc>
        <w:tc>
          <w:tcPr>
            <w:tcW w:w="769" w:type="pct"/>
            <w:tcBorders>
              <w:top w:val="single" w:sz="4" w:space="0" w:color="auto"/>
              <w:left w:val="nil"/>
              <w:bottom w:val="single" w:sz="4" w:space="0" w:color="auto"/>
              <w:right w:val="single" w:sz="4" w:space="0" w:color="auto"/>
            </w:tcBorders>
            <w:shd w:val="clear" w:color="auto" w:fill="1F3864"/>
            <w:vAlign w:val="center"/>
            <w:hideMark/>
          </w:tcPr>
          <w:p w14:paraId="67484583" w14:textId="77777777" w:rsidR="00273775" w:rsidRPr="008D2522" w:rsidRDefault="00273775" w:rsidP="00055CFC">
            <w:pPr>
              <w:spacing w:before="0" w:after="0"/>
              <w:jc w:val="center"/>
              <w:rPr>
                <w:rFonts w:eastAsia="Times New Roman" w:cs="Arial"/>
                <w:b/>
                <w:bCs/>
                <w:color w:val="FFFFFF"/>
                <w:sz w:val="22"/>
                <w:lang w:eastAsia="es-CR"/>
              </w:rPr>
            </w:pPr>
            <w:r w:rsidRPr="008D2522">
              <w:rPr>
                <w:rFonts w:eastAsia="Times New Roman" w:cs="Arial"/>
                <w:b/>
                <w:bCs/>
                <w:color w:val="FFFFFF"/>
                <w:sz w:val="22"/>
                <w:lang w:eastAsia="es-CR"/>
              </w:rPr>
              <w:t>Pensiones Alimentarias</w:t>
            </w:r>
          </w:p>
        </w:tc>
        <w:tc>
          <w:tcPr>
            <w:tcW w:w="657" w:type="pct"/>
            <w:tcBorders>
              <w:top w:val="single" w:sz="4" w:space="0" w:color="auto"/>
              <w:left w:val="nil"/>
              <w:bottom w:val="single" w:sz="4" w:space="0" w:color="auto"/>
              <w:right w:val="single" w:sz="4" w:space="0" w:color="auto"/>
            </w:tcBorders>
            <w:shd w:val="clear" w:color="auto" w:fill="1F3864"/>
            <w:vAlign w:val="center"/>
            <w:hideMark/>
          </w:tcPr>
          <w:p w14:paraId="5A9F9425" w14:textId="77777777" w:rsidR="00273775" w:rsidRPr="008D2522" w:rsidRDefault="00273775" w:rsidP="00055CFC">
            <w:pPr>
              <w:spacing w:before="0" w:after="0"/>
              <w:jc w:val="center"/>
              <w:rPr>
                <w:rFonts w:eastAsia="Times New Roman" w:cs="Arial"/>
                <w:b/>
                <w:bCs/>
                <w:color w:val="FFFFFF"/>
                <w:sz w:val="22"/>
                <w:lang w:eastAsia="es-CR"/>
              </w:rPr>
            </w:pPr>
            <w:r w:rsidRPr="008D2522">
              <w:rPr>
                <w:rFonts w:eastAsia="Times New Roman" w:cs="Arial"/>
                <w:b/>
                <w:bCs/>
                <w:color w:val="FFFFFF"/>
                <w:sz w:val="22"/>
                <w:lang w:eastAsia="es-CR"/>
              </w:rPr>
              <w:t>Agraria</w:t>
            </w:r>
          </w:p>
        </w:tc>
        <w:tc>
          <w:tcPr>
            <w:tcW w:w="955" w:type="pct"/>
            <w:tcBorders>
              <w:top w:val="single" w:sz="4" w:space="0" w:color="auto"/>
              <w:left w:val="nil"/>
              <w:bottom w:val="single" w:sz="4" w:space="0" w:color="auto"/>
              <w:right w:val="single" w:sz="4" w:space="0" w:color="auto"/>
            </w:tcBorders>
            <w:shd w:val="clear" w:color="auto" w:fill="1F3864"/>
            <w:vAlign w:val="center"/>
            <w:hideMark/>
          </w:tcPr>
          <w:p w14:paraId="37033C50" w14:textId="77777777" w:rsidR="00273775" w:rsidRPr="008D2522" w:rsidRDefault="00273775" w:rsidP="00055CFC">
            <w:pPr>
              <w:spacing w:before="0" w:after="0"/>
              <w:jc w:val="center"/>
              <w:rPr>
                <w:rFonts w:eastAsia="Times New Roman" w:cs="Arial"/>
                <w:b/>
                <w:bCs/>
                <w:color w:val="FFFFFF"/>
                <w:sz w:val="22"/>
                <w:lang w:eastAsia="es-CR"/>
              </w:rPr>
            </w:pPr>
            <w:r w:rsidRPr="008D2522">
              <w:rPr>
                <w:rFonts w:eastAsia="Times New Roman" w:cs="Arial"/>
                <w:b/>
                <w:bCs/>
                <w:color w:val="FFFFFF"/>
                <w:sz w:val="22"/>
                <w:lang w:eastAsia="es-CR"/>
              </w:rPr>
              <w:t>Penalización Contra Mujer</w:t>
            </w:r>
          </w:p>
        </w:tc>
        <w:tc>
          <w:tcPr>
            <w:tcW w:w="551" w:type="pct"/>
            <w:tcBorders>
              <w:top w:val="single" w:sz="4" w:space="0" w:color="auto"/>
              <w:left w:val="nil"/>
              <w:bottom w:val="single" w:sz="4" w:space="0" w:color="auto"/>
              <w:right w:val="single" w:sz="4" w:space="0" w:color="auto"/>
            </w:tcBorders>
            <w:shd w:val="clear" w:color="auto" w:fill="1F3864"/>
            <w:vAlign w:val="center"/>
            <w:hideMark/>
          </w:tcPr>
          <w:p w14:paraId="122D9FFC" w14:textId="77777777" w:rsidR="00273775" w:rsidRPr="008D2522" w:rsidRDefault="00273775" w:rsidP="00055CFC">
            <w:pPr>
              <w:spacing w:before="0" w:after="0"/>
              <w:jc w:val="center"/>
              <w:rPr>
                <w:rFonts w:eastAsia="Times New Roman" w:cs="Arial"/>
                <w:b/>
                <w:bCs/>
                <w:color w:val="FFFFFF"/>
                <w:sz w:val="22"/>
                <w:lang w:eastAsia="es-CR"/>
              </w:rPr>
            </w:pPr>
            <w:r w:rsidRPr="008D2522">
              <w:rPr>
                <w:rFonts w:eastAsia="Times New Roman" w:cs="Arial"/>
                <w:b/>
                <w:bCs/>
                <w:color w:val="FFFFFF"/>
                <w:sz w:val="22"/>
                <w:lang w:eastAsia="es-CR"/>
              </w:rPr>
              <w:t>Demás materias</w:t>
            </w:r>
          </w:p>
        </w:tc>
        <w:tc>
          <w:tcPr>
            <w:tcW w:w="473" w:type="pct"/>
            <w:tcBorders>
              <w:top w:val="single" w:sz="4" w:space="0" w:color="auto"/>
              <w:left w:val="nil"/>
              <w:bottom w:val="single" w:sz="4" w:space="0" w:color="auto"/>
              <w:right w:val="single" w:sz="4" w:space="0" w:color="auto"/>
            </w:tcBorders>
            <w:shd w:val="clear" w:color="auto" w:fill="1F3864"/>
            <w:vAlign w:val="center"/>
            <w:hideMark/>
          </w:tcPr>
          <w:p w14:paraId="7B5F2EA1" w14:textId="77777777" w:rsidR="00273775" w:rsidRPr="008D2522" w:rsidRDefault="00273775" w:rsidP="00055CFC">
            <w:pPr>
              <w:spacing w:before="0" w:after="0"/>
              <w:jc w:val="center"/>
              <w:rPr>
                <w:rFonts w:eastAsia="Times New Roman" w:cs="Arial"/>
                <w:b/>
                <w:bCs/>
                <w:color w:val="FFFFFF"/>
                <w:sz w:val="22"/>
                <w:lang w:eastAsia="es-CR"/>
              </w:rPr>
            </w:pPr>
            <w:r w:rsidRPr="008D2522">
              <w:rPr>
                <w:rFonts w:eastAsia="Times New Roman" w:cs="Arial"/>
                <w:b/>
                <w:bCs/>
                <w:color w:val="FFFFFF"/>
                <w:sz w:val="22"/>
                <w:lang w:eastAsia="es-CR"/>
              </w:rPr>
              <w:t>Total</w:t>
            </w:r>
          </w:p>
        </w:tc>
      </w:tr>
      <w:tr w:rsidR="00273775" w:rsidRPr="008D2522" w14:paraId="2EB0294D" w14:textId="77777777" w:rsidTr="00AC17D9">
        <w:trPr>
          <w:trHeight w:val="310"/>
        </w:trPr>
        <w:tc>
          <w:tcPr>
            <w:tcW w:w="927" w:type="pct"/>
            <w:tcBorders>
              <w:top w:val="nil"/>
              <w:left w:val="single" w:sz="4" w:space="0" w:color="auto"/>
              <w:bottom w:val="single" w:sz="4" w:space="0" w:color="auto"/>
              <w:right w:val="single" w:sz="4" w:space="0" w:color="auto"/>
            </w:tcBorders>
            <w:shd w:val="clear" w:color="auto" w:fill="auto"/>
            <w:noWrap/>
            <w:vAlign w:val="bottom"/>
            <w:hideMark/>
          </w:tcPr>
          <w:p w14:paraId="701AAA5A" w14:textId="77777777" w:rsidR="00273775" w:rsidRPr="008D2522" w:rsidRDefault="00273775" w:rsidP="00055CFC">
            <w:pPr>
              <w:spacing w:before="0" w:after="0"/>
              <w:jc w:val="left"/>
              <w:rPr>
                <w:rFonts w:eastAsia="Times New Roman" w:cs="Arial"/>
                <w:color w:val="000000"/>
                <w:szCs w:val="24"/>
                <w:lang w:eastAsia="es-CR"/>
              </w:rPr>
            </w:pPr>
            <w:r w:rsidRPr="008D2522">
              <w:rPr>
                <w:rFonts w:eastAsia="Times New Roman" w:cs="Arial"/>
                <w:color w:val="000000"/>
                <w:szCs w:val="24"/>
                <w:lang w:eastAsia="es-CR"/>
              </w:rPr>
              <w:t>Bribrí</w:t>
            </w:r>
          </w:p>
        </w:tc>
        <w:tc>
          <w:tcPr>
            <w:tcW w:w="667" w:type="pct"/>
            <w:tcBorders>
              <w:top w:val="nil"/>
              <w:left w:val="nil"/>
              <w:bottom w:val="single" w:sz="4" w:space="0" w:color="auto"/>
              <w:right w:val="single" w:sz="4" w:space="0" w:color="auto"/>
            </w:tcBorders>
            <w:shd w:val="clear" w:color="auto" w:fill="auto"/>
            <w:noWrap/>
            <w:vAlign w:val="bottom"/>
            <w:hideMark/>
          </w:tcPr>
          <w:p w14:paraId="4A062EA3"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302</w:t>
            </w:r>
          </w:p>
        </w:tc>
        <w:tc>
          <w:tcPr>
            <w:tcW w:w="769" w:type="pct"/>
            <w:tcBorders>
              <w:top w:val="nil"/>
              <w:left w:val="nil"/>
              <w:bottom w:val="single" w:sz="4" w:space="0" w:color="auto"/>
              <w:right w:val="single" w:sz="4" w:space="0" w:color="auto"/>
            </w:tcBorders>
            <w:shd w:val="clear" w:color="auto" w:fill="auto"/>
            <w:noWrap/>
            <w:vAlign w:val="bottom"/>
            <w:hideMark/>
          </w:tcPr>
          <w:p w14:paraId="6A380B70"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102</w:t>
            </w:r>
          </w:p>
        </w:tc>
        <w:tc>
          <w:tcPr>
            <w:tcW w:w="657" w:type="pct"/>
            <w:tcBorders>
              <w:top w:val="nil"/>
              <w:left w:val="nil"/>
              <w:bottom w:val="single" w:sz="4" w:space="0" w:color="auto"/>
              <w:right w:val="single" w:sz="4" w:space="0" w:color="auto"/>
            </w:tcBorders>
            <w:shd w:val="clear" w:color="auto" w:fill="auto"/>
            <w:noWrap/>
            <w:vAlign w:val="bottom"/>
            <w:hideMark/>
          </w:tcPr>
          <w:p w14:paraId="031BBAEE"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0</w:t>
            </w:r>
          </w:p>
        </w:tc>
        <w:tc>
          <w:tcPr>
            <w:tcW w:w="955" w:type="pct"/>
            <w:tcBorders>
              <w:top w:val="nil"/>
              <w:left w:val="nil"/>
              <w:bottom w:val="single" w:sz="4" w:space="0" w:color="auto"/>
              <w:right w:val="single" w:sz="4" w:space="0" w:color="auto"/>
            </w:tcBorders>
            <w:shd w:val="clear" w:color="auto" w:fill="auto"/>
            <w:noWrap/>
            <w:vAlign w:val="bottom"/>
            <w:hideMark/>
          </w:tcPr>
          <w:p w14:paraId="59DEFDDF"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57</w:t>
            </w:r>
          </w:p>
        </w:tc>
        <w:tc>
          <w:tcPr>
            <w:tcW w:w="551" w:type="pct"/>
            <w:tcBorders>
              <w:top w:val="nil"/>
              <w:left w:val="nil"/>
              <w:bottom w:val="single" w:sz="4" w:space="0" w:color="auto"/>
              <w:right w:val="single" w:sz="4" w:space="0" w:color="auto"/>
            </w:tcBorders>
            <w:shd w:val="clear" w:color="auto" w:fill="auto"/>
            <w:noWrap/>
            <w:vAlign w:val="bottom"/>
            <w:hideMark/>
          </w:tcPr>
          <w:p w14:paraId="5ABE43CE"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32</w:t>
            </w:r>
          </w:p>
        </w:tc>
        <w:tc>
          <w:tcPr>
            <w:tcW w:w="473" w:type="pct"/>
            <w:tcBorders>
              <w:top w:val="nil"/>
              <w:left w:val="nil"/>
              <w:bottom w:val="single" w:sz="4" w:space="0" w:color="auto"/>
              <w:right w:val="single" w:sz="4" w:space="0" w:color="auto"/>
            </w:tcBorders>
            <w:shd w:val="clear" w:color="auto" w:fill="auto"/>
            <w:noWrap/>
            <w:vAlign w:val="bottom"/>
            <w:hideMark/>
          </w:tcPr>
          <w:p w14:paraId="503C26FA" w14:textId="77777777" w:rsidR="00273775" w:rsidRPr="008D2522" w:rsidRDefault="00273775" w:rsidP="00055CFC">
            <w:pPr>
              <w:spacing w:before="0" w:after="0"/>
              <w:jc w:val="center"/>
              <w:rPr>
                <w:rFonts w:eastAsia="Times New Roman" w:cs="Arial"/>
                <w:b/>
                <w:bCs/>
                <w:color w:val="000000"/>
                <w:sz w:val="22"/>
                <w:lang w:eastAsia="es-CR"/>
              </w:rPr>
            </w:pPr>
            <w:r w:rsidRPr="008D2522">
              <w:rPr>
                <w:rFonts w:eastAsia="Times New Roman" w:cs="Arial"/>
                <w:b/>
                <w:bCs/>
                <w:color w:val="000000"/>
                <w:sz w:val="22"/>
                <w:lang w:eastAsia="es-CR"/>
              </w:rPr>
              <w:t>493</w:t>
            </w:r>
          </w:p>
        </w:tc>
      </w:tr>
      <w:tr w:rsidR="00273775" w:rsidRPr="008D2522" w14:paraId="07F51C01" w14:textId="77777777" w:rsidTr="00AC17D9">
        <w:trPr>
          <w:trHeight w:val="310"/>
        </w:trPr>
        <w:tc>
          <w:tcPr>
            <w:tcW w:w="927" w:type="pct"/>
            <w:tcBorders>
              <w:top w:val="nil"/>
              <w:left w:val="single" w:sz="4" w:space="0" w:color="auto"/>
              <w:bottom w:val="single" w:sz="4" w:space="0" w:color="auto"/>
              <w:right w:val="single" w:sz="4" w:space="0" w:color="auto"/>
            </w:tcBorders>
            <w:shd w:val="clear" w:color="auto" w:fill="auto"/>
            <w:noWrap/>
            <w:vAlign w:val="bottom"/>
            <w:hideMark/>
          </w:tcPr>
          <w:p w14:paraId="372D38B4" w14:textId="77777777" w:rsidR="00273775" w:rsidRPr="008D2522" w:rsidRDefault="00273775" w:rsidP="00055CFC">
            <w:pPr>
              <w:spacing w:before="0" w:after="0"/>
              <w:jc w:val="left"/>
              <w:rPr>
                <w:rFonts w:eastAsia="Times New Roman" w:cs="Arial"/>
                <w:color w:val="000000"/>
                <w:szCs w:val="24"/>
                <w:lang w:eastAsia="es-CR"/>
              </w:rPr>
            </w:pPr>
            <w:r w:rsidRPr="008D2522">
              <w:rPr>
                <w:rFonts w:eastAsia="Times New Roman" w:cs="Arial"/>
                <w:color w:val="000000"/>
                <w:szCs w:val="24"/>
                <w:lang w:eastAsia="es-CR"/>
              </w:rPr>
              <w:t>Buenos Aires</w:t>
            </w:r>
          </w:p>
        </w:tc>
        <w:tc>
          <w:tcPr>
            <w:tcW w:w="667" w:type="pct"/>
            <w:tcBorders>
              <w:top w:val="nil"/>
              <w:left w:val="nil"/>
              <w:bottom w:val="single" w:sz="4" w:space="0" w:color="auto"/>
              <w:right w:val="single" w:sz="4" w:space="0" w:color="auto"/>
            </w:tcBorders>
            <w:shd w:val="clear" w:color="auto" w:fill="auto"/>
            <w:noWrap/>
            <w:vAlign w:val="bottom"/>
            <w:hideMark/>
          </w:tcPr>
          <w:p w14:paraId="5CE5210A"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163</w:t>
            </w:r>
          </w:p>
        </w:tc>
        <w:tc>
          <w:tcPr>
            <w:tcW w:w="769" w:type="pct"/>
            <w:tcBorders>
              <w:top w:val="nil"/>
              <w:left w:val="nil"/>
              <w:bottom w:val="single" w:sz="4" w:space="0" w:color="auto"/>
              <w:right w:val="single" w:sz="4" w:space="0" w:color="auto"/>
            </w:tcBorders>
            <w:shd w:val="clear" w:color="auto" w:fill="auto"/>
            <w:noWrap/>
            <w:vAlign w:val="bottom"/>
            <w:hideMark/>
          </w:tcPr>
          <w:p w14:paraId="5D3159B1"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102</w:t>
            </w:r>
          </w:p>
        </w:tc>
        <w:tc>
          <w:tcPr>
            <w:tcW w:w="657" w:type="pct"/>
            <w:tcBorders>
              <w:top w:val="nil"/>
              <w:left w:val="nil"/>
              <w:bottom w:val="single" w:sz="4" w:space="0" w:color="auto"/>
              <w:right w:val="single" w:sz="4" w:space="0" w:color="auto"/>
            </w:tcBorders>
            <w:shd w:val="clear" w:color="auto" w:fill="auto"/>
            <w:noWrap/>
            <w:vAlign w:val="bottom"/>
            <w:hideMark/>
          </w:tcPr>
          <w:p w14:paraId="494ACC11"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44</w:t>
            </w:r>
          </w:p>
        </w:tc>
        <w:tc>
          <w:tcPr>
            <w:tcW w:w="955" w:type="pct"/>
            <w:tcBorders>
              <w:top w:val="nil"/>
              <w:left w:val="nil"/>
              <w:bottom w:val="single" w:sz="4" w:space="0" w:color="auto"/>
              <w:right w:val="single" w:sz="4" w:space="0" w:color="auto"/>
            </w:tcBorders>
            <w:shd w:val="clear" w:color="auto" w:fill="auto"/>
            <w:noWrap/>
            <w:vAlign w:val="bottom"/>
            <w:hideMark/>
          </w:tcPr>
          <w:p w14:paraId="5583902D"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30</w:t>
            </w:r>
          </w:p>
        </w:tc>
        <w:tc>
          <w:tcPr>
            <w:tcW w:w="551" w:type="pct"/>
            <w:tcBorders>
              <w:top w:val="nil"/>
              <w:left w:val="nil"/>
              <w:bottom w:val="single" w:sz="4" w:space="0" w:color="auto"/>
              <w:right w:val="single" w:sz="4" w:space="0" w:color="auto"/>
            </w:tcBorders>
            <w:shd w:val="clear" w:color="auto" w:fill="auto"/>
            <w:noWrap/>
            <w:vAlign w:val="bottom"/>
            <w:hideMark/>
          </w:tcPr>
          <w:p w14:paraId="333EECAF"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111</w:t>
            </w:r>
          </w:p>
        </w:tc>
        <w:tc>
          <w:tcPr>
            <w:tcW w:w="473" w:type="pct"/>
            <w:tcBorders>
              <w:top w:val="nil"/>
              <w:left w:val="nil"/>
              <w:bottom w:val="single" w:sz="4" w:space="0" w:color="auto"/>
              <w:right w:val="single" w:sz="4" w:space="0" w:color="auto"/>
            </w:tcBorders>
            <w:shd w:val="clear" w:color="auto" w:fill="auto"/>
            <w:noWrap/>
            <w:vAlign w:val="bottom"/>
            <w:hideMark/>
          </w:tcPr>
          <w:p w14:paraId="100AC35A" w14:textId="77777777" w:rsidR="00273775" w:rsidRPr="008D2522" w:rsidRDefault="00273775" w:rsidP="00055CFC">
            <w:pPr>
              <w:spacing w:before="0" w:after="0"/>
              <w:jc w:val="center"/>
              <w:rPr>
                <w:rFonts w:eastAsia="Times New Roman" w:cs="Arial"/>
                <w:b/>
                <w:bCs/>
                <w:color w:val="000000"/>
                <w:sz w:val="22"/>
                <w:lang w:eastAsia="es-CR"/>
              </w:rPr>
            </w:pPr>
            <w:r w:rsidRPr="008D2522">
              <w:rPr>
                <w:rFonts w:eastAsia="Times New Roman" w:cs="Arial"/>
                <w:b/>
                <w:bCs/>
                <w:color w:val="000000"/>
                <w:sz w:val="22"/>
                <w:lang w:eastAsia="es-CR"/>
              </w:rPr>
              <w:t>450</w:t>
            </w:r>
          </w:p>
        </w:tc>
      </w:tr>
      <w:tr w:rsidR="00273775" w:rsidRPr="008D2522" w14:paraId="04ECF1D6" w14:textId="77777777" w:rsidTr="00AC17D9">
        <w:trPr>
          <w:trHeight w:val="310"/>
        </w:trPr>
        <w:tc>
          <w:tcPr>
            <w:tcW w:w="927" w:type="pct"/>
            <w:tcBorders>
              <w:top w:val="nil"/>
              <w:left w:val="single" w:sz="4" w:space="0" w:color="auto"/>
              <w:bottom w:val="single" w:sz="4" w:space="0" w:color="auto"/>
              <w:right w:val="single" w:sz="4" w:space="0" w:color="auto"/>
            </w:tcBorders>
            <w:shd w:val="clear" w:color="auto" w:fill="auto"/>
            <w:noWrap/>
            <w:vAlign w:val="bottom"/>
            <w:hideMark/>
          </w:tcPr>
          <w:p w14:paraId="614010B4" w14:textId="77777777" w:rsidR="00273775" w:rsidRPr="008D2522" w:rsidRDefault="00273775" w:rsidP="00055CFC">
            <w:pPr>
              <w:spacing w:before="0" w:after="0"/>
              <w:jc w:val="left"/>
              <w:rPr>
                <w:rFonts w:eastAsia="Times New Roman" w:cs="Arial"/>
                <w:color w:val="000000"/>
                <w:szCs w:val="24"/>
                <w:lang w:eastAsia="es-CR"/>
              </w:rPr>
            </w:pPr>
            <w:r w:rsidRPr="008D2522">
              <w:rPr>
                <w:rFonts w:eastAsia="Times New Roman" w:cs="Arial"/>
                <w:color w:val="000000"/>
                <w:szCs w:val="24"/>
                <w:lang w:eastAsia="es-CR"/>
              </w:rPr>
              <w:t>Limón</w:t>
            </w:r>
          </w:p>
        </w:tc>
        <w:tc>
          <w:tcPr>
            <w:tcW w:w="667" w:type="pct"/>
            <w:tcBorders>
              <w:top w:val="nil"/>
              <w:left w:val="nil"/>
              <w:bottom w:val="single" w:sz="4" w:space="0" w:color="auto"/>
              <w:right w:val="single" w:sz="4" w:space="0" w:color="auto"/>
            </w:tcBorders>
            <w:shd w:val="clear" w:color="auto" w:fill="auto"/>
            <w:noWrap/>
            <w:vAlign w:val="bottom"/>
            <w:hideMark/>
          </w:tcPr>
          <w:p w14:paraId="71CDA806"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23</w:t>
            </w:r>
          </w:p>
        </w:tc>
        <w:tc>
          <w:tcPr>
            <w:tcW w:w="769" w:type="pct"/>
            <w:tcBorders>
              <w:top w:val="nil"/>
              <w:left w:val="nil"/>
              <w:bottom w:val="single" w:sz="4" w:space="0" w:color="auto"/>
              <w:right w:val="single" w:sz="4" w:space="0" w:color="auto"/>
            </w:tcBorders>
            <w:shd w:val="clear" w:color="auto" w:fill="auto"/>
            <w:noWrap/>
            <w:vAlign w:val="bottom"/>
            <w:hideMark/>
          </w:tcPr>
          <w:p w14:paraId="79B3D7D3"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18</w:t>
            </w:r>
          </w:p>
        </w:tc>
        <w:tc>
          <w:tcPr>
            <w:tcW w:w="657" w:type="pct"/>
            <w:tcBorders>
              <w:top w:val="nil"/>
              <w:left w:val="nil"/>
              <w:bottom w:val="single" w:sz="4" w:space="0" w:color="auto"/>
              <w:right w:val="single" w:sz="4" w:space="0" w:color="auto"/>
            </w:tcBorders>
            <w:shd w:val="clear" w:color="auto" w:fill="auto"/>
            <w:noWrap/>
            <w:vAlign w:val="bottom"/>
            <w:hideMark/>
          </w:tcPr>
          <w:p w14:paraId="036BBE5B"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25</w:t>
            </w:r>
          </w:p>
        </w:tc>
        <w:tc>
          <w:tcPr>
            <w:tcW w:w="955" w:type="pct"/>
            <w:tcBorders>
              <w:top w:val="nil"/>
              <w:left w:val="nil"/>
              <w:bottom w:val="single" w:sz="4" w:space="0" w:color="auto"/>
              <w:right w:val="single" w:sz="4" w:space="0" w:color="auto"/>
            </w:tcBorders>
            <w:shd w:val="clear" w:color="auto" w:fill="auto"/>
            <w:noWrap/>
            <w:vAlign w:val="bottom"/>
            <w:hideMark/>
          </w:tcPr>
          <w:p w14:paraId="5772508B"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8</w:t>
            </w:r>
          </w:p>
        </w:tc>
        <w:tc>
          <w:tcPr>
            <w:tcW w:w="551" w:type="pct"/>
            <w:tcBorders>
              <w:top w:val="nil"/>
              <w:left w:val="nil"/>
              <w:bottom w:val="single" w:sz="4" w:space="0" w:color="auto"/>
              <w:right w:val="single" w:sz="4" w:space="0" w:color="auto"/>
            </w:tcBorders>
            <w:shd w:val="clear" w:color="auto" w:fill="auto"/>
            <w:noWrap/>
            <w:vAlign w:val="bottom"/>
            <w:hideMark/>
          </w:tcPr>
          <w:p w14:paraId="5788DA22"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32</w:t>
            </w:r>
          </w:p>
        </w:tc>
        <w:tc>
          <w:tcPr>
            <w:tcW w:w="473" w:type="pct"/>
            <w:tcBorders>
              <w:top w:val="nil"/>
              <w:left w:val="nil"/>
              <w:bottom w:val="single" w:sz="4" w:space="0" w:color="auto"/>
              <w:right w:val="single" w:sz="4" w:space="0" w:color="auto"/>
            </w:tcBorders>
            <w:shd w:val="clear" w:color="auto" w:fill="auto"/>
            <w:noWrap/>
            <w:vAlign w:val="bottom"/>
            <w:hideMark/>
          </w:tcPr>
          <w:p w14:paraId="38252AEF" w14:textId="77777777" w:rsidR="00273775" w:rsidRPr="008D2522" w:rsidRDefault="00273775" w:rsidP="00055CFC">
            <w:pPr>
              <w:spacing w:before="0" w:after="0"/>
              <w:jc w:val="center"/>
              <w:rPr>
                <w:rFonts w:eastAsia="Times New Roman" w:cs="Arial"/>
                <w:b/>
                <w:bCs/>
                <w:color w:val="000000"/>
                <w:sz w:val="22"/>
                <w:lang w:eastAsia="es-CR"/>
              </w:rPr>
            </w:pPr>
            <w:r w:rsidRPr="008D2522">
              <w:rPr>
                <w:rFonts w:eastAsia="Times New Roman" w:cs="Arial"/>
                <w:b/>
                <w:bCs/>
                <w:color w:val="000000"/>
                <w:sz w:val="22"/>
                <w:lang w:eastAsia="es-CR"/>
              </w:rPr>
              <w:t>106</w:t>
            </w:r>
          </w:p>
        </w:tc>
      </w:tr>
      <w:tr w:rsidR="00273775" w:rsidRPr="008D2522" w14:paraId="5CE4BB21" w14:textId="77777777" w:rsidTr="00AC17D9">
        <w:trPr>
          <w:trHeight w:val="310"/>
        </w:trPr>
        <w:tc>
          <w:tcPr>
            <w:tcW w:w="927" w:type="pct"/>
            <w:tcBorders>
              <w:top w:val="nil"/>
              <w:left w:val="single" w:sz="4" w:space="0" w:color="auto"/>
              <w:bottom w:val="single" w:sz="4" w:space="0" w:color="auto"/>
              <w:right w:val="single" w:sz="4" w:space="0" w:color="auto"/>
            </w:tcBorders>
            <w:shd w:val="clear" w:color="auto" w:fill="auto"/>
            <w:noWrap/>
            <w:vAlign w:val="bottom"/>
            <w:hideMark/>
          </w:tcPr>
          <w:p w14:paraId="11065E82" w14:textId="77777777" w:rsidR="00273775" w:rsidRPr="008D2522" w:rsidRDefault="00273775" w:rsidP="00055CFC">
            <w:pPr>
              <w:spacing w:before="0" w:after="0"/>
              <w:jc w:val="left"/>
              <w:rPr>
                <w:rFonts w:eastAsia="Times New Roman" w:cs="Arial"/>
                <w:color w:val="000000"/>
                <w:szCs w:val="24"/>
                <w:lang w:eastAsia="es-CR"/>
              </w:rPr>
            </w:pPr>
            <w:r w:rsidRPr="008D2522">
              <w:rPr>
                <w:rFonts w:eastAsia="Times New Roman" w:cs="Arial"/>
                <w:color w:val="000000"/>
                <w:szCs w:val="24"/>
                <w:lang w:eastAsia="es-CR"/>
              </w:rPr>
              <w:t>Coto Brus</w:t>
            </w:r>
          </w:p>
        </w:tc>
        <w:tc>
          <w:tcPr>
            <w:tcW w:w="667" w:type="pct"/>
            <w:tcBorders>
              <w:top w:val="nil"/>
              <w:left w:val="nil"/>
              <w:bottom w:val="single" w:sz="4" w:space="0" w:color="auto"/>
              <w:right w:val="single" w:sz="4" w:space="0" w:color="auto"/>
            </w:tcBorders>
            <w:shd w:val="clear" w:color="auto" w:fill="auto"/>
            <w:noWrap/>
            <w:vAlign w:val="bottom"/>
            <w:hideMark/>
          </w:tcPr>
          <w:p w14:paraId="3C646ACF"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54</w:t>
            </w:r>
          </w:p>
        </w:tc>
        <w:tc>
          <w:tcPr>
            <w:tcW w:w="769" w:type="pct"/>
            <w:tcBorders>
              <w:top w:val="nil"/>
              <w:left w:val="nil"/>
              <w:bottom w:val="single" w:sz="4" w:space="0" w:color="auto"/>
              <w:right w:val="single" w:sz="4" w:space="0" w:color="auto"/>
            </w:tcBorders>
            <w:shd w:val="clear" w:color="auto" w:fill="auto"/>
            <w:noWrap/>
            <w:vAlign w:val="bottom"/>
            <w:hideMark/>
          </w:tcPr>
          <w:p w14:paraId="736248E9"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9</w:t>
            </w:r>
          </w:p>
        </w:tc>
        <w:tc>
          <w:tcPr>
            <w:tcW w:w="657" w:type="pct"/>
            <w:tcBorders>
              <w:top w:val="nil"/>
              <w:left w:val="nil"/>
              <w:bottom w:val="single" w:sz="4" w:space="0" w:color="auto"/>
              <w:right w:val="single" w:sz="4" w:space="0" w:color="auto"/>
            </w:tcBorders>
            <w:shd w:val="clear" w:color="auto" w:fill="auto"/>
            <w:noWrap/>
            <w:vAlign w:val="bottom"/>
            <w:hideMark/>
          </w:tcPr>
          <w:p w14:paraId="1C93F7F3"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0</w:t>
            </w:r>
          </w:p>
        </w:tc>
        <w:tc>
          <w:tcPr>
            <w:tcW w:w="955" w:type="pct"/>
            <w:tcBorders>
              <w:top w:val="nil"/>
              <w:left w:val="nil"/>
              <w:bottom w:val="single" w:sz="4" w:space="0" w:color="auto"/>
              <w:right w:val="single" w:sz="4" w:space="0" w:color="auto"/>
            </w:tcBorders>
            <w:shd w:val="clear" w:color="auto" w:fill="auto"/>
            <w:noWrap/>
            <w:vAlign w:val="bottom"/>
            <w:hideMark/>
          </w:tcPr>
          <w:p w14:paraId="739BEEEE"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22</w:t>
            </w:r>
          </w:p>
        </w:tc>
        <w:tc>
          <w:tcPr>
            <w:tcW w:w="551" w:type="pct"/>
            <w:tcBorders>
              <w:top w:val="nil"/>
              <w:left w:val="nil"/>
              <w:bottom w:val="single" w:sz="4" w:space="0" w:color="auto"/>
              <w:right w:val="single" w:sz="4" w:space="0" w:color="auto"/>
            </w:tcBorders>
            <w:shd w:val="clear" w:color="auto" w:fill="auto"/>
            <w:noWrap/>
            <w:vAlign w:val="bottom"/>
            <w:hideMark/>
          </w:tcPr>
          <w:p w14:paraId="402A0F81"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5</w:t>
            </w:r>
          </w:p>
        </w:tc>
        <w:tc>
          <w:tcPr>
            <w:tcW w:w="473" w:type="pct"/>
            <w:tcBorders>
              <w:top w:val="nil"/>
              <w:left w:val="nil"/>
              <w:bottom w:val="single" w:sz="4" w:space="0" w:color="auto"/>
              <w:right w:val="single" w:sz="4" w:space="0" w:color="auto"/>
            </w:tcBorders>
            <w:shd w:val="clear" w:color="auto" w:fill="auto"/>
            <w:noWrap/>
            <w:vAlign w:val="bottom"/>
            <w:hideMark/>
          </w:tcPr>
          <w:p w14:paraId="28A1A932" w14:textId="77777777" w:rsidR="00273775" w:rsidRPr="008D2522" w:rsidRDefault="00273775" w:rsidP="00055CFC">
            <w:pPr>
              <w:spacing w:before="0" w:after="0"/>
              <w:jc w:val="center"/>
              <w:rPr>
                <w:rFonts w:eastAsia="Times New Roman" w:cs="Arial"/>
                <w:b/>
                <w:bCs/>
                <w:color w:val="000000"/>
                <w:sz w:val="22"/>
                <w:lang w:eastAsia="es-CR"/>
              </w:rPr>
            </w:pPr>
            <w:r w:rsidRPr="008D2522">
              <w:rPr>
                <w:rFonts w:eastAsia="Times New Roman" w:cs="Arial"/>
                <w:b/>
                <w:bCs/>
                <w:color w:val="000000"/>
                <w:sz w:val="22"/>
                <w:lang w:eastAsia="es-CR"/>
              </w:rPr>
              <w:t>90</w:t>
            </w:r>
          </w:p>
        </w:tc>
      </w:tr>
      <w:tr w:rsidR="00273775" w:rsidRPr="008D2522" w14:paraId="4CA5091B" w14:textId="77777777" w:rsidTr="00AC17D9">
        <w:trPr>
          <w:trHeight w:val="310"/>
        </w:trPr>
        <w:tc>
          <w:tcPr>
            <w:tcW w:w="927" w:type="pct"/>
            <w:tcBorders>
              <w:top w:val="nil"/>
              <w:left w:val="single" w:sz="4" w:space="0" w:color="auto"/>
              <w:bottom w:val="single" w:sz="4" w:space="0" w:color="auto"/>
              <w:right w:val="single" w:sz="4" w:space="0" w:color="auto"/>
            </w:tcBorders>
            <w:shd w:val="clear" w:color="auto" w:fill="auto"/>
            <w:noWrap/>
            <w:vAlign w:val="bottom"/>
            <w:hideMark/>
          </w:tcPr>
          <w:p w14:paraId="4DEBC445" w14:textId="77777777" w:rsidR="00273775" w:rsidRPr="008D2522" w:rsidRDefault="00273775" w:rsidP="00055CFC">
            <w:pPr>
              <w:spacing w:before="0" w:after="0"/>
              <w:jc w:val="left"/>
              <w:rPr>
                <w:rFonts w:eastAsia="Times New Roman" w:cs="Arial"/>
                <w:color w:val="000000"/>
                <w:szCs w:val="24"/>
                <w:lang w:eastAsia="es-CR"/>
              </w:rPr>
            </w:pPr>
            <w:r w:rsidRPr="008D2522">
              <w:rPr>
                <w:rFonts w:eastAsia="Times New Roman" w:cs="Arial"/>
                <w:color w:val="000000"/>
                <w:szCs w:val="24"/>
                <w:lang w:eastAsia="es-CR"/>
              </w:rPr>
              <w:t>Pérez Zeledón</w:t>
            </w:r>
          </w:p>
        </w:tc>
        <w:tc>
          <w:tcPr>
            <w:tcW w:w="667" w:type="pct"/>
            <w:tcBorders>
              <w:top w:val="nil"/>
              <w:left w:val="nil"/>
              <w:bottom w:val="single" w:sz="4" w:space="0" w:color="auto"/>
              <w:right w:val="single" w:sz="4" w:space="0" w:color="auto"/>
            </w:tcBorders>
            <w:shd w:val="clear" w:color="auto" w:fill="auto"/>
            <w:noWrap/>
            <w:vAlign w:val="bottom"/>
            <w:hideMark/>
          </w:tcPr>
          <w:p w14:paraId="68D55864"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3</w:t>
            </w:r>
          </w:p>
        </w:tc>
        <w:tc>
          <w:tcPr>
            <w:tcW w:w="769" w:type="pct"/>
            <w:tcBorders>
              <w:top w:val="nil"/>
              <w:left w:val="nil"/>
              <w:bottom w:val="single" w:sz="4" w:space="0" w:color="auto"/>
              <w:right w:val="single" w:sz="4" w:space="0" w:color="auto"/>
            </w:tcBorders>
            <w:shd w:val="clear" w:color="auto" w:fill="auto"/>
            <w:noWrap/>
            <w:vAlign w:val="bottom"/>
            <w:hideMark/>
          </w:tcPr>
          <w:p w14:paraId="5BACDF8D"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21</w:t>
            </w:r>
          </w:p>
        </w:tc>
        <w:tc>
          <w:tcPr>
            <w:tcW w:w="657" w:type="pct"/>
            <w:tcBorders>
              <w:top w:val="nil"/>
              <w:left w:val="nil"/>
              <w:bottom w:val="single" w:sz="4" w:space="0" w:color="auto"/>
              <w:right w:val="single" w:sz="4" w:space="0" w:color="auto"/>
            </w:tcBorders>
            <w:shd w:val="clear" w:color="auto" w:fill="auto"/>
            <w:noWrap/>
            <w:vAlign w:val="bottom"/>
            <w:hideMark/>
          </w:tcPr>
          <w:p w14:paraId="1208FB4B"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32</w:t>
            </w:r>
          </w:p>
        </w:tc>
        <w:tc>
          <w:tcPr>
            <w:tcW w:w="955" w:type="pct"/>
            <w:tcBorders>
              <w:top w:val="nil"/>
              <w:left w:val="nil"/>
              <w:bottom w:val="single" w:sz="4" w:space="0" w:color="auto"/>
              <w:right w:val="single" w:sz="4" w:space="0" w:color="auto"/>
            </w:tcBorders>
            <w:shd w:val="clear" w:color="auto" w:fill="auto"/>
            <w:noWrap/>
            <w:vAlign w:val="bottom"/>
            <w:hideMark/>
          </w:tcPr>
          <w:p w14:paraId="7D9D2244"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0</w:t>
            </w:r>
          </w:p>
        </w:tc>
        <w:tc>
          <w:tcPr>
            <w:tcW w:w="551" w:type="pct"/>
            <w:tcBorders>
              <w:top w:val="nil"/>
              <w:left w:val="nil"/>
              <w:bottom w:val="single" w:sz="4" w:space="0" w:color="auto"/>
              <w:right w:val="single" w:sz="4" w:space="0" w:color="auto"/>
            </w:tcBorders>
            <w:shd w:val="clear" w:color="auto" w:fill="auto"/>
            <w:noWrap/>
            <w:vAlign w:val="bottom"/>
            <w:hideMark/>
          </w:tcPr>
          <w:p w14:paraId="1038897C"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19</w:t>
            </w:r>
          </w:p>
        </w:tc>
        <w:tc>
          <w:tcPr>
            <w:tcW w:w="473" w:type="pct"/>
            <w:tcBorders>
              <w:top w:val="nil"/>
              <w:left w:val="nil"/>
              <w:bottom w:val="single" w:sz="4" w:space="0" w:color="auto"/>
              <w:right w:val="single" w:sz="4" w:space="0" w:color="auto"/>
            </w:tcBorders>
            <w:shd w:val="clear" w:color="auto" w:fill="auto"/>
            <w:noWrap/>
            <w:vAlign w:val="bottom"/>
            <w:hideMark/>
          </w:tcPr>
          <w:p w14:paraId="63FF1A69" w14:textId="77777777" w:rsidR="00273775" w:rsidRPr="008D2522" w:rsidRDefault="00273775" w:rsidP="00055CFC">
            <w:pPr>
              <w:spacing w:before="0" w:after="0"/>
              <w:jc w:val="center"/>
              <w:rPr>
                <w:rFonts w:eastAsia="Times New Roman" w:cs="Arial"/>
                <w:b/>
                <w:bCs/>
                <w:color w:val="000000"/>
                <w:sz w:val="22"/>
                <w:lang w:eastAsia="es-CR"/>
              </w:rPr>
            </w:pPr>
            <w:r w:rsidRPr="008D2522">
              <w:rPr>
                <w:rFonts w:eastAsia="Times New Roman" w:cs="Arial"/>
                <w:b/>
                <w:bCs/>
                <w:color w:val="000000"/>
                <w:sz w:val="22"/>
                <w:lang w:eastAsia="es-CR"/>
              </w:rPr>
              <w:t>75</w:t>
            </w:r>
          </w:p>
        </w:tc>
      </w:tr>
      <w:tr w:rsidR="00273775" w:rsidRPr="008D2522" w14:paraId="189EE0E1" w14:textId="77777777" w:rsidTr="00273775">
        <w:trPr>
          <w:trHeight w:val="310"/>
        </w:trPr>
        <w:tc>
          <w:tcPr>
            <w:tcW w:w="927" w:type="pct"/>
            <w:tcBorders>
              <w:top w:val="nil"/>
              <w:left w:val="single" w:sz="4" w:space="0" w:color="auto"/>
              <w:bottom w:val="single" w:sz="4" w:space="0" w:color="auto"/>
              <w:right w:val="single" w:sz="4" w:space="0" w:color="auto"/>
            </w:tcBorders>
            <w:shd w:val="clear" w:color="auto" w:fill="auto"/>
            <w:noWrap/>
            <w:vAlign w:val="bottom"/>
            <w:hideMark/>
          </w:tcPr>
          <w:p w14:paraId="725B3E47" w14:textId="77777777" w:rsidR="00273775" w:rsidRPr="008D2522" w:rsidRDefault="00273775" w:rsidP="00055CFC">
            <w:pPr>
              <w:spacing w:before="0" w:after="0"/>
              <w:jc w:val="left"/>
              <w:rPr>
                <w:rFonts w:eastAsia="Times New Roman" w:cs="Arial"/>
                <w:color w:val="000000"/>
                <w:szCs w:val="24"/>
                <w:lang w:eastAsia="es-CR"/>
              </w:rPr>
            </w:pPr>
            <w:r w:rsidRPr="008D2522">
              <w:rPr>
                <w:rFonts w:eastAsia="Times New Roman" w:cs="Arial"/>
                <w:color w:val="000000"/>
                <w:szCs w:val="24"/>
                <w:lang w:eastAsia="es-CR"/>
              </w:rPr>
              <w:t>San José</w:t>
            </w:r>
          </w:p>
        </w:tc>
        <w:tc>
          <w:tcPr>
            <w:tcW w:w="667" w:type="pct"/>
            <w:tcBorders>
              <w:top w:val="nil"/>
              <w:left w:val="nil"/>
              <w:bottom w:val="single" w:sz="4" w:space="0" w:color="auto"/>
              <w:right w:val="single" w:sz="4" w:space="0" w:color="auto"/>
            </w:tcBorders>
            <w:shd w:val="clear" w:color="auto" w:fill="auto"/>
            <w:noWrap/>
            <w:vAlign w:val="bottom"/>
            <w:hideMark/>
          </w:tcPr>
          <w:p w14:paraId="31711218"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10</w:t>
            </w:r>
          </w:p>
        </w:tc>
        <w:tc>
          <w:tcPr>
            <w:tcW w:w="769" w:type="pct"/>
            <w:tcBorders>
              <w:top w:val="nil"/>
              <w:left w:val="nil"/>
              <w:bottom w:val="single" w:sz="4" w:space="0" w:color="auto"/>
              <w:right w:val="single" w:sz="4" w:space="0" w:color="auto"/>
            </w:tcBorders>
            <w:shd w:val="clear" w:color="auto" w:fill="auto"/>
            <w:noWrap/>
            <w:vAlign w:val="bottom"/>
            <w:hideMark/>
          </w:tcPr>
          <w:p w14:paraId="59CFF690"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w:t>
            </w:r>
          </w:p>
        </w:tc>
        <w:tc>
          <w:tcPr>
            <w:tcW w:w="657" w:type="pct"/>
            <w:tcBorders>
              <w:top w:val="nil"/>
              <w:left w:val="nil"/>
              <w:bottom w:val="single" w:sz="4" w:space="0" w:color="auto"/>
              <w:right w:val="single" w:sz="4" w:space="0" w:color="auto"/>
            </w:tcBorders>
            <w:shd w:val="clear" w:color="auto" w:fill="auto"/>
            <w:noWrap/>
            <w:vAlign w:val="bottom"/>
            <w:hideMark/>
          </w:tcPr>
          <w:p w14:paraId="1A32D5F8"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22</w:t>
            </w:r>
          </w:p>
        </w:tc>
        <w:tc>
          <w:tcPr>
            <w:tcW w:w="955" w:type="pct"/>
            <w:tcBorders>
              <w:top w:val="nil"/>
              <w:left w:val="nil"/>
              <w:bottom w:val="single" w:sz="4" w:space="0" w:color="auto"/>
              <w:right w:val="single" w:sz="4" w:space="0" w:color="auto"/>
            </w:tcBorders>
            <w:shd w:val="clear" w:color="auto" w:fill="auto"/>
            <w:noWrap/>
            <w:vAlign w:val="bottom"/>
            <w:hideMark/>
          </w:tcPr>
          <w:p w14:paraId="2B4754E6"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w:t>
            </w:r>
          </w:p>
        </w:tc>
        <w:tc>
          <w:tcPr>
            <w:tcW w:w="551" w:type="pct"/>
            <w:tcBorders>
              <w:top w:val="nil"/>
              <w:left w:val="nil"/>
              <w:bottom w:val="single" w:sz="4" w:space="0" w:color="auto"/>
              <w:right w:val="single" w:sz="4" w:space="0" w:color="auto"/>
            </w:tcBorders>
            <w:shd w:val="clear" w:color="auto" w:fill="auto"/>
            <w:noWrap/>
            <w:vAlign w:val="bottom"/>
            <w:hideMark/>
          </w:tcPr>
          <w:p w14:paraId="6A90D22B"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31</w:t>
            </w:r>
          </w:p>
        </w:tc>
        <w:tc>
          <w:tcPr>
            <w:tcW w:w="473" w:type="pct"/>
            <w:tcBorders>
              <w:top w:val="nil"/>
              <w:left w:val="nil"/>
              <w:bottom w:val="single" w:sz="4" w:space="0" w:color="auto"/>
              <w:right w:val="single" w:sz="4" w:space="0" w:color="auto"/>
            </w:tcBorders>
            <w:shd w:val="clear" w:color="auto" w:fill="auto"/>
            <w:noWrap/>
            <w:vAlign w:val="bottom"/>
            <w:hideMark/>
          </w:tcPr>
          <w:p w14:paraId="50DBBAEC" w14:textId="77777777" w:rsidR="00273775" w:rsidRPr="008D2522" w:rsidRDefault="00273775" w:rsidP="00055CFC">
            <w:pPr>
              <w:spacing w:before="0" w:after="0"/>
              <w:jc w:val="center"/>
              <w:rPr>
                <w:rFonts w:eastAsia="Times New Roman" w:cs="Arial"/>
                <w:b/>
                <w:bCs/>
                <w:color w:val="000000"/>
                <w:sz w:val="22"/>
                <w:lang w:eastAsia="es-CR"/>
              </w:rPr>
            </w:pPr>
            <w:r w:rsidRPr="008D2522">
              <w:rPr>
                <w:rFonts w:eastAsia="Times New Roman" w:cs="Arial"/>
                <w:b/>
                <w:bCs/>
                <w:color w:val="000000"/>
                <w:sz w:val="22"/>
                <w:lang w:eastAsia="es-CR"/>
              </w:rPr>
              <w:t>66</w:t>
            </w:r>
          </w:p>
        </w:tc>
      </w:tr>
      <w:tr w:rsidR="00273775" w:rsidRPr="008D2522" w14:paraId="4C3826E3" w14:textId="77777777" w:rsidTr="00273775">
        <w:trPr>
          <w:trHeight w:val="310"/>
        </w:trPr>
        <w:tc>
          <w:tcPr>
            <w:tcW w:w="927" w:type="pct"/>
            <w:tcBorders>
              <w:top w:val="nil"/>
              <w:left w:val="single" w:sz="4" w:space="0" w:color="auto"/>
              <w:bottom w:val="single" w:sz="4" w:space="0" w:color="auto"/>
              <w:right w:val="single" w:sz="4" w:space="0" w:color="auto"/>
            </w:tcBorders>
            <w:shd w:val="clear" w:color="auto" w:fill="auto"/>
            <w:noWrap/>
            <w:vAlign w:val="bottom"/>
            <w:hideMark/>
          </w:tcPr>
          <w:p w14:paraId="2225D5DB" w14:textId="77777777" w:rsidR="00273775" w:rsidRPr="008D2522" w:rsidRDefault="00273775" w:rsidP="00055CFC">
            <w:pPr>
              <w:spacing w:before="0" w:after="0"/>
              <w:jc w:val="left"/>
              <w:rPr>
                <w:rFonts w:eastAsia="Times New Roman" w:cs="Arial"/>
                <w:color w:val="000000"/>
                <w:szCs w:val="24"/>
                <w:lang w:eastAsia="es-CR"/>
              </w:rPr>
            </w:pPr>
            <w:r w:rsidRPr="008D2522">
              <w:rPr>
                <w:rFonts w:eastAsia="Times New Roman" w:cs="Arial"/>
                <w:color w:val="000000"/>
                <w:szCs w:val="24"/>
                <w:lang w:eastAsia="es-CR"/>
              </w:rPr>
              <w:t>Corredores</w:t>
            </w:r>
          </w:p>
        </w:tc>
        <w:tc>
          <w:tcPr>
            <w:tcW w:w="667" w:type="pct"/>
            <w:tcBorders>
              <w:top w:val="nil"/>
              <w:left w:val="nil"/>
              <w:bottom w:val="single" w:sz="4" w:space="0" w:color="auto"/>
              <w:right w:val="single" w:sz="4" w:space="0" w:color="auto"/>
            </w:tcBorders>
            <w:shd w:val="clear" w:color="auto" w:fill="auto"/>
            <w:noWrap/>
            <w:vAlign w:val="bottom"/>
            <w:hideMark/>
          </w:tcPr>
          <w:p w14:paraId="2089FC4A"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20</w:t>
            </w:r>
          </w:p>
        </w:tc>
        <w:tc>
          <w:tcPr>
            <w:tcW w:w="769" w:type="pct"/>
            <w:tcBorders>
              <w:top w:val="nil"/>
              <w:left w:val="nil"/>
              <w:bottom w:val="single" w:sz="4" w:space="0" w:color="auto"/>
              <w:right w:val="single" w:sz="4" w:space="0" w:color="auto"/>
            </w:tcBorders>
            <w:shd w:val="clear" w:color="auto" w:fill="auto"/>
            <w:noWrap/>
            <w:vAlign w:val="bottom"/>
            <w:hideMark/>
          </w:tcPr>
          <w:p w14:paraId="68A07288"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12</w:t>
            </w:r>
          </w:p>
        </w:tc>
        <w:tc>
          <w:tcPr>
            <w:tcW w:w="657" w:type="pct"/>
            <w:tcBorders>
              <w:top w:val="nil"/>
              <w:left w:val="nil"/>
              <w:bottom w:val="single" w:sz="4" w:space="0" w:color="auto"/>
              <w:right w:val="single" w:sz="4" w:space="0" w:color="auto"/>
            </w:tcBorders>
            <w:shd w:val="clear" w:color="auto" w:fill="auto"/>
            <w:noWrap/>
            <w:vAlign w:val="bottom"/>
            <w:hideMark/>
          </w:tcPr>
          <w:p w14:paraId="6E56A877"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12</w:t>
            </w:r>
          </w:p>
        </w:tc>
        <w:tc>
          <w:tcPr>
            <w:tcW w:w="955" w:type="pct"/>
            <w:tcBorders>
              <w:top w:val="nil"/>
              <w:left w:val="nil"/>
              <w:bottom w:val="single" w:sz="4" w:space="0" w:color="auto"/>
              <w:right w:val="single" w:sz="4" w:space="0" w:color="auto"/>
            </w:tcBorders>
            <w:shd w:val="clear" w:color="auto" w:fill="auto"/>
            <w:noWrap/>
            <w:vAlign w:val="bottom"/>
            <w:hideMark/>
          </w:tcPr>
          <w:p w14:paraId="0D89CE00"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3</w:t>
            </w:r>
          </w:p>
        </w:tc>
        <w:tc>
          <w:tcPr>
            <w:tcW w:w="551" w:type="pct"/>
            <w:tcBorders>
              <w:top w:val="nil"/>
              <w:left w:val="nil"/>
              <w:bottom w:val="single" w:sz="4" w:space="0" w:color="auto"/>
              <w:right w:val="single" w:sz="4" w:space="0" w:color="auto"/>
            </w:tcBorders>
            <w:shd w:val="clear" w:color="auto" w:fill="auto"/>
            <w:noWrap/>
            <w:vAlign w:val="bottom"/>
            <w:hideMark/>
          </w:tcPr>
          <w:p w14:paraId="7AB097B5"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14</w:t>
            </w:r>
          </w:p>
        </w:tc>
        <w:tc>
          <w:tcPr>
            <w:tcW w:w="473" w:type="pct"/>
            <w:tcBorders>
              <w:top w:val="nil"/>
              <w:left w:val="nil"/>
              <w:bottom w:val="single" w:sz="4" w:space="0" w:color="auto"/>
              <w:right w:val="single" w:sz="4" w:space="0" w:color="auto"/>
            </w:tcBorders>
            <w:shd w:val="clear" w:color="auto" w:fill="auto"/>
            <w:noWrap/>
            <w:vAlign w:val="bottom"/>
            <w:hideMark/>
          </w:tcPr>
          <w:p w14:paraId="63B9066B" w14:textId="77777777" w:rsidR="00273775" w:rsidRPr="008D2522" w:rsidRDefault="00273775" w:rsidP="00055CFC">
            <w:pPr>
              <w:spacing w:before="0" w:after="0"/>
              <w:jc w:val="center"/>
              <w:rPr>
                <w:rFonts w:eastAsia="Times New Roman" w:cs="Arial"/>
                <w:b/>
                <w:bCs/>
                <w:color w:val="000000"/>
                <w:sz w:val="22"/>
                <w:lang w:eastAsia="es-CR"/>
              </w:rPr>
            </w:pPr>
            <w:r w:rsidRPr="008D2522">
              <w:rPr>
                <w:rFonts w:eastAsia="Times New Roman" w:cs="Arial"/>
                <w:b/>
                <w:bCs/>
                <w:color w:val="000000"/>
                <w:sz w:val="22"/>
                <w:lang w:eastAsia="es-CR"/>
              </w:rPr>
              <w:t>61</w:t>
            </w:r>
          </w:p>
        </w:tc>
      </w:tr>
      <w:tr w:rsidR="00273775" w:rsidRPr="008D2522" w14:paraId="30168B0B" w14:textId="77777777" w:rsidTr="00273775">
        <w:trPr>
          <w:trHeight w:val="280"/>
        </w:trPr>
        <w:tc>
          <w:tcPr>
            <w:tcW w:w="927" w:type="pct"/>
            <w:tcBorders>
              <w:top w:val="nil"/>
              <w:left w:val="single" w:sz="4" w:space="0" w:color="auto"/>
              <w:bottom w:val="single" w:sz="4" w:space="0" w:color="auto"/>
              <w:right w:val="single" w:sz="4" w:space="0" w:color="auto"/>
            </w:tcBorders>
            <w:shd w:val="clear" w:color="auto" w:fill="auto"/>
            <w:noWrap/>
            <w:vAlign w:val="bottom"/>
            <w:hideMark/>
          </w:tcPr>
          <w:p w14:paraId="2138C183" w14:textId="77777777" w:rsidR="00273775" w:rsidRPr="008D2522" w:rsidRDefault="00273775" w:rsidP="00055CFC">
            <w:pPr>
              <w:spacing w:before="0" w:after="0"/>
              <w:jc w:val="left"/>
              <w:rPr>
                <w:rFonts w:eastAsia="Times New Roman" w:cs="Arial"/>
                <w:color w:val="000000"/>
                <w:sz w:val="22"/>
                <w:lang w:eastAsia="es-CR"/>
              </w:rPr>
            </w:pPr>
            <w:r w:rsidRPr="008D2522">
              <w:rPr>
                <w:rFonts w:eastAsia="Times New Roman" w:cs="Arial"/>
                <w:color w:val="000000"/>
                <w:sz w:val="22"/>
                <w:lang w:eastAsia="es-CR"/>
              </w:rPr>
              <w:t>Demás oficinas</w:t>
            </w:r>
          </w:p>
        </w:tc>
        <w:tc>
          <w:tcPr>
            <w:tcW w:w="667" w:type="pct"/>
            <w:tcBorders>
              <w:top w:val="nil"/>
              <w:left w:val="nil"/>
              <w:bottom w:val="single" w:sz="4" w:space="0" w:color="auto"/>
              <w:right w:val="single" w:sz="4" w:space="0" w:color="auto"/>
            </w:tcBorders>
            <w:shd w:val="clear" w:color="auto" w:fill="auto"/>
            <w:noWrap/>
            <w:vAlign w:val="bottom"/>
            <w:hideMark/>
          </w:tcPr>
          <w:p w14:paraId="19647969"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40</w:t>
            </w:r>
          </w:p>
        </w:tc>
        <w:tc>
          <w:tcPr>
            <w:tcW w:w="769" w:type="pct"/>
            <w:tcBorders>
              <w:top w:val="nil"/>
              <w:left w:val="nil"/>
              <w:bottom w:val="single" w:sz="4" w:space="0" w:color="auto"/>
              <w:right w:val="single" w:sz="4" w:space="0" w:color="auto"/>
            </w:tcBorders>
            <w:shd w:val="clear" w:color="auto" w:fill="auto"/>
            <w:noWrap/>
            <w:vAlign w:val="bottom"/>
            <w:hideMark/>
          </w:tcPr>
          <w:p w14:paraId="3E927B2D"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34</w:t>
            </w:r>
          </w:p>
        </w:tc>
        <w:tc>
          <w:tcPr>
            <w:tcW w:w="657" w:type="pct"/>
            <w:tcBorders>
              <w:top w:val="nil"/>
              <w:left w:val="nil"/>
              <w:bottom w:val="single" w:sz="4" w:space="0" w:color="auto"/>
              <w:right w:val="single" w:sz="4" w:space="0" w:color="auto"/>
            </w:tcBorders>
            <w:shd w:val="clear" w:color="auto" w:fill="auto"/>
            <w:noWrap/>
            <w:vAlign w:val="bottom"/>
            <w:hideMark/>
          </w:tcPr>
          <w:p w14:paraId="148C3282"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61</w:t>
            </w:r>
          </w:p>
        </w:tc>
        <w:tc>
          <w:tcPr>
            <w:tcW w:w="955" w:type="pct"/>
            <w:tcBorders>
              <w:top w:val="nil"/>
              <w:left w:val="nil"/>
              <w:bottom w:val="single" w:sz="4" w:space="0" w:color="auto"/>
              <w:right w:val="single" w:sz="4" w:space="0" w:color="auto"/>
            </w:tcBorders>
            <w:shd w:val="clear" w:color="auto" w:fill="auto"/>
            <w:noWrap/>
            <w:vAlign w:val="bottom"/>
            <w:hideMark/>
          </w:tcPr>
          <w:p w14:paraId="617A71CD"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5</w:t>
            </w:r>
          </w:p>
        </w:tc>
        <w:tc>
          <w:tcPr>
            <w:tcW w:w="551" w:type="pct"/>
            <w:tcBorders>
              <w:top w:val="nil"/>
              <w:left w:val="nil"/>
              <w:bottom w:val="single" w:sz="4" w:space="0" w:color="auto"/>
              <w:right w:val="single" w:sz="4" w:space="0" w:color="auto"/>
            </w:tcBorders>
            <w:shd w:val="clear" w:color="auto" w:fill="auto"/>
            <w:noWrap/>
            <w:vAlign w:val="bottom"/>
            <w:hideMark/>
          </w:tcPr>
          <w:p w14:paraId="316CB7BD"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39</w:t>
            </w:r>
          </w:p>
        </w:tc>
        <w:tc>
          <w:tcPr>
            <w:tcW w:w="473" w:type="pct"/>
            <w:tcBorders>
              <w:top w:val="nil"/>
              <w:left w:val="nil"/>
              <w:bottom w:val="single" w:sz="4" w:space="0" w:color="auto"/>
              <w:right w:val="single" w:sz="4" w:space="0" w:color="auto"/>
            </w:tcBorders>
            <w:shd w:val="clear" w:color="auto" w:fill="auto"/>
            <w:noWrap/>
            <w:vAlign w:val="bottom"/>
            <w:hideMark/>
          </w:tcPr>
          <w:p w14:paraId="32D1A793" w14:textId="77777777" w:rsidR="00273775" w:rsidRPr="008D2522" w:rsidRDefault="00273775" w:rsidP="00055CFC">
            <w:pPr>
              <w:spacing w:before="0" w:after="0"/>
              <w:jc w:val="center"/>
              <w:rPr>
                <w:rFonts w:eastAsia="Times New Roman" w:cs="Arial"/>
                <w:b/>
                <w:bCs/>
                <w:color w:val="000000"/>
                <w:sz w:val="22"/>
                <w:lang w:eastAsia="es-CR"/>
              </w:rPr>
            </w:pPr>
            <w:r w:rsidRPr="008D2522">
              <w:rPr>
                <w:rFonts w:eastAsia="Times New Roman" w:cs="Arial"/>
                <w:b/>
                <w:bCs/>
                <w:color w:val="000000"/>
                <w:sz w:val="22"/>
                <w:lang w:eastAsia="es-CR"/>
              </w:rPr>
              <w:t>179</w:t>
            </w:r>
          </w:p>
        </w:tc>
      </w:tr>
      <w:tr w:rsidR="00273775" w:rsidRPr="008D2522" w14:paraId="3C25A5DB" w14:textId="77777777" w:rsidTr="00E57630">
        <w:trPr>
          <w:trHeight w:val="280"/>
        </w:trPr>
        <w:tc>
          <w:tcPr>
            <w:tcW w:w="927" w:type="pct"/>
            <w:tcBorders>
              <w:top w:val="nil"/>
              <w:left w:val="single" w:sz="4" w:space="0" w:color="auto"/>
              <w:bottom w:val="single" w:sz="4" w:space="0" w:color="auto"/>
              <w:right w:val="nil"/>
            </w:tcBorders>
            <w:shd w:val="clear" w:color="auto" w:fill="D9D9D9"/>
            <w:noWrap/>
            <w:vAlign w:val="center"/>
            <w:hideMark/>
          </w:tcPr>
          <w:p w14:paraId="6BE0FA43" w14:textId="77777777" w:rsidR="00273775" w:rsidRPr="008D2522" w:rsidRDefault="00273775" w:rsidP="00055CFC">
            <w:pPr>
              <w:spacing w:before="0" w:after="0"/>
              <w:jc w:val="left"/>
              <w:rPr>
                <w:rFonts w:eastAsia="Times New Roman" w:cs="Arial"/>
                <w:b/>
                <w:bCs/>
                <w:color w:val="000000"/>
                <w:sz w:val="22"/>
                <w:lang w:eastAsia="es-CR"/>
              </w:rPr>
            </w:pPr>
            <w:r w:rsidRPr="008D2522">
              <w:rPr>
                <w:rFonts w:eastAsia="Times New Roman" w:cs="Arial"/>
                <w:b/>
                <w:bCs/>
                <w:color w:val="000000"/>
                <w:sz w:val="22"/>
                <w:lang w:eastAsia="es-CR"/>
              </w:rPr>
              <w:t>Total</w:t>
            </w:r>
          </w:p>
        </w:tc>
        <w:tc>
          <w:tcPr>
            <w:tcW w:w="667" w:type="pct"/>
            <w:tcBorders>
              <w:top w:val="nil"/>
              <w:left w:val="single" w:sz="4" w:space="0" w:color="auto"/>
              <w:bottom w:val="single" w:sz="4" w:space="0" w:color="auto"/>
              <w:right w:val="single" w:sz="4" w:space="0" w:color="auto"/>
            </w:tcBorders>
            <w:shd w:val="clear" w:color="auto" w:fill="D9D9D9"/>
            <w:noWrap/>
            <w:vAlign w:val="bottom"/>
            <w:hideMark/>
          </w:tcPr>
          <w:p w14:paraId="30EDD14E"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615</w:t>
            </w:r>
          </w:p>
        </w:tc>
        <w:tc>
          <w:tcPr>
            <w:tcW w:w="769" w:type="pct"/>
            <w:tcBorders>
              <w:top w:val="nil"/>
              <w:left w:val="nil"/>
              <w:bottom w:val="single" w:sz="4" w:space="0" w:color="auto"/>
              <w:right w:val="single" w:sz="4" w:space="0" w:color="auto"/>
            </w:tcBorders>
            <w:shd w:val="clear" w:color="auto" w:fill="D9D9D9"/>
            <w:noWrap/>
            <w:vAlign w:val="bottom"/>
            <w:hideMark/>
          </w:tcPr>
          <w:p w14:paraId="2E8365A5"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300</w:t>
            </w:r>
          </w:p>
        </w:tc>
        <w:tc>
          <w:tcPr>
            <w:tcW w:w="657" w:type="pct"/>
            <w:tcBorders>
              <w:top w:val="nil"/>
              <w:left w:val="nil"/>
              <w:bottom w:val="single" w:sz="4" w:space="0" w:color="auto"/>
              <w:right w:val="single" w:sz="4" w:space="0" w:color="auto"/>
            </w:tcBorders>
            <w:shd w:val="clear" w:color="auto" w:fill="D9D9D9"/>
            <w:noWrap/>
            <w:vAlign w:val="bottom"/>
            <w:hideMark/>
          </w:tcPr>
          <w:p w14:paraId="01DF2949"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196</w:t>
            </w:r>
          </w:p>
        </w:tc>
        <w:tc>
          <w:tcPr>
            <w:tcW w:w="955" w:type="pct"/>
            <w:tcBorders>
              <w:top w:val="nil"/>
              <w:left w:val="nil"/>
              <w:bottom w:val="single" w:sz="4" w:space="0" w:color="auto"/>
              <w:right w:val="single" w:sz="4" w:space="0" w:color="auto"/>
            </w:tcBorders>
            <w:shd w:val="clear" w:color="auto" w:fill="D9D9D9"/>
            <w:noWrap/>
            <w:vAlign w:val="bottom"/>
            <w:hideMark/>
          </w:tcPr>
          <w:p w14:paraId="693F8DCA"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126</w:t>
            </w:r>
          </w:p>
        </w:tc>
        <w:tc>
          <w:tcPr>
            <w:tcW w:w="551" w:type="pct"/>
            <w:tcBorders>
              <w:top w:val="nil"/>
              <w:left w:val="nil"/>
              <w:bottom w:val="single" w:sz="4" w:space="0" w:color="auto"/>
              <w:right w:val="single" w:sz="4" w:space="0" w:color="auto"/>
            </w:tcBorders>
            <w:shd w:val="clear" w:color="auto" w:fill="D9D9D9"/>
            <w:noWrap/>
            <w:vAlign w:val="bottom"/>
            <w:hideMark/>
          </w:tcPr>
          <w:p w14:paraId="462F6809" w14:textId="77777777" w:rsidR="00273775" w:rsidRPr="008D2522" w:rsidRDefault="00273775" w:rsidP="00055CFC">
            <w:pPr>
              <w:spacing w:before="0" w:after="0"/>
              <w:jc w:val="center"/>
              <w:rPr>
                <w:rFonts w:eastAsia="Times New Roman" w:cs="Arial"/>
                <w:color w:val="000000"/>
                <w:sz w:val="22"/>
                <w:lang w:eastAsia="es-CR"/>
              </w:rPr>
            </w:pPr>
            <w:r w:rsidRPr="008D2522">
              <w:rPr>
                <w:rFonts w:eastAsia="Times New Roman" w:cs="Arial"/>
                <w:color w:val="000000"/>
                <w:sz w:val="22"/>
                <w:lang w:eastAsia="es-CR"/>
              </w:rPr>
              <w:t>283</w:t>
            </w:r>
          </w:p>
        </w:tc>
        <w:tc>
          <w:tcPr>
            <w:tcW w:w="473" w:type="pct"/>
            <w:tcBorders>
              <w:top w:val="nil"/>
              <w:left w:val="nil"/>
              <w:bottom w:val="single" w:sz="4" w:space="0" w:color="auto"/>
              <w:right w:val="single" w:sz="4" w:space="0" w:color="auto"/>
            </w:tcBorders>
            <w:shd w:val="clear" w:color="auto" w:fill="D9D9D9"/>
            <w:noWrap/>
            <w:vAlign w:val="bottom"/>
            <w:hideMark/>
          </w:tcPr>
          <w:p w14:paraId="23B6F019" w14:textId="77777777" w:rsidR="00273775" w:rsidRPr="008D2522" w:rsidRDefault="00273775" w:rsidP="00055CFC">
            <w:pPr>
              <w:spacing w:before="0" w:after="0"/>
              <w:jc w:val="center"/>
              <w:rPr>
                <w:rFonts w:eastAsia="Times New Roman" w:cs="Arial"/>
                <w:b/>
                <w:bCs/>
                <w:color w:val="000000"/>
                <w:sz w:val="22"/>
                <w:lang w:eastAsia="es-CR"/>
              </w:rPr>
            </w:pPr>
            <w:r w:rsidRPr="008D2522">
              <w:rPr>
                <w:rFonts w:eastAsia="Times New Roman" w:cs="Arial"/>
                <w:b/>
                <w:bCs/>
                <w:color w:val="000000"/>
                <w:sz w:val="22"/>
                <w:lang w:eastAsia="es-CR"/>
              </w:rPr>
              <w:t>1520</w:t>
            </w:r>
          </w:p>
        </w:tc>
      </w:tr>
    </w:tbl>
    <w:p w14:paraId="0818B938" w14:textId="77777777" w:rsidR="008932D7" w:rsidRPr="008D2522" w:rsidRDefault="008932D7" w:rsidP="003848C2">
      <w:pPr>
        <w:spacing w:after="0"/>
        <w:rPr>
          <w:rFonts w:eastAsia="Arial" w:cs="Arial"/>
          <w:sz w:val="20"/>
          <w:szCs w:val="20"/>
        </w:rPr>
      </w:pPr>
      <w:r w:rsidRPr="008D2522">
        <w:rPr>
          <w:rFonts w:eastAsia="Arial" w:cs="Arial"/>
          <w:b/>
          <w:bCs/>
          <w:sz w:val="20"/>
          <w:szCs w:val="20"/>
        </w:rPr>
        <w:t>Fuente:</w:t>
      </w:r>
      <w:r w:rsidRPr="008D2522">
        <w:rPr>
          <w:rFonts w:eastAsia="Arial" w:cs="Arial"/>
          <w:sz w:val="20"/>
          <w:szCs w:val="20"/>
        </w:rPr>
        <w:t xml:space="preserve"> Subproceso de Modernización Institucional, de la Dirección de Planificación con datos facilitados por la Administración de la Defensa Pública.</w:t>
      </w:r>
    </w:p>
    <w:p w14:paraId="20E54688" w14:textId="0616837C" w:rsidR="008932D7" w:rsidRPr="00163514" w:rsidRDefault="008932D7" w:rsidP="00163514">
      <w:pPr>
        <w:spacing w:line="240" w:lineRule="auto"/>
        <w:rPr>
          <w:rFonts w:ascii="Book Antiqua" w:hAnsi="Book Antiqua"/>
        </w:rPr>
      </w:pPr>
      <w:r w:rsidRPr="00163514">
        <w:rPr>
          <w:rFonts w:ascii="Book Antiqua" w:hAnsi="Book Antiqua"/>
        </w:rPr>
        <w:t xml:space="preserve">Considerando la información mostrada en la tabla anterior, </w:t>
      </w:r>
      <w:r w:rsidR="00355B40" w:rsidRPr="00163514">
        <w:rPr>
          <w:rFonts w:ascii="Book Antiqua" w:hAnsi="Book Antiqua"/>
        </w:rPr>
        <w:t xml:space="preserve">con la competencia de la Defensa Pública antes de la promulgación de la Ley 9593 de Acceso a la Justicia a Pueblos Indígenas; </w:t>
      </w:r>
      <w:r w:rsidRPr="00163514">
        <w:rPr>
          <w:rFonts w:ascii="Book Antiqua" w:hAnsi="Book Antiqua"/>
        </w:rPr>
        <w:t xml:space="preserve">la Defensa Pública de Bribri es la que mantiene, al cierre de setiembre de 2019, la mayor cantidad de procesos activos (493 expedientes), seguido de la Defensa Pública de Buenos Aires (450 expedientes). Estas dos oficinas mantienen el 62% del total de causas activas a nivel nacional. </w:t>
      </w:r>
    </w:p>
    <w:p w14:paraId="1BA1F86B" w14:textId="77777777" w:rsidR="00355B40" w:rsidRPr="00163514" w:rsidRDefault="007544E5" w:rsidP="00163514">
      <w:pPr>
        <w:spacing w:line="240" w:lineRule="auto"/>
        <w:rPr>
          <w:rFonts w:ascii="Book Antiqua" w:hAnsi="Book Antiqua"/>
        </w:rPr>
      </w:pPr>
      <w:r w:rsidRPr="00163514">
        <w:rPr>
          <w:rFonts w:ascii="Book Antiqua" w:hAnsi="Book Antiqua"/>
        </w:rPr>
        <w:t>Es importante resaltar que, la Defensa Pública de San José mantiene, al cierre de setiembre de 2019, un total de 66 asuntos activos, donde 22 son de materia agraria, 10 de materia penal, 2 de Pensiones Alimentarias, 1 de Penalización de Violencia contra Mujer y hay 31 expedientes que se encuentran contabilizados en “Demás materias”. Importante mencionar que esas 31 causas son de Ejecución de la Pena (13), Laboral (9), Ejecución de la Pena en Penal Juvenil (7)</w:t>
      </w:r>
      <w:r w:rsidR="00AC17D9" w:rsidRPr="00163514">
        <w:rPr>
          <w:rFonts w:ascii="Book Antiqua" w:hAnsi="Book Antiqua"/>
        </w:rPr>
        <w:t xml:space="preserve"> y</w:t>
      </w:r>
      <w:r w:rsidRPr="00163514">
        <w:rPr>
          <w:rFonts w:ascii="Book Antiqua" w:hAnsi="Book Antiqua"/>
        </w:rPr>
        <w:t xml:space="preserve"> Revisión (2)</w:t>
      </w:r>
      <w:r w:rsidR="00AC17D9" w:rsidRPr="00163514">
        <w:rPr>
          <w:rFonts w:ascii="Book Antiqua" w:hAnsi="Book Antiqua"/>
        </w:rPr>
        <w:t>.</w:t>
      </w:r>
    </w:p>
    <w:p w14:paraId="25AAB906" w14:textId="77777777" w:rsidR="00D57693" w:rsidRPr="00163514" w:rsidRDefault="00D57693" w:rsidP="00163514">
      <w:pPr>
        <w:spacing w:line="240" w:lineRule="auto"/>
        <w:rPr>
          <w:rFonts w:ascii="Book Antiqua" w:hAnsi="Book Antiqua"/>
        </w:rPr>
      </w:pPr>
    </w:p>
    <w:p w14:paraId="26939847" w14:textId="6C2C5E36" w:rsidR="00355B40" w:rsidRPr="00163514" w:rsidRDefault="00B81182" w:rsidP="00163514">
      <w:pPr>
        <w:spacing w:line="240" w:lineRule="auto"/>
        <w:rPr>
          <w:rFonts w:ascii="Book Antiqua" w:hAnsi="Book Antiqua"/>
        </w:rPr>
      </w:pPr>
      <w:r w:rsidRPr="00163514">
        <w:rPr>
          <w:rFonts w:ascii="Book Antiqua" w:hAnsi="Book Antiqua"/>
        </w:rPr>
        <w:t xml:space="preserve">Finalmente, es importante hacer mención que, </w:t>
      </w:r>
      <w:r w:rsidR="00355B40" w:rsidRPr="00163514">
        <w:rPr>
          <w:rFonts w:ascii="Book Antiqua" w:hAnsi="Book Antiqua"/>
        </w:rPr>
        <w:t xml:space="preserve">como se explicó anteriormente, la Administración de la Defensa Pública contabiliza dentro de sus datos estadísticos los asuntos en los que se representan personas usuarias indígenas producto de la entrada en vigencia de la Ley 9593 de Acceso a la Justicia a Pueblos Indígenas y por tal, en la siguiente tabla se muestra </w:t>
      </w:r>
      <w:r w:rsidR="00D959C7" w:rsidRPr="00163514">
        <w:rPr>
          <w:rFonts w:ascii="Book Antiqua" w:hAnsi="Book Antiqua"/>
        </w:rPr>
        <w:t>la cantidad de personas indígenas representadas en razón de la ampliación de la competencia de la Defensa Pública, al cierre del mes de diciembre de 2019.</w:t>
      </w:r>
    </w:p>
    <w:p w14:paraId="29F4CF72" w14:textId="737BFBE3" w:rsidR="003C2EF9" w:rsidRPr="008D2522" w:rsidRDefault="003C2EF9" w:rsidP="00055CFC">
      <w:pPr>
        <w:pStyle w:val="Descripcin"/>
        <w:keepNext/>
        <w:spacing w:before="0" w:after="0"/>
        <w:jc w:val="center"/>
        <w:rPr>
          <w:rFonts w:cs="Arial"/>
          <w:sz w:val="24"/>
          <w:szCs w:val="24"/>
        </w:rPr>
      </w:pPr>
      <w:r w:rsidRPr="008D2522">
        <w:rPr>
          <w:rFonts w:cs="Arial"/>
          <w:sz w:val="24"/>
          <w:szCs w:val="24"/>
        </w:rPr>
        <w:t xml:space="preserve">Tabla </w:t>
      </w:r>
      <w:r w:rsidRPr="008D2522">
        <w:rPr>
          <w:rFonts w:cs="Arial"/>
          <w:sz w:val="24"/>
          <w:szCs w:val="24"/>
        </w:rPr>
        <w:fldChar w:fldCharType="begin"/>
      </w:r>
      <w:r w:rsidRPr="008D2522">
        <w:rPr>
          <w:rFonts w:cs="Arial"/>
          <w:sz w:val="24"/>
          <w:szCs w:val="24"/>
        </w:rPr>
        <w:instrText xml:space="preserve"> SEQ Tabla \* ARABIC </w:instrText>
      </w:r>
      <w:r w:rsidRPr="008D2522">
        <w:rPr>
          <w:rFonts w:cs="Arial"/>
          <w:sz w:val="24"/>
          <w:szCs w:val="24"/>
        </w:rPr>
        <w:fldChar w:fldCharType="separate"/>
      </w:r>
      <w:r w:rsidR="005B5D07">
        <w:rPr>
          <w:rFonts w:cs="Arial"/>
          <w:noProof/>
          <w:sz w:val="24"/>
          <w:szCs w:val="24"/>
        </w:rPr>
        <w:t>4</w:t>
      </w:r>
      <w:r w:rsidRPr="008D2522">
        <w:rPr>
          <w:rFonts w:cs="Arial"/>
          <w:sz w:val="24"/>
          <w:szCs w:val="24"/>
        </w:rPr>
        <w:fldChar w:fldCharType="end"/>
      </w:r>
      <w:r w:rsidRPr="008D2522">
        <w:rPr>
          <w:rFonts w:cs="Arial"/>
          <w:sz w:val="24"/>
          <w:szCs w:val="24"/>
        </w:rPr>
        <w:t xml:space="preserve"> Personas Indígenas que mantienen procesos en trámite en la Defensa Pública en razón del cumplimiento de la Ley 9593, al 31 de diciembre 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8"/>
        <w:gridCol w:w="1186"/>
        <w:gridCol w:w="922"/>
        <w:gridCol w:w="1450"/>
        <w:gridCol w:w="1185"/>
        <w:gridCol w:w="922"/>
        <w:gridCol w:w="660"/>
        <w:gridCol w:w="659"/>
        <w:gridCol w:w="726"/>
      </w:tblGrid>
      <w:tr w:rsidR="003C2EF9" w:rsidRPr="008D2522" w14:paraId="1D554171" w14:textId="77777777" w:rsidTr="0059712E">
        <w:trPr>
          <w:trHeight w:val="630"/>
        </w:trPr>
        <w:tc>
          <w:tcPr>
            <w:tcW w:w="634" w:type="pct"/>
            <w:shd w:val="clear" w:color="auto" w:fill="1F3864"/>
            <w:vAlign w:val="center"/>
            <w:hideMark/>
          </w:tcPr>
          <w:p w14:paraId="672F835D" w14:textId="77777777" w:rsidR="00B81182" w:rsidRPr="008D2522" w:rsidRDefault="00B81182" w:rsidP="00055CFC">
            <w:pPr>
              <w:spacing w:before="0" w:after="0"/>
              <w:jc w:val="center"/>
              <w:rPr>
                <w:rFonts w:eastAsia="Times New Roman" w:cs="Arial"/>
                <w:b/>
                <w:bCs/>
                <w:color w:val="FFFFFF"/>
                <w:sz w:val="21"/>
                <w:szCs w:val="21"/>
                <w:lang w:eastAsia="es-CR"/>
              </w:rPr>
            </w:pPr>
            <w:r w:rsidRPr="008D2522">
              <w:rPr>
                <w:rFonts w:eastAsia="Times New Roman" w:cs="Arial"/>
                <w:b/>
                <w:bCs/>
                <w:color w:val="FFFFFF"/>
                <w:sz w:val="21"/>
                <w:szCs w:val="21"/>
                <w:lang w:eastAsia="es-CR"/>
              </w:rPr>
              <w:t>Oficina</w:t>
            </w:r>
          </w:p>
        </w:tc>
        <w:tc>
          <w:tcPr>
            <w:tcW w:w="672" w:type="pct"/>
            <w:shd w:val="clear" w:color="auto" w:fill="1F3864"/>
            <w:vAlign w:val="center"/>
            <w:hideMark/>
          </w:tcPr>
          <w:p w14:paraId="24CF7CA6" w14:textId="04D61F47" w:rsidR="00B81182" w:rsidRPr="008D2522" w:rsidRDefault="00B81182" w:rsidP="00055CFC">
            <w:pPr>
              <w:spacing w:before="0" w:after="0"/>
              <w:jc w:val="center"/>
              <w:rPr>
                <w:rFonts w:eastAsia="Times New Roman" w:cs="Arial"/>
                <w:b/>
                <w:bCs/>
                <w:color w:val="FFFFFF"/>
                <w:sz w:val="21"/>
                <w:szCs w:val="21"/>
                <w:lang w:eastAsia="es-CR"/>
              </w:rPr>
            </w:pPr>
            <w:r w:rsidRPr="008D2522">
              <w:rPr>
                <w:rFonts w:eastAsia="Times New Roman" w:cs="Arial"/>
                <w:b/>
                <w:bCs/>
                <w:color w:val="FFFFFF"/>
                <w:sz w:val="21"/>
                <w:szCs w:val="21"/>
                <w:lang w:eastAsia="es-CR"/>
              </w:rPr>
              <w:t xml:space="preserve">Pensiones </w:t>
            </w:r>
            <w:proofErr w:type="spellStart"/>
            <w:r w:rsidRPr="008D2522">
              <w:rPr>
                <w:rFonts w:eastAsia="Times New Roman" w:cs="Arial"/>
                <w:b/>
                <w:bCs/>
                <w:color w:val="FFFFFF"/>
                <w:sz w:val="21"/>
                <w:szCs w:val="21"/>
                <w:lang w:eastAsia="es-CR"/>
              </w:rPr>
              <w:t>Alimen-tarias</w:t>
            </w:r>
            <w:proofErr w:type="spellEnd"/>
          </w:p>
        </w:tc>
        <w:tc>
          <w:tcPr>
            <w:tcW w:w="522" w:type="pct"/>
            <w:shd w:val="clear" w:color="auto" w:fill="1F3864"/>
            <w:vAlign w:val="center"/>
            <w:hideMark/>
          </w:tcPr>
          <w:p w14:paraId="46EDBB6E" w14:textId="77777777" w:rsidR="00B81182" w:rsidRPr="008D2522" w:rsidRDefault="00B81182" w:rsidP="00055CFC">
            <w:pPr>
              <w:spacing w:before="0" w:after="0"/>
              <w:jc w:val="center"/>
              <w:rPr>
                <w:rFonts w:eastAsia="Times New Roman" w:cs="Arial"/>
                <w:b/>
                <w:bCs/>
                <w:color w:val="FFFFFF"/>
                <w:sz w:val="21"/>
                <w:szCs w:val="21"/>
                <w:lang w:eastAsia="es-CR"/>
              </w:rPr>
            </w:pPr>
            <w:r w:rsidRPr="008D2522">
              <w:rPr>
                <w:rFonts w:eastAsia="Times New Roman" w:cs="Arial"/>
                <w:b/>
                <w:bCs/>
                <w:color w:val="FFFFFF"/>
                <w:sz w:val="21"/>
                <w:szCs w:val="21"/>
                <w:lang w:eastAsia="es-CR"/>
              </w:rPr>
              <w:t>Familia</w:t>
            </w:r>
          </w:p>
        </w:tc>
        <w:tc>
          <w:tcPr>
            <w:tcW w:w="821" w:type="pct"/>
            <w:shd w:val="clear" w:color="auto" w:fill="1F3864"/>
            <w:vAlign w:val="center"/>
            <w:hideMark/>
          </w:tcPr>
          <w:p w14:paraId="293C3D9C" w14:textId="77777777" w:rsidR="00B81182" w:rsidRPr="008D2522" w:rsidRDefault="00B81182" w:rsidP="00055CFC">
            <w:pPr>
              <w:spacing w:before="0" w:after="0"/>
              <w:jc w:val="center"/>
              <w:rPr>
                <w:rFonts w:eastAsia="Times New Roman" w:cs="Arial"/>
                <w:b/>
                <w:bCs/>
                <w:color w:val="FFFFFF"/>
                <w:sz w:val="21"/>
                <w:szCs w:val="21"/>
                <w:lang w:eastAsia="es-CR"/>
              </w:rPr>
            </w:pPr>
            <w:r w:rsidRPr="008D2522">
              <w:rPr>
                <w:rFonts w:eastAsia="Times New Roman" w:cs="Arial"/>
                <w:b/>
                <w:bCs/>
                <w:color w:val="FFFFFF"/>
                <w:sz w:val="21"/>
                <w:szCs w:val="21"/>
                <w:lang w:eastAsia="es-CR"/>
              </w:rPr>
              <w:t>Contencioso Administrativo</w:t>
            </w:r>
          </w:p>
        </w:tc>
        <w:tc>
          <w:tcPr>
            <w:tcW w:w="671" w:type="pct"/>
            <w:shd w:val="clear" w:color="auto" w:fill="1F3864"/>
            <w:vAlign w:val="center"/>
            <w:hideMark/>
          </w:tcPr>
          <w:p w14:paraId="07144A90" w14:textId="77777777" w:rsidR="00B81182" w:rsidRPr="008D2522" w:rsidRDefault="00B81182" w:rsidP="00055CFC">
            <w:pPr>
              <w:spacing w:before="0" w:after="0"/>
              <w:jc w:val="center"/>
              <w:rPr>
                <w:rFonts w:eastAsia="Times New Roman" w:cs="Arial"/>
                <w:b/>
                <w:bCs/>
                <w:color w:val="FFFFFF"/>
                <w:sz w:val="21"/>
                <w:szCs w:val="21"/>
                <w:lang w:eastAsia="es-CR"/>
              </w:rPr>
            </w:pPr>
            <w:r w:rsidRPr="008D2522">
              <w:rPr>
                <w:rFonts w:eastAsia="Times New Roman" w:cs="Arial"/>
                <w:b/>
                <w:bCs/>
                <w:color w:val="FFFFFF"/>
                <w:sz w:val="21"/>
                <w:szCs w:val="21"/>
                <w:lang w:eastAsia="es-CR"/>
              </w:rPr>
              <w:t>Violencia Doméstica</w:t>
            </w:r>
          </w:p>
        </w:tc>
        <w:tc>
          <w:tcPr>
            <w:tcW w:w="522" w:type="pct"/>
            <w:shd w:val="clear" w:color="auto" w:fill="1F3864"/>
            <w:vAlign w:val="center"/>
            <w:hideMark/>
          </w:tcPr>
          <w:p w14:paraId="307D3554" w14:textId="177C6EEF" w:rsidR="00B81182" w:rsidRPr="008D2522" w:rsidRDefault="00B81182" w:rsidP="00055CFC">
            <w:pPr>
              <w:spacing w:before="0" w:after="0"/>
              <w:jc w:val="center"/>
              <w:rPr>
                <w:rFonts w:eastAsia="Times New Roman" w:cs="Arial"/>
                <w:b/>
                <w:bCs/>
                <w:color w:val="FFFFFF"/>
                <w:sz w:val="21"/>
                <w:szCs w:val="21"/>
                <w:lang w:eastAsia="es-CR"/>
              </w:rPr>
            </w:pPr>
            <w:r w:rsidRPr="008D2522">
              <w:rPr>
                <w:rFonts w:eastAsia="Times New Roman" w:cs="Arial"/>
                <w:b/>
                <w:bCs/>
                <w:color w:val="FFFFFF"/>
                <w:sz w:val="21"/>
                <w:szCs w:val="21"/>
                <w:lang w:eastAsia="es-CR"/>
              </w:rPr>
              <w:t>Contravencional</w:t>
            </w:r>
          </w:p>
        </w:tc>
        <w:tc>
          <w:tcPr>
            <w:tcW w:w="374" w:type="pct"/>
            <w:shd w:val="clear" w:color="auto" w:fill="1F3864"/>
            <w:vAlign w:val="center"/>
            <w:hideMark/>
          </w:tcPr>
          <w:p w14:paraId="4E73A823" w14:textId="77777777" w:rsidR="00B81182" w:rsidRPr="008D2522" w:rsidRDefault="00B81182" w:rsidP="00055CFC">
            <w:pPr>
              <w:spacing w:before="0" w:after="0"/>
              <w:jc w:val="center"/>
              <w:rPr>
                <w:rFonts w:eastAsia="Times New Roman" w:cs="Arial"/>
                <w:b/>
                <w:bCs/>
                <w:color w:val="FFFFFF"/>
                <w:sz w:val="21"/>
                <w:szCs w:val="21"/>
                <w:lang w:eastAsia="es-CR"/>
              </w:rPr>
            </w:pPr>
            <w:r w:rsidRPr="008D2522">
              <w:rPr>
                <w:rFonts w:eastAsia="Times New Roman" w:cs="Arial"/>
                <w:b/>
                <w:bCs/>
                <w:color w:val="FFFFFF"/>
                <w:sz w:val="21"/>
                <w:szCs w:val="21"/>
                <w:lang w:eastAsia="es-CR"/>
              </w:rPr>
              <w:t>Civil</w:t>
            </w:r>
          </w:p>
        </w:tc>
        <w:tc>
          <w:tcPr>
            <w:tcW w:w="373" w:type="pct"/>
            <w:shd w:val="clear" w:color="auto" w:fill="1F3864"/>
            <w:vAlign w:val="center"/>
            <w:hideMark/>
          </w:tcPr>
          <w:p w14:paraId="460631A3" w14:textId="40004125" w:rsidR="00B81182" w:rsidRPr="008D2522" w:rsidRDefault="00B81182" w:rsidP="00055CFC">
            <w:pPr>
              <w:spacing w:before="0" w:after="0"/>
              <w:jc w:val="center"/>
              <w:rPr>
                <w:rFonts w:eastAsia="Times New Roman" w:cs="Arial"/>
                <w:b/>
                <w:bCs/>
                <w:color w:val="FFFFFF"/>
                <w:sz w:val="21"/>
                <w:szCs w:val="21"/>
                <w:lang w:eastAsia="es-CR"/>
              </w:rPr>
            </w:pPr>
            <w:r w:rsidRPr="008D2522">
              <w:rPr>
                <w:rFonts w:eastAsia="Times New Roman" w:cs="Arial"/>
                <w:b/>
                <w:bCs/>
                <w:color w:val="FFFFFF"/>
                <w:sz w:val="21"/>
                <w:szCs w:val="21"/>
                <w:lang w:eastAsia="es-CR"/>
              </w:rPr>
              <w:t>Otro</w:t>
            </w:r>
          </w:p>
        </w:tc>
        <w:tc>
          <w:tcPr>
            <w:tcW w:w="411" w:type="pct"/>
            <w:shd w:val="clear" w:color="auto" w:fill="1F3864"/>
            <w:vAlign w:val="center"/>
            <w:hideMark/>
          </w:tcPr>
          <w:p w14:paraId="76AB1BC5" w14:textId="77777777" w:rsidR="00B81182" w:rsidRPr="008D2522" w:rsidRDefault="00B81182" w:rsidP="00055CFC">
            <w:pPr>
              <w:spacing w:before="0" w:after="0"/>
              <w:jc w:val="center"/>
              <w:rPr>
                <w:rFonts w:eastAsia="Times New Roman" w:cs="Arial"/>
                <w:b/>
                <w:bCs/>
                <w:color w:val="FFFFFF"/>
                <w:sz w:val="21"/>
                <w:szCs w:val="21"/>
                <w:lang w:eastAsia="es-CR"/>
              </w:rPr>
            </w:pPr>
            <w:r w:rsidRPr="008D2522">
              <w:rPr>
                <w:rFonts w:eastAsia="Times New Roman" w:cs="Arial"/>
                <w:b/>
                <w:bCs/>
                <w:color w:val="FFFFFF"/>
                <w:sz w:val="21"/>
                <w:szCs w:val="21"/>
                <w:lang w:eastAsia="es-CR"/>
              </w:rPr>
              <w:t>Total</w:t>
            </w:r>
          </w:p>
        </w:tc>
      </w:tr>
      <w:tr w:rsidR="00B81182" w:rsidRPr="008D2522" w14:paraId="2E2E279B" w14:textId="77777777" w:rsidTr="003C2EF9">
        <w:trPr>
          <w:trHeight w:val="370"/>
        </w:trPr>
        <w:tc>
          <w:tcPr>
            <w:tcW w:w="634" w:type="pct"/>
            <w:shd w:val="clear" w:color="auto" w:fill="auto"/>
            <w:noWrap/>
            <w:vAlign w:val="bottom"/>
            <w:hideMark/>
          </w:tcPr>
          <w:p w14:paraId="6ABC3CAD" w14:textId="380BB131" w:rsidR="00B81182" w:rsidRPr="008D2522" w:rsidRDefault="00B81182" w:rsidP="00055CFC">
            <w:pPr>
              <w:spacing w:before="0" w:after="0"/>
              <w:jc w:val="left"/>
              <w:rPr>
                <w:rFonts w:eastAsia="Times New Roman" w:cs="Arial"/>
                <w:color w:val="000000"/>
                <w:szCs w:val="24"/>
                <w:lang w:eastAsia="es-CR"/>
              </w:rPr>
            </w:pPr>
            <w:r w:rsidRPr="008D2522">
              <w:rPr>
                <w:rFonts w:eastAsia="Times New Roman" w:cs="Arial"/>
                <w:color w:val="000000"/>
                <w:szCs w:val="24"/>
                <w:lang w:eastAsia="es-CR"/>
              </w:rPr>
              <w:t xml:space="preserve">Buenos Aires </w:t>
            </w:r>
            <w:r w:rsidRPr="008D2522">
              <w:rPr>
                <w:rFonts w:eastAsia="Times New Roman" w:cs="Arial"/>
                <w:color w:val="000000"/>
                <w:szCs w:val="24"/>
                <w:vertAlign w:val="superscript"/>
                <w:lang w:eastAsia="es-CR"/>
              </w:rPr>
              <w:t>(2)</w:t>
            </w:r>
          </w:p>
        </w:tc>
        <w:tc>
          <w:tcPr>
            <w:tcW w:w="672" w:type="pct"/>
            <w:shd w:val="clear" w:color="auto" w:fill="auto"/>
            <w:noWrap/>
            <w:vAlign w:val="center"/>
            <w:hideMark/>
          </w:tcPr>
          <w:p w14:paraId="5270B4A1"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23</w:t>
            </w:r>
          </w:p>
        </w:tc>
        <w:tc>
          <w:tcPr>
            <w:tcW w:w="522" w:type="pct"/>
            <w:shd w:val="clear" w:color="auto" w:fill="auto"/>
            <w:noWrap/>
            <w:vAlign w:val="center"/>
            <w:hideMark/>
          </w:tcPr>
          <w:p w14:paraId="48CE6106"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32</w:t>
            </w:r>
          </w:p>
        </w:tc>
        <w:tc>
          <w:tcPr>
            <w:tcW w:w="821" w:type="pct"/>
            <w:shd w:val="clear" w:color="auto" w:fill="auto"/>
            <w:noWrap/>
            <w:vAlign w:val="center"/>
            <w:hideMark/>
          </w:tcPr>
          <w:p w14:paraId="306D0988"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1</w:t>
            </w:r>
          </w:p>
        </w:tc>
        <w:tc>
          <w:tcPr>
            <w:tcW w:w="671" w:type="pct"/>
            <w:shd w:val="clear" w:color="auto" w:fill="auto"/>
            <w:noWrap/>
            <w:vAlign w:val="center"/>
            <w:hideMark/>
          </w:tcPr>
          <w:p w14:paraId="621384E4"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5</w:t>
            </w:r>
          </w:p>
        </w:tc>
        <w:tc>
          <w:tcPr>
            <w:tcW w:w="522" w:type="pct"/>
            <w:shd w:val="clear" w:color="auto" w:fill="auto"/>
            <w:noWrap/>
            <w:vAlign w:val="center"/>
            <w:hideMark/>
          </w:tcPr>
          <w:p w14:paraId="21DDFA8B"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2</w:t>
            </w:r>
          </w:p>
        </w:tc>
        <w:tc>
          <w:tcPr>
            <w:tcW w:w="374" w:type="pct"/>
            <w:shd w:val="clear" w:color="auto" w:fill="auto"/>
            <w:noWrap/>
            <w:vAlign w:val="center"/>
            <w:hideMark/>
          </w:tcPr>
          <w:p w14:paraId="5BE1668F" w14:textId="77777777" w:rsidR="00B81182" w:rsidRPr="008D2522" w:rsidRDefault="00B81182" w:rsidP="00055CFC">
            <w:pPr>
              <w:spacing w:before="0" w:after="0"/>
              <w:jc w:val="center"/>
              <w:rPr>
                <w:rFonts w:eastAsia="Times New Roman" w:cs="Arial"/>
                <w:color w:val="000000"/>
                <w:szCs w:val="24"/>
                <w:lang w:eastAsia="es-CR"/>
              </w:rPr>
            </w:pPr>
          </w:p>
        </w:tc>
        <w:tc>
          <w:tcPr>
            <w:tcW w:w="373" w:type="pct"/>
            <w:shd w:val="clear" w:color="auto" w:fill="auto"/>
            <w:noWrap/>
            <w:vAlign w:val="center"/>
            <w:hideMark/>
          </w:tcPr>
          <w:p w14:paraId="71286166"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3</w:t>
            </w:r>
          </w:p>
        </w:tc>
        <w:tc>
          <w:tcPr>
            <w:tcW w:w="411" w:type="pct"/>
            <w:shd w:val="clear" w:color="auto" w:fill="auto"/>
            <w:noWrap/>
            <w:vAlign w:val="center"/>
            <w:hideMark/>
          </w:tcPr>
          <w:p w14:paraId="352D8403" w14:textId="77777777" w:rsidR="00B81182" w:rsidRPr="008D2522" w:rsidRDefault="00B81182" w:rsidP="00055CFC">
            <w:pPr>
              <w:spacing w:before="0" w:after="0"/>
              <w:jc w:val="center"/>
              <w:rPr>
                <w:rFonts w:eastAsia="Times New Roman" w:cs="Arial"/>
                <w:b/>
                <w:bCs/>
                <w:color w:val="000000"/>
                <w:szCs w:val="24"/>
                <w:lang w:eastAsia="es-CR"/>
              </w:rPr>
            </w:pPr>
            <w:r w:rsidRPr="008D2522">
              <w:rPr>
                <w:rFonts w:eastAsia="Times New Roman" w:cs="Arial"/>
                <w:b/>
                <w:bCs/>
                <w:color w:val="000000"/>
                <w:szCs w:val="24"/>
                <w:lang w:eastAsia="es-CR"/>
              </w:rPr>
              <w:t>66</w:t>
            </w:r>
          </w:p>
        </w:tc>
      </w:tr>
      <w:tr w:rsidR="00B81182" w:rsidRPr="008D2522" w14:paraId="22C25261" w14:textId="77777777" w:rsidTr="003C2EF9">
        <w:trPr>
          <w:trHeight w:val="370"/>
        </w:trPr>
        <w:tc>
          <w:tcPr>
            <w:tcW w:w="634" w:type="pct"/>
            <w:shd w:val="clear" w:color="auto" w:fill="auto"/>
            <w:noWrap/>
            <w:vAlign w:val="bottom"/>
            <w:hideMark/>
          </w:tcPr>
          <w:p w14:paraId="3BB227D8" w14:textId="4835754F" w:rsidR="00B81182" w:rsidRPr="008D2522" w:rsidRDefault="00B81182" w:rsidP="00055CFC">
            <w:pPr>
              <w:spacing w:before="0" w:after="0"/>
              <w:jc w:val="left"/>
              <w:rPr>
                <w:rFonts w:eastAsia="Times New Roman" w:cs="Arial"/>
                <w:color w:val="000000"/>
                <w:szCs w:val="24"/>
                <w:lang w:eastAsia="es-CR"/>
              </w:rPr>
            </w:pPr>
            <w:r w:rsidRPr="008D2522">
              <w:rPr>
                <w:rFonts w:eastAsia="Times New Roman" w:cs="Arial"/>
                <w:color w:val="000000"/>
                <w:szCs w:val="24"/>
                <w:lang w:eastAsia="es-CR"/>
              </w:rPr>
              <w:t xml:space="preserve">Bribrí </w:t>
            </w:r>
            <w:r w:rsidRPr="008D2522">
              <w:rPr>
                <w:rFonts w:eastAsia="Times New Roman" w:cs="Arial"/>
                <w:color w:val="000000"/>
                <w:szCs w:val="24"/>
                <w:vertAlign w:val="superscript"/>
                <w:lang w:eastAsia="es-CR"/>
              </w:rPr>
              <w:t>(3)</w:t>
            </w:r>
          </w:p>
        </w:tc>
        <w:tc>
          <w:tcPr>
            <w:tcW w:w="672" w:type="pct"/>
            <w:shd w:val="clear" w:color="auto" w:fill="auto"/>
            <w:noWrap/>
            <w:vAlign w:val="center"/>
            <w:hideMark/>
          </w:tcPr>
          <w:p w14:paraId="3CAF6EB3"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29</w:t>
            </w:r>
          </w:p>
        </w:tc>
        <w:tc>
          <w:tcPr>
            <w:tcW w:w="522" w:type="pct"/>
            <w:shd w:val="clear" w:color="auto" w:fill="auto"/>
            <w:noWrap/>
            <w:vAlign w:val="center"/>
            <w:hideMark/>
          </w:tcPr>
          <w:p w14:paraId="31368BB7"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11</w:t>
            </w:r>
          </w:p>
        </w:tc>
        <w:tc>
          <w:tcPr>
            <w:tcW w:w="821" w:type="pct"/>
            <w:shd w:val="clear" w:color="auto" w:fill="auto"/>
            <w:noWrap/>
            <w:vAlign w:val="center"/>
            <w:hideMark/>
          </w:tcPr>
          <w:p w14:paraId="149AB849" w14:textId="77777777" w:rsidR="00B81182" w:rsidRPr="008D2522" w:rsidRDefault="00B81182" w:rsidP="00055CFC">
            <w:pPr>
              <w:spacing w:before="0" w:after="0"/>
              <w:jc w:val="center"/>
              <w:rPr>
                <w:rFonts w:eastAsia="Times New Roman" w:cs="Arial"/>
                <w:color w:val="000000"/>
                <w:szCs w:val="24"/>
                <w:lang w:eastAsia="es-CR"/>
              </w:rPr>
            </w:pPr>
          </w:p>
        </w:tc>
        <w:tc>
          <w:tcPr>
            <w:tcW w:w="671" w:type="pct"/>
            <w:shd w:val="clear" w:color="auto" w:fill="auto"/>
            <w:noWrap/>
            <w:vAlign w:val="center"/>
            <w:hideMark/>
          </w:tcPr>
          <w:p w14:paraId="0E9C82F8"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6</w:t>
            </w:r>
          </w:p>
        </w:tc>
        <w:tc>
          <w:tcPr>
            <w:tcW w:w="522" w:type="pct"/>
            <w:shd w:val="clear" w:color="auto" w:fill="auto"/>
            <w:noWrap/>
            <w:vAlign w:val="center"/>
            <w:hideMark/>
          </w:tcPr>
          <w:p w14:paraId="25590B49"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3</w:t>
            </w:r>
          </w:p>
        </w:tc>
        <w:tc>
          <w:tcPr>
            <w:tcW w:w="374" w:type="pct"/>
            <w:shd w:val="clear" w:color="auto" w:fill="auto"/>
            <w:noWrap/>
            <w:vAlign w:val="center"/>
            <w:hideMark/>
          </w:tcPr>
          <w:p w14:paraId="6412A2EB"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1</w:t>
            </w:r>
          </w:p>
        </w:tc>
        <w:tc>
          <w:tcPr>
            <w:tcW w:w="373" w:type="pct"/>
            <w:shd w:val="clear" w:color="auto" w:fill="auto"/>
            <w:noWrap/>
            <w:vAlign w:val="center"/>
            <w:hideMark/>
          </w:tcPr>
          <w:p w14:paraId="3A010270" w14:textId="77777777" w:rsidR="00B81182" w:rsidRPr="008D2522" w:rsidRDefault="00B81182" w:rsidP="00055CFC">
            <w:pPr>
              <w:spacing w:before="0" w:after="0"/>
              <w:jc w:val="center"/>
              <w:rPr>
                <w:rFonts w:eastAsia="Times New Roman" w:cs="Arial"/>
                <w:color w:val="000000"/>
                <w:szCs w:val="24"/>
                <w:lang w:eastAsia="es-CR"/>
              </w:rPr>
            </w:pPr>
          </w:p>
        </w:tc>
        <w:tc>
          <w:tcPr>
            <w:tcW w:w="411" w:type="pct"/>
            <w:shd w:val="clear" w:color="auto" w:fill="auto"/>
            <w:noWrap/>
            <w:vAlign w:val="center"/>
            <w:hideMark/>
          </w:tcPr>
          <w:p w14:paraId="53C76032" w14:textId="77777777" w:rsidR="00B81182" w:rsidRPr="008D2522" w:rsidRDefault="00B81182" w:rsidP="00055CFC">
            <w:pPr>
              <w:spacing w:before="0" w:after="0"/>
              <w:jc w:val="center"/>
              <w:rPr>
                <w:rFonts w:eastAsia="Times New Roman" w:cs="Arial"/>
                <w:b/>
                <w:bCs/>
                <w:color w:val="000000"/>
                <w:szCs w:val="24"/>
                <w:lang w:eastAsia="es-CR"/>
              </w:rPr>
            </w:pPr>
            <w:r w:rsidRPr="008D2522">
              <w:rPr>
                <w:rFonts w:eastAsia="Times New Roman" w:cs="Arial"/>
                <w:b/>
                <w:bCs/>
                <w:color w:val="000000"/>
                <w:szCs w:val="24"/>
                <w:lang w:eastAsia="es-CR"/>
              </w:rPr>
              <w:t>50</w:t>
            </w:r>
          </w:p>
        </w:tc>
      </w:tr>
      <w:tr w:rsidR="00B81182" w:rsidRPr="008D2522" w14:paraId="0E572514" w14:textId="77777777" w:rsidTr="003C2EF9">
        <w:trPr>
          <w:trHeight w:val="370"/>
        </w:trPr>
        <w:tc>
          <w:tcPr>
            <w:tcW w:w="634" w:type="pct"/>
            <w:shd w:val="clear" w:color="auto" w:fill="auto"/>
            <w:noWrap/>
            <w:vAlign w:val="bottom"/>
            <w:hideMark/>
          </w:tcPr>
          <w:p w14:paraId="13DF2284" w14:textId="3A057A40" w:rsidR="00B81182" w:rsidRPr="008D2522" w:rsidRDefault="00B81182" w:rsidP="00055CFC">
            <w:pPr>
              <w:spacing w:before="0" w:after="0"/>
              <w:jc w:val="left"/>
              <w:rPr>
                <w:rFonts w:eastAsia="Times New Roman" w:cs="Arial"/>
                <w:color w:val="000000"/>
                <w:szCs w:val="24"/>
                <w:lang w:eastAsia="es-CR"/>
              </w:rPr>
            </w:pPr>
            <w:r w:rsidRPr="008D2522">
              <w:rPr>
                <w:rFonts w:eastAsia="Times New Roman" w:cs="Arial"/>
                <w:color w:val="000000"/>
                <w:szCs w:val="24"/>
                <w:lang w:eastAsia="es-CR"/>
              </w:rPr>
              <w:t>San José</w:t>
            </w:r>
          </w:p>
        </w:tc>
        <w:tc>
          <w:tcPr>
            <w:tcW w:w="672" w:type="pct"/>
            <w:shd w:val="clear" w:color="auto" w:fill="auto"/>
            <w:noWrap/>
            <w:vAlign w:val="center"/>
            <w:hideMark/>
          </w:tcPr>
          <w:p w14:paraId="723BDC2B" w14:textId="77777777" w:rsidR="00B81182" w:rsidRPr="008D2522" w:rsidRDefault="00B81182" w:rsidP="00055CFC">
            <w:pPr>
              <w:spacing w:before="0" w:after="0"/>
              <w:jc w:val="center"/>
              <w:rPr>
                <w:rFonts w:eastAsia="Times New Roman" w:cs="Arial"/>
                <w:color w:val="000000"/>
                <w:szCs w:val="24"/>
                <w:lang w:eastAsia="es-CR"/>
              </w:rPr>
            </w:pPr>
          </w:p>
        </w:tc>
        <w:tc>
          <w:tcPr>
            <w:tcW w:w="522" w:type="pct"/>
            <w:shd w:val="clear" w:color="auto" w:fill="auto"/>
            <w:noWrap/>
            <w:vAlign w:val="center"/>
            <w:hideMark/>
          </w:tcPr>
          <w:p w14:paraId="7D7A62FD" w14:textId="77777777" w:rsidR="00B81182" w:rsidRPr="008D2522" w:rsidRDefault="00B81182" w:rsidP="00055CFC">
            <w:pPr>
              <w:spacing w:before="0" w:after="0"/>
              <w:jc w:val="center"/>
              <w:rPr>
                <w:rFonts w:eastAsia="Times New Roman" w:cs="Arial"/>
                <w:sz w:val="20"/>
                <w:szCs w:val="20"/>
                <w:lang w:eastAsia="es-CR"/>
              </w:rPr>
            </w:pPr>
          </w:p>
        </w:tc>
        <w:tc>
          <w:tcPr>
            <w:tcW w:w="821" w:type="pct"/>
            <w:shd w:val="clear" w:color="auto" w:fill="auto"/>
            <w:noWrap/>
            <w:vAlign w:val="center"/>
            <w:hideMark/>
          </w:tcPr>
          <w:p w14:paraId="5B349066"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38</w:t>
            </w:r>
            <w:r w:rsidRPr="008D2522">
              <w:rPr>
                <w:rFonts w:eastAsia="Times New Roman" w:cs="Arial"/>
                <w:color w:val="000000"/>
                <w:szCs w:val="24"/>
                <w:vertAlign w:val="superscript"/>
                <w:lang w:eastAsia="es-CR"/>
              </w:rPr>
              <w:t>(1)</w:t>
            </w:r>
          </w:p>
        </w:tc>
        <w:tc>
          <w:tcPr>
            <w:tcW w:w="671" w:type="pct"/>
            <w:shd w:val="clear" w:color="auto" w:fill="auto"/>
            <w:noWrap/>
            <w:vAlign w:val="center"/>
            <w:hideMark/>
          </w:tcPr>
          <w:p w14:paraId="0A948913" w14:textId="77777777" w:rsidR="00B81182" w:rsidRPr="008D2522" w:rsidRDefault="00B81182" w:rsidP="00055CFC">
            <w:pPr>
              <w:spacing w:before="0" w:after="0"/>
              <w:jc w:val="center"/>
              <w:rPr>
                <w:rFonts w:eastAsia="Times New Roman" w:cs="Arial"/>
                <w:color w:val="000000"/>
                <w:szCs w:val="24"/>
                <w:lang w:eastAsia="es-CR"/>
              </w:rPr>
            </w:pPr>
          </w:p>
        </w:tc>
        <w:tc>
          <w:tcPr>
            <w:tcW w:w="522" w:type="pct"/>
            <w:shd w:val="clear" w:color="auto" w:fill="auto"/>
            <w:noWrap/>
            <w:vAlign w:val="center"/>
            <w:hideMark/>
          </w:tcPr>
          <w:p w14:paraId="7F5B6694" w14:textId="77777777" w:rsidR="00B81182" w:rsidRPr="008D2522" w:rsidRDefault="00B81182" w:rsidP="00055CFC">
            <w:pPr>
              <w:spacing w:before="0" w:after="0"/>
              <w:jc w:val="center"/>
              <w:rPr>
                <w:rFonts w:eastAsia="Times New Roman" w:cs="Arial"/>
                <w:sz w:val="20"/>
                <w:szCs w:val="20"/>
                <w:lang w:eastAsia="es-CR"/>
              </w:rPr>
            </w:pPr>
          </w:p>
        </w:tc>
        <w:tc>
          <w:tcPr>
            <w:tcW w:w="374" w:type="pct"/>
            <w:shd w:val="clear" w:color="auto" w:fill="auto"/>
            <w:noWrap/>
            <w:vAlign w:val="center"/>
            <w:hideMark/>
          </w:tcPr>
          <w:p w14:paraId="707B434F"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1</w:t>
            </w:r>
          </w:p>
        </w:tc>
        <w:tc>
          <w:tcPr>
            <w:tcW w:w="373" w:type="pct"/>
            <w:shd w:val="clear" w:color="auto" w:fill="auto"/>
            <w:noWrap/>
            <w:vAlign w:val="center"/>
            <w:hideMark/>
          </w:tcPr>
          <w:p w14:paraId="43D21E2B" w14:textId="77777777" w:rsidR="00B81182" w:rsidRPr="008D2522" w:rsidRDefault="00B81182" w:rsidP="00055CFC">
            <w:pPr>
              <w:spacing w:before="0" w:after="0"/>
              <w:jc w:val="center"/>
              <w:rPr>
                <w:rFonts w:eastAsia="Times New Roman" w:cs="Arial"/>
                <w:color w:val="000000"/>
                <w:szCs w:val="24"/>
                <w:lang w:eastAsia="es-CR"/>
              </w:rPr>
            </w:pPr>
          </w:p>
        </w:tc>
        <w:tc>
          <w:tcPr>
            <w:tcW w:w="411" w:type="pct"/>
            <w:shd w:val="clear" w:color="auto" w:fill="auto"/>
            <w:noWrap/>
            <w:vAlign w:val="center"/>
            <w:hideMark/>
          </w:tcPr>
          <w:p w14:paraId="6EDC23D2" w14:textId="77777777" w:rsidR="00B81182" w:rsidRPr="008D2522" w:rsidRDefault="00B81182" w:rsidP="00055CFC">
            <w:pPr>
              <w:spacing w:before="0" w:after="0"/>
              <w:jc w:val="center"/>
              <w:rPr>
                <w:rFonts w:eastAsia="Times New Roman" w:cs="Arial"/>
                <w:b/>
                <w:bCs/>
                <w:color w:val="000000"/>
                <w:szCs w:val="24"/>
                <w:lang w:eastAsia="es-CR"/>
              </w:rPr>
            </w:pPr>
            <w:r w:rsidRPr="008D2522">
              <w:rPr>
                <w:rFonts w:eastAsia="Times New Roman" w:cs="Arial"/>
                <w:b/>
                <w:bCs/>
                <w:color w:val="000000"/>
                <w:szCs w:val="24"/>
                <w:lang w:eastAsia="es-CR"/>
              </w:rPr>
              <w:t>39</w:t>
            </w:r>
          </w:p>
        </w:tc>
      </w:tr>
      <w:tr w:rsidR="00B81182" w:rsidRPr="008D2522" w14:paraId="3FE40EB9" w14:textId="77777777" w:rsidTr="003C2EF9">
        <w:trPr>
          <w:trHeight w:val="310"/>
        </w:trPr>
        <w:tc>
          <w:tcPr>
            <w:tcW w:w="634" w:type="pct"/>
            <w:shd w:val="clear" w:color="auto" w:fill="auto"/>
            <w:noWrap/>
            <w:vAlign w:val="bottom"/>
            <w:hideMark/>
          </w:tcPr>
          <w:p w14:paraId="4036386C" w14:textId="0D63A91C" w:rsidR="00B81182" w:rsidRPr="008D2522" w:rsidRDefault="00B81182" w:rsidP="00055CFC">
            <w:pPr>
              <w:spacing w:before="0" w:after="0"/>
              <w:jc w:val="left"/>
              <w:rPr>
                <w:rFonts w:eastAsia="Times New Roman" w:cs="Arial"/>
                <w:color w:val="000000"/>
                <w:szCs w:val="24"/>
                <w:lang w:eastAsia="es-CR"/>
              </w:rPr>
            </w:pPr>
            <w:r w:rsidRPr="008D2522">
              <w:rPr>
                <w:rFonts w:eastAsia="Times New Roman" w:cs="Arial"/>
                <w:color w:val="000000"/>
                <w:szCs w:val="24"/>
                <w:lang w:eastAsia="es-CR"/>
              </w:rPr>
              <w:t>Turrialba</w:t>
            </w:r>
          </w:p>
        </w:tc>
        <w:tc>
          <w:tcPr>
            <w:tcW w:w="672" w:type="pct"/>
            <w:shd w:val="clear" w:color="auto" w:fill="auto"/>
            <w:noWrap/>
            <w:vAlign w:val="center"/>
            <w:hideMark/>
          </w:tcPr>
          <w:p w14:paraId="7B1F5E00"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1</w:t>
            </w:r>
          </w:p>
        </w:tc>
        <w:tc>
          <w:tcPr>
            <w:tcW w:w="522" w:type="pct"/>
            <w:shd w:val="clear" w:color="auto" w:fill="auto"/>
            <w:noWrap/>
            <w:vAlign w:val="center"/>
            <w:hideMark/>
          </w:tcPr>
          <w:p w14:paraId="7D660CE0"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3</w:t>
            </w:r>
          </w:p>
        </w:tc>
        <w:tc>
          <w:tcPr>
            <w:tcW w:w="821" w:type="pct"/>
            <w:shd w:val="clear" w:color="auto" w:fill="auto"/>
            <w:noWrap/>
            <w:vAlign w:val="center"/>
            <w:hideMark/>
          </w:tcPr>
          <w:p w14:paraId="4F08D659" w14:textId="77777777" w:rsidR="00B81182" w:rsidRPr="008D2522" w:rsidRDefault="00B81182" w:rsidP="00055CFC">
            <w:pPr>
              <w:spacing w:before="0" w:after="0"/>
              <w:jc w:val="center"/>
              <w:rPr>
                <w:rFonts w:eastAsia="Times New Roman" w:cs="Arial"/>
                <w:color w:val="000000"/>
                <w:szCs w:val="24"/>
                <w:lang w:eastAsia="es-CR"/>
              </w:rPr>
            </w:pPr>
          </w:p>
        </w:tc>
        <w:tc>
          <w:tcPr>
            <w:tcW w:w="671" w:type="pct"/>
            <w:shd w:val="clear" w:color="auto" w:fill="auto"/>
            <w:noWrap/>
            <w:vAlign w:val="center"/>
            <w:hideMark/>
          </w:tcPr>
          <w:p w14:paraId="2114009B"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7</w:t>
            </w:r>
          </w:p>
        </w:tc>
        <w:tc>
          <w:tcPr>
            <w:tcW w:w="522" w:type="pct"/>
            <w:shd w:val="clear" w:color="auto" w:fill="auto"/>
            <w:noWrap/>
            <w:vAlign w:val="center"/>
            <w:hideMark/>
          </w:tcPr>
          <w:p w14:paraId="1767FFD8" w14:textId="77777777" w:rsidR="00B81182" w:rsidRPr="008D2522" w:rsidRDefault="00B81182" w:rsidP="00055CFC">
            <w:pPr>
              <w:spacing w:before="0" w:after="0"/>
              <w:jc w:val="center"/>
              <w:rPr>
                <w:rFonts w:eastAsia="Times New Roman" w:cs="Arial"/>
                <w:color w:val="000000"/>
                <w:szCs w:val="24"/>
                <w:lang w:eastAsia="es-CR"/>
              </w:rPr>
            </w:pPr>
          </w:p>
        </w:tc>
        <w:tc>
          <w:tcPr>
            <w:tcW w:w="374" w:type="pct"/>
            <w:shd w:val="clear" w:color="auto" w:fill="auto"/>
            <w:noWrap/>
            <w:vAlign w:val="center"/>
            <w:hideMark/>
          </w:tcPr>
          <w:p w14:paraId="0BCECA87" w14:textId="77777777" w:rsidR="00B81182" w:rsidRPr="008D2522" w:rsidRDefault="00B81182" w:rsidP="00055CFC">
            <w:pPr>
              <w:spacing w:before="0" w:after="0"/>
              <w:jc w:val="center"/>
              <w:rPr>
                <w:rFonts w:eastAsia="Times New Roman" w:cs="Arial"/>
                <w:sz w:val="20"/>
                <w:szCs w:val="20"/>
                <w:lang w:eastAsia="es-CR"/>
              </w:rPr>
            </w:pPr>
          </w:p>
        </w:tc>
        <w:tc>
          <w:tcPr>
            <w:tcW w:w="373" w:type="pct"/>
            <w:shd w:val="clear" w:color="auto" w:fill="auto"/>
            <w:noWrap/>
            <w:vAlign w:val="center"/>
            <w:hideMark/>
          </w:tcPr>
          <w:p w14:paraId="173C5458" w14:textId="77777777" w:rsidR="00B81182" w:rsidRPr="008D2522" w:rsidRDefault="00B81182" w:rsidP="00055CFC">
            <w:pPr>
              <w:spacing w:before="0" w:after="0"/>
              <w:jc w:val="center"/>
              <w:rPr>
                <w:rFonts w:eastAsia="Times New Roman" w:cs="Arial"/>
                <w:sz w:val="20"/>
                <w:szCs w:val="20"/>
                <w:lang w:eastAsia="es-CR"/>
              </w:rPr>
            </w:pPr>
          </w:p>
        </w:tc>
        <w:tc>
          <w:tcPr>
            <w:tcW w:w="411" w:type="pct"/>
            <w:shd w:val="clear" w:color="auto" w:fill="auto"/>
            <w:noWrap/>
            <w:vAlign w:val="center"/>
            <w:hideMark/>
          </w:tcPr>
          <w:p w14:paraId="007C6966" w14:textId="77777777" w:rsidR="00B81182" w:rsidRPr="008D2522" w:rsidRDefault="00B81182" w:rsidP="00055CFC">
            <w:pPr>
              <w:spacing w:before="0" w:after="0"/>
              <w:jc w:val="center"/>
              <w:rPr>
                <w:rFonts w:eastAsia="Times New Roman" w:cs="Arial"/>
                <w:b/>
                <w:bCs/>
                <w:color w:val="000000"/>
                <w:szCs w:val="24"/>
                <w:lang w:eastAsia="es-CR"/>
              </w:rPr>
            </w:pPr>
            <w:r w:rsidRPr="008D2522">
              <w:rPr>
                <w:rFonts w:eastAsia="Times New Roman" w:cs="Arial"/>
                <w:b/>
                <w:bCs/>
                <w:color w:val="000000"/>
                <w:szCs w:val="24"/>
                <w:lang w:eastAsia="es-CR"/>
              </w:rPr>
              <w:t>11</w:t>
            </w:r>
          </w:p>
        </w:tc>
      </w:tr>
      <w:tr w:rsidR="00B81182" w:rsidRPr="008D2522" w14:paraId="541FB69A" w14:textId="77777777" w:rsidTr="003C2EF9">
        <w:trPr>
          <w:trHeight w:val="310"/>
        </w:trPr>
        <w:tc>
          <w:tcPr>
            <w:tcW w:w="634" w:type="pct"/>
            <w:shd w:val="clear" w:color="auto" w:fill="auto"/>
            <w:noWrap/>
            <w:vAlign w:val="bottom"/>
            <w:hideMark/>
          </w:tcPr>
          <w:p w14:paraId="2B15B08B" w14:textId="61C3945B" w:rsidR="00B81182" w:rsidRPr="008D2522" w:rsidRDefault="00B81182" w:rsidP="00055CFC">
            <w:pPr>
              <w:spacing w:before="0" w:after="0"/>
              <w:jc w:val="left"/>
              <w:rPr>
                <w:rFonts w:eastAsia="Times New Roman" w:cs="Arial"/>
                <w:color w:val="000000"/>
                <w:szCs w:val="24"/>
                <w:lang w:eastAsia="es-CR"/>
              </w:rPr>
            </w:pPr>
            <w:r w:rsidRPr="008D2522">
              <w:rPr>
                <w:rFonts w:eastAsia="Times New Roman" w:cs="Arial"/>
                <w:color w:val="000000"/>
                <w:szCs w:val="24"/>
                <w:lang w:eastAsia="es-CR"/>
              </w:rPr>
              <w:t>Corre-dores</w:t>
            </w:r>
          </w:p>
        </w:tc>
        <w:tc>
          <w:tcPr>
            <w:tcW w:w="672" w:type="pct"/>
            <w:shd w:val="clear" w:color="auto" w:fill="auto"/>
            <w:noWrap/>
            <w:vAlign w:val="center"/>
            <w:hideMark/>
          </w:tcPr>
          <w:p w14:paraId="7A22818F"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2</w:t>
            </w:r>
          </w:p>
        </w:tc>
        <w:tc>
          <w:tcPr>
            <w:tcW w:w="522" w:type="pct"/>
            <w:shd w:val="clear" w:color="auto" w:fill="auto"/>
            <w:noWrap/>
            <w:vAlign w:val="center"/>
            <w:hideMark/>
          </w:tcPr>
          <w:p w14:paraId="18D14C94"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9</w:t>
            </w:r>
          </w:p>
        </w:tc>
        <w:tc>
          <w:tcPr>
            <w:tcW w:w="821" w:type="pct"/>
            <w:shd w:val="clear" w:color="auto" w:fill="auto"/>
            <w:noWrap/>
            <w:vAlign w:val="center"/>
            <w:hideMark/>
          </w:tcPr>
          <w:p w14:paraId="30738689" w14:textId="77777777" w:rsidR="00B81182" w:rsidRPr="008D2522" w:rsidRDefault="00B81182" w:rsidP="00055CFC">
            <w:pPr>
              <w:spacing w:before="0" w:after="0"/>
              <w:jc w:val="center"/>
              <w:rPr>
                <w:rFonts w:eastAsia="Times New Roman" w:cs="Arial"/>
                <w:color w:val="000000"/>
                <w:szCs w:val="24"/>
                <w:lang w:eastAsia="es-CR"/>
              </w:rPr>
            </w:pPr>
          </w:p>
        </w:tc>
        <w:tc>
          <w:tcPr>
            <w:tcW w:w="671" w:type="pct"/>
            <w:shd w:val="clear" w:color="auto" w:fill="auto"/>
            <w:noWrap/>
            <w:vAlign w:val="center"/>
            <w:hideMark/>
          </w:tcPr>
          <w:p w14:paraId="5AFCF528" w14:textId="77777777" w:rsidR="00B81182" w:rsidRPr="008D2522" w:rsidRDefault="00B81182" w:rsidP="00055CFC">
            <w:pPr>
              <w:spacing w:before="0" w:after="0"/>
              <w:jc w:val="center"/>
              <w:rPr>
                <w:rFonts w:eastAsia="Times New Roman" w:cs="Arial"/>
                <w:sz w:val="20"/>
                <w:szCs w:val="20"/>
                <w:lang w:eastAsia="es-CR"/>
              </w:rPr>
            </w:pPr>
          </w:p>
        </w:tc>
        <w:tc>
          <w:tcPr>
            <w:tcW w:w="522" w:type="pct"/>
            <w:shd w:val="clear" w:color="auto" w:fill="auto"/>
            <w:noWrap/>
            <w:vAlign w:val="center"/>
            <w:hideMark/>
          </w:tcPr>
          <w:p w14:paraId="3555F2FF" w14:textId="77777777" w:rsidR="00B81182" w:rsidRPr="008D2522" w:rsidRDefault="00B81182" w:rsidP="00055CFC">
            <w:pPr>
              <w:spacing w:before="0" w:after="0"/>
              <w:jc w:val="center"/>
              <w:rPr>
                <w:rFonts w:eastAsia="Times New Roman" w:cs="Arial"/>
                <w:sz w:val="20"/>
                <w:szCs w:val="20"/>
                <w:lang w:eastAsia="es-CR"/>
              </w:rPr>
            </w:pPr>
          </w:p>
        </w:tc>
        <w:tc>
          <w:tcPr>
            <w:tcW w:w="374" w:type="pct"/>
            <w:shd w:val="clear" w:color="auto" w:fill="auto"/>
            <w:noWrap/>
            <w:vAlign w:val="center"/>
            <w:hideMark/>
          </w:tcPr>
          <w:p w14:paraId="3D57F6F4" w14:textId="77777777" w:rsidR="00B81182" w:rsidRPr="008D2522" w:rsidRDefault="00B81182" w:rsidP="00055CFC">
            <w:pPr>
              <w:spacing w:before="0" w:after="0"/>
              <w:jc w:val="center"/>
              <w:rPr>
                <w:rFonts w:eastAsia="Times New Roman" w:cs="Arial"/>
                <w:sz w:val="20"/>
                <w:szCs w:val="20"/>
                <w:lang w:eastAsia="es-CR"/>
              </w:rPr>
            </w:pPr>
          </w:p>
        </w:tc>
        <w:tc>
          <w:tcPr>
            <w:tcW w:w="373" w:type="pct"/>
            <w:shd w:val="clear" w:color="auto" w:fill="auto"/>
            <w:noWrap/>
            <w:vAlign w:val="center"/>
            <w:hideMark/>
          </w:tcPr>
          <w:p w14:paraId="72A9D211" w14:textId="77777777" w:rsidR="00B81182" w:rsidRPr="008D2522" w:rsidRDefault="00B81182" w:rsidP="00055CFC">
            <w:pPr>
              <w:spacing w:before="0" w:after="0"/>
              <w:jc w:val="center"/>
              <w:rPr>
                <w:rFonts w:eastAsia="Times New Roman" w:cs="Arial"/>
                <w:sz w:val="20"/>
                <w:szCs w:val="20"/>
                <w:lang w:eastAsia="es-CR"/>
              </w:rPr>
            </w:pPr>
          </w:p>
        </w:tc>
        <w:tc>
          <w:tcPr>
            <w:tcW w:w="411" w:type="pct"/>
            <w:shd w:val="clear" w:color="auto" w:fill="auto"/>
            <w:noWrap/>
            <w:vAlign w:val="center"/>
            <w:hideMark/>
          </w:tcPr>
          <w:p w14:paraId="77ECD7CC" w14:textId="77777777" w:rsidR="00B81182" w:rsidRPr="008D2522" w:rsidRDefault="00B81182" w:rsidP="00055CFC">
            <w:pPr>
              <w:spacing w:before="0" w:after="0"/>
              <w:jc w:val="center"/>
              <w:rPr>
                <w:rFonts w:eastAsia="Times New Roman" w:cs="Arial"/>
                <w:b/>
                <w:bCs/>
                <w:color w:val="000000"/>
                <w:szCs w:val="24"/>
                <w:lang w:eastAsia="es-CR"/>
              </w:rPr>
            </w:pPr>
            <w:r w:rsidRPr="008D2522">
              <w:rPr>
                <w:rFonts w:eastAsia="Times New Roman" w:cs="Arial"/>
                <w:b/>
                <w:bCs/>
                <w:color w:val="000000"/>
                <w:szCs w:val="24"/>
                <w:lang w:eastAsia="es-CR"/>
              </w:rPr>
              <w:t>11</w:t>
            </w:r>
          </w:p>
        </w:tc>
      </w:tr>
      <w:tr w:rsidR="00B81182" w:rsidRPr="008D2522" w14:paraId="275F39E3" w14:textId="77777777" w:rsidTr="003C2EF9">
        <w:trPr>
          <w:trHeight w:val="310"/>
        </w:trPr>
        <w:tc>
          <w:tcPr>
            <w:tcW w:w="634" w:type="pct"/>
            <w:shd w:val="clear" w:color="auto" w:fill="auto"/>
            <w:noWrap/>
            <w:vAlign w:val="bottom"/>
            <w:hideMark/>
          </w:tcPr>
          <w:p w14:paraId="5FAD17C5" w14:textId="41736F00" w:rsidR="00B81182" w:rsidRPr="008D2522" w:rsidRDefault="00B81182" w:rsidP="00055CFC">
            <w:pPr>
              <w:spacing w:before="0" w:after="0"/>
              <w:jc w:val="left"/>
              <w:rPr>
                <w:rFonts w:eastAsia="Times New Roman" w:cs="Arial"/>
                <w:color w:val="000000"/>
                <w:szCs w:val="24"/>
                <w:lang w:eastAsia="es-CR"/>
              </w:rPr>
            </w:pPr>
            <w:r w:rsidRPr="008D2522">
              <w:rPr>
                <w:rFonts w:eastAsia="Times New Roman" w:cs="Arial"/>
                <w:color w:val="000000"/>
                <w:szCs w:val="24"/>
                <w:lang w:eastAsia="es-CR"/>
              </w:rPr>
              <w:t>Golfito</w:t>
            </w:r>
          </w:p>
        </w:tc>
        <w:tc>
          <w:tcPr>
            <w:tcW w:w="672" w:type="pct"/>
            <w:shd w:val="clear" w:color="auto" w:fill="auto"/>
            <w:noWrap/>
            <w:vAlign w:val="center"/>
            <w:hideMark/>
          </w:tcPr>
          <w:p w14:paraId="0E75DB01"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8</w:t>
            </w:r>
          </w:p>
        </w:tc>
        <w:tc>
          <w:tcPr>
            <w:tcW w:w="522" w:type="pct"/>
            <w:shd w:val="clear" w:color="auto" w:fill="auto"/>
            <w:noWrap/>
            <w:vAlign w:val="center"/>
            <w:hideMark/>
          </w:tcPr>
          <w:p w14:paraId="5A5F6132"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1</w:t>
            </w:r>
          </w:p>
        </w:tc>
        <w:tc>
          <w:tcPr>
            <w:tcW w:w="821" w:type="pct"/>
            <w:shd w:val="clear" w:color="auto" w:fill="auto"/>
            <w:noWrap/>
            <w:vAlign w:val="center"/>
            <w:hideMark/>
          </w:tcPr>
          <w:p w14:paraId="18209EF9" w14:textId="77777777" w:rsidR="00B81182" w:rsidRPr="008D2522" w:rsidRDefault="00B81182" w:rsidP="00055CFC">
            <w:pPr>
              <w:spacing w:before="0" w:after="0"/>
              <w:jc w:val="center"/>
              <w:rPr>
                <w:rFonts w:eastAsia="Times New Roman" w:cs="Arial"/>
                <w:color w:val="000000"/>
                <w:szCs w:val="24"/>
                <w:lang w:eastAsia="es-CR"/>
              </w:rPr>
            </w:pPr>
          </w:p>
        </w:tc>
        <w:tc>
          <w:tcPr>
            <w:tcW w:w="671" w:type="pct"/>
            <w:shd w:val="clear" w:color="auto" w:fill="auto"/>
            <w:noWrap/>
            <w:vAlign w:val="center"/>
            <w:hideMark/>
          </w:tcPr>
          <w:p w14:paraId="367F67D6"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1</w:t>
            </w:r>
          </w:p>
        </w:tc>
        <w:tc>
          <w:tcPr>
            <w:tcW w:w="522" w:type="pct"/>
            <w:shd w:val="clear" w:color="auto" w:fill="auto"/>
            <w:noWrap/>
            <w:vAlign w:val="center"/>
            <w:hideMark/>
          </w:tcPr>
          <w:p w14:paraId="50BF4B1E" w14:textId="77777777" w:rsidR="00B81182" w:rsidRPr="008D2522" w:rsidRDefault="00B81182" w:rsidP="00055CFC">
            <w:pPr>
              <w:spacing w:before="0" w:after="0"/>
              <w:jc w:val="center"/>
              <w:rPr>
                <w:rFonts w:eastAsia="Times New Roman" w:cs="Arial"/>
                <w:color w:val="000000"/>
                <w:szCs w:val="24"/>
                <w:lang w:eastAsia="es-CR"/>
              </w:rPr>
            </w:pPr>
          </w:p>
        </w:tc>
        <w:tc>
          <w:tcPr>
            <w:tcW w:w="374" w:type="pct"/>
            <w:shd w:val="clear" w:color="auto" w:fill="auto"/>
            <w:noWrap/>
            <w:vAlign w:val="center"/>
            <w:hideMark/>
          </w:tcPr>
          <w:p w14:paraId="55B19796" w14:textId="77777777" w:rsidR="00B81182" w:rsidRPr="008D2522" w:rsidRDefault="00B81182" w:rsidP="00055CFC">
            <w:pPr>
              <w:spacing w:before="0" w:after="0"/>
              <w:jc w:val="center"/>
              <w:rPr>
                <w:rFonts w:eastAsia="Times New Roman" w:cs="Arial"/>
                <w:sz w:val="20"/>
                <w:szCs w:val="20"/>
                <w:lang w:eastAsia="es-CR"/>
              </w:rPr>
            </w:pPr>
          </w:p>
        </w:tc>
        <w:tc>
          <w:tcPr>
            <w:tcW w:w="373" w:type="pct"/>
            <w:shd w:val="clear" w:color="auto" w:fill="auto"/>
            <w:noWrap/>
            <w:vAlign w:val="center"/>
            <w:hideMark/>
          </w:tcPr>
          <w:p w14:paraId="19113F98" w14:textId="77777777" w:rsidR="00B81182" w:rsidRPr="008D2522" w:rsidRDefault="00B81182" w:rsidP="00055CFC">
            <w:pPr>
              <w:spacing w:before="0" w:after="0"/>
              <w:jc w:val="center"/>
              <w:rPr>
                <w:rFonts w:eastAsia="Times New Roman" w:cs="Arial"/>
                <w:sz w:val="20"/>
                <w:szCs w:val="20"/>
                <w:lang w:eastAsia="es-CR"/>
              </w:rPr>
            </w:pPr>
          </w:p>
        </w:tc>
        <w:tc>
          <w:tcPr>
            <w:tcW w:w="411" w:type="pct"/>
            <w:shd w:val="clear" w:color="auto" w:fill="auto"/>
            <w:noWrap/>
            <w:vAlign w:val="center"/>
            <w:hideMark/>
          </w:tcPr>
          <w:p w14:paraId="45C1657D" w14:textId="77777777" w:rsidR="00B81182" w:rsidRPr="008D2522" w:rsidRDefault="00B81182" w:rsidP="00055CFC">
            <w:pPr>
              <w:spacing w:before="0" w:after="0"/>
              <w:jc w:val="center"/>
              <w:rPr>
                <w:rFonts w:eastAsia="Times New Roman" w:cs="Arial"/>
                <w:b/>
                <w:bCs/>
                <w:color w:val="000000"/>
                <w:szCs w:val="24"/>
                <w:lang w:eastAsia="es-CR"/>
              </w:rPr>
            </w:pPr>
            <w:r w:rsidRPr="008D2522">
              <w:rPr>
                <w:rFonts w:eastAsia="Times New Roman" w:cs="Arial"/>
                <w:b/>
                <w:bCs/>
                <w:color w:val="000000"/>
                <w:szCs w:val="24"/>
                <w:lang w:eastAsia="es-CR"/>
              </w:rPr>
              <w:t>10</w:t>
            </w:r>
          </w:p>
        </w:tc>
      </w:tr>
      <w:tr w:rsidR="00B81182" w:rsidRPr="008D2522" w14:paraId="24533CD1" w14:textId="77777777" w:rsidTr="003C2EF9">
        <w:trPr>
          <w:trHeight w:val="310"/>
        </w:trPr>
        <w:tc>
          <w:tcPr>
            <w:tcW w:w="634" w:type="pct"/>
            <w:shd w:val="clear" w:color="auto" w:fill="auto"/>
            <w:noWrap/>
            <w:vAlign w:val="bottom"/>
            <w:hideMark/>
          </w:tcPr>
          <w:p w14:paraId="0B3C8C44" w14:textId="278432D1" w:rsidR="00B81182" w:rsidRPr="008D2522" w:rsidRDefault="00B81182" w:rsidP="00055CFC">
            <w:pPr>
              <w:spacing w:before="0" w:after="0"/>
              <w:jc w:val="left"/>
              <w:rPr>
                <w:rFonts w:eastAsia="Times New Roman" w:cs="Arial"/>
                <w:color w:val="000000"/>
                <w:szCs w:val="24"/>
                <w:lang w:eastAsia="es-CR"/>
              </w:rPr>
            </w:pPr>
            <w:r w:rsidRPr="008D2522">
              <w:rPr>
                <w:rFonts w:eastAsia="Times New Roman" w:cs="Arial"/>
                <w:color w:val="000000"/>
                <w:szCs w:val="24"/>
                <w:lang w:eastAsia="es-CR"/>
              </w:rPr>
              <w:t>Alajuela</w:t>
            </w:r>
          </w:p>
        </w:tc>
        <w:tc>
          <w:tcPr>
            <w:tcW w:w="672" w:type="pct"/>
            <w:shd w:val="clear" w:color="auto" w:fill="auto"/>
            <w:noWrap/>
            <w:vAlign w:val="center"/>
            <w:hideMark/>
          </w:tcPr>
          <w:p w14:paraId="2CDDB52A" w14:textId="77777777" w:rsidR="00B81182" w:rsidRPr="008D2522" w:rsidRDefault="00B81182" w:rsidP="00055CFC">
            <w:pPr>
              <w:spacing w:before="0" w:after="0"/>
              <w:jc w:val="center"/>
              <w:rPr>
                <w:rFonts w:eastAsia="Times New Roman" w:cs="Arial"/>
                <w:color w:val="000000"/>
                <w:szCs w:val="24"/>
                <w:lang w:eastAsia="es-CR"/>
              </w:rPr>
            </w:pPr>
          </w:p>
        </w:tc>
        <w:tc>
          <w:tcPr>
            <w:tcW w:w="522" w:type="pct"/>
            <w:shd w:val="clear" w:color="auto" w:fill="auto"/>
            <w:noWrap/>
            <w:vAlign w:val="center"/>
            <w:hideMark/>
          </w:tcPr>
          <w:p w14:paraId="507BE965" w14:textId="77777777" w:rsidR="00B81182" w:rsidRPr="008D2522" w:rsidRDefault="00B81182" w:rsidP="00055CFC">
            <w:pPr>
              <w:spacing w:before="0" w:after="0"/>
              <w:jc w:val="center"/>
              <w:rPr>
                <w:rFonts w:eastAsia="Times New Roman" w:cs="Arial"/>
                <w:sz w:val="20"/>
                <w:szCs w:val="20"/>
                <w:lang w:eastAsia="es-CR"/>
              </w:rPr>
            </w:pPr>
          </w:p>
        </w:tc>
        <w:tc>
          <w:tcPr>
            <w:tcW w:w="821" w:type="pct"/>
            <w:shd w:val="clear" w:color="auto" w:fill="auto"/>
            <w:noWrap/>
            <w:vAlign w:val="center"/>
            <w:hideMark/>
          </w:tcPr>
          <w:p w14:paraId="3CB59910" w14:textId="77777777" w:rsidR="00B81182" w:rsidRPr="008D2522" w:rsidRDefault="00B81182" w:rsidP="00055CFC">
            <w:pPr>
              <w:spacing w:before="0" w:after="0"/>
              <w:jc w:val="center"/>
              <w:rPr>
                <w:rFonts w:eastAsia="Times New Roman" w:cs="Arial"/>
                <w:sz w:val="20"/>
                <w:szCs w:val="20"/>
                <w:lang w:eastAsia="es-CR"/>
              </w:rPr>
            </w:pPr>
          </w:p>
        </w:tc>
        <w:tc>
          <w:tcPr>
            <w:tcW w:w="671" w:type="pct"/>
            <w:shd w:val="clear" w:color="auto" w:fill="auto"/>
            <w:noWrap/>
            <w:vAlign w:val="center"/>
            <w:hideMark/>
          </w:tcPr>
          <w:p w14:paraId="1DBDDEB2" w14:textId="77777777" w:rsidR="00B81182" w:rsidRPr="008D2522" w:rsidRDefault="00B81182" w:rsidP="00055CFC">
            <w:pPr>
              <w:spacing w:before="0" w:after="0"/>
              <w:jc w:val="center"/>
              <w:rPr>
                <w:rFonts w:eastAsia="Times New Roman" w:cs="Arial"/>
                <w:sz w:val="20"/>
                <w:szCs w:val="20"/>
                <w:lang w:eastAsia="es-CR"/>
              </w:rPr>
            </w:pPr>
          </w:p>
        </w:tc>
        <w:tc>
          <w:tcPr>
            <w:tcW w:w="522" w:type="pct"/>
            <w:shd w:val="clear" w:color="auto" w:fill="auto"/>
            <w:noWrap/>
            <w:vAlign w:val="center"/>
            <w:hideMark/>
          </w:tcPr>
          <w:p w14:paraId="18150B03" w14:textId="77777777" w:rsidR="00B81182" w:rsidRPr="008D2522" w:rsidRDefault="00B81182" w:rsidP="00055CFC">
            <w:pPr>
              <w:spacing w:before="0" w:after="0"/>
              <w:jc w:val="center"/>
              <w:rPr>
                <w:rFonts w:eastAsia="Times New Roman" w:cs="Arial"/>
                <w:sz w:val="20"/>
                <w:szCs w:val="20"/>
                <w:lang w:eastAsia="es-CR"/>
              </w:rPr>
            </w:pPr>
          </w:p>
        </w:tc>
        <w:tc>
          <w:tcPr>
            <w:tcW w:w="374" w:type="pct"/>
            <w:shd w:val="clear" w:color="auto" w:fill="auto"/>
            <w:noWrap/>
            <w:vAlign w:val="center"/>
            <w:hideMark/>
          </w:tcPr>
          <w:p w14:paraId="7A543C57"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2</w:t>
            </w:r>
          </w:p>
        </w:tc>
        <w:tc>
          <w:tcPr>
            <w:tcW w:w="373" w:type="pct"/>
            <w:shd w:val="clear" w:color="auto" w:fill="auto"/>
            <w:noWrap/>
            <w:vAlign w:val="center"/>
            <w:hideMark/>
          </w:tcPr>
          <w:p w14:paraId="0C9BD609" w14:textId="77777777" w:rsidR="00B81182" w:rsidRPr="008D2522" w:rsidRDefault="00B81182" w:rsidP="00055CFC">
            <w:pPr>
              <w:spacing w:before="0" w:after="0"/>
              <w:jc w:val="center"/>
              <w:rPr>
                <w:rFonts w:eastAsia="Times New Roman" w:cs="Arial"/>
                <w:color w:val="000000"/>
                <w:szCs w:val="24"/>
                <w:lang w:eastAsia="es-CR"/>
              </w:rPr>
            </w:pPr>
          </w:p>
        </w:tc>
        <w:tc>
          <w:tcPr>
            <w:tcW w:w="411" w:type="pct"/>
            <w:shd w:val="clear" w:color="auto" w:fill="auto"/>
            <w:noWrap/>
            <w:vAlign w:val="center"/>
            <w:hideMark/>
          </w:tcPr>
          <w:p w14:paraId="516ED7A2" w14:textId="77777777" w:rsidR="00B81182" w:rsidRPr="008D2522" w:rsidRDefault="00B81182" w:rsidP="00055CFC">
            <w:pPr>
              <w:spacing w:before="0" w:after="0"/>
              <w:jc w:val="center"/>
              <w:rPr>
                <w:rFonts w:eastAsia="Times New Roman" w:cs="Arial"/>
                <w:b/>
                <w:bCs/>
                <w:color w:val="000000"/>
                <w:szCs w:val="24"/>
                <w:lang w:eastAsia="es-CR"/>
              </w:rPr>
            </w:pPr>
            <w:r w:rsidRPr="008D2522">
              <w:rPr>
                <w:rFonts w:eastAsia="Times New Roman" w:cs="Arial"/>
                <w:b/>
                <w:bCs/>
                <w:color w:val="000000"/>
                <w:szCs w:val="24"/>
                <w:lang w:eastAsia="es-CR"/>
              </w:rPr>
              <w:t>2</w:t>
            </w:r>
          </w:p>
        </w:tc>
      </w:tr>
      <w:tr w:rsidR="00B81182" w:rsidRPr="008D2522" w14:paraId="088A0088" w14:textId="77777777" w:rsidTr="003C2EF9">
        <w:trPr>
          <w:trHeight w:val="310"/>
        </w:trPr>
        <w:tc>
          <w:tcPr>
            <w:tcW w:w="634" w:type="pct"/>
            <w:shd w:val="clear" w:color="auto" w:fill="auto"/>
            <w:noWrap/>
            <w:vAlign w:val="bottom"/>
            <w:hideMark/>
          </w:tcPr>
          <w:p w14:paraId="2850E509" w14:textId="46682E03" w:rsidR="00B81182" w:rsidRPr="008D2522" w:rsidRDefault="00B81182" w:rsidP="00055CFC">
            <w:pPr>
              <w:spacing w:before="0" w:after="0"/>
              <w:jc w:val="left"/>
              <w:rPr>
                <w:rFonts w:eastAsia="Times New Roman" w:cs="Arial"/>
                <w:color w:val="000000"/>
                <w:szCs w:val="24"/>
                <w:lang w:eastAsia="es-CR"/>
              </w:rPr>
            </w:pPr>
            <w:r w:rsidRPr="008D2522">
              <w:rPr>
                <w:rFonts w:eastAsia="Times New Roman" w:cs="Arial"/>
                <w:color w:val="000000"/>
                <w:szCs w:val="24"/>
                <w:lang w:eastAsia="es-CR"/>
              </w:rPr>
              <w:t>Brus</w:t>
            </w:r>
          </w:p>
        </w:tc>
        <w:tc>
          <w:tcPr>
            <w:tcW w:w="672" w:type="pct"/>
            <w:shd w:val="clear" w:color="auto" w:fill="auto"/>
            <w:noWrap/>
            <w:vAlign w:val="center"/>
            <w:hideMark/>
          </w:tcPr>
          <w:p w14:paraId="426F4C35"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2</w:t>
            </w:r>
          </w:p>
        </w:tc>
        <w:tc>
          <w:tcPr>
            <w:tcW w:w="522" w:type="pct"/>
            <w:shd w:val="clear" w:color="auto" w:fill="auto"/>
            <w:noWrap/>
            <w:vAlign w:val="center"/>
            <w:hideMark/>
          </w:tcPr>
          <w:p w14:paraId="42CB6119" w14:textId="77777777" w:rsidR="00B81182" w:rsidRPr="008D2522" w:rsidRDefault="00B81182" w:rsidP="00055CFC">
            <w:pPr>
              <w:spacing w:before="0" w:after="0"/>
              <w:jc w:val="center"/>
              <w:rPr>
                <w:rFonts w:eastAsia="Times New Roman" w:cs="Arial"/>
                <w:color w:val="000000"/>
                <w:szCs w:val="24"/>
                <w:lang w:eastAsia="es-CR"/>
              </w:rPr>
            </w:pPr>
          </w:p>
        </w:tc>
        <w:tc>
          <w:tcPr>
            <w:tcW w:w="821" w:type="pct"/>
            <w:shd w:val="clear" w:color="auto" w:fill="auto"/>
            <w:noWrap/>
            <w:vAlign w:val="center"/>
            <w:hideMark/>
          </w:tcPr>
          <w:p w14:paraId="0F58DFBD" w14:textId="77777777" w:rsidR="00B81182" w:rsidRPr="008D2522" w:rsidRDefault="00B81182" w:rsidP="00055CFC">
            <w:pPr>
              <w:spacing w:before="0" w:after="0"/>
              <w:jc w:val="center"/>
              <w:rPr>
                <w:rFonts w:eastAsia="Times New Roman" w:cs="Arial"/>
                <w:sz w:val="20"/>
                <w:szCs w:val="20"/>
                <w:lang w:eastAsia="es-CR"/>
              </w:rPr>
            </w:pPr>
          </w:p>
        </w:tc>
        <w:tc>
          <w:tcPr>
            <w:tcW w:w="671" w:type="pct"/>
            <w:shd w:val="clear" w:color="auto" w:fill="auto"/>
            <w:noWrap/>
            <w:vAlign w:val="center"/>
            <w:hideMark/>
          </w:tcPr>
          <w:p w14:paraId="5F8C1F77" w14:textId="77777777" w:rsidR="00B81182" w:rsidRPr="008D2522" w:rsidRDefault="00B81182" w:rsidP="00055CFC">
            <w:pPr>
              <w:spacing w:before="0" w:after="0"/>
              <w:jc w:val="center"/>
              <w:rPr>
                <w:rFonts w:eastAsia="Times New Roman" w:cs="Arial"/>
                <w:sz w:val="20"/>
                <w:szCs w:val="20"/>
                <w:lang w:eastAsia="es-CR"/>
              </w:rPr>
            </w:pPr>
          </w:p>
        </w:tc>
        <w:tc>
          <w:tcPr>
            <w:tcW w:w="522" w:type="pct"/>
            <w:shd w:val="clear" w:color="auto" w:fill="auto"/>
            <w:noWrap/>
            <w:vAlign w:val="center"/>
            <w:hideMark/>
          </w:tcPr>
          <w:p w14:paraId="1D9FEEDA" w14:textId="77777777" w:rsidR="00B81182" w:rsidRPr="008D2522" w:rsidRDefault="00B81182" w:rsidP="00055CFC">
            <w:pPr>
              <w:spacing w:before="0" w:after="0"/>
              <w:jc w:val="center"/>
              <w:rPr>
                <w:rFonts w:eastAsia="Times New Roman" w:cs="Arial"/>
                <w:sz w:val="20"/>
                <w:szCs w:val="20"/>
                <w:lang w:eastAsia="es-CR"/>
              </w:rPr>
            </w:pPr>
          </w:p>
        </w:tc>
        <w:tc>
          <w:tcPr>
            <w:tcW w:w="374" w:type="pct"/>
            <w:shd w:val="clear" w:color="auto" w:fill="auto"/>
            <w:noWrap/>
            <w:vAlign w:val="center"/>
            <w:hideMark/>
          </w:tcPr>
          <w:p w14:paraId="1B9AD3C6" w14:textId="77777777" w:rsidR="00B81182" w:rsidRPr="008D2522" w:rsidRDefault="00B81182" w:rsidP="00055CFC">
            <w:pPr>
              <w:spacing w:before="0" w:after="0"/>
              <w:jc w:val="center"/>
              <w:rPr>
                <w:rFonts w:eastAsia="Times New Roman" w:cs="Arial"/>
                <w:sz w:val="20"/>
                <w:szCs w:val="20"/>
                <w:lang w:eastAsia="es-CR"/>
              </w:rPr>
            </w:pPr>
          </w:p>
        </w:tc>
        <w:tc>
          <w:tcPr>
            <w:tcW w:w="373" w:type="pct"/>
            <w:shd w:val="clear" w:color="auto" w:fill="auto"/>
            <w:noWrap/>
            <w:vAlign w:val="center"/>
            <w:hideMark/>
          </w:tcPr>
          <w:p w14:paraId="1DBB1DB6" w14:textId="77777777" w:rsidR="00B81182" w:rsidRPr="008D2522" w:rsidRDefault="00B81182" w:rsidP="00055CFC">
            <w:pPr>
              <w:spacing w:before="0" w:after="0"/>
              <w:jc w:val="center"/>
              <w:rPr>
                <w:rFonts w:eastAsia="Times New Roman" w:cs="Arial"/>
                <w:sz w:val="20"/>
                <w:szCs w:val="20"/>
                <w:lang w:eastAsia="es-CR"/>
              </w:rPr>
            </w:pPr>
          </w:p>
        </w:tc>
        <w:tc>
          <w:tcPr>
            <w:tcW w:w="411" w:type="pct"/>
            <w:shd w:val="clear" w:color="auto" w:fill="auto"/>
            <w:noWrap/>
            <w:vAlign w:val="center"/>
            <w:hideMark/>
          </w:tcPr>
          <w:p w14:paraId="2E6F8D3C" w14:textId="77777777" w:rsidR="00B81182" w:rsidRPr="008D2522" w:rsidRDefault="00B81182" w:rsidP="00055CFC">
            <w:pPr>
              <w:spacing w:before="0" w:after="0"/>
              <w:jc w:val="center"/>
              <w:rPr>
                <w:rFonts w:eastAsia="Times New Roman" w:cs="Arial"/>
                <w:b/>
                <w:bCs/>
                <w:color w:val="000000"/>
                <w:szCs w:val="24"/>
                <w:lang w:eastAsia="es-CR"/>
              </w:rPr>
            </w:pPr>
            <w:r w:rsidRPr="008D2522">
              <w:rPr>
                <w:rFonts w:eastAsia="Times New Roman" w:cs="Arial"/>
                <w:b/>
                <w:bCs/>
                <w:color w:val="000000"/>
                <w:szCs w:val="24"/>
                <w:lang w:eastAsia="es-CR"/>
              </w:rPr>
              <w:t>2</w:t>
            </w:r>
          </w:p>
        </w:tc>
      </w:tr>
      <w:tr w:rsidR="00B81182" w:rsidRPr="008D2522" w14:paraId="2837D92D" w14:textId="77777777" w:rsidTr="003C2EF9">
        <w:trPr>
          <w:trHeight w:val="320"/>
        </w:trPr>
        <w:tc>
          <w:tcPr>
            <w:tcW w:w="634" w:type="pct"/>
            <w:shd w:val="clear" w:color="auto" w:fill="auto"/>
            <w:noWrap/>
            <w:vAlign w:val="bottom"/>
            <w:hideMark/>
          </w:tcPr>
          <w:p w14:paraId="31430AB1" w14:textId="5497AEB1" w:rsidR="00B81182" w:rsidRPr="008D2522" w:rsidRDefault="00B81182" w:rsidP="00055CFC">
            <w:pPr>
              <w:spacing w:before="0" w:after="0"/>
              <w:jc w:val="left"/>
              <w:rPr>
                <w:rFonts w:eastAsia="Times New Roman" w:cs="Arial"/>
                <w:color w:val="000000"/>
                <w:szCs w:val="24"/>
                <w:lang w:eastAsia="es-CR"/>
              </w:rPr>
            </w:pPr>
            <w:r w:rsidRPr="008D2522">
              <w:rPr>
                <w:rFonts w:eastAsia="Times New Roman" w:cs="Arial"/>
                <w:color w:val="000000"/>
                <w:szCs w:val="24"/>
                <w:lang w:eastAsia="es-CR"/>
              </w:rPr>
              <w:t>Puriscal</w:t>
            </w:r>
          </w:p>
        </w:tc>
        <w:tc>
          <w:tcPr>
            <w:tcW w:w="672" w:type="pct"/>
            <w:shd w:val="clear" w:color="auto" w:fill="auto"/>
            <w:noWrap/>
            <w:vAlign w:val="center"/>
            <w:hideMark/>
          </w:tcPr>
          <w:p w14:paraId="73FE055C" w14:textId="66186729" w:rsidR="00B81182" w:rsidRPr="008D2522" w:rsidRDefault="00B81182" w:rsidP="00055CFC">
            <w:pPr>
              <w:spacing w:before="0" w:after="0"/>
              <w:jc w:val="center"/>
              <w:rPr>
                <w:rFonts w:eastAsia="Times New Roman" w:cs="Arial"/>
                <w:color w:val="000000"/>
                <w:szCs w:val="24"/>
                <w:lang w:eastAsia="es-CR"/>
              </w:rPr>
            </w:pPr>
          </w:p>
        </w:tc>
        <w:tc>
          <w:tcPr>
            <w:tcW w:w="522" w:type="pct"/>
            <w:shd w:val="clear" w:color="auto" w:fill="auto"/>
            <w:noWrap/>
            <w:vAlign w:val="center"/>
            <w:hideMark/>
          </w:tcPr>
          <w:p w14:paraId="73208B30" w14:textId="77777777" w:rsidR="00B81182" w:rsidRPr="008D2522" w:rsidRDefault="00B81182" w:rsidP="00055CFC">
            <w:pPr>
              <w:spacing w:before="0" w:after="0"/>
              <w:jc w:val="center"/>
              <w:rPr>
                <w:rFonts w:eastAsia="Times New Roman" w:cs="Arial"/>
                <w:color w:val="000000"/>
                <w:szCs w:val="24"/>
                <w:lang w:eastAsia="es-CR"/>
              </w:rPr>
            </w:pPr>
            <w:r w:rsidRPr="008D2522">
              <w:rPr>
                <w:rFonts w:eastAsia="Times New Roman" w:cs="Arial"/>
                <w:color w:val="000000"/>
                <w:szCs w:val="24"/>
                <w:lang w:eastAsia="es-CR"/>
              </w:rPr>
              <w:t>1</w:t>
            </w:r>
          </w:p>
        </w:tc>
        <w:tc>
          <w:tcPr>
            <w:tcW w:w="821" w:type="pct"/>
            <w:shd w:val="clear" w:color="auto" w:fill="auto"/>
            <w:noWrap/>
            <w:vAlign w:val="center"/>
            <w:hideMark/>
          </w:tcPr>
          <w:p w14:paraId="42889883" w14:textId="513A7FB0" w:rsidR="00B81182" w:rsidRPr="008D2522" w:rsidRDefault="00B81182" w:rsidP="00055CFC">
            <w:pPr>
              <w:spacing w:before="0" w:after="0"/>
              <w:jc w:val="center"/>
              <w:rPr>
                <w:rFonts w:eastAsia="Times New Roman" w:cs="Arial"/>
                <w:color w:val="000000"/>
                <w:szCs w:val="24"/>
                <w:lang w:eastAsia="es-CR"/>
              </w:rPr>
            </w:pPr>
          </w:p>
        </w:tc>
        <w:tc>
          <w:tcPr>
            <w:tcW w:w="671" w:type="pct"/>
            <w:shd w:val="clear" w:color="auto" w:fill="auto"/>
            <w:noWrap/>
            <w:vAlign w:val="center"/>
            <w:hideMark/>
          </w:tcPr>
          <w:p w14:paraId="0D4FBEF9" w14:textId="4C415D13" w:rsidR="00B81182" w:rsidRPr="008D2522" w:rsidRDefault="00B81182" w:rsidP="00055CFC">
            <w:pPr>
              <w:spacing w:before="0" w:after="0"/>
              <w:jc w:val="center"/>
              <w:rPr>
                <w:rFonts w:eastAsia="Times New Roman" w:cs="Arial"/>
                <w:color w:val="000000"/>
                <w:szCs w:val="24"/>
                <w:lang w:eastAsia="es-CR"/>
              </w:rPr>
            </w:pPr>
          </w:p>
        </w:tc>
        <w:tc>
          <w:tcPr>
            <w:tcW w:w="522" w:type="pct"/>
            <w:shd w:val="clear" w:color="auto" w:fill="auto"/>
            <w:noWrap/>
            <w:vAlign w:val="center"/>
            <w:hideMark/>
          </w:tcPr>
          <w:p w14:paraId="475E00B7" w14:textId="029C8F74" w:rsidR="00B81182" w:rsidRPr="008D2522" w:rsidRDefault="00B81182" w:rsidP="00055CFC">
            <w:pPr>
              <w:spacing w:before="0" w:after="0"/>
              <w:jc w:val="center"/>
              <w:rPr>
                <w:rFonts w:eastAsia="Times New Roman" w:cs="Arial"/>
                <w:color w:val="000000"/>
                <w:szCs w:val="24"/>
                <w:lang w:eastAsia="es-CR"/>
              </w:rPr>
            </w:pPr>
          </w:p>
        </w:tc>
        <w:tc>
          <w:tcPr>
            <w:tcW w:w="374" w:type="pct"/>
            <w:shd w:val="clear" w:color="auto" w:fill="auto"/>
            <w:noWrap/>
            <w:vAlign w:val="center"/>
            <w:hideMark/>
          </w:tcPr>
          <w:p w14:paraId="7C4E5766" w14:textId="4B37F7AF" w:rsidR="00B81182" w:rsidRPr="008D2522" w:rsidRDefault="00B81182" w:rsidP="00055CFC">
            <w:pPr>
              <w:spacing w:before="0" w:after="0"/>
              <w:jc w:val="center"/>
              <w:rPr>
                <w:rFonts w:eastAsia="Times New Roman" w:cs="Arial"/>
                <w:color w:val="000000"/>
                <w:szCs w:val="24"/>
                <w:lang w:eastAsia="es-CR"/>
              </w:rPr>
            </w:pPr>
          </w:p>
        </w:tc>
        <w:tc>
          <w:tcPr>
            <w:tcW w:w="373" w:type="pct"/>
            <w:shd w:val="clear" w:color="auto" w:fill="auto"/>
            <w:noWrap/>
            <w:vAlign w:val="center"/>
            <w:hideMark/>
          </w:tcPr>
          <w:p w14:paraId="647BEBF9" w14:textId="3D25C44D" w:rsidR="00B81182" w:rsidRPr="008D2522" w:rsidRDefault="00B81182" w:rsidP="00055CFC">
            <w:pPr>
              <w:spacing w:before="0" w:after="0"/>
              <w:jc w:val="center"/>
              <w:rPr>
                <w:rFonts w:eastAsia="Times New Roman" w:cs="Arial"/>
                <w:color w:val="000000"/>
                <w:szCs w:val="24"/>
                <w:lang w:eastAsia="es-CR"/>
              </w:rPr>
            </w:pPr>
          </w:p>
        </w:tc>
        <w:tc>
          <w:tcPr>
            <w:tcW w:w="411" w:type="pct"/>
            <w:shd w:val="clear" w:color="auto" w:fill="auto"/>
            <w:noWrap/>
            <w:vAlign w:val="center"/>
            <w:hideMark/>
          </w:tcPr>
          <w:p w14:paraId="01189C7B" w14:textId="77777777" w:rsidR="00B81182" w:rsidRPr="008D2522" w:rsidRDefault="00B81182" w:rsidP="00055CFC">
            <w:pPr>
              <w:spacing w:before="0" w:after="0"/>
              <w:jc w:val="center"/>
              <w:rPr>
                <w:rFonts w:eastAsia="Times New Roman" w:cs="Arial"/>
                <w:b/>
                <w:bCs/>
                <w:color w:val="000000"/>
                <w:szCs w:val="24"/>
                <w:lang w:eastAsia="es-CR"/>
              </w:rPr>
            </w:pPr>
            <w:r w:rsidRPr="008D2522">
              <w:rPr>
                <w:rFonts w:eastAsia="Times New Roman" w:cs="Arial"/>
                <w:b/>
                <w:bCs/>
                <w:color w:val="000000"/>
                <w:szCs w:val="24"/>
                <w:lang w:eastAsia="es-CR"/>
              </w:rPr>
              <w:t>1</w:t>
            </w:r>
          </w:p>
        </w:tc>
      </w:tr>
      <w:tr w:rsidR="00B81182" w:rsidRPr="008D2522" w14:paraId="2D5D8F08" w14:textId="77777777" w:rsidTr="0059712E">
        <w:trPr>
          <w:trHeight w:val="310"/>
        </w:trPr>
        <w:tc>
          <w:tcPr>
            <w:tcW w:w="634" w:type="pct"/>
            <w:shd w:val="clear" w:color="auto" w:fill="D9D9D9"/>
            <w:noWrap/>
            <w:vAlign w:val="bottom"/>
            <w:hideMark/>
          </w:tcPr>
          <w:p w14:paraId="01935990" w14:textId="77777777" w:rsidR="00B81182" w:rsidRPr="008D2522" w:rsidRDefault="00B81182" w:rsidP="00055CFC">
            <w:pPr>
              <w:spacing w:before="0" w:after="0"/>
              <w:jc w:val="left"/>
              <w:rPr>
                <w:rFonts w:eastAsia="Times New Roman" w:cs="Arial"/>
                <w:b/>
                <w:bCs/>
                <w:color w:val="000000"/>
                <w:szCs w:val="24"/>
                <w:lang w:eastAsia="es-CR"/>
              </w:rPr>
            </w:pPr>
            <w:r w:rsidRPr="008D2522">
              <w:rPr>
                <w:rFonts w:eastAsia="Times New Roman" w:cs="Arial"/>
                <w:b/>
                <w:bCs/>
                <w:color w:val="000000"/>
                <w:szCs w:val="24"/>
                <w:lang w:eastAsia="es-CR"/>
              </w:rPr>
              <w:t>Total</w:t>
            </w:r>
          </w:p>
        </w:tc>
        <w:tc>
          <w:tcPr>
            <w:tcW w:w="672" w:type="pct"/>
            <w:shd w:val="clear" w:color="auto" w:fill="D9D9D9"/>
            <w:noWrap/>
            <w:vAlign w:val="center"/>
            <w:hideMark/>
          </w:tcPr>
          <w:p w14:paraId="0CDF897F" w14:textId="77777777" w:rsidR="00B81182" w:rsidRPr="008D2522" w:rsidRDefault="00B81182" w:rsidP="00055CFC">
            <w:pPr>
              <w:spacing w:before="0" w:after="0"/>
              <w:jc w:val="center"/>
              <w:rPr>
                <w:rFonts w:eastAsia="Times New Roman" w:cs="Arial"/>
                <w:b/>
                <w:bCs/>
                <w:color w:val="000000"/>
                <w:szCs w:val="24"/>
                <w:lang w:eastAsia="es-CR"/>
              </w:rPr>
            </w:pPr>
            <w:r w:rsidRPr="008D2522">
              <w:rPr>
                <w:rFonts w:eastAsia="Times New Roman" w:cs="Arial"/>
                <w:b/>
                <w:bCs/>
                <w:color w:val="000000"/>
                <w:szCs w:val="24"/>
                <w:lang w:eastAsia="es-CR"/>
              </w:rPr>
              <w:t>65</w:t>
            </w:r>
          </w:p>
        </w:tc>
        <w:tc>
          <w:tcPr>
            <w:tcW w:w="522" w:type="pct"/>
            <w:shd w:val="clear" w:color="auto" w:fill="D9D9D9"/>
            <w:noWrap/>
            <w:vAlign w:val="center"/>
            <w:hideMark/>
          </w:tcPr>
          <w:p w14:paraId="76AA945B" w14:textId="77777777" w:rsidR="00B81182" w:rsidRPr="008D2522" w:rsidRDefault="00B81182" w:rsidP="00055CFC">
            <w:pPr>
              <w:spacing w:before="0" w:after="0"/>
              <w:jc w:val="center"/>
              <w:rPr>
                <w:rFonts w:eastAsia="Times New Roman" w:cs="Arial"/>
                <w:b/>
                <w:bCs/>
                <w:color w:val="000000"/>
                <w:szCs w:val="24"/>
                <w:lang w:eastAsia="es-CR"/>
              </w:rPr>
            </w:pPr>
            <w:r w:rsidRPr="008D2522">
              <w:rPr>
                <w:rFonts w:eastAsia="Times New Roman" w:cs="Arial"/>
                <w:b/>
                <w:bCs/>
                <w:color w:val="000000"/>
                <w:szCs w:val="24"/>
                <w:lang w:eastAsia="es-CR"/>
              </w:rPr>
              <w:t>57</w:t>
            </w:r>
          </w:p>
        </w:tc>
        <w:tc>
          <w:tcPr>
            <w:tcW w:w="821" w:type="pct"/>
            <w:shd w:val="clear" w:color="auto" w:fill="D9D9D9"/>
            <w:noWrap/>
            <w:vAlign w:val="center"/>
            <w:hideMark/>
          </w:tcPr>
          <w:p w14:paraId="090A5223" w14:textId="77777777" w:rsidR="00B81182" w:rsidRPr="008D2522" w:rsidRDefault="00B81182" w:rsidP="00055CFC">
            <w:pPr>
              <w:spacing w:before="0" w:after="0"/>
              <w:jc w:val="center"/>
              <w:rPr>
                <w:rFonts w:eastAsia="Times New Roman" w:cs="Arial"/>
                <w:b/>
                <w:bCs/>
                <w:color w:val="000000"/>
                <w:szCs w:val="24"/>
                <w:lang w:eastAsia="es-CR"/>
              </w:rPr>
            </w:pPr>
            <w:r w:rsidRPr="008D2522">
              <w:rPr>
                <w:rFonts w:eastAsia="Times New Roman" w:cs="Arial"/>
                <w:b/>
                <w:bCs/>
                <w:color w:val="000000"/>
                <w:szCs w:val="24"/>
                <w:lang w:eastAsia="es-CR"/>
              </w:rPr>
              <w:t>39</w:t>
            </w:r>
          </w:p>
        </w:tc>
        <w:tc>
          <w:tcPr>
            <w:tcW w:w="671" w:type="pct"/>
            <w:shd w:val="clear" w:color="auto" w:fill="D9D9D9"/>
            <w:noWrap/>
            <w:vAlign w:val="center"/>
            <w:hideMark/>
          </w:tcPr>
          <w:p w14:paraId="6BFDAB8E" w14:textId="77777777" w:rsidR="00B81182" w:rsidRPr="008D2522" w:rsidRDefault="00B81182" w:rsidP="00055CFC">
            <w:pPr>
              <w:spacing w:before="0" w:after="0"/>
              <w:jc w:val="center"/>
              <w:rPr>
                <w:rFonts w:eastAsia="Times New Roman" w:cs="Arial"/>
                <w:b/>
                <w:bCs/>
                <w:color w:val="000000"/>
                <w:szCs w:val="24"/>
                <w:lang w:eastAsia="es-CR"/>
              </w:rPr>
            </w:pPr>
            <w:r w:rsidRPr="008D2522">
              <w:rPr>
                <w:rFonts w:eastAsia="Times New Roman" w:cs="Arial"/>
                <w:b/>
                <w:bCs/>
                <w:color w:val="000000"/>
                <w:szCs w:val="24"/>
                <w:lang w:eastAsia="es-CR"/>
              </w:rPr>
              <w:t>19</w:t>
            </w:r>
          </w:p>
        </w:tc>
        <w:tc>
          <w:tcPr>
            <w:tcW w:w="522" w:type="pct"/>
            <w:shd w:val="clear" w:color="auto" w:fill="D9D9D9"/>
            <w:noWrap/>
            <w:vAlign w:val="center"/>
            <w:hideMark/>
          </w:tcPr>
          <w:p w14:paraId="7DAB522E" w14:textId="77777777" w:rsidR="00B81182" w:rsidRPr="008D2522" w:rsidRDefault="00B81182" w:rsidP="00055CFC">
            <w:pPr>
              <w:spacing w:before="0" w:after="0"/>
              <w:jc w:val="center"/>
              <w:rPr>
                <w:rFonts w:eastAsia="Times New Roman" w:cs="Arial"/>
                <w:b/>
                <w:bCs/>
                <w:color w:val="000000"/>
                <w:szCs w:val="24"/>
                <w:lang w:eastAsia="es-CR"/>
              </w:rPr>
            </w:pPr>
            <w:r w:rsidRPr="008D2522">
              <w:rPr>
                <w:rFonts w:eastAsia="Times New Roman" w:cs="Arial"/>
                <w:b/>
                <w:bCs/>
                <w:color w:val="000000"/>
                <w:szCs w:val="24"/>
                <w:lang w:eastAsia="es-CR"/>
              </w:rPr>
              <w:t>5</w:t>
            </w:r>
          </w:p>
        </w:tc>
        <w:tc>
          <w:tcPr>
            <w:tcW w:w="374" w:type="pct"/>
            <w:shd w:val="clear" w:color="auto" w:fill="D9D9D9"/>
            <w:noWrap/>
            <w:vAlign w:val="center"/>
            <w:hideMark/>
          </w:tcPr>
          <w:p w14:paraId="307CA89F" w14:textId="77777777" w:rsidR="00B81182" w:rsidRPr="008D2522" w:rsidRDefault="00B81182" w:rsidP="00055CFC">
            <w:pPr>
              <w:spacing w:before="0" w:after="0"/>
              <w:jc w:val="center"/>
              <w:rPr>
                <w:rFonts w:eastAsia="Times New Roman" w:cs="Arial"/>
                <w:b/>
                <w:bCs/>
                <w:color w:val="000000"/>
                <w:szCs w:val="24"/>
                <w:lang w:eastAsia="es-CR"/>
              </w:rPr>
            </w:pPr>
            <w:r w:rsidRPr="008D2522">
              <w:rPr>
                <w:rFonts w:eastAsia="Times New Roman" w:cs="Arial"/>
                <w:b/>
                <w:bCs/>
                <w:color w:val="000000"/>
                <w:szCs w:val="24"/>
                <w:lang w:eastAsia="es-CR"/>
              </w:rPr>
              <w:t>4</w:t>
            </w:r>
          </w:p>
        </w:tc>
        <w:tc>
          <w:tcPr>
            <w:tcW w:w="373" w:type="pct"/>
            <w:shd w:val="clear" w:color="auto" w:fill="D9D9D9"/>
            <w:noWrap/>
            <w:vAlign w:val="center"/>
            <w:hideMark/>
          </w:tcPr>
          <w:p w14:paraId="395DA39E" w14:textId="77777777" w:rsidR="00B81182" w:rsidRPr="008D2522" w:rsidRDefault="00B81182" w:rsidP="00055CFC">
            <w:pPr>
              <w:spacing w:before="0" w:after="0"/>
              <w:jc w:val="center"/>
              <w:rPr>
                <w:rFonts w:eastAsia="Times New Roman" w:cs="Arial"/>
                <w:b/>
                <w:bCs/>
                <w:color w:val="000000"/>
                <w:szCs w:val="24"/>
                <w:lang w:eastAsia="es-CR"/>
              </w:rPr>
            </w:pPr>
            <w:r w:rsidRPr="008D2522">
              <w:rPr>
                <w:rFonts w:eastAsia="Times New Roman" w:cs="Arial"/>
                <w:b/>
                <w:bCs/>
                <w:color w:val="000000"/>
                <w:szCs w:val="24"/>
                <w:lang w:eastAsia="es-CR"/>
              </w:rPr>
              <w:t>3</w:t>
            </w:r>
          </w:p>
        </w:tc>
        <w:tc>
          <w:tcPr>
            <w:tcW w:w="411" w:type="pct"/>
            <w:shd w:val="clear" w:color="auto" w:fill="D9D9D9"/>
            <w:noWrap/>
            <w:vAlign w:val="center"/>
            <w:hideMark/>
          </w:tcPr>
          <w:p w14:paraId="585AC5A7" w14:textId="77777777" w:rsidR="00B81182" w:rsidRPr="008D2522" w:rsidRDefault="00B81182" w:rsidP="00055CFC">
            <w:pPr>
              <w:spacing w:before="0" w:after="0"/>
              <w:jc w:val="center"/>
              <w:rPr>
                <w:rFonts w:eastAsia="Times New Roman" w:cs="Arial"/>
                <w:b/>
                <w:bCs/>
                <w:color w:val="000000"/>
                <w:szCs w:val="24"/>
                <w:lang w:eastAsia="es-CR"/>
              </w:rPr>
            </w:pPr>
            <w:r w:rsidRPr="008D2522">
              <w:rPr>
                <w:rFonts w:eastAsia="Times New Roman" w:cs="Arial"/>
                <w:b/>
                <w:bCs/>
                <w:color w:val="000000"/>
                <w:szCs w:val="24"/>
                <w:lang w:eastAsia="es-CR"/>
              </w:rPr>
              <w:t>192</w:t>
            </w:r>
          </w:p>
        </w:tc>
      </w:tr>
    </w:tbl>
    <w:p w14:paraId="41D12D91" w14:textId="1BA28631" w:rsidR="00B81182" w:rsidRPr="008D2522" w:rsidRDefault="00B81182" w:rsidP="00055CFC">
      <w:pPr>
        <w:spacing w:before="0" w:after="0"/>
        <w:rPr>
          <w:rFonts w:eastAsia="Times New Roman" w:cs="Arial"/>
          <w:color w:val="000000"/>
          <w:sz w:val="20"/>
          <w:szCs w:val="20"/>
          <w:lang w:eastAsia="es-CR"/>
        </w:rPr>
      </w:pPr>
      <w:r w:rsidRPr="008D2522">
        <w:rPr>
          <w:rFonts w:eastAsia="Times New Roman" w:cs="Arial"/>
          <w:color w:val="000000"/>
          <w:sz w:val="20"/>
          <w:szCs w:val="20"/>
          <w:lang w:eastAsia="es-CR"/>
        </w:rPr>
        <w:t xml:space="preserve">*1 Estos procesos llevan </w:t>
      </w:r>
      <w:proofErr w:type="spellStart"/>
      <w:r w:rsidRPr="008D2522">
        <w:rPr>
          <w:rFonts w:eastAsia="Times New Roman" w:cs="Arial"/>
          <w:color w:val="000000"/>
          <w:sz w:val="20"/>
          <w:szCs w:val="20"/>
          <w:lang w:eastAsia="es-CR"/>
        </w:rPr>
        <w:t>codefensa</w:t>
      </w:r>
      <w:proofErr w:type="spellEnd"/>
      <w:r w:rsidRPr="008D2522">
        <w:rPr>
          <w:rFonts w:eastAsia="Times New Roman" w:cs="Arial"/>
          <w:color w:val="000000"/>
          <w:sz w:val="20"/>
          <w:szCs w:val="20"/>
          <w:lang w:eastAsia="es-CR"/>
        </w:rPr>
        <w:t>, por lo que es requerida la asignación de dos profesionales</w:t>
      </w:r>
    </w:p>
    <w:p w14:paraId="19466488" w14:textId="4502D394" w:rsidR="00B81182" w:rsidRPr="008D2522" w:rsidRDefault="00B81182" w:rsidP="00055CFC">
      <w:pPr>
        <w:spacing w:before="0" w:after="0"/>
        <w:rPr>
          <w:rFonts w:eastAsia="Times New Roman" w:cs="Arial"/>
          <w:color w:val="000000"/>
          <w:sz w:val="20"/>
          <w:szCs w:val="20"/>
          <w:lang w:eastAsia="es-CR"/>
        </w:rPr>
      </w:pPr>
      <w:r w:rsidRPr="008D2522">
        <w:rPr>
          <w:rFonts w:eastAsia="Times New Roman" w:cs="Arial"/>
          <w:color w:val="000000"/>
          <w:sz w:val="20"/>
          <w:szCs w:val="20"/>
          <w:lang w:eastAsia="es-CR"/>
        </w:rPr>
        <w:t>*2 Estos procesos son atendidos por profesionales de la oficina de Pérez Zeledón</w:t>
      </w:r>
    </w:p>
    <w:p w14:paraId="3BE44098" w14:textId="187B9D13" w:rsidR="00B81182" w:rsidRPr="008D2522" w:rsidRDefault="00B81182" w:rsidP="00055CFC">
      <w:pPr>
        <w:spacing w:before="0" w:after="0"/>
        <w:rPr>
          <w:rFonts w:cs="Arial"/>
        </w:rPr>
      </w:pPr>
      <w:r w:rsidRPr="008D2522">
        <w:rPr>
          <w:rFonts w:eastAsia="Times New Roman" w:cs="Arial"/>
          <w:color w:val="000000"/>
          <w:sz w:val="20"/>
          <w:szCs w:val="20"/>
          <w:lang w:eastAsia="es-CR"/>
        </w:rPr>
        <w:t>*3 Estos procesos son atendidos por profesionales de la oficina de Limón</w:t>
      </w:r>
    </w:p>
    <w:p w14:paraId="1151CF92" w14:textId="77777777" w:rsidR="003C2EF9" w:rsidRPr="008D2522" w:rsidRDefault="003C2EF9" w:rsidP="00055CFC">
      <w:pPr>
        <w:spacing w:before="0" w:after="0"/>
        <w:rPr>
          <w:rFonts w:eastAsia="Arial" w:cs="Arial"/>
          <w:sz w:val="20"/>
          <w:szCs w:val="20"/>
        </w:rPr>
      </w:pPr>
      <w:r w:rsidRPr="008D2522">
        <w:rPr>
          <w:rFonts w:eastAsia="Arial" w:cs="Arial"/>
          <w:b/>
          <w:bCs/>
          <w:sz w:val="20"/>
          <w:szCs w:val="20"/>
        </w:rPr>
        <w:t>Fuente:</w:t>
      </w:r>
      <w:r w:rsidRPr="008D2522">
        <w:rPr>
          <w:rFonts w:eastAsia="Arial" w:cs="Arial"/>
          <w:sz w:val="20"/>
          <w:szCs w:val="20"/>
        </w:rPr>
        <w:t xml:space="preserve"> Subproceso de Modernización Institucional, de la Dirección de Planificación con datos facilitados por la Administración de la Defensa Pública.</w:t>
      </w:r>
    </w:p>
    <w:p w14:paraId="47E1965E" w14:textId="1EC648BF" w:rsidR="00632D38" w:rsidRPr="00163514" w:rsidRDefault="003C2EF9" w:rsidP="00163514">
      <w:pPr>
        <w:spacing w:line="240" w:lineRule="auto"/>
        <w:rPr>
          <w:rFonts w:ascii="Book Antiqua" w:hAnsi="Book Antiqua"/>
        </w:rPr>
      </w:pPr>
      <w:r w:rsidRPr="00163514">
        <w:rPr>
          <w:rFonts w:ascii="Book Antiqua" w:hAnsi="Book Antiqua"/>
        </w:rPr>
        <w:lastRenderedPageBreak/>
        <w:t xml:space="preserve">Las representaciones mostradas en la tabla anterior responden a </w:t>
      </w:r>
      <w:r w:rsidRPr="00163514">
        <w:rPr>
          <w:rFonts w:ascii="Book Antiqua" w:hAnsi="Book Antiqua"/>
          <w:u w:val="single"/>
        </w:rPr>
        <w:t>asuntos que iniciaron en razón del cumplimiento de la Ley 9593 de Acceso a la Justicia</w:t>
      </w:r>
      <w:r w:rsidRPr="00163514">
        <w:rPr>
          <w:rFonts w:ascii="Book Antiqua" w:hAnsi="Book Antiqua"/>
        </w:rPr>
        <w:t xml:space="preserve"> a las personas indígenas, esto debido a que, por ejemplo, en Pensiones Alimentarias, esas 65 personas representadas están en calidad de demandadas.</w:t>
      </w:r>
      <w:r w:rsidR="00D959C7" w:rsidRPr="00163514">
        <w:rPr>
          <w:rFonts w:ascii="Book Antiqua" w:hAnsi="Book Antiqua"/>
        </w:rPr>
        <w:t xml:space="preserve"> Y, es importante aclarar que los asuntos presentados en la tabla anterior no se encuentran contabilizados dentro del análisis expuesto anteriormente</w:t>
      </w:r>
      <w:r w:rsidR="00F170A9" w:rsidRPr="00163514">
        <w:rPr>
          <w:rFonts w:ascii="Book Antiqua" w:hAnsi="Book Antiqua"/>
        </w:rPr>
        <w:t>, debido al orden de tabulación de la información por parte de la Administración de la Defensa Pública</w:t>
      </w:r>
      <w:r w:rsidR="00D959C7" w:rsidRPr="00163514">
        <w:rPr>
          <w:rFonts w:ascii="Book Antiqua" w:hAnsi="Book Antiqua"/>
        </w:rPr>
        <w:t>.</w:t>
      </w:r>
      <w:r w:rsidR="00632D38" w:rsidRPr="00163514">
        <w:rPr>
          <w:rFonts w:ascii="Book Antiqua" w:hAnsi="Book Antiqua"/>
        </w:rPr>
        <w:t xml:space="preserve"> Por lo que, lo que se encuentra establecido en la tabla anterior es lo que realmente corresponde al incremento en las cargas de trabajo a partir de la promulgación de la Ley 9593.</w:t>
      </w:r>
    </w:p>
    <w:p w14:paraId="6A1810CC" w14:textId="174719C9" w:rsidR="003C2EF9" w:rsidRPr="00163514" w:rsidRDefault="003C2EF9" w:rsidP="00163514">
      <w:pPr>
        <w:spacing w:line="240" w:lineRule="auto"/>
        <w:rPr>
          <w:rFonts w:ascii="Book Antiqua" w:hAnsi="Book Antiqua"/>
        </w:rPr>
      </w:pPr>
      <w:r w:rsidRPr="00163514">
        <w:rPr>
          <w:rFonts w:ascii="Book Antiqua" w:hAnsi="Book Antiqua"/>
        </w:rPr>
        <w:t>Respecto a los asuntos Contenciosos Administrativos, es importante hace énfasis de que se reportan 39 representaciones al cierre de diciembre de 2019</w:t>
      </w:r>
      <w:r w:rsidR="00DA49E0" w:rsidRPr="00163514">
        <w:rPr>
          <w:rFonts w:ascii="Book Antiqua" w:hAnsi="Book Antiqua"/>
        </w:rPr>
        <w:t>.</w:t>
      </w:r>
      <w:r w:rsidRPr="00163514">
        <w:rPr>
          <w:rFonts w:ascii="Book Antiqua" w:hAnsi="Book Antiqua"/>
        </w:rPr>
        <w:t xml:space="preserve">Estos asuntos mantienen la particularidad de que requieren </w:t>
      </w:r>
      <w:proofErr w:type="spellStart"/>
      <w:r w:rsidRPr="00163514">
        <w:rPr>
          <w:rFonts w:ascii="Book Antiqua" w:hAnsi="Book Antiqua"/>
        </w:rPr>
        <w:t>codefensa</w:t>
      </w:r>
      <w:proofErr w:type="spellEnd"/>
      <w:r w:rsidRPr="00163514">
        <w:rPr>
          <w:rFonts w:ascii="Book Antiqua" w:hAnsi="Book Antiqua"/>
        </w:rPr>
        <w:t xml:space="preserve">, por lo que al menos deben participar dos Defensoras o Defensores en su tramitación. </w:t>
      </w:r>
    </w:p>
    <w:p w14:paraId="54A5E3C4" w14:textId="58EF2F27" w:rsidR="00F170A9" w:rsidRPr="00163514" w:rsidRDefault="00F170A9" w:rsidP="00163514">
      <w:pPr>
        <w:spacing w:line="240" w:lineRule="auto"/>
        <w:rPr>
          <w:rFonts w:ascii="Book Antiqua" w:hAnsi="Book Antiqua"/>
        </w:rPr>
      </w:pPr>
      <w:r w:rsidRPr="00163514">
        <w:rPr>
          <w:rFonts w:ascii="Book Antiqua" w:hAnsi="Book Antiqua"/>
        </w:rPr>
        <w:t>En consulta con la Coordinación de la Defensa Pública de Buenos Aires, el Licenciado Andrey Fuentes Gamboa</w:t>
      </w:r>
      <w:r w:rsidR="00406538" w:rsidRPr="00163514">
        <w:rPr>
          <w:rFonts w:ascii="Book Antiqua" w:hAnsi="Book Antiqua"/>
        </w:rPr>
        <w:t>,</w:t>
      </w:r>
      <w:r w:rsidRPr="00163514">
        <w:rPr>
          <w:rFonts w:ascii="Book Antiqua" w:hAnsi="Book Antiqua"/>
        </w:rPr>
        <w:t xml:space="preserve"> </w:t>
      </w:r>
      <w:r w:rsidR="00406538" w:rsidRPr="00163514">
        <w:rPr>
          <w:rFonts w:ascii="Book Antiqua" w:hAnsi="Book Antiqua"/>
        </w:rPr>
        <w:t xml:space="preserve">se expone </w:t>
      </w:r>
      <w:r w:rsidRPr="00163514">
        <w:rPr>
          <w:rFonts w:ascii="Book Antiqua" w:hAnsi="Book Antiqua"/>
        </w:rPr>
        <w:t xml:space="preserve">que, por </w:t>
      </w:r>
      <w:r w:rsidR="00632C55" w:rsidRPr="00163514">
        <w:rPr>
          <w:rFonts w:ascii="Book Antiqua" w:hAnsi="Book Antiqua"/>
        </w:rPr>
        <w:t xml:space="preserve">indicación </w:t>
      </w:r>
      <w:r w:rsidRPr="00163514">
        <w:rPr>
          <w:rFonts w:ascii="Book Antiqua" w:hAnsi="Book Antiqua"/>
        </w:rPr>
        <w:t>de la Jefatura de la Defensa Pública, los asuntos contenciosos administrativos con interviniente persona indígena se asignan como recargo a las personas defensoras agrarias</w:t>
      </w:r>
      <w:r w:rsidR="00406538" w:rsidRPr="00163514">
        <w:rPr>
          <w:rFonts w:ascii="Book Antiqua" w:hAnsi="Book Antiqua"/>
        </w:rPr>
        <w:t xml:space="preserve"> y por tal</w:t>
      </w:r>
      <w:r w:rsidRPr="00163514">
        <w:rPr>
          <w:rFonts w:ascii="Book Antiqua" w:hAnsi="Book Antiqua"/>
        </w:rPr>
        <w:t>,</w:t>
      </w:r>
      <w:r w:rsidR="00406538" w:rsidRPr="00163514">
        <w:rPr>
          <w:rFonts w:ascii="Book Antiqua" w:hAnsi="Book Antiqua"/>
        </w:rPr>
        <w:t xml:space="preserve"> desde que recibió la indicación, el único asunto </w:t>
      </w:r>
      <w:r w:rsidR="00C848A3" w:rsidRPr="00163514">
        <w:rPr>
          <w:rFonts w:ascii="Book Antiqua" w:hAnsi="Book Antiqua"/>
        </w:rPr>
        <w:t>que ha ingresado a la oficina es el que tiene asignado dentro de su circulante la persona defensora de materia agraria</w:t>
      </w:r>
      <w:r w:rsidR="005A25AF" w:rsidRPr="00163514">
        <w:rPr>
          <w:rFonts w:ascii="Book Antiqua" w:hAnsi="Book Antiqua"/>
        </w:rPr>
        <w:t>.</w:t>
      </w:r>
    </w:p>
    <w:p w14:paraId="5A7B1C60" w14:textId="407889C5" w:rsidR="00B81182" w:rsidRPr="00163514" w:rsidRDefault="0059712E" w:rsidP="00163514">
      <w:pPr>
        <w:spacing w:line="240" w:lineRule="auto"/>
        <w:rPr>
          <w:rFonts w:ascii="Book Antiqua" w:hAnsi="Book Antiqua"/>
        </w:rPr>
      </w:pPr>
      <w:r w:rsidRPr="00163514">
        <w:rPr>
          <w:rFonts w:ascii="Book Antiqua" w:hAnsi="Book Antiqua"/>
        </w:rPr>
        <w:t>Adicionalmente, como se ha hecho mención, la Defensa Pública de Pérez Zeledón le brinda soporte a la oficina de Buenos Aires y la Defensa Pública de Limón le brinda soporte a la oficina de Bribri, tanto para la tramitación de asuntos ordinarios, como para la tramitación de asuntos donde se requiera representar a ambas partes del proceso.</w:t>
      </w:r>
    </w:p>
    <w:p w14:paraId="6B4A1DBC" w14:textId="1DB4E819" w:rsidR="0059712E" w:rsidRPr="00163514" w:rsidRDefault="0059712E" w:rsidP="00163514">
      <w:pPr>
        <w:spacing w:line="240" w:lineRule="auto"/>
        <w:rPr>
          <w:rFonts w:ascii="Book Antiqua" w:hAnsi="Book Antiqua"/>
        </w:rPr>
      </w:pPr>
      <w:r w:rsidRPr="00163514">
        <w:rPr>
          <w:rFonts w:ascii="Book Antiqua" w:hAnsi="Book Antiqua"/>
        </w:rPr>
        <w:t>Por último, e</w:t>
      </w:r>
      <w:r w:rsidR="00D959C7" w:rsidRPr="00163514">
        <w:rPr>
          <w:rFonts w:ascii="Book Antiqua" w:hAnsi="Book Antiqua"/>
        </w:rPr>
        <w:t>n</w:t>
      </w:r>
      <w:r w:rsidRPr="00163514">
        <w:rPr>
          <w:rFonts w:ascii="Book Antiqua" w:hAnsi="Book Antiqua"/>
        </w:rPr>
        <w:t xml:space="preserve"> consulta al Lic. Esteban Arguedas Madrigal, Coordinador de la Unidad Estadística de la Defensa Pública; las tres representaciones contabilizadas en otras materias responden a una Querella y representaciones en materia de Tránsito.</w:t>
      </w:r>
    </w:p>
    <w:p w14:paraId="18AA011F" w14:textId="4CF9AF5E" w:rsidR="0058665B" w:rsidRPr="00163514" w:rsidRDefault="0058665B" w:rsidP="00163514">
      <w:pPr>
        <w:spacing w:line="240" w:lineRule="auto"/>
        <w:rPr>
          <w:rFonts w:ascii="Book Antiqua" w:hAnsi="Book Antiqua"/>
        </w:rPr>
      </w:pPr>
    </w:p>
    <w:p w14:paraId="11D33E2C" w14:textId="6C559FF2" w:rsidR="00632C55" w:rsidRPr="00163514" w:rsidRDefault="00632C55" w:rsidP="00163514">
      <w:pPr>
        <w:spacing w:line="240" w:lineRule="auto"/>
        <w:rPr>
          <w:rFonts w:ascii="Book Antiqua" w:hAnsi="Book Antiqua"/>
        </w:rPr>
      </w:pPr>
      <w:r w:rsidRPr="00163514">
        <w:rPr>
          <w:rFonts w:ascii="Book Antiqua" w:hAnsi="Book Antiqua"/>
        </w:rPr>
        <w:t xml:space="preserve">Por otra parte, </w:t>
      </w:r>
      <w:r w:rsidR="00146E20" w:rsidRPr="00163514">
        <w:rPr>
          <w:rFonts w:ascii="Book Antiqua" w:hAnsi="Book Antiqua"/>
        </w:rPr>
        <w:t xml:space="preserve">según lo expuesto por la Licda. Ligia Jiménez Zamora, Supervisora de Personas Indígenas de la Dirección de la Defensa Pública, a partir de la promulgación de la Ley 9593 de Acceso a la Justicia </w:t>
      </w:r>
      <w:r w:rsidRPr="00163514">
        <w:rPr>
          <w:rFonts w:ascii="Book Antiqua" w:hAnsi="Book Antiqua"/>
        </w:rPr>
        <w:t>a</w:t>
      </w:r>
      <w:r w:rsidR="00146E20" w:rsidRPr="00163514">
        <w:rPr>
          <w:rFonts w:ascii="Book Antiqua" w:hAnsi="Book Antiqua"/>
        </w:rPr>
        <w:t xml:space="preserve"> Pueblos Indígenas; y de una manera muy proactiva por parte de la Defensa Pública, los asuntos en materia de Familia forman parte del circulante de la</w:t>
      </w:r>
      <w:r w:rsidR="008E5AE2" w:rsidRPr="00163514">
        <w:rPr>
          <w:rFonts w:ascii="Book Antiqua" w:hAnsi="Book Antiqua"/>
        </w:rPr>
        <w:t xml:space="preserve">s personas defensoras que </w:t>
      </w:r>
      <w:r w:rsidR="00146E20" w:rsidRPr="00163514">
        <w:rPr>
          <w:rFonts w:ascii="Book Antiqua" w:hAnsi="Book Antiqua"/>
        </w:rPr>
        <w:t>atiende</w:t>
      </w:r>
      <w:r w:rsidR="008E5AE2" w:rsidRPr="00163514">
        <w:rPr>
          <w:rFonts w:ascii="Book Antiqua" w:hAnsi="Book Antiqua"/>
        </w:rPr>
        <w:t>n</w:t>
      </w:r>
      <w:r w:rsidR="00146E20" w:rsidRPr="00163514">
        <w:rPr>
          <w:rFonts w:ascii="Book Antiqua" w:hAnsi="Book Antiqua"/>
        </w:rPr>
        <w:t xml:space="preserve"> Pensiones Alimentarias, los asuntos de Contencioso Administrativo</w:t>
      </w:r>
      <w:r w:rsidR="008E5AE2" w:rsidRPr="00163514">
        <w:rPr>
          <w:rFonts w:ascii="Book Antiqua" w:hAnsi="Book Antiqua"/>
        </w:rPr>
        <w:t xml:space="preserve"> en el circulante de las personas defensoras de </w:t>
      </w:r>
      <w:r w:rsidR="00146E20" w:rsidRPr="00163514">
        <w:rPr>
          <w:rFonts w:ascii="Book Antiqua" w:hAnsi="Book Antiqua"/>
        </w:rPr>
        <w:t xml:space="preserve">Agrario, y </w:t>
      </w:r>
      <w:r w:rsidRPr="00163514">
        <w:rPr>
          <w:rFonts w:ascii="Book Antiqua" w:hAnsi="Book Antiqua"/>
        </w:rPr>
        <w:t>los asuntos en</w:t>
      </w:r>
      <w:r w:rsidR="00146E20" w:rsidRPr="00163514">
        <w:rPr>
          <w:rFonts w:ascii="Book Antiqua" w:hAnsi="Book Antiqua"/>
        </w:rPr>
        <w:t xml:space="preserve"> materia de Violencia </w:t>
      </w:r>
      <w:r w:rsidR="00146E20" w:rsidRPr="00163514">
        <w:rPr>
          <w:rFonts w:ascii="Book Antiqua" w:hAnsi="Book Antiqua"/>
        </w:rPr>
        <w:lastRenderedPageBreak/>
        <w:t>Doméstica</w:t>
      </w:r>
      <w:r w:rsidRPr="00163514">
        <w:rPr>
          <w:rStyle w:val="Refdenotaalpie"/>
          <w:rFonts w:ascii="Book Antiqua" w:hAnsi="Book Antiqua"/>
        </w:rPr>
        <w:t xml:space="preserve"> </w:t>
      </w:r>
      <w:r w:rsidR="00146E20" w:rsidRPr="00163514">
        <w:rPr>
          <w:rFonts w:ascii="Book Antiqua" w:hAnsi="Book Antiqua"/>
        </w:rPr>
        <w:t xml:space="preserve">pasan </w:t>
      </w:r>
      <w:r w:rsidRPr="00163514">
        <w:rPr>
          <w:rFonts w:ascii="Book Antiqua" w:hAnsi="Book Antiqua"/>
        </w:rPr>
        <w:t>a formar</w:t>
      </w:r>
      <w:r w:rsidR="00146E20" w:rsidRPr="00163514">
        <w:rPr>
          <w:rFonts w:ascii="Book Antiqua" w:hAnsi="Book Antiqua"/>
        </w:rPr>
        <w:t xml:space="preserve"> parte del circulante de</w:t>
      </w:r>
      <w:r w:rsidR="008E5AE2" w:rsidRPr="00163514">
        <w:rPr>
          <w:rFonts w:ascii="Book Antiqua" w:hAnsi="Book Antiqua"/>
        </w:rPr>
        <w:t xml:space="preserve"> las Defensoras y Defensores que atienden materia penal.</w:t>
      </w:r>
    </w:p>
    <w:p w14:paraId="2FEB9B68" w14:textId="77777777" w:rsidR="00440263" w:rsidRPr="00163514" w:rsidRDefault="00440263" w:rsidP="00163514">
      <w:pPr>
        <w:spacing w:line="240" w:lineRule="auto"/>
        <w:rPr>
          <w:rFonts w:ascii="Book Antiqua" w:hAnsi="Book Antiqua"/>
        </w:rPr>
      </w:pPr>
      <w:r w:rsidRPr="00163514">
        <w:rPr>
          <w:rFonts w:ascii="Book Antiqua" w:hAnsi="Book Antiqua"/>
        </w:rPr>
        <w:t>Además, señala que dentro del análisis de los procesos que consideren población indígena, a parte de la cantidad de personas usuarias y cantidad de causas, debe contemplarse factores cualitativos tales como, la calidad de atención a partir de un acceso de justicia efectivo, y reconocer las necesidades de atención diferenciada; respetando las distancias, las condiciones de pobreza, medios de transporte, los horarios de visitas en situ, idiomas; así como, las pericias culturales.</w:t>
      </w:r>
    </w:p>
    <w:p w14:paraId="7CB5B1F4" w14:textId="77777777" w:rsidR="00440263" w:rsidRPr="00163514" w:rsidRDefault="00440263" w:rsidP="00163514">
      <w:pPr>
        <w:spacing w:line="240" w:lineRule="auto"/>
        <w:rPr>
          <w:rFonts w:ascii="Book Antiqua" w:hAnsi="Book Antiqua"/>
        </w:rPr>
      </w:pPr>
      <w:r w:rsidRPr="00163514">
        <w:rPr>
          <w:rFonts w:ascii="Book Antiqua" w:hAnsi="Book Antiqua"/>
        </w:rPr>
        <w:t xml:space="preserve">Relevante resaltar que, para la atención de aquellos asuntos ordinarios de la materia de Penal y Pensión Alimentaria, en los cuales; además, forma parte del circulante activo asuntos con intervinientes de asuntos indígenas, las Oficinas de la Defensa Pública de Bribrí, Buenos Aires, Turrialba, Limón y Coto Brus mantiene la siguiente estructura: </w:t>
      </w:r>
    </w:p>
    <w:p w14:paraId="183AAED1" w14:textId="46D841B7" w:rsidR="00632C55" w:rsidRPr="0069387D" w:rsidRDefault="00632C55" w:rsidP="00F249A1">
      <w:pPr>
        <w:pStyle w:val="Descripcin"/>
        <w:keepNext/>
        <w:spacing w:before="0" w:after="0"/>
        <w:jc w:val="center"/>
        <w:rPr>
          <w:rFonts w:cs="Arial"/>
          <w:szCs w:val="24"/>
        </w:rPr>
      </w:pPr>
      <w:r w:rsidRPr="00F249A1">
        <w:rPr>
          <w:rFonts w:cs="Arial"/>
          <w:sz w:val="24"/>
          <w:szCs w:val="24"/>
        </w:rPr>
        <w:t xml:space="preserve">Tabla </w:t>
      </w:r>
      <w:r w:rsidRPr="00F249A1">
        <w:rPr>
          <w:rFonts w:cs="Arial"/>
          <w:sz w:val="24"/>
          <w:szCs w:val="24"/>
        </w:rPr>
        <w:fldChar w:fldCharType="begin"/>
      </w:r>
      <w:r w:rsidRPr="00F249A1">
        <w:rPr>
          <w:rFonts w:cs="Arial"/>
          <w:sz w:val="24"/>
          <w:szCs w:val="24"/>
        </w:rPr>
        <w:instrText xml:space="preserve"> SEQ Tabla \* ARABIC </w:instrText>
      </w:r>
      <w:r w:rsidRPr="00F249A1">
        <w:rPr>
          <w:rFonts w:cs="Arial"/>
          <w:sz w:val="24"/>
          <w:szCs w:val="24"/>
        </w:rPr>
        <w:fldChar w:fldCharType="separate"/>
      </w:r>
      <w:r w:rsidR="005B5D07">
        <w:rPr>
          <w:rFonts w:cs="Arial"/>
          <w:noProof/>
          <w:sz w:val="24"/>
          <w:szCs w:val="24"/>
        </w:rPr>
        <w:t>5</w:t>
      </w:r>
      <w:r w:rsidRPr="00F249A1">
        <w:rPr>
          <w:rFonts w:cs="Arial"/>
          <w:sz w:val="24"/>
          <w:szCs w:val="24"/>
        </w:rPr>
        <w:fldChar w:fldCharType="end"/>
      </w:r>
      <w:r w:rsidRPr="00F249A1">
        <w:rPr>
          <w:rFonts w:cs="Arial"/>
          <w:sz w:val="24"/>
          <w:szCs w:val="24"/>
        </w:rPr>
        <w:t xml:space="preserve"> Estructura para la atención de asuntos en materia Penal y Pensión Alimentaria, de las Oficinas que atienden asuntos indígenas, a marzo de 20</w:t>
      </w:r>
      <w:r>
        <w:rPr>
          <w:rFonts w:cs="Arial"/>
          <w:sz w:val="24"/>
          <w:szCs w:val="24"/>
        </w:rPr>
        <w:t>20</w:t>
      </w:r>
    </w:p>
    <w:tbl>
      <w:tblPr>
        <w:tblStyle w:val="Tablaconcuadrcula"/>
        <w:tblW w:w="0" w:type="auto"/>
        <w:jc w:val="center"/>
        <w:tblLook w:val="04A0" w:firstRow="1" w:lastRow="0" w:firstColumn="1" w:lastColumn="0" w:noHBand="0" w:noVBand="1"/>
      </w:tblPr>
      <w:tblGrid>
        <w:gridCol w:w="2689"/>
        <w:gridCol w:w="1984"/>
        <w:gridCol w:w="1948"/>
      </w:tblGrid>
      <w:tr w:rsidR="00F5597E" w:rsidRPr="00F5597E" w14:paraId="1A85B313" w14:textId="77777777" w:rsidTr="00F249A1">
        <w:trPr>
          <w:jc w:val="center"/>
        </w:trPr>
        <w:tc>
          <w:tcPr>
            <w:tcW w:w="2689" w:type="dxa"/>
            <w:shd w:val="clear" w:color="auto" w:fill="1F3864" w:themeFill="accent1" w:themeFillShade="80"/>
            <w:vAlign w:val="center"/>
          </w:tcPr>
          <w:p w14:paraId="337BED7D" w14:textId="4E49D318" w:rsidR="00F5597E" w:rsidRPr="00F249A1" w:rsidRDefault="00C370D2" w:rsidP="00F249A1">
            <w:pPr>
              <w:spacing w:before="0" w:after="0"/>
              <w:jc w:val="center"/>
              <w:rPr>
                <w:rFonts w:eastAsia="Times New Roman" w:cs="Arial"/>
                <w:b/>
                <w:bCs/>
                <w:color w:val="FFFFFF" w:themeColor="background1"/>
                <w:szCs w:val="24"/>
                <w:lang w:eastAsia="es-CR"/>
              </w:rPr>
            </w:pPr>
            <w:r w:rsidRPr="00F249A1">
              <w:rPr>
                <w:rFonts w:eastAsia="Times New Roman" w:cs="Arial"/>
                <w:b/>
                <w:bCs/>
                <w:color w:val="FFFFFF" w:themeColor="background1"/>
                <w:szCs w:val="24"/>
                <w:lang w:eastAsia="es-CR"/>
              </w:rPr>
              <w:t>Cantidad de recurso Defensor por materia</w:t>
            </w:r>
          </w:p>
        </w:tc>
        <w:tc>
          <w:tcPr>
            <w:tcW w:w="1984" w:type="dxa"/>
            <w:shd w:val="clear" w:color="auto" w:fill="1F3864" w:themeFill="accent1" w:themeFillShade="80"/>
            <w:vAlign w:val="center"/>
          </w:tcPr>
          <w:p w14:paraId="3452B43F" w14:textId="149C06AD" w:rsidR="00F5597E" w:rsidRPr="00F249A1" w:rsidRDefault="00F5597E" w:rsidP="00F249A1">
            <w:pPr>
              <w:spacing w:before="0" w:after="0"/>
              <w:jc w:val="center"/>
              <w:rPr>
                <w:rFonts w:eastAsia="Times New Roman" w:cs="Arial"/>
                <w:b/>
                <w:bCs/>
                <w:color w:val="FFFFFF" w:themeColor="background1"/>
                <w:szCs w:val="24"/>
                <w:lang w:eastAsia="es-CR"/>
              </w:rPr>
            </w:pPr>
            <w:r w:rsidRPr="00F249A1">
              <w:rPr>
                <w:rFonts w:eastAsia="Times New Roman" w:cs="Arial"/>
                <w:b/>
                <w:bCs/>
                <w:color w:val="FFFFFF" w:themeColor="background1"/>
                <w:szCs w:val="24"/>
                <w:lang w:eastAsia="es-CR"/>
              </w:rPr>
              <w:t>Penal</w:t>
            </w:r>
          </w:p>
        </w:tc>
        <w:tc>
          <w:tcPr>
            <w:tcW w:w="1948" w:type="dxa"/>
            <w:shd w:val="clear" w:color="auto" w:fill="1F3864" w:themeFill="accent1" w:themeFillShade="80"/>
            <w:vAlign w:val="center"/>
          </w:tcPr>
          <w:p w14:paraId="63D99493" w14:textId="40B8CF13" w:rsidR="00F5597E" w:rsidRPr="00F249A1" w:rsidRDefault="00F5597E" w:rsidP="00F249A1">
            <w:pPr>
              <w:spacing w:before="0" w:after="0"/>
              <w:jc w:val="center"/>
              <w:rPr>
                <w:rFonts w:eastAsia="Times New Roman" w:cs="Arial"/>
                <w:b/>
                <w:bCs/>
                <w:color w:val="FFFFFF" w:themeColor="background1"/>
                <w:szCs w:val="24"/>
                <w:lang w:eastAsia="es-CR"/>
              </w:rPr>
            </w:pPr>
            <w:r w:rsidRPr="00F249A1">
              <w:rPr>
                <w:rFonts w:eastAsia="Times New Roman" w:cs="Arial"/>
                <w:b/>
                <w:bCs/>
                <w:color w:val="FFFFFF" w:themeColor="background1"/>
                <w:szCs w:val="24"/>
                <w:lang w:eastAsia="es-CR"/>
              </w:rPr>
              <w:t>Pensiones alimentarias</w:t>
            </w:r>
          </w:p>
        </w:tc>
      </w:tr>
      <w:tr w:rsidR="00F5597E" w14:paraId="0A582A81" w14:textId="77777777" w:rsidTr="00F249A1">
        <w:trPr>
          <w:jc w:val="center"/>
        </w:trPr>
        <w:tc>
          <w:tcPr>
            <w:tcW w:w="2689" w:type="dxa"/>
          </w:tcPr>
          <w:p w14:paraId="16339E78" w14:textId="44EFC0D7" w:rsidR="00F5597E" w:rsidRPr="00045B8E" w:rsidRDefault="00F5597E" w:rsidP="00F249A1">
            <w:pPr>
              <w:spacing w:before="0" w:after="0"/>
              <w:rPr>
                <w:szCs w:val="24"/>
              </w:rPr>
            </w:pPr>
            <w:r w:rsidRPr="0073164D">
              <w:rPr>
                <w:szCs w:val="24"/>
              </w:rPr>
              <w:t xml:space="preserve">Bribri </w:t>
            </w:r>
          </w:p>
        </w:tc>
        <w:tc>
          <w:tcPr>
            <w:tcW w:w="1984" w:type="dxa"/>
          </w:tcPr>
          <w:p w14:paraId="55532EC5" w14:textId="67CC793A" w:rsidR="00F5597E" w:rsidRPr="00045B8E" w:rsidRDefault="00E823D1" w:rsidP="00F249A1">
            <w:pPr>
              <w:spacing w:before="0" w:after="0"/>
              <w:jc w:val="center"/>
              <w:rPr>
                <w:szCs w:val="24"/>
              </w:rPr>
            </w:pPr>
            <w:r w:rsidRPr="00045B8E">
              <w:rPr>
                <w:szCs w:val="24"/>
              </w:rPr>
              <w:t>4</w:t>
            </w:r>
          </w:p>
        </w:tc>
        <w:tc>
          <w:tcPr>
            <w:tcW w:w="1948" w:type="dxa"/>
          </w:tcPr>
          <w:p w14:paraId="733618D9" w14:textId="3087E0EC" w:rsidR="00F5597E" w:rsidRPr="00EB759D" w:rsidRDefault="00E823D1" w:rsidP="00F249A1">
            <w:pPr>
              <w:spacing w:before="0" w:after="0"/>
              <w:jc w:val="center"/>
              <w:rPr>
                <w:szCs w:val="24"/>
              </w:rPr>
            </w:pPr>
            <w:r w:rsidRPr="009B380E">
              <w:rPr>
                <w:szCs w:val="24"/>
              </w:rPr>
              <w:t>1</w:t>
            </w:r>
          </w:p>
        </w:tc>
      </w:tr>
      <w:tr w:rsidR="00F5597E" w14:paraId="39F9C48D" w14:textId="77777777" w:rsidTr="00F249A1">
        <w:trPr>
          <w:jc w:val="center"/>
        </w:trPr>
        <w:tc>
          <w:tcPr>
            <w:tcW w:w="2689" w:type="dxa"/>
          </w:tcPr>
          <w:p w14:paraId="73635008" w14:textId="63377E01" w:rsidR="00F5597E" w:rsidRPr="00045B8E" w:rsidRDefault="00F5597E" w:rsidP="00F249A1">
            <w:pPr>
              <w:spacing w:before="0" w:after="0"/>
              <w:rPr>
                <w:szCs w:val="24"/>
              </w:rPr>
            </w:pPr>
            <w:r w:rsidRPr="0073164D">
              <w:rPr>
                <w:szCs w:val="24"/>
              </w:rPr>
              <w:t>Buenos Aires</w:t>
            </w:r>
          </w:p>
        </w:tc>
        <w:tc>
          <w:tcPr>
            <w:tcW w:w="1984" w:type="dxa"/>
          </w:tcPr>
          <w:p w14:paraId="44023373" w14:textId="44C81FB8" w:rsidR="00F5597E" w:rsidRPr="00045B8E" w:rsidRDefault="00E823D1" w:rsidP="00F249A1">
            <w:pPr>
              <w:spacing w:before="0" w:after="0"/>
              <w:jc w:val="center"/>
              <w:rPr>
                <w:szCs w:val="24"/>
              </w:rPr>
            </w:pPr>
            <w:r w:rsidRPr="00045B8E">
              <w:rPr>
                <w:szCs w:val="24"/>
              </w:rPr>
              <w:t>3</w:t>
            </w:r>
          </w:p>
        </w:tc>
        <w:tc>
          <w:tcPr>
            <w:tcW w:w="1948" w:type="dxa"/>
          </w:tcPr>
          <w:p w14:paraId="237C9606" w14:textId="24066BA3" w:rsidR="00F5597E" w:rsidRPr="00EB759D" w:rsidRDefault="00E823D1" w:rsidP="00F249A1">
            <w:pPr>
              <w:spacing w:before="0" w:after="0"/>
              <w:jc w:val="center"/>
              <w:rPr>
                <w:szCs w:val="24"/>
              </w:rPr>
            </w:pPr>
            <w:r w:rsidRPr="009B380E">
              <w:rPr>
                <w:szCs w:val="24"/>
              </w:rPr>
              <w:t>-</w:t>
            </w:r>
          </w:p>
        </w:tc>
      </w:tr>
      <w:tr w:rsidR="00F5597E" w14:paraId="0DBB2E82" w14:textId="77777777" w:rsidTr="00F249A1">
        <w:trPr>
          <w:jc w:val="center"/>
        </w:trPr>
        <w:tc>
          <w:tcPr>
            <w:tcW w:w="2689" w:type="dxa"/>
          </w:tcPr>
          <w:p w14:paraId="3DF628EB" w14:textId="2D48F21B" w:rsidR="00F5597E" w:rsidRPr="00045B8E" w:rsidRDefault="00F5597E" w:rsidP="00F249A1">
            <w:pPr>
              <w:spacing w:before="0" w:after="0"/>
              <w:rPr>
                <w:szCs w:val="24"/>
              </w:rPr>
            </w:pPr>
            <w:r w:rsidRPr="0073164D">
              <w:rPr>
                <w:szCs w:val="24"/>
              </w:rPr>
              <w:t xml:space="preserve">Turrialba </w:t>
            </w:r>
          </w:p>
        </w:tc>
        <w:tc>
          <w:tcPr>
            <w:tcW w:w="1984" w:type="dxa"/>
          </w:tcPr>
          <w:p w14:paraId="278C9517" w14:textId="3BA17886" w:rsidR="00F5597E" w:rsidRPr="00045B8E" w:rsidRDefault="00E823D1" w:rsidP="00F249A1">
            <w:pPr>
              <w:spacing w:before="0" w:after="0"/>
              <w:jc w:val="center"/>
              <w:rPr>
                <w:szCs w:val="24"/>
              </w:rPr>
            </w:pPr>
            <w:r w:rsidRPr="00045B8E">
              <w:rPr>
                <w:szCs w:val="24"/>
              </w:rPr>
              <w:t>5</w:t>
            </w:r>
          </w:p>
        </w:tc>
        <w:tc>
          <w:tcPr>
            <w:tcW w:w="1948" w:type="dxa"/>
          </w:tcPr>
          <w:p w14:paraId="57406567" w14:textId="3C997EF4" w:rsidR="00F5597E" w:rsidRPr="00EB759D" w:rsidRDefault="00E823D1" w:rsidP="00F249A1">
            <w:pPr>
              <w:spacing w:before="0" w:after="0"/>
              <w:jc w:val="center"/>
              <w:rPr>
                <w:szCs w:val="24"/>
              </w:rPr>
            </w:pPr>
            <w:r w:rsidRPr="009B380E">
              <w:rPr>
                <w:szCs w:val="24"/>
              </w:rPr>
              <w:t>1</w:t>
            </w:r>
          </w:p>
        </w:tc>
      </w:tr>
      <w:tr w:rsidR="00F5597E" w14:paraId="04570C65" w14:textId="77777777" w:rsidTr="00F249A1">
        <w:trPr>
          <w:jc w:val="center"/>
        </w:trPr>
        <w:tc>
          <w:tcPr>
            <w:tcW w:w="2689" w:type="dxa"/>
          </w:tcPr>
          <w:p w14:paraId="4E786924" w14:textId="7D9BE082" w:rsidR="00F5597E" w:rsidRPr="00045B8E" w:rsidRDefault="00F5597E" w:rsidP="00F249A1">
            <w:pPr>
              <w:spacing w:before="0" w:after="0"/>
              <w:rPr>
                <w:szCs w:val="24"/>
              </w:rPr>
            </w:pPr>
            <w:r w:rsidRPr="0073164D">
              <w:rPr>
                <w:szCs w:val="24"/>
              </w:rPr>
              <w:t xml:space="preserve">Limón </w:t>
            </w:r>
          </w:p>
        </w:tc>
        <w:tc>
          <w:tcPr>
            <w:tcW w:w="1984" w:type="dxa"/>
          </w:tcPr>
          <w:p w14:paraId="7C66779F" w14:textId="61A69092" w:rsidR="00F5597E" w:rsidRPr="00045B8E" w:rsidRDefault="00E823D1" w:rsidP="00F249A1">
            <w:pPr>
              <w:spacing w:before="0" w:after="0"/>
              <w:jc w:val="center"/>
              <w:rPr>
                <w:szCs w:val="24"/>
              </w:rPr>
            </w:pPr>
            <w:r w:rsidRPr="00045B8E">
              <w:rPr>
                <w:szCs w:val="24"/>
              </w:rPr>
              <w:t>12</w:t>
            </w:r>
          </w:p>
        </w:tc>
        <w:tc>
          <w:tcPr>
            <w:tcW w:w="1948" w:type="dxa"/>
          </w:tcPr>
          <w:p w14:paraId="0207FE09" w14:textId="1532679C" w:rsidR="00F5597E" w:rsidRPr="00EB759D" w:rsidRDefault="00E823D1" w:rsidP="00F249A1">
            <w:pPr>
              <w:spacing w:before="0" w:after="0"/>
              <w:jc w:val="center"/>
              <w:rPr>
                <w:szCs w:val="24"/>
              </w:rPr>
            </w:pPr>
            <w:r w:rsidRPr="009B380E">
              <w:rPr>
                <w:szCs w:val="24"/>
              </w:rPr>
              <w:t>3</w:t>
            </w:r>
          </w:p>
        </w:tc>
      </w:tr>
      <w:tr w:rsidR="00F5597E" w14:paraId="0F9CDC61" w14:textId="77777777" w:rsidTr="00F249A1">
        <w:trPr>
          <w:jc w:val="center"/>
        </w:trPr>
        <w:tc>
          <w:tcPr>
            <w:tcW w:w="2689" w:type="dxa"/>
          </w:tcPr>
          <w:p w14:paraId="5D4C523D" w14:textId="5E4647E9" w:rsidR="00F5597E" w:rsidRPr="00045B8E" w:rsidRDefault="00F5597E" w:rsidP="00F249A1">
            <w:pPr>
              <w:spacing w:before="0" w:after="0"/>
              <w:rPr>
                <w:szCs w:val="24"/>
              </w:rPr>
            </w:pPr>
            <w:r w:rsidRPr="0073164D">
              <w:rPr>
                <w:szCs w:val="24"/>
              </w:rPr>
              <w:t xml:space="preserve">Coto Brus </w:t>
            </w:r>
          </w:p>
        </w:tc>
        <w:tc>
          <w:tcPr>
            <w:tcW w:w="1984" w:type="dxa"/>
          </w:tcPr>
          <w:p w14:paraId="53FBC54D" w14:textId="67A81B0C" w:rsidR="00F5597E" w:rsidRPr="00045B8E" w:rsidRDefault="00E823D1" w:rsidP="00F249A1">
            <w:pPr>
              <w:spacing w:before="0" w:after="0"/>
              <w:jc w:val="center"/>
              <w:rPr>
                <w:szCs w:val="24"/>
              </w:rPr>
            </w:pPr>
            <w:r w:rsidRPr="00045B8E">
              <w:rPr>
                <w:szCs w:val="24"/>
              </w:rPr>
              <w:t>2</w:t>
            </w:r>
          </w:p>
        </w:tc>
        <w:tc>
          <w:tcPr>
            <w:tcW w:w="1948" w:type="dxa"/>
          </w:tcPr>
          <w:p w14:paraId="7CCCFE53" w14:textId="37229558" w:rsidR="00F5597E" w:rsidRPr="00EB759D" w:rsidRDefault="00E823D1" w:rsidP="00F249A1">
            <w:pPr>
              <w:spacing w:before="0" w:after="0"/>
              <w:jc w:val="center"/>
              <w:rPr>
                <w:szCs w:val="24"/>
              </w:rPr>
            </w:pPr>
            <w:r w:rsidRPr="009B380E">
              <w:rPr>
                <w:szCs w:val="24"/>
              </w:rPr>
              <w:t>-</w:t>
            </w:r>
          </w:p>
        </w:tc>
      </w:tr>
    </w:tbl>
    <w:p w14:paraId="3B0023D6" w14:textId="245701D9" w:rsidR="00F5597E" w:rsidRPr="008D2522" w:rsidRDefault="00F5597E" w:rsidP="00F249A1">
      <w:pPr>
        <w:spacing w:after="0"/>
        <w:rPr>
          <w:rFonts w:eastAsia="Arial" w:cs="Arial"/>
          <w:sz w:val="20"/>
          <w:szCs w:val="20"/>
        </w:rPr>
      </w:pPr>
      <w:r w:rsidRPr="008D2522">
        <w:rPr>
          <w:rFonts w:eastAsia="Arial" w:cs="Arial"/>
          <w:b/>
          <w:bCs/>
          <w:sz w:val="20"/>
          <w:szCs w:val="20"/>
        </w:rPr>
        <w:t>Fuente:</w:t>
      </w:r>
      <w:r w:rsidRPr="008D2522">
        <w:rPr>
          <w:rFonts w:eastAsia="Arial" w:cs="Arial"/>
          <w:sz w:val="20"/>
          <w:szCs w:val="20"/>
        </w:rPr>
        <w:t xml:space="preserve"> Subproceso de Modernización Institucional, de la Dirección de Planificación con datos facilitados por la</w:t>
      </w:r>
      <w:r w:rsidR="00440263">
        <w:rPr>
          <w:rFonts w:eastAsia="Arial" w:cs="Arial"/>
          <w:sz w:val="20"/>
          <w:szCs w:val="20"/>
        </w:rPr>
        <w:t>s oficinas</w:t>
      </w:r>
      <w:r w:rsidRPr="008D2522">
        <w:rPr>
          <w:rFonts w:eastAsia="Arial" w:cs="Arial"/>
          <w:sz w:val="20"/>
          <w:szCs w:val="20"/>
        </w:rPr>
        <w:t xml:space="preserve"> de la Defensa Pública.</w:t>
      </w:r>
    </w:p>
    <w:p w14:paraId="1F5AD6B0" w14:textId="2AF63C8F" w:rsidR="00632C55" w:rsidRPr="00163514" w:rsidRDefault="00440263" w:rsidP="00163514">
      <w:pPr>
        <w:spacing w:line="240" w:lineRule="auto"/>
        <w:rPr>
          <w:rFonts w:ascii="Book Antiqua" w:hAnsi="Book Antiqua"/>
        </w:rPr>
      </w:pPr>
      <w:r w:rsidRPr="00163514">
        <w:rPr>
          <w:rFonts w:ascii="Book Antiqua" w:hAnsi="Book Antiqua"/>
        </w:rPr>
        <w:t xml:space="preserve">Haciendo la comparación de la estructura </w:t>
      </w:r>
      <w:r w:rsidR="009B7200" w:rsidRPr="00163514">
        <w:rPr>
          <w:rFonts w:ascii="Book Antiqua" w:hAnsi="Book Antiqua"/>
        </w:rPr>
        <w:t xml:space="preserve">organizacional </w:t>
      </w:r>
      <w:r w:rsidRPr="00163514">
        <w:rPr>
          <w:rFonts w:ascii="Book Antiqua" w:hAnsi="Book Antiqua"/>
        </w:rPr>
        <w:t xml:space="preserve">con la que contaba cada una de las oficinas mencionadas en la tabla anterior, con base en el informe 634-PLA-RH-MI-2019 y la minuta </w:t>
      </w:r>
      <w:r w:rsidR="009B7200" w:rsidRPr="00163514">
        <w:rPr>
          <w:rFonts w:ascii="Book Antiqua" w:hAnsi="Book Antiqua"/>
        </w:rPr>
        <w:t>48-PLA-MI-MNTA-2019, se infiere que la Jefatura de la Defensa Pública reforzó el personal defensor para la tramitación de asuntos penales, haciendo traslado de recursos de Defensora o Defensor Público, como fue el caso de la Defensa Pública de Bribri y Buenos Aires.</w:t>
      </w:r>
    </w:p>
    <w:p w14:paraId="3E4F8FCE" w14:textId="2E003B27" w:rsidR="007C2311" w:rsidRPr="00163514" w:rsidRDefault="007C2311" w:rsidP="00163514">
      <w:pPr>
        <w:spacing w:line="240" w:lineRule="auto"/>
        <w:rPr>
          <w:rFonts w:ascii="Book Antiqua" w:hAnsi="Book Antiqua"/>
        </w:rPr>
      </w:pPr>
      <w:r w:rsidRPr="00163514">
        <w:rPr>
          <w:rFonts w:ascii="Book Antiqua" w:hAnsi="Book Antiqua"/>
        </w:rPr>
        <w:lastRenderedPageBreak/>
        <w:t>Por último, es importante aclarar que, a pesar de que en la tabla anterior se evidencie que algunas oficinas no cuentan con recursos de Defensora o Defensor Público en materia de Pensiones Alimentarias, para poder tramitar adecuadamente estos asuntos</w:t>
      </w:r>
      <w:r w:rsidR="00930017" w:rsidRPr="00163514">
        <w:rPr>
          <w:rFonts w:ascii="Book Antiqua" w:hAnsi="Book Antiqua"/>
        </w:rPr>
        <w:t>,</w:t>
      </w:r>
      <w:r w:rsidRPr="00163514">
        <w:rPr>
          <w:rFonts w:ascii="Book Antiqua" w:hAnsi="Book Antiqua"/>
        </w:rPr>
        <w:t xml:space="preserve"> reciben colaboración de oficinas cercanas. Tal es el caso de la Defensa Pública de Bribri, que recibe colaboración de la oficina de Limón; así como, la Defensa Pública de Buenos Aires mantiene colaboración de Pérez Zeledón </w:t>
      </w:r>
    </w:p>
    <w:p w14:paraId="600A22D2" w14:textId="77777777" w:rsidR="008F5912" w:rsidRPr="00163514" w:rsidRDefault="009B7200" w:rsidP="00163514">
      <w:pPr>
        <w:spacing w:line="240" w:lineRule="auto"/>
        <w:rPr>
          <w:rFonts w:ascii="Book Antiqua" w:hAnsi="Book Antiqua"/>
        </w:rPr>
      </w:pPr>
      <w:r w:rsidRPr="00163514">
        <w:rPr>
          <w:rFonts w:ascii="Book Antiqua" w:hAnsi="Book Antiqua"/>
        </w:rPr>
        <w:t>Para la tramitación de asuntos de Pensiones Alimentarias, la Defensa Pública de Limón le brinda colaboración a la oficina de Bribri</w:t>
      </w:r>
      <w:r w:rsidR="00245967" w:rsidRPr="00163514">
        <w:rPr>
          <w:rFonts w:ascii="Book Antiqua" w:hAnsi="Book Antiqua"/>
        </w:rPr>
        <w:t xml:space="preserve"> para la representación de las personas usuarias indígenas demandadas. A</w:t>
      </w:r>
      <w:r w:rsidR="007C2311" w:rsidRPr="00163514">
        <w:rPr>
          <w:rFonts w:ascii="Book Antiqua" w:hAnsi="Book Antiqua"/>
        </w:rPr>
        <w:t>sí</w:t>
      </w:r>
      <w:r w:rsidRPr="00163514">
        <w:rPr>
          <w:rFonts w:ascii="Book Antiqua" w:hAnsi="Book Antiqua"/>
        </w:rPr>
        <w:t xml:space="preserve"> como, la Defensa Pública de Pérez Zeledón le brinda colaboración a Buenos Aires</w:t>
      </w:r>
      <w:r w:rsidR="00245967" w:rsidRPr="00163514">
        <w:rPr>
          <w:rFonts w:ascii="Book Antiqua" w:hAnsi="Book Antiqua"/>
        </w:rPr>
        <w:t xml:space="preserve">, siendo </w:t>
      </w:r>
      <w:r w:rsidR="007C2311" w:rsidRPr="00163514">
        <w:rPr>
          <w:rFonts w:ascii="Book Antiqua" w:hAnsi="Book Antiqua"/>
        </w:rPr>
        <w:t xml:space="preserve">dos profesionales </w:t>
      </w:r>
      <w:r w:rsidR="00245967" w:rsidRPr="00163514">
        <w:rPr>
          <w:rFonts w:ascii="Book Antiqua" w:hAnsi="Book Antiqua"/>
        </w:rPr>
        <w:t xml:space="preserve">los que se </w:t>
      </w:r>
      <w:r w:rsidR="007C2311" w:rsidRPr="00163514">
        <w:rPr>
          <w:rFonts w:ascii="Book Antiqua" w:hAnsi="Book Antiqua"/>
        </w:rPr>
        <w:t>trasladan a la oficina</w:t>
      </w:r>
      <w:r w:rsidR="00245967" w:rsidRPr="00163514">
        <w:rPr>
          <w:rFonts w:ascii="Book Antiqua" w:hAnsi="Book Antiqua"/>
        </w:rPr>
        <w:t xml:space="preserve"> para poder representar a las personas usuarias indígenas ofendidas y demandas. </w:t>
      </w:r>
    </w:p>
    <w:p w14:paraId="3F0FDEA8" w14:textId="22019DEE" w:rsidR="005A25AF" w:rsidRPr="00163514" w:rsidRDefault="00245967" w:rsidP="00163514">
      <w:pPr>
        <w:spacing w:line="240" w:lineRule="auto"/>
        <w:rPr>
          <w:rFonts w:ascii="Book Antiqua" w:hAnsi="Book Antiqua"/>
        </w:rPr>
      </w:pPr>
      <w:r w:rsidRPr="00163514">
        <w:rPr>
          <w:rFonts w:ascii="Book Antiqua" w:hAnsi="Book Antiqua"/>
        </w:rPr>
        <w:t xml:space="preserve">Además, la Defensa Pública de Turrialba recibe colaboración de Cartago (un día por semana) y, la Defensa Pública de Coto Brus mantiene colaboración de Corredores (un día por semana). En este último despacho, aunque no se cuente en la estructura organizacional ordinaria con una persona defensora especializada en Pensiones Alimentarias, una Defensora o Defensor Público de materia penal mantiene un recargo de Pensiones Alimentarias. </w:t>
      </w:r>
    </w:p>
    <w:p w14:paraId="33146E30" w14:textId="77777777" w:rsidR="005C038B" w:rsidRPr="008D2522" w:rsidRDefault="005C038B" w:rsidP="00127E8E"/>
    <w:p w14:paraId="0FA95435" w14:textId="28E3E2FF" w:rsidR="25EB7DEA" w:rsidRPr="00127E8E" w:rsidRDefault="25EB7DEA" w:rsidP="00410F64">
      <w:pPr>
        <w:pStyle w:val="Ttulo3"/>
      </w:pPr>
      <w:r w:rsidRPr="00127E8E">
        <w:t xml:space="preserve">Atención de asuntos </w:t>
      </w:r>
      <w:r w:rsidR="2BFE8007" w:rsidRPr="00127E8E">
        <w:t xml:space="preserve">con persona usuaria indígena en el Tribunal </w:t>
      </w:r>
      <w:r w:rsidRPr="00127E8E">
        <w:t>Contenciosos Administrativo</w:t>
      </w:r>
    </w:p>
    <w:p w14:paraId="460C0DA4" w14:textId="260819CE" w:rsidR="7130346C" w:rsidRPr="00163514" w:rsidRDefault="7130346C" w:rsidP="00163514">
      <w:pPr>
        <w:spacing w:line="240" w:lineRule="auto"/>
        <w:rPr>
          <w:rFonts w:ascii="Book Antiqua" w:hAnsi="Book Antiqua"/>
        </w:rPr>
      </w:pPr>
      <w:r w:rsidRPr="00163514">
        <w:rPr>
          <w:rFonts w:ascii="Book Antiqua" w:hAnsi="Book Antiqua"/>
        </w:rPr>
        <w:t>En consulta a los</w:t>
      </w:r>
      <w:r w:rsidR="3E317BB3" w:rsidRPr="00163514">
        <w:rPr>
          <w:rFonts w:ascii="Book Antiqua" w:hAnsi="Book Antiqua"/>
        </w:rPr>
        <w:t xml:space="preserve"> servidores judiciales</w:t>
      </w:r>
      <w:r w:rsidRPr="00163514">
        <w:rPr>
          <w:rFonts w:ascii="Book Antiqua" w:hAnsi="Book Antiqua"/>
        </w:rPr>
        <w:t xml:space="preserve"> del Tribunal Contencioso Administrativo, </w:t>
      </w:r>
      <w:r w:rsidR="3630CB70" w:rsidRPr="00163514">
        <w:rPr>
          <w:rFonts w:ascii="Book Antiqua" w:hAnsi="Book Antiqua"/>
        </w:rPr>
        <w:t>mediante el correo enviado a la cuenta oficial del despacho el 03 de febrero de 2020,</w:t>
      </w:r>
      <w:r w:rsidR="2AB68A0F" w:rsidRPr="00163514">
        <w:rPr>
          <w:rFonts w:ascii="Book Antiqua" w:hAnsi="Book Antiqua"/>
        </w:rPr>
        <w:t xml:space="preserve"> </w:t>
      </w:r>
      <w:r w:rsidR="7AC50D62" w:rsidRPr="00163514">
        <w:rPr>
          <w:rFonts w:ascii="Book Antiqua" w:hAnsi="Book Antiqua"/>
        </w:rPr>
        <w:t>se indica literalmente que:</w:t>
      </w:r>
    </w:p>
    <w:p w14:paraId="3B4912FA" w14:textId="3DB703FE" w:rsidR="7AC50D62" w:rsidRPr="00163514" w:rsidRDefault="7AC50D62" w:rsidP="00127E8E">
      <w:pPr>
        <w:ind w:left="708"/>
        <w:rPr>
          <w:rFonts w:ascii="Book Antiqua" w:hAnsi="Book Antiqua"/>
          <w:i/>
          <w:iCs/>
          <w:noProof/>
        </w:rPr>
      </w:pPr>
      <w:r w:rsidRPr="00163514">
        <w:rPr>
          <w:rFonts w:ascii="Book Antiqua" w:hAnsi="Book Antiqua"/>
          <w:i/>
          <w:iCs/>
          <w:noProof/>
        </w:rPr>
        <w:t>“</w:t>
      </w:r>
      <w:r w:rsidR="3CB12B4C" w:rsidRPr="00163514">
        <w:rPr>
          <w:rFonts w:ascii="Book Antiqua" w:hAnsi="Book Antiqua"/>
          <w:i/>
          <w:iCs/>
          <w:noProof/>
        </w:rPr>
        <w:t xml:space="preserve">(...) </w:t>
      </w:r>
      <w:r w:rsidRPr="00163514">
        <w:rPr>
          <w:rFonts w:ascii="Book Antiqua" w:hAnsi="Book Antiqua"/>
          <w:i/>
          <w:iCs/>
          <w:noProof/>
        </w:rPr>
        <w:t>En este despacho se continúa trabajando con los filtros que se indican en el Sistema de Ges</w:t>
      </w:r>
      <w:r w:rsidR="21BFEB73" w:rsidRPr="00163514">
        <w:rPr>
          <w:rFonts w:ascii="Book Antiqua" w:hAnsi="Book Antiqua"/>
          <w:i/>
          <w:iCs/>
          <w:noProof/>
        </w:rPr>
        <w:t>ti</w:t>
      </w:r>
      <w:r w:rsidRPr="00163514">
        <w:rPr>
          <w:rFonts w:ascii="Book Antiqua" w:hAnsi="Book Antiqua"/>
          <w:i/>
          <w:iCs/>
          <w:noProof/>
        </w:rPr>
        <w:t>ón, aún no contamos con mejoras para determinar la cantidad de procesos de personas servidoras judiciales y en el caso de las personas indígenas, al igual que hace un año se pueden filtrar únicamente los procesos en los cuales se encuentran como parte alguna asociación indígena o la Comisión Nacional de Asuntos Indígenas, como se muestra en cuadro adjunto.”</w:t>
      </w:r>
    </w:p>
    <w:p w14:paraId="7305423F" w14:textId="3DA78EFC" w:rsidR="00F24EC7" w:rsidRPr="00163514" w:rsidRDefault="4D2C30BE" w:rsidP="00163514">
      <w:pPr>
        <w:spacing w:line="240" w:lineRule="auto"/>
        <w:rPr>
          <w:rFonts w:ascii="Book Antiqua" w:hAnsi="Book Antiqua"/>
        </w:rPr>
      </w:pPr>
      <w:r w:rsidRPr="00163514">
        <w:rPr>
          <w:rFonts w:ascii="Book Antiqua" w:hAnsi="Book Antiqua"/>
        </w:rPr>
        <w:lastRenderedPageBreak/>
        <w:t xml:space="preserve">En razón de lo anterior, se </w:t>
      </w:r>
      <w:r w:rsidR="00F24EC7" w:rsidRPr="00163514">
        <w:rPr>
          <w:rFonts w:ascii="Book Antiqua" w:hAnsi="Book Antiqua"/>
        </w:rPr>
        <w:t xml:space="preserve">puede decir que, al 03 de febrero de 2020, los filtros con los que cuentan los sistemas informáticos del Tribunal Contencioso Administrativo no permiten determinar la cantidad de procesos donde intervenga al menos una persona usuaria indígena o una persona servidora judicial, según las recomendaciones emitidas en el informe </w:t>
      </w:r>
      <w:r w:rsidR="00F24EC7" w:rsidRPr="00163514">
        <w:rPr>
          <w:rFonts w:ascii="Book Antiqua" w:hAnsi="Book Antiqua" w:cs="Arial"/>
          <w:b/>
          <w:bCs/>
        </w:rPr>
        <w:t xml:space="preserve">634-PLA-RH-MI-2019 </w:t>
      </w:r>
      <w:r w:rsidR="00F24EC7" w:rsidRPr="00163514">
        <w:rPr>
          <w:rFonts w:ascii="Book Antiqua" w:hAnsi="Book Antiqua" w:cs="Arial"/>
          <w:b/>
          <w:bCs/>
          <w:i/>
          <w:iCs/>
        </w:rPr>
        <w:t>“Impacto organizacional y presupuestario en el Poder Judicial, (Defensa Pública) a partir de la promulgación de la Ley 9593 de Acceso a la Justicia de los Pueblos Indígenas (incluye materia disciplinaria, agraria y pensión alimentaria)”</w:t>
      </w:r>
      <w:r w:rsidR="00F24EC7" w:rsidRPr="00163514">
        <w:rPr>
          <w:rFonts w:ascii="Book Antiqua" w:hAnsi="Book Antiqua" w:cs="Arial"/>
        </w:rPr>
        <w:t>.</w:t>
      </w:r>
    </w:p>
    <w:p w14:paraId="5FA1E6A6" w14:textId="1634A69B" w:rsidR="4D2C30BE" w:rsidRPr="00163514" w:rsidRDefault="00F24EC7" w:rsidP="00163514">
      <w:pPr>
        <w:spacing w:line="240" w:lineRule="auto"/>
        <w:rPr>
          <w:rFonts w:ascii="Book Antiqua" w:hAnsi="Book Antiqua"/>
        </w:rPr>
      </w:pPr>
      <w:r w:rsidRPr="00163514">
        <w:rPr>
          <w:rFonts w:ascii="Book Antiqua" w:hAnsi="Book Antiqua"/>
        </w:rPr>
        <w:t xml:space="preserve">Seguido, se </w:t>
      </w:r>
      <w:r w:rsidR="4D2C30BE" w:rsidRPr="00163514">
        <w:rPr>
          <w:rFonts w:ascii="Book Antiqua" w:hAnsi="Book Antiqua"/>
        </w:rPr>
        <w:t>procede al an</w:t>
      </w:r>
      <w:r w:rsidR="42B70004" w:rsidRPr="00163514">
        <w:rPr>
          <w:rFonts w:ascii="Book Antiqua" w:hAnsi="Book Antiqua"/>
        </w:rPr>
        <w:t>á</w:t>
      </w:r>
      <w:r w:rsidR="4D2C30BE" w:rsidRPr="00163514">
        <w:rPr>
          <w:rFonts w:ascii="Book Antiqua" w:hAnsi="Book Antiqua"/>
        </w:rPr>
        <w:t>lisis del archivo suministra</w:t>
      </w:r>
      <w:r w:rsidR="3BE88210" w:rsidRPr="00163514">
        <w:rPr>
          <w:rFonts w:ascii="Book Antiqua" w:hAnsi="Book Antiqua"/>
        </w:rPr>
        <w:t>d</w:t>
      </w:r>
      <w:r w:rsidR="4D2C30BE" w:rsidRPr="00163514">
        <w:rPr>
          <w:rFonts w:ascii="Book Antiqua" w:hAnsi="Book Antiqua"/>
        </w:rPr>
        <w:t>o</w:t>
      </w:r>
      <w:r w:rsidR="097FF6A7" w:rsidRPr="00163514">
        <w:rPr>
          <w:rFonts w:ascii="Book Antiqua" w:hAnsi="Book Antiqua"/>
        </w:rPr>
        <w:t>,</w:t>
      </w:r>
      <w:r w:rsidR="4D2C30BE" w:rsidRPr="00163514">
        <w:rPr>
          <w:rFonts w:ascii="Book Antiqua" w:hAnsi="Book Antiqua"/>
        </w:rPr>
        <w:t xml:space="preserve"> entendiendo las observaciones señaladas por el persona</w:t>
      </w:r>
      <w:r w:rsidR="478D9848" w:rsidRPr="00163514">
        <w:rPr>
          <w:rFonts w:ascii="Book Antiqua" w:hAnsi="Book Antiqua"/>
        </w:rPr>
        <w:t>l</w:t>
      </w:r>
      <w:r w:rsidR="4D2C30BE" w:rsidRPr="00163514">
        <w:rPr>
          <w:rFonts w:ascii="Book Antiqua" w:hAnsi="Book Antiqua"/>
        </w:rPr>
        <w:t xml:space="preserve"> judicial del despacho</w:t>
      </w:r>
      <w:r w:rsidR="120E4236" w:rsidRPr="00163514">
        <w:rPr>
          <w:rFonts w:ascii="Book Antiqua" w:hAnsi="Book Antiqua"/>
        </w:rPr>
        <w:t xml:space="preserve">, donde </w:t>
      </w:r>
      <w:r w:rsidR="53D274C9" w:rsidRPr="00163514">
        <w:rPr>
          <w:rFonts w:ascii="Book Antiqua" w:hAnsi="Book Antiqua"/>
        </w:rPr>
        <w:t>se registran 257 números de expedientes</w:t>
      </w:r>
      <w:r w:rsidR="30AA776C" w:rsidRPr="00163514">
        <w:rPr>
          <w:rFonts w:ascii="Book Antiqua" w:hAnsi="Book Antiqua"/>
        </w:rPr>
        <w:t xml:space="preserve"> atendidos por el Tribunal </w:t>
      </w:r>
      <w:r w:rsidR="00127E8E" w:rsidRPr="00163514">
        <w:rPr>
          <w:rFonts w:ascii="Book Antiqua" w:hAnsi="Book Antiqua"/>
        </w:rPr>
        <w:t>Contencioso</w:t>
      </w:r>
      <w:r w:rsidR="30AA776C" w:rsidRPr="00163514">
        <w:rPr>
          <w:rFonts w:ascii="Book Antiqua" w:hAnsi="Book Antiqua"/>
        </w:rPr>
        <w:t xml:space="preserve"> Administrativo. Mientras que, </w:t>
      </w:r>
      <w:r w:rsidR="5C536B46" w:rsidRPr="00163514">
        <w:rPr>
          <w:rFonts w:ascii="Book Antiqua" w:hAnsi="Book Antiqua"/>
        </w:rPr>
        <w:t>al cierre de enero 2019</w:t>
      </w:r>
      <w:r w:rsidR="7912350D" w:rsidRPr="00163514">
        <w:rPr>
          <w:rFonts w:ascii="Book Antiqua" w:hAnsi="Book Antiqua"/>
        </w:rPr>
        <w:t>, en el informe</w:t>
      </w:r>
      <w:r w:rsidR="7912350D" w:rsidRPr="00163514">
        <w:rPr>
          <w:rFonts w:ascii="Book Antiqua" w:eastAsia="Arial" w:hAnsi="Book Antiqua" w:cs="Arial"/>
          <w:noProof/>
        </w:rPr>
        <w:t xml:space="preserve"> </w:t>
      </w:r>
      <w:r w:rsidR="7912350D" w:rsidRPr="00163514">
        <w:rPr>
          <w:rFonts w:ascii="Book Antiqua" w:hAnsi="Book Antiqua" w:cs="Arial"/>
          <w:b/>
          <w:bCs/>
        </w:rPr>
        <w:t xml:space="preserve">634-PLA-RH-MI-2019 </w:t>
      </w:r>
      <w:r w:rsidR="7912350D" w:rsidRPr="00163514">
        <w:rPr>
          <w:rFonts w:ascii="Book Antiqua" w:hAnsi="Book Antiqua" w:cs="Arial"/>
          <w:b/>
          <w:bCs/>
          <w:i/>
          <w:iCs/>
        </w:rPr>
        <w:t>“Impacto organizacional y presupuestario en el Poder Judicial, (Defensa Pública) a partir de la promulgación de la Ley 9593 de Acceso a la Justicia de los Pueblos Indígenas (incluye materia disciplinaria, agraria y pensión alimentaria)”</w:t>
      </w:r>
      <w:r w:rsidR="7912350D" w:rsidRPr="00163514">
        <w:rPr>
          <w:rFonts w:ascii="Book Antiqua" w:hAnsi="Book Antiqua" w:cs="Arial"/>
        </w:rPr>
        <w:t xml:space="preserve">, </w:t>
      </w:r>
      <w:r w:rsidR="7912350D" w:rsidRPr="00163514">
        <w:rPr>
          <w:rFonts w:ascii="Book Antiqua" w:hAnsi="Book Antiqua"/>
        </w:rPr>
        <w:t xml:space="preserve">se reportan </w:t>
      </w:r>
      <w:r w:rsidR="5243396B" w:rsidRPr="00163514">
        <w:rPr>
          <w:rFonts w:ascii="Book Antiqua" w:hAnsi="Book Antiqua"/>
        </w:rPr>
        <w:t xml:space="preserve">240 expedientes. </w:t>
      </w:r>
      <w:r w:rsidR="0E0D8B39" w:rsidRPr="00163514">
        <w:rPr>
          <w:rFonts w:ascii="Book Antiqua" w:hAnsi="Book Antiqua"/>
        </w:rPr>
        <w:t xml:space="preserve">Por lo que, se puede </w:t>
      </w:r>
      <w:r w:rsidR="0D8DA0E1" w:rsidRPr="00163514">
        <w:rPr>
          <w:rFonts w:ascii="Book Antiqua" w:hAnsi="Book Antiqua"/>
        </w:rPr>
        <w:t xml:space="preserve">inferir </w:t>
      </w:r>
      <w:r w:rsidR="0E0D8B39" w:rsidRPr="00163514">
        <w:rPr>
          <w:rFonts w:ascii="Book Antiqua" w:hAnsi="Book Antiqua"/>
        </w:rPr>
        <w:t xml:space="preserve">que, </w:t>
      </w:r>
      <w:r w:rsidR="535AC84F" w:rsidRPr="00163514">
        <w:rPr>
          <w:rFonts w:ascii="Book Antiqua" w:hAnsi="Book Antiqua"/>
        </w:rPr>
        <w:t xml:space="preserve">en el año 2019 ingresaron </w:t>
      </w:r>
      <w:r w:rsidR="0E0D8B39" w:rsidRPr="00163514">
        <w:rPr>
          <w:rFonts w:ascii="Book Antiqua" w:hAnsi="Book Antiqua"/>
        </w:rPr>
        <w:t>17 asuntos</w:t>
      </w:r>
      <w:r w:rsidR="7870E1C8" w:rsidRPr="00163514">
        <w:rPr>
          <w:rFonts w:ascii="Book Antiqua" w:hAnsi="Book Antiqua"/>
        </w:rPr>
        <w:t>, el equivalente a 1,41 asuntos por mes</w:t>
      </w:r>
      <w:r w:rsidR="0E0D8B39" w:rsidRPr="00163514">
        <w:rPr>
          <w:rFonts w:ascii="Book Antiqua" w:hAnsi="Book Antiqua"/>
        </w:rPr>
        <w:t xml:space="preserve">. </w:t>
      </w:r>
    </w:p>
    <w:p w14:paraId="754D00BC" w14:textId="1BD5538D" w:rsidR="5243396B" w:rsidRPr="00163514" w:rsidRDefault="5243396B" w:rsidP="00163514">
      <w:pPr>
        <w:spacing w:line="240" w:lineRule="auto"/>
        <w:rPr>
          <w:rFonts w:ascii="Book Antiqua" w:hAnsi="Book Antiqua"/>
        </w:rPr>
      </w:pPr>
      <w:r w:rsidRPr="00163514">
        <w:rPr>
          <w:rFonts w:ascii="Book Antiqua" w:hAnsi="Book Antiqua"/>
        </w:rPr>
        <w:t>Es importante aclarar que, los expedientes reportados por el Tribunal Contencioso en los cuales se incluye como parte una asociación de personas indígenas o la Comisión Nac</w:t>
      </w:r>
      <w:r w:rsidR="2C9588AB" w:rsidRPr="00163514">
        <w:rPr>
          <w:rFonts w:ascii="Book Antiqua" w:hAnsi="Book Antiqua"/>
        </w:rPr>
        <w:t xml:space="preserve">ional de Asuntos Indígenas, </w:t>
      </w:r>
      <w:r w:rsidR="5744902F" w:rsidRPr="00163514">
        <w:rPr>
          <w:rFonts w:ascii="Book Antiqua" w:hAnsi="Book Antiqua"/>
        </w:rPr>
        <w:t xml:space="preserve">contabiliza </w:t>
      </w:r>
      <w:r w:rsidR="7DDFA46F" w:rsidRPr="00163514">
        <w:rPr>
          <w:rFonts w:ascii="Book Antiqua" w:hAnsi="Book Antiqua"/>
        </w:rPr>
        <w:t>la totalidad de expedientes ingresados al Sistema de Gestión</w:t>
      </w:r>
      <w:r w:rsidR="08CC84E4" w:rsidRPr="00163514">
        <w:rPr>
          <w:rFonts w:ascii="Book Antiqua" w:hAnsi="Book Antiqua"/>
        </w:rPr>
        <w:t xml:space="preserve"> del despacho</w:t>
      </w:r>
      <w:r w:rsidR="7DDFA46F" w:rsidRPr="00163514">
        <w:rPr>
          <w:rFonts w:ascii="Book Antiqua" w:hAnsi="Book Antiqua"/>
        </w:rPr>
        <w:t xml:space="preserve">, </w:t>
      </w:r>
      <w:r w:rsidR="2ABF5CF8" w:rsidRPr="00163514">
        <w:rPr>
          <w:rFonts w:ascii="Book Antiqua" w:hAnsi="Book Antiqua"/>
        </w:rPr>
        <w:t xml:space="preserve">inclusive los archivados, pasivos o los que se encuentran asignados a alguna persona servidora del despacho. Por lo </w:t>
      </w:r>
      <w:r w:rsidR="13696CD3" w:rsidRPr="00163514">
        <w:rPr>
          <w:rFonts w:ascii="Book Antiqua" w:hAnsi="Book Antiqua"/>
        </w:rPr>
        <w:t>anterior, para determinar el análisis de expedientes activos al 04 de febrero de 2020, se excluyen los asuntos en ubicación pasiva</w:t>
      </w:r>
      <w:r w:rsidR="7FDB754C" w:rsidRPr="00163514">
        <w:rPr>
          <w:rFonts w:ascii="Book Antiqua" w:hAnsi="Book Antiqua"/>
        </w:rPr>
        <w:t xml:space="preserve"> y, por ende, se tiene un total de </w:t>
      </w:r>
      <w:r w:rsidR="49BD3087" w:rsidRPr="00163514">
        <w:rPr>
          <w:rFonts w:ascii="Book Antiqua" w:hAnsi="Book Antiqua"/>
        </w:rPr>
        <w:t>97</w:t>
      </w:r>
      <w:r w:rsidR="7FDB754C" w:rsidRPr="00163514">
        <w:rPr>
          <w:rFonts w:ascii="Book Antiqua" w:hAnsi="Book Antiqua"/>
        </w:rPr>
        <w:t xml:space="preserve"> expedientes activos</w:t>
      </w:r>
      <w:r w:rsidR="41BC2F7F" w:rsidRPr="00163514">
        <w:rPr>
          <w:rFonts w:ascii="Book Antiqua" w:hAnsi="Book Antiqua"/>
        </w:rPr>
        <w:t>. En la siguiente tabla se muestra la segregación de ex</w:t>
      </w:r>
      <w:r w:rsidR="6DCBFF18" w:rsidRPr="00163514">
        <w:rPr>
          <w:rFonts w:ascii="Book Antiqua" w:hAnsi="Book Antiqua"/>
        </w:rPr>
        <w:t>pedientes activos, del Tribunal Contencioso Administrativo, figura co</w:t>
      </w:r>
      <w:r w:rsidR="37C60A74" w:rsidRPr="00163514">
        <w:rPr>
          <w:rFonts w:ascii="Book Antiqua" w:hAnsi="Book Antiqua"/>
        </w:rPr>
        <w:t>mo intervinientes una</w:t>
      </w:r>
      <w:r w:rsidR="6DCBFF18" w:rsidRPr="00163514">
        <w:rPr>
          <w:rFonts w:ascii="Book Antiqua" w:hAnsi="Book Antiqua"/>
        </w:rPr>
        <w:t xml:space="preserve"> asociación de personas indígenas</w:t>
      </w:r>
      <w:r w:rsidR="161B6024" w:rsidRPr="00163514">
        <w:rPr>
          <w:rFonts w:ascii="Book Antiqua" w:hAnsi="Book Antiqua"/>
        </w:rPr>
        <w:t>.</w:t>
      </w:r>
      <w:r w:rsidR="6DCBFF18" w:rsidRPr="00163514">
        <w:rPr>
          <w:rFonts w:ascii="Book Antiqua" w:hAnsi="Book Antiqua"/>
        </w:rPr>
        <w:t xml:space="preserve"> </w:t>
      </w:r>
    </w:p>
    <w:p w14:paraId="44FCFA38" w14:textId="37E9C95A" w:rsidR="00AC17D9" w:rsidRPr="008D2522" w:rsidRDefault="00AC17D9" w:rsidP="00055CFC">
      <w:pPr>
        <w:pStyle w:val="Descripcin"/>
        <w:keepNext/>
        <w:spacing w:before="0" w:after="0"/>
        <w:jc w:val="center"/>
        <w:rPr>
          <w:rFonts w:cs="Arial"/>
          <w:sz w:val="24"/>
          <w:szCs w:val="24"/>
        </w:rPr>
      </w:pPr>
      <w:r w:rsidRPr="008D2522">
        <w:rPr>
          <w:rFonts w:cs="Arial"/>
          <w:sz w:val="24"/>
          <w:szCs w:val="24"/>
        </w:rPr>
        <w:t xml:space="preserve">Tabla </w:t>
      </w:r>
      <w:r w:rsidRPr="008D2522">
        <w:rPr>
          <w:rFonts w:cs="Arial"/>
          <w:sz w:val="24"/>
          <w:szCs w:val="24"/>
        </w:rPr>
        <w:fldChar w:fldCharType="begin"/>
      </w:r>
      <w:r w:rsidRPr="008D2522">
        <w:rPr>
          <w:rFonts w:cs="Arial"/>
          <w:sz w:val="24"/>
          <w:szCs w:val="24"/>
        </w:rPr>
        <w:instrText xml:space="preserve"> SEQ Tabla \* ARABIC </w:instrText>
      </w:r>
      <w:r w:rsidRPr="008D2522">
        <w:rPr>
          <w:rFonts w:cs="Arial"/>
          <w:sz w:val="24"/>
          <w:szCs w:val="24"/>
        </w:rPr>
        <w:fldChar w:fldCharType="separate"/>
      </w:r>
      <w:r w:rsidR="005B5D07">
        <w:rPr>
          <w:rFonts w:cs="Arial"/>
          <w:noProof/>
          <w:sz w:val="24"/>
          <w:szCs w:val="24"/>
        </w:rPr>
        <w:t>6</w:t>
      </w:r>
      <w:r w:rsidRPr="008D2522">
        <w:rPr>
          <w:rFonts w:cs="Arial"/>
          <w:sz w:val="24"/>
          <w:szCs w:val="24"/>
        </w:rPr>
        <w:fldChar w:fldCharType="end"/>
      </w:r>
      <w:r w:rsidRPr="008D2522">
        <w:rPr>
          <w:rFonts w:eastAsia="Arial" w:cs="Arial"/>
          <w:sz w:val="24"/>
          <w:szCs w:val="24"/>
        </w:rPr>
        <w:t xml:space="preserve"> Circulante del Tribunal Contencioso Administrativo como parte se encuentra una asociación de personas indígenas, al febrero de 2020</w:t>
      </w:r>
    </w:p>
    <w:tbl>
      <w:tblPr>
        <w:tblW w:w="0" w:type="auto"/>
        <w:tblLayout w:type="fixed"/>
        <w:tblCellMar>
          <w:left w:w="70" w:type="dxa"/>
          <w:right w:w="70" w:type="dxa"/>
        </w:tblCellMar>
        <w:tblLook w:val="04A0" w:firstRow="1" w:lastRow="0" w:firstColumn="1" w:lastColumn="0" w:noHBand="0" w:noVBand="1"/>
      </w:tblPr>
      <w:tblGrid>
        <w:gridCol w:w="7725"/>
        <w:gridCol w:w="1253"/>
      </w:tblGrid>
      <w:tr w:rsidR="00127E8E" w:rsidRPr="00127E8E" w14:paraId="68F86624" w14:textId="77777777" w:rsidTr="00127E8E">
        <w:trPr>
          <w:trHeight w:val="420"/>
        </w:trPr>
        <w:tc>
          <w:tcPr>
            <w:tcW w:w="7725" w:type="dxa"/>
            <w:tcBorders>
              <w:top w:val="single" w:sz="4" w:space="0" w:color="000000"/>
              <w:left w:val="single" w:sz="4" w:space="0" w:color="000000"/>
              <w:bottom w:val="single" w:sz="4" w:space="0" w:color="000000"/>
              <w:right w:val="single" w:sz="4" w:space="0" w:color="000000"/>
            </w:tcBorders>
            <w:shd w:val="clear" w:color="auto" w:fill="1F3864"/>
            <w:vAlign w:val="center"/>
            <w:hideMark/>
          </w:tcPr>
          <w:p w14:paraId="2D784E10" w14:textId="77777777" w:rsidR="00AC17D9" w:rsidRPr="00127E8E" w:rsidRDefault="00AC17D9" w:rsidP="00055CFC">
            <w:pPr>
              <w:spacing w:before="0" w:after="0"/>
              <w:jc w:val="center"/>
              <w:rPr>
                <w:rFonts w:eastAsia="Times New Roman" w:cs="Arial"/>
                <w:b/>
                <w:bCs/>
                <w:color w:val="FFFFFF"/>
                <w:szCs w:val="24"/>
                <w:lang w:eastAsia="es-CR"/>
              </w:rPr>
            </w:pPr>
            <w:r w:rsidRPr="00127E8E">
              <w:rPr>
                <w:rFonts w:eastAsia="Times New Roman" w:cs="Arial"/>
                <w:b/>
                <w:bCs/>
                <w:color w:val="FFFFFF"/>
                <w:szCs w:val="24"/>
                <w:lang w:eastAsia="es-CR"/>
              </w:rPr>
              <w:t>Parte (interviniente)</w:t>
            </w:r>
          </w:p>
        </w:tc>
        <w:tc>
          <w:tcPr>
            <w:tcW w:w="1253" w:type="dxa"/>
            <w:tcBorders>
              <w:top w:val="single" w:sz="4" w:space="0" w:color="000000"/>
              <w:left w:val="nil"/>
              <w:bottom w:val="single" w:sz="4" w:space="0" w:color="000000"/>
              <w:right w:val="single" w:sz="4" w:space="0" w:color="000000"/>
            </w:tcBorders>
            <w:shd w:val="clear" w:color="auto" w:fill="1F3864"/>
            <w:vAlign w:val="center"/>
            <w:hideMark/>
          </w:tcPr>
          <w:p w14:paraId="7B578E3B" w14:textId="77777777" w:rsidR="00AC17D9" w:rsidRPr="00127E8E" w:rsidRDefault="00AC17D9" w:rsidP="00055CFC">
            <w:pPr>
              <w:spacing w:before="0" w:after="0"/>
              <w:jc w:val="center"/>
              <w:rPr>
                <w:rFonts w:eastAsia="Times New Roman" w:cs="Arial"/>
                <w:b/>
                <w:bCs/>
                <w:color w:val="FFFFFF"/>
                <w:szCs w:val="24"/>
                <w:lang w:eastAsia="es-CR"/>
              </w:rPr>
            </w:pPr>
            <w:r w:rsidRPr="00127E8E">
              <w:rPr>
                <w:rFonts w:eastAsia="Times New Roman" w:cs="Arial"/>
                <w:b/>
                <w:bCs/>
                <w:color w:val="FFFFFF"/>
                <w:szCs w:val="24"/>
                <w:lang w:eastAsia="es-CR"/>
              </w:rPr>
              <w:t>Cantidad</w:t>
            </w:r>
          </w:p>
        </w:tc>
      </w:tr>
      <w:tr w:rsidR="00127E8E" w:rsidRPr="00127E8E" w14:paraId="1E7ECD66" w14:textId="77777777" w:rsidTr="00127E8E">
        <w:trPr>
          <w:trHeight w:val="280"/>
        </w:trPr>
        <w:tc>
          <w:tcPr>
            <w:tcW w:w="7725" w:type="dxa"/>
            <w:tcBorders>
              <w:top w:val="nil"/>
              <w:left w:val="single" w:sz="4" w:space="0" w:color="000000"/>
              <w:bottom w:val="single" w:sz="4" w:space="0" w:color="000000"/>
              <w:right w:val="single" w:sz="4" w:space="0" w:color="000000"/>
            </w:tcBorders>
            <w:shd w:val="clear" w:color="auto" w:fill="auto"/>
            <w:noWrap/>
            <w:vAlign w:val="bottom"/>
            <w:hideMark/>
          </w:tcPr>
          <w:p w14:paraId="1C7364E6" w14:textId="276CBE1E" w:rsidR="00AC17D9" w:rsidRPr="00127E8E" w:rsidRDefault="00127E8E" w:rsidP="00055CFC">
            <w:pPr>
              <w:spacing w:before="0" w:after="0"/>
              <w:jc w:val="left"/>
              <w:rPr>
                <w:rFonts w:eastAsia="Times New Roman" w:cs="Arial"/>
                <w:color w:val="000000"/>
                <w:szCs w:val="24"/>
                <w:lang w:eastAsia="es-CR"/>
              </w:rPr>
            </w:pPr>
            <w:r w:rsidRPr="00127E8E">
              <w:rPr>
                <w:rFonts w:eastAsia="Times New Roman" w:cs="Arial"/>
                <w:color w:val="000000"/>
                <w:szCs w:val="24"/>
                <w:lang w:eastAsia="es-CR"/>
              </w:rPr>
              <w:t>Comisión</w:t>
            </w:r>
            <w:r w:rsidR="00AC17D9" w:rsidRPr="00127E8E">
              <w:rPr>
                <w:rFonts w:eastAsia="Times New Roman" w:cs="Arial"/>
                <w:color w:val="000000"/>
                <w:szCs w:val="24"/>
                <w:lang w:eastAsia="es-CR"/>
              </w:rPr>
              <w:t xml:space="preserve"> Nacional </w:t>
            </w:r>
            <w:r w:rsidRPr="00127E8E">
              <w:rPr>
                <w:rFonts w:eastAsia="Times New Roman" w:cs="Arial"/>
                <w:color w:val="000000"/>
                <w:szCs w:val="24"/>
                <w:lang w:eastAsia="es-CR"/>
              </w:rPr>
              <w:t>d</w:t>
            </w:r>
            <w:r w:rsidR="00AC17D9" w:rsidRPr="00127E8E">
              <w:rPr>
                <w:rFonts w:eastAsia="Times New Roman" w:cs="Arial"/>
                <w:color w:val="000000"/>
                <w:szCs w:val="24"/>
                <w:lang w:eastAsia="es-CR"/>
              </w:rPr>
              <w:t xml:space="preserve">e Asuntos </w:t>
            </w:r>
            <w:r w:rsidRPr="00127E8E">
              <w:rPr>
                <w:rFonts w:eastAsia="Times New Roman" w:cs="Arial"/>
                <w:color w:val="000000"/>
                <w:szCs w:val="24"/>
                <w:lang w:eastAsia="es-CR"/>
              </w:rPr>
              <w:t>Indígenas</w:t>
            </w:r>
          </w:p>
        </w:tc>
        <w:tc>
          <w:tcPr>
            <w:tcW w:w="1253" w:type="dxa"/>
            <w:tcBorders>
              <w:top w:val="nil"/>
              <w:left w:val="nil"/>
              <w:bottom w:val="single" w:sz="4" w:space="0" w:color="000000"/>
              <w:right w:val="single" w:sz="4" w:space="0" w:color="000000"/>
            </w:tcBorders>
            <w:shd w:val="clear" w:color="auto" w:fill="auto"/>
            <w:noWrap/>
            <w:vAlign w:val="center"/>
            <w:hideMark/>
          </w:tcPr>
          <w:p w14:paraId="11F27BA9" w14:textId="77777777" w:rsidR="00AC17D9" w:rsidRPr="00127E8E" w:rsidRDefault="00AC17D9" w:rsidP="00127E8E">
            <w:pPr>
              <w:spacing w:before="0" w:after="0"/>
              <w:jc w:val="center"/>
              <w:rPr>
                <w:rFonts w:eastAsia="Times New Roman" w:cs="Arial"/>
                <w:color w:val="000000"/>
                <w:szCs w:val="24"/>
                <w:lang w:eastAsia="es-CR"/>
              </w:rPr>
            </w:pPr>
            <w:r w:rsidRPr="00127E8E">
              <w:rPr>
                <w:rFonts w:eastAsia="Times New Roman" w:cs="Arial"/>
                <w:color w:val="000000"/>
                <w:szCs w:val="24"/>
                <w:lang w:eastAsia="es-CR"/>
              </w:rPr>
              <w:t>62</w:t>
            </w:r>
          </w:p>
        </w:tc>
      </w:tr>
      <w:tr w:rsidR="00127E8E" w:rsidRPr="00127E8E" w14:paraId="532460A0" w14:textId="77777777" w:rsidTr="00127E8E">
        <w:trPr>
          <w:trHeight w:val="280"/>
        </w:trPr>
        <w:tc>
          <w:tcPr>
            <w:tcW w:w="7725" w:type="dxa"/>
            <w:tcBorders>
              <w:top w:val="nil"/>
              <w:left w:val="single" w:sz="4" w:space="0" w:color="000000"/>
              <w:bottom w:val="single" w:sz="4" w:space="0" w:color="000000"/>
              <w:right w:val="single" w:sz="4" w:space="0" w:color="000000"/>
            </w:tcBorders>
            <w:shd w:val="clear" w:color="auto" w:fill="auto"/>
            <w:noWrap/>
            <w:vAlign w:val="bottom"/>
            <w:hideMark/>
          </w:tcPr>
          <w:p w14:paraId="019A9514" w14:textId="638D7A66" w:rsidR="00AC17D9" w:rsidRPr="00127E8E" w:rsidRDefault="00127E8E" w:rsidP="00055CFC">
            <w:pPr>
              <w:spacing w:before="0" w:after="0"/>
              <w:jc w:val="left"/>
              <w:rPr>
                <w:rFonts w:eastAsia="Times New Roman" w:cs="Arial"/>
                <w:color w:val="000000"/>
                <w:szCs w:val="24"/>
                <w:lang w:eastAsia="es-CR"/>
              </w:rPr>
            </w:pPr>
            <w:r w:rsidRPr="00127E8E">
              <w:rPr>
                <w:rFonts w:eastAsia="Times New Roman" w:cs="Arial"/>
                <w:color w:val="000000"/>
                <w:szCs w:val="24"/>
                <w:lang w:eastAsia="es-CR"/>
              </w:rPr>
              <w:t>Asociación</w:t>
            </w:r>
            <w:r w:rsidR="00AC17D9" w:rsidRPr="00127E8E">
              <w:rPr>
                <w:rFonts w:eastAsia="Times New Roman" w:cs="Arial"/>
                <w:color w:val="000000"/>
                <w:szCs w:val="24"/>
                <w:lang w:eastAsia="es-CR"/>
              </w:rPr>
              <w:t xml:space="preserve"> </w:t>
            </w:r>
            <w:r w:rsidRPr="00127E8E">
              <w:rPr>
                <w:rFonts w:eastAsia="Times New Roman" w:cs="Arial"/>
                <w:color w:val="000000"/>
                <w:szCs w:val="24"/>
                <w:lang w:eastAsia="es-CR"/>
              </w:rPr>
              <w:t>d</w:t>
            </w:r>
            <w:r w:rsidR="00AC17D9" w:rsidRPr="00127E8E">
              <w:rPr>
                <w:rFonts w:eastAsia="Times New Roman" w:cs="Arial"/>
                <w:color w:val="000000"/>
                <w:szCs w:val="24"/>
                <w:lang w:eastAsia="es-CR"/>
              </w:rPr>
              <w:t xml:space="preserve">e Desarrollo Integral </w:t>
            </w:r>
            <w:r w:rsidRPr="00127E8E">
              <w:rPr>
                <w:rFonts w:eastAsia="Times New Roman" w:cs="Arial"/>
                <w:color w:val="000000"/>
                <w:szCs w:val="24"/>
                <w:lang w:eastAsia="es-CR"/>
              </w:rPr>
              <w:t>d</w:t>
            </w:r>
            <w:r w:rsidR="00AC17D9" w:rsidRPr="00127E8E">
              <w:rPr>
                <w:rFonts w:eastAsia="Times New Roman" w:cs="Arial"/>
                <w:color w:val="000000"/>
                <w:szCs w:val="24"/>
                <w:lang w:eastAsia="es-CR"/>
              </w:rPr>
              <w:t xml:space="preserve">el Territorio </w:t>
            </w:r>
            <w:r w:rsidRPr="00127E8E">
              <w:rPr>
                <w:rFonts w:eastAsia="Times New Roman" w:cs="Arial"/>
                <w:color w:val="000000"/>
                <w:szCs w:val="24"/>
                <w:lang w:eastAsia="es-CR"/>
              </w:rPr>
              <w:t>Indígena</w:t>
            </w:r>
            <w:r w:rsidR="00AC17D9" w:rsidRPr="00127E8E">
              <w:rPr>
                <w:rFonts w:eastAsia="Times New Roman" w:cs="Arial"/>
                <w:color w:val="000000"/>
                <w:szCs w:val="24"/>
                <w:lang w:eastAsia="es-CR"/>
              </w:rPr>
              <w:t xml:space="preserve"> </w:t>
            </w:r>
            <w:r w:rsidRPr="00127E8E">
              <w:rPr>
                <w:rFonts w:eastAsia="Times New Roman" w:cs="Arial"/>
                <w:color w:val="000000"/>
                <w:szCs w:val="24"/>
                <w:lang w:eastAsia="es-CR"/>
              </w:rPr>
              <w:t>d</w:t>
            </w:r>
            <w:r w:rsidR="00AC17D9" w:rsidRPr="00127E8E">
              <w:rPr>
                <w:rFonts w:eastAsia="Times New Roman" w:cs="Arial"/>
                <w:color w:val="000000"/>
                <w:szCs w:val="24"/>
                <w:lang w:eastAsia="es-CR"/>
              </w:rPr>
              <w:t xml:space="preserve">e </w:t>
            </w:r>
            <w:proofErr w:type="spellStart"/>
            <w:r w:rsidR="00AC17D9" w:rsidRPr="00127E8E">
              <w:rPr>
                <w:rFonts w:eastAsia="Times New Roman" w:cs="Arial"/>
                <w:color w:val="000000"/>
                <w:szCs w:val="24"/>
                <w:lang w:eastAsia="es-CR"/>
              </w:rPr>
              <w:t>Kekoldi</w:t>
            </w:r>
            <w:proofErr w:type="spellEnd"/>
          </w:p>
        </w:tc>
        <w:tc>
          <w:tcPr>
            <w:tcW w:w="1253" w:type="dxa"/>
            <w:tcBorders>
              <w:top w:val="nil"/>
              <w:left w:val="nil"/>
              <w:bottom w:val="single" w:sz="4" w:space="0" w:color="000000"/>
              <w:right w:val="single" w:sz="4" w:space="0" w:color="000000"/>
            </w:tcBorders>
            <w:shd w:val="clear" w:color="auto" w:fill="auto"/>
            <w:noWrap/>
            <w:vAlign w:val="center"/>
            <w:hideMark/>
          </w:tcPr>
          <w:p w14:paraId="2255DDA2" w14:textId="77777777" w:rsidR="00AC17D9" w:rsidRPr="00127E8E" w:rsidRDefault="00AC17D9" w:rsidP="00127E8E">
            <w:pPr>
              <w:spacing w:before="0" w:after="0"/>
              <w:jc w:val="center"/>
              <w:rPr>
                <w:rFonts w:eastAsia="Times New Roman" w:cs="Arial"/>
                <w:color w:val="000000"/>
                <w:szCs w:val="24"/>
                <w:lang w:eastAsia="es-CR"/>
              </w:rPr>
            </w:pPr>
            <w:r w:rsidRPr="00127E8E">
              <w:rPr>
                <w:rFonts w:eastAsia="Times New Roman" w:cs="Arial"/>
                <w:color w:val="000000"/>
                <w:szCs w:val="24"/>
                <w:lang w:eastAsia="es-CR"/>
              </w:rPr>
              <w:t>12</w:t>
            </w:r>
          </w:p>
        </w:tc>
      </w:tr>
      <w:tr w:rsidR="00127E8E" w:rsidRPr="00127E8E" w14:paraId="618099AC" w14:textId="77777777" w:rsidTr="00127E8E">
        <w:trPr>
          <w:trHeight w:val="280"/>
        </w:trPr>
        <w:tc>
          <w:tcPr>
            <w:tcW w:w="7725" w:type="dxa"/>
            <w:tcBorders>
              <w:top w:val="nil"/>
              <w:left w:val="single" w:sz="4" w:space="0" w:color="000000"/>
              <w:bottom w:val="single" w:sz="4" w:space="0" w:color="000000"/>
              <w:right w:val="single" w:sz="4" w:space="0" w:color="000000"/>
            </w:tcBorders>
            <w:shd w:val="clear" w:color="auto" w:fill="auto"/>
            <w:noWrap/>
            <w:vAlign w:val="bottom"/>
            <w:hideMark/>
          </w:tcPr>
          <w:p w14:paraId="359BB820" w14:textId="4A1AC77E" w:rsidR="00AC17D9" w:rsidRPr="00127E8E" w:rsidRDefault="00127E8E" w:rsidP="00055CFC">
            <w:pPr>
              <w:spacing w:before="0" w:after="0"/>
              <w:jc w:val="left"/>
              <w:rPr>
                <w:rFonts w:eastAsia="Times New Roman" w:cs="Arial"/>
                <w:color w:val="000000"/>
                <w:szCs w:val="24"/>
                <w:lang w:eastAsia="es-CR"/>
              </w:rPr>
            </w:pPr>
            <w:r w:rsidRPr="00127E8E">
              <w:rPr>
                <w:rFonts w:eastAsia="Times New Roman" w:cs="Arial"/>
                <w:color w:val="000000"/>
                <w:szCs w:val="24"/>
                <w:lang w:eastAsia="es-CR"/>
              </w:rPr>
              <w:t>Asociación</w:t>
            </w:r>
            <w:r w:rsidR="00AC17D9" w:rsidRPr="00127E8E">
              <w:rPr>
                <w:rFonts w:eastAsia="Times New Roman" w:cs="Arial"/>
                <w:color w:val="000000"/>
                <w:szCs w:val="24"/>
                <w:lang w:eastAsia="es-CR"/>
              </w:rPr>
              <w:t xml:space="preserve"> </w:t>
            </w:r>
            <w:r w:rsidRPr="00127E8E">
              <w:rPr>
                <w:rFonts w:eastAsia="Times New Roman" w:cs="Arial"/>
                <w:color w:val="000000"/>
                <w:szCs w:val="24"/>
                <w:lang w:eastAsia="es-CR"/>
              </w:rPr>
              <w:t>d</w:t>
            </w:r>
            <w:r w:rsidR="00AC17D9" w:rsidRPr="00127E8E">
              <w:rPr>
                <w:rFonts w:eastAsia="Times New Roman" w:cs="Arial"/>
                <w:color w:val="000000"/>
                <w:szCs w:val="24"/>
                <w:lang w:eastAsia="es-CR"/>
              </w:rPr>
              <w:t xml:space="preserve">e Desarrollo Integral </w:t>
            </w:r>
            <w:r w:rsidRPr="00127E8E">
              <w:rPr>
                <w:rFonts w:eastAsia="Times New Roman" w:cs="Arial"/>
                <w:color w:val="000000"/>
                <w:szCs w:val="24"/>
                <w:lang w:eastAsia="es-CR"/>
              </w:rPr>
              <w:t>d</w:t>
            </w:r>
            <w:r w:rsidR="00AC17D9" w:rsidRPr="00127E8E">
              <w:rPr>
                <w:rFonts w:eastAsia="Times New Roman" w:cs="Arial"/>
                <w:color w:val="000000"/>
                <w:szCs w:val="24"/>
                <w:lang w:eastAsia="es-CR"/>
              </w:rPr>
              <w:t xml:space="preserve">e </w:t>
            </w:r>
            <w:r w:rsidRPr="00127E8E">
              <w:rPr>
                <w:rFonts w:eastAsia="Times New Roman" w:cs="Arial"/>
                <w:color w:val="000000"/>
                <w:szCs w:val="24"/>
                <w:lang w:eastAsia="es-CR"/>
              </w:rPr>
              <w:t>l</w:t>
            </w:r>
            <w:r w:rsidR="00AC17D9" w:rsidRPr="00127E8E">
              <w:rPr>
                <w:rFonts w:eastAsia="Times New Roman" w:cs="Arial"/>
                <w:color w:val="000000"/>
                <w:szCs w:val="24"/>
                <w:lang w:eastAsia="es-CR"/>
              </w:rPr>
              <w:t xml:space="preserve">a Reserva </w:t>
            </w:r>
            <w:r w:rsidRPr="00127E8E">
              <w:rPr>
                <w:rFonts w:eastAsia="Times New Roman" w:cs="Arial"/>
                <w:color w:val="000000"/>
                <w:szCs w:val="24"/>
                <w:lang w:eastAsia="es-CR"/>
              </w:rPr>
              <w:t>Indígena</w:t>
            </w:r>
            <w:r w:rsidR="00AC17D9" w:rsidRPr="00127E8E">
              <w:rPr>
                <w:rFonts w:eastAsia="Times New Roman" w:cs="Arial"/>
                <w:color w:val="000000"/>
                <w:szCs w:val="24"/>
                <w:lang w:eastAsia="es-CR"/>
              </w:rPr>
              <w:t xml:space="preserve"> </w:t>
            </w:r>
            <w:r w:rsidRPr="00127E8E">
              <w:rPr>
                <w:rFonts w:eastAsia="Times New Roman" w:cs="Arial"/>
                <w:color w:val="000000"/>
                <w:szCs w:val="24"/>
                <w:lang w:eastAsia="es-CR"/>
              </w:rPr>
              <w:t>d</w:t>
            </w:r>
            <w:r w:rsidR="00AC17D9" w:rsidRPr="00127E8E">
              <w:rPr>
                <w:rFonts w:eastAsia="Times New Roman" w:cs="Arial"/>
                <w:color w:val="000000"/>
                <w:szCs w:val="24"/>
                <w:lang w:eastAsia="es-CR"/>
              </w:rPr>
              <w:t>e Salitre</w:t>
            </w:r>
          </w:p>
        </w:tc>
        <w:tc>
          <w:tcPr>
            <w:tcW w:w="1253" w:type="dxa"/>
            <w:tcBorders>
              <w:top w:val="nil"/>
              <w:left w:val="nil"/>
              <w:bottom w:val="single" w:sz="4" w:space="0" w:color="000000"/>
              <w:right w:val="single" w:sz="4" w:space="0" w:color="000000"/>
            </w:tcBorders>
            <w:shd w:val="clear" w:color="auto" w:fill="auto"/>
            <w:noWrap/>
            <w:vAlign w:val="center"/>
            <w:hideMark/>
          </w:tcPr>
          <w:p w14:paraId="31F36543" w14:textId="77777777" w:rsidR="00AC17D9" w:rsidRPr="00127E8E" w:rsidRDefault="00AC17D9" w:rsidP="00127E8E">
            <w:pPr>
              <w:spacing w:before="0" w:after="0"/>
              <w:jc w:val="center"/>
              <w:rPr>
                <w:rFonts w:eastAsia="Times New Roman" w:cs="Arial"/>
                <w:color w:val="000000"/>
                <w:szCs w:val="24"/>
                <w:lang w:eastAsia="es-CR"/>
              </w:rPr>
            </w:pPr>
            <w:r w:rsidRPr="00127E8E">
              <w:rPr>
                <w:rFonts w:eastAsia="Times New Roman" w:cs="Arial"/>
                <w:color w:val="000000"/>
                <w:szCs w:val="24"/>
                <w:lang w:eastAsia="es-CR"/>
              </w:rPr>
              <w:t>9</w:t>
            </w:r>
          </w:p>
        </w:tc>
      </w:tr>
      <w:tr w:rsidR="00127E8E" w:rsidRPr="00127E8E" w14:paraId="1508E1AB" w14:textId="77777777" w:rsidTr="00127E8E">
        <w:trPr>
          <w:trHeight w:val="280"/>
        </w:trPr>
        <w:tc>
          <w:tcPr>
            <w:tcW w:w="7725" w:type="dxa"/>
            <w:tcBorders>
              <w:top w:val="nil"/>
              <w:left w:val="single" w:sz="4" w:space="0" w:color="000000"/>
              <w:bottom w:val="single" w:sz="4" w:space="0" w:color="000000"/>
              <w:right w:val="single" w:sz="4" w:space="0" w:color="000000"/>
            </w:tcBorders>
            <w:shd w:val="clear" w:color="auto" w:fill="auto"/>
            <w:noWrap/>
            <w:vAlign w:val="bottom"/>
            <w:hideMark/>
          </w:tcPr>
          <w:p w14:paraId="1D944FA0" w14:textId="1E5B7789" w:rsidR="00AC17D9" w:rsidRPr="00127E8E" w:rsidRDefault="00127E8E" w:rsidP="00055CFC">
            <w:pPr>
              <w:spacing w:before="0" w:after="0"/>
              <w:jc w:val="left"/>
              <w:rPr>
                <w:rFonts w:eastAsia="Times New Roman" w:cs="Arial"/>
                <w:color w:val="000000"/>
                <w:szCs w:val="24"/>
                <w:lang w:eastAsia="es-CR"/>
              </w:rPr>
            </w:pPr>
            <w:r w:rsidRPr="00127E8E">
              <w:rPr>
                <w:rFonts w:eastAsia="Times New Roman" w:cs="Arial"/>
                <w:color w:val="000000"/>
                <w:szCs w:val="24"/>
                <w:lang w:eastAsia="es-CR"/>
              </w:rPr>
              <w:t>Asociación</w:t>
            </w:r>
            <w:r w:rsidR="00AC17D9" w:rsidRPr="00127E8E">
              <w:rPr>
                <w:rFonts w:eastAsia="Times New Roman" w:cs="Arial"/>
                <w:color w:val="000000"/>
                <w:szCs w:val="24"/>
                <w:lang w:eastAsia="es-CR"/>
              </w:rPr>
              <w:t xml:space="preserve"> </w:t>
            </w:r>
            <w:r w:rsidRPr="00127E8E">
              <w:rPr>
                <w:rFonts w:eastAsia="Times New Roman" w:cs="Arial"/>
                <w:color w:val="000000"/>
                <w:szCs w:val="24"/>
                <w:lang w:eastAsia="es-CR"/>
              </w:rPr>
              <w:t>Indígena</w:t>
            </w:r>
            <w:r w:rsidR="00AC17D9" w:rsidRPr="00127E8E">
              <w:rPr>
                <w:rFonts w:eastAsia="Times New Roman" w:cs="Arial"/>
                <w:color w:val="000000"/>
                <w:szCs w:val="24"/>
                <w:lang w:eastAsia="es-CR"/>
              </w:rPr>
              <w:t xml:space="preserve"> Huetar </w:t>
            </w:r>
            <w:r w:rsidRPr="00127E8E">
              <w:rPr>
                <w:rFonts w:eastAsia="Times New Roman" w:cs="Arial"/>
                <w:color w:val="000000"/>
                <w:szCs w:val="24"/>
                <w:lang w:eastAsia="es-CR"/>
              </w:rPr>
              <w:t>d</w:t>
            </w:r>
            <w:r w:rsidR="00AC17D9" w:rsidRPr="00127E8E">
              <w:rPr>
                <w:rFonts w:eastAsia="Times New Roman" w:cs="Arial"/>
                <w:color w:val="000000"/>
                <w:szCs w:val="24"/>
                <w:lang w:eastAsia="es-CR"/>
              </w:rPr>
              <w:t xml:space="preserve">e </w:t>
            </w:r>
            <w:r w:rsidRPr="00127E8E">
              <w:rPr>
                <w:rFonts w:eastAsia="Times New Roman" w:cs="Arial"/>
                <w:color w:val="000000"/>
                <w:szCs w:val="24"/>
                <w:lang w:eastAsia="es-CR"/>
              </w:rPr>
              <w:t>Zapatón</w:t>
            </w:r>
            <w:r w:rsidR="00AC17D9" w:rsidRPr="00127E8E">
              <w:rPr>
                <w:rFonts w:eastAsia="Times New Roman" w:cs="Arial"/>
                <w:color w:val="000000"/>
                <w:szCs w:val="24"/>
                <w:lang w:eastAsia="es-CR"/>
              </w:rPr>
              <w:t xml:space="preserve"> </w:t>
            </w:r>
            <w:r w:rsidRPr="00127E8E">
              <w:rPr>
                <w:rFonts w:eastAsia="Times New Roman" w:cs="Arial"/>
                <w:color w:val="000000"/>
                <w:szCs w:val="24"/>
                <w:lang w:eastAsia="es-CR"/>
              </w:rPr>
              <w:t>d</w:t>
            </w:r>
            <w:r w:rsidR="00AC17D9" w:rsidRPr="00127E8E">
              <w:rPr>
                <w:rFonts w:eastAsia="Times New Roman" w:cs="Arial"/>
                <w:color w:val="000000"/>
                <w:szCs w:val="24"/>
                <w:lang w:eastAsia="es-CR"/>
              </w:rPr>
              <w:t>e Puriscal</w:t>
            </w:r>
          </w:p>
        </w:tc>
        <w:tc>
          <w:tcPr>
            <w:tcW w:w="1253" w:type="dxa"/>
            <w:tcBorders>
              <w:top w:val="nil"/>
              <w:left w:val="nil"/>
              <w:bottom w:val="single" w:sz="4" w:space="0" w:color="000000"/>
              <w:right w:val="single" w:sz="4" w:space="0" w:color="000000"/>
            </w:tcBorders>
            <w:shd w:val="clear" w:color="auto" w:fill="auto"/>
            <w:noWrap/>
            <w:vAlign w:val="center"/>
            <w:hideMark/>
          </w:tcPr>
          <w:p w14:paraId="5DBF756E" w14:textId="77777777" w:rsidR="00AC17D9" w:rsidRPr="00127E8E" w:rsidRDefault="00AC17D9" w:rsidP="00127E8E">
            <w:pPr>
              <w:spacing w:before="0" w:after="0"/>
              <w:jc w:val="center"/>
              <w:rPr>
                <w:rFonts w:eastAsia="Times New Roman" w:cs="Arial"/>
                <w:color w:val="000000"/>
                <w:szCs w:val="24"/>
                <w:lang w:eastAsia="es-CR"/>
              </w:rPr>
            </w:pPr>
            <w:r w:rsidRPr="00127E8E">
              <w:rPr>
                <w:rFonts w:eastAsia="Times New Roman" w:cs="Arial"/>
                <w:color w:val="000000"/>
                <w:szCs w:val="24"/>
                <w:lang w:eastAsia="es-CR"/>
              </w:rPr>
              <w:t>4</w:t>
            </w:r>
          </w:p>
        </w:tc>
      </w:tr>
      <w:tr w:rsidR="00127E8E" w:rsidRPr="00127E8E" w14:paraId="2C5A0302" w14:textId="77777777" w:rsidTr="00127E8E">
        <w:trPr>
          <w:trHeight w:val="280"/>
        </w:trPr>
        <w:tc>
          <w:tcPr>
            <w:tcW w:w="7725" w:type="dxa"/>
            <w:tcBorders>
              <w:top w:val="nil"/>
              <w:left w:val="single" w:sz="4" w:space="0" w:color="000000"/>
              <w:bottom w:val="single" w:sz="4" w:space="0" w:color="000000"/>
              <w:right w:val="single" w:sz="4" w:space="0" w:color="000000"/>
            </w:tcBorders>
            <w:shd w:val="clear" w:color="auto" w:fill="auto"/>
            <w:noWrap/>
            <w:vAlign w:val="bottom"/>
            <w:hideMark/>
          </w:tcPr>
          <w:p w14:paraId="10C61565" w14:textId="7B72675D" w:rsidR="00AC17D9" w:rsidRPr="00127E8E" w:rsidRDefault="00127E8E" w:rsidP="00055CFC">
            <w:pPr>
              <w:spacing w:before="0" w:after="0"/>
              <w:jc w:val="left"/>
              <w:rPr>
                <w:rFonts w:eastAsia="Times New Roman" w:cs="Arial"/>
                <w:color w:val="000000"/>
                <w:szCs w:val="24"/>
                <w:lang w:eastAsia="es-CR"/>
              </w:rPr>
            </w:pPr>
            <w:r w:rsidRPr="00127E8E">
              <w:rPr>
                <w:rFonts w:eastAsia="Times New Roman" w:cs="Arial"/>
                <w:color w:val="000000"/>
                <w:szCs w:val="24"/>
                <w:lang w:eastAsia="es-CR"/>
              </w:rPr>
              <w:lastRenderedPageBreak/>
              <w:t>Asociación</w:t>
            </w:r>
            <w:r w:rsidR="00AC17D9" w:rsidRPr="00127E8E">
              <w:rPr>
                <w:rFonts w:eastAsia="Times New Roman" w:cs="Arial"/>
                <w:color w:val="000000"/>
                <w:szCs w:val="24"/>
                <w:lang w:eastAsia="es-CR"/>
              </w:rPr>
              <w:t xml:space="preserve"> </w:t>
            </w:r>
            <w:r w:rsidRPr="00127E8E">
              <w:rPr>
                <w:rFonts w:eastAsia="Times New Roman" w:cs="Arial"/>
                <w:color w:val="000000"/>
                <w:szCs w:val="24"/>
                <w:lang w:eastAsia="es-CR"/>
              </w:rPr>
              <w:t>d</w:t>
            </w:r>
            <w:r w:rsidR="00AC17D9" w:rsidRPr="00127E8E">
              <w:rPr>
                <w:rFonts w:eastAsia="Times New Roman" w:cs="Arial"/>
                <w:color w:val="000000"/>
                <w:szCs w:val="24"/>
                <w:lang w:eastAsia="es-CR"/>
              </w:rPr>
              <w:t xml:space="preserve">e Desarrollo Integral </w:t>
            </w:r>
            <w:r w:rsidRPr="00127E8E">
              <w:rPr>
                <w:rFonts w:eastAsia="Times New Roman" w:cs="Arial"/>
                <w:color w:val="000000"/>
                <w:szCs w:val="24"/>
                <w:lang w:eastAsia="es-CR"/>
              </w:rPr>
              <w:t>d</w:t>
            </w:r>
            <w:r w:rsidR="00AC17D9" w:rsidRPr="00127E8E">
              <w:rPr>
                <w:rFonts w:eastAsia="Times New Roman" w:cs="Arial"/>
                <w:color w:val="000000"/>
                <w:szCs w:val="24"/>
                <w:lang w:eastAsia="es-CR"/>
              </w:rPr>
              <w:t xml:space="preserve">e </w:t>
            </w:r>
            <w:r w:rsidRPr="00127E8E">
              <w:rPr>
                <w:rFonts w:eastAsia="Times New Roman" w:cs="Arial"/>
                <w:color w:val="000000"/>
                <w:szCs w:val="24"/>
                <w:lang w:eastAsia="es-CR"/>
              </w:rPr>
              <w:t>l</w:t>
            </w:r>
            <w:r w:rsidR="00AC17D9" w:rsidRPr="00127E8E">
              <w:rPr>
                <w:rFonts w:eastAsia="Times New Roman" w:cs="Arial"/>
                <w:color w:val="000000"/>
                <w:szCs w:val="24"/>
                <w:lang w:eastAsia="es-CR"/>
              </w:rPr>
              <w:t xml:space="preserve">a Reserva </w:t>
            </w:r>
            <w:r w:rsidRPr="00127E8E">
              <w:rPr>
                <w:rFonts w:eastAsia="Times New Roman" w:cs="Arial"/>
                <w:color w:val="000000"/>
                <w:szCs w:val="24"/>
                <w:lang w:eastAsia="es-CR"/>
              </w:rPr>
              <w:t>Indígena</w:t>
            </w:r>
            <w:r w:rsidR="00AC17D9" w:rsidRPr="00127E8E">
              <w:rPr>
                <w:rFonts w:eastAsia="Times New Roman" w:cs="Arial"/>
                <w:color w:val="000000"/>
                <w:szCs w:val="24"/>
                <w:lang w:eastAsia="es-CR"/>
              </w:rPr>
              <w:t xml:space="preserve"> </w:t>
            </w:r>
            <w:proofErr w:type="spellStart"/>
            <w:r w:rsidR="00AC17D9" w:rsidRPr="00127E8E">
              <w:rPr>
                <w:rFonts w:eastAsia="Times New Roman" w:cs="Arial"/>
                <w:color w:val="000000"/>
                <w:szCs w:val="24"/>
                <w:lang w:eastAsia="es-CR"/>
              </w:rPr>
              <w:t>Bri-Bri</w:t>
            </w:r>
            <w:proofErr w:type="spellEnd"/>
            <w:r w:rsidR="00AC17D9" w:rsidRPr="00127E8E">
              <w:rPr>
                <w:rFonts w:eastAsia="Times New Roman" w:cs="Arial"/>
                <w:color w:val="000000"/>
                <w:szCs w:val="24"/>
                <w:lang w:eastAsia="es-CR"/>
              </w:rPr>
              <w:t xml:space="preserve"> De </w:t>
            </w:r>
            <w:r w:rsidRPr="00127E8E">
              <w:rPr>
                <w:rFonts w:eastAsia="Times New Roman" w:cs="Arial"/>
                <w:color w:val="000000"/>
                <w:szCs w:val="24"/>
                <w:lang w:eastAsia="es-CR"/>
              </w:rPr>
              <w:t>Talamanca</w:t>
            </w:r>
          </w:p>
        </w:tc>
        <w:tc>
          <w:tcPr>
            <w:tcW w:w="1253" w:type="dxa"/>
            <w:tcBorders>
              <w:top w:val="nil"/>
              <w:left w:val="nil"/>
              <w:bottom w:val="single" w:sz="4" w:space="0" w:color="000000"/>
              <w:right w:val="single" w:sz="4" w:space="0" w:color="000000"/>
            </w:tcBorders>
            <w:shd w:val="clear" w:color="auto" w:fill="auto"/>
            <w:noWrap/>
            <w:vAlign w:val="center"/>
            <w:hideMark/>
          </w:tcPr>
          <w:p w14:paraId="1A2F86FB" w14:textId="77777777" w:rsidR="00AC17D9" w:rsidRPr="00127E8E" w:rsidRDefault="00AC17D9" w:rsidP="00127E8E">
            <w:pPr>
              <w:spacing w:before="0" w:after="0"/>
              <w:jc w:val="center"/>
              <w:rPr>
                <w:rFonts w:eastAsia="Times New Roman" w:cs="Arial"/>
                <w:color w:val="000000"/>
                <w:szCs w:val="24"/>
                <w:lang w:eastAsia="es-CR"/>
              </w:rPr>
            </w:pPr>
            <w:r w:rsidRPr="00127E8E">
              <w:rPr>
                <w:rFonts w:eastAsia="Times New Roman" w:cs="Arial"/>
                <w:color w:val="000000"/>
                <w:szCs w:val="24"/>
                <w:lang w:eastAsia="es-CR"/>
              </w:rPr>
              <w:t>3</w:t>
            </w:r>
          </w:p>
        </w:tc>
      </w:tr>
      <w:tr w:rsidR="00127E8E" w:rsidRPr="00127E8E" w14:paraId="137868AA" w14:textId="77777777" w:rsidTr="00127E8E">
        <w:trPr>
          <w:trHeight w:val="280"/>
        </w:trPr>
        <w:tc>
          <w:tcPr>
            <w:tcW w:w="7725" w:type="dxa"/>
            <w:tcBorders>
              <w:top w:val="nil"/>
              <w:left w:val="single" w:sz="4" w:space="0" w:color="000000"/>
              <w:bottom w:val="single" w:sz="4" w:space="0" w:color="000000"/>
              <w:right w:val="single" w:sz="4" w:space="0" w:color="000000"/>
            </w:tcBorders>
            <w:shd w:val="clear" w:color="auto" w:fill="auto"/>
            <w:noWrap/>
            <w:vAlign w:val="bottom"/>
            <w:hideMark/>
          </w:tcPr>
          <w:p w14:paraId="14322392" w14:textId="610EF468" w:rsidR="00AC17D9" w:rsidRPr="00127E8E" w:rsidRDefault="00127E8E" w:rsidP="00055CFC">
            <w:pPr>
              <w:spacing w:before="0" w:after="0"/>
              <w:jc w:val="left"/>
              <w:rPr>
                <w:rFonts w:eastAsia="Times New Roman" w:cs="Arial"/>
                <w:color w:val="000000"/>
                <w:szCs w:val="24"/>
                <w:lang w:eastAsia="es-CR"/>
              </w:rPr>
            </w:pPr>
            <w:r w:rsidRPr="00127E8E">
              <w:rPr>
                <w:rFonts w:eastAsia="Times New Roman" w:cs="Arial"/>
                <w:color w:val="000000"/>
                <w:szCs w:val="24"/>
                <w:lang w:eastAsia="es-CR"/>
              </w:rPr>
              <w:t>Asociación</w:t>
            </w:r>
            <w:r w:rsidR="00AC17D9" w:rsidRPr="00127E8E">
              <w:rPr>
                <w:rFonts w:eastAsia="Times New Roman" w:cs="Arial"/>
                <w:color w:val="000000"/>
                <w:szCs w:val="24"/>
                <w:lang w:eastAsia="es-CR"/>
              </w:rPr>
              <w:t xml:space="preserve"> </w:t>
            </w:r>
            <w:r w:rsidRPr="00127E8E">
              <w:rPr>
                <w:rFonts w:eastAsia="Times New Roman" w:cs="Arial"/>
                <w:color w:val="000000"/>
                <w:szCs w:val="24"/>
                <w:lang w:eastAsia="es-CR"/>
              </w:rPr>
              <w:t>d</w:t>
            </w:r>
            <w:r w:rsidR="00AC17D9" w:rsidRPr="00127E8E">
              <w:rPr>
                <w:rFonts w:eastAsia="Times New Roman" w:cs="Arial"/>
                <w:color w:val="000000"/>
                <w:szCs w:val="24"/>
                <w:lang w:eastAsia="es-CR"/>
              </w:rPr>
              <w:t xml:space="preserve">e Desarrollo Integral </w:t>
            </w:r>
            <w:r w:rsidRPr="00127E8E">
              <w:rPr>
                <w:rFonts w:eastAsia="Times New Roman" w:cs="Arial"/>
                <w:color w:val="000000"/>
                <w:szCs w:val="24"/>
                <w:lang w:eastAsia="es-CR"/>
              </w:rPr>
              <w:t>Indígena</w:t>
            </w:r>
            <w:r w:rsidR="00AC17D9" w:rsidRPr="00127E8E">
              <w:rPr>
                <w:rFonts w:eastAsia="Times New Roman" w:cs="Arial"/>
                <w:color w:val="000000"/>
                <w:szCs w:val="24"/>
                <w:lang w:eastAsia="es-CR"/>
              </w:rPr>
              <w:t xml:space="preserve"> </w:t>
            </w:r>
            <w:r w:rsidRPr="00127E8E">
              <w:rPr>
                <w:rFonts w:eastAsia="Times New Roman" w:cs="Arial"/>
                <w:color w:val="000000"/>
                <w:szCs w:val="24"/>
                <w:lang w:eastAsia="es-CR"/>
              </w:rPr>
              <w:t>d</w:t>
            </w:r>
            <w:r w:rsidR="00AC17D9" w:rsidRPr="00127E8E">
              <w:rPr>
                <w:rFonts w:eastAsia="Times New Roman" w:cs="Arial"/>
                <w:color w:val="000000"/>
                <w:szCs w:val="24"/>
                <w:lang w:eastAsia="es-CR"/>
              </w:rPr>
              <w:t>e Rey Curr</w:t>
            </w:r>
            <w:r w:rsidRPr="00127E8E">
              <w:rPr>
                <w:rFonts w:eastAsia="Times New Roman" w:cs="Arial"/>
                <w:color w:val="000000"/>
                <w:szCs w:val="24"/>
                <w:lang w:eastAsia="es-CR"/>
              </w:rPr>
              <w:t>é</w:t>
            </w:r>
            <w:r w:rsidR="00AC17D9" w:rsidRPr="00127E8E">
              <w:rPr>
                <w:rFonts w:eastAsia="Times New Roman" w:cs="Arial"/>
                <w:color w:val="000000"/>
                <w:szCs w:val="24"/>
                <w:lang w:eastAsia="es-CR"/>
              </w:rPr>
              <w:t xml:space="preserve"> Boruca</w:t>
            </w:r>
          </w:p>
        </w:tc>
        <w:tc>
          <w:tcPr>
            <w:tcW w:w="1253" w:type="dxa"/>
            <w:tcBorders>
              <w:top w:val="nil"/>
              <w:left w:val="nil"/>
              <w:bottom w:val="single" w:sz="4" w:space="0" w:color="000000"/>
              <w:right w:val="single" w:sz="4" w:space="0" w:color="000000"/>
            </w:tcBorders>
            <w:shd w:val="clear" w:color="auto" w:fill="auto"/>
            <w:noWrap/>
            <w:vAlign w:val="center"/>
            <w:hideMark/>
          </w:tcPr>
          <w:p w14:paraId="628B4239" w14:textId="77777777" w:rsidR="00AC17D9" w:rsidRPr="00127E8E" w:rsidRDefault="00AC17D9" w:rsidP="00127E8E">
            <w:pPr>
              <w:spacing w:before="0" w:after="0"/>
              <w:jc w:val="center"/>
              <w:rPr>
                <w:rFonts w:eastAsia="Times New Roman" w:cs="Arial"/>
                <w:color w:val="000000"/>
                <w:szCs w:val="24"/>
                <w:lang w:eastAsia="es-CR"/>
              </w:rPr>
            </w:pPr>
            <w:r w:rsidRPr="00127E8E">
              <w:rPr>
                <w:rFonts w:eastAsia="Times New Roman" w:cs="Arial"/>
                <w:color w:val="000000"/>
                <w:szCs w:val="24"/>
                <w:lang w:eastAsia="es-CR"/>
              </w:rPr>
              <w:t>2</w:t>
            </w:r>
          </w:p>
        </w:tc>
      </w:tr>
      <w:tr w:rsidR="00127E8E" w:rsidRPr="00127E8E" w14:paraId="7C06BFB4" w14:textId="77777777" w:rsidTr="00127E8E">
        <w:trPr>
          <w:trHeight w:val="280"/>
        </w:trPr>
        <w:tc>
          <w:tcPr>
            <w:tcW w:w="7725" w:type="dxa"/>
            <w:tcBorders>
              <w:top w:val="nil"/>
              <w:left w:val="single" w:sz="4" w:space="0" w:color="000000"/>
              <w:bottom w:val="single" w:sz="4" w:space="0" w:color="000000"/>
              <w:right w:val="single" w:sz="4" w:space="0" w:color="000000"/>
            </w:tcBorders>
            <w:shd w:val="clear" w:color="auto" w:fill="auto"/>
            <w:noWrap/>
            <w:vAlign w:val="bottom"/>
            <w:hideMark/>
          </w:tcPr>
          <w:p w14:paraId="0D540113" w14:textId="7BD688BE" w:rsidR="00AC17D9" w:rsidRPr="00127E8E" w:rsidRDefault="00127E8E" w:rsidP="00055CFC">
            <w:pPr>
              <w:spacing w:before="0" w:after="0"/>
              <w:jc w:val="left"/>
              <w:rPr>
                <w:rFonts w:eastAsia="Times New Roman" w:cs="Arial"/>
                <w:color w:val="000000"/>
                <w:szCs w:val="24"/>
                <w:lang w:eastAsia="es-CR"/>
              </w:rPr>
            </w:pPr>
            <w:r w:rsidRPr="00127E8E">
              <w:rPr>
                <w:rFonts w:eastAsia="Times New Roman" w:cs="Arial"/>
                <w:color w:val="000000"/>
                <w:szCs w:val="24"/>
                <w:lang w:eastAsia="es-CR"/>
              </w:rPr>
              <w:t>Asociación</w:t>
            </w:r>
            <w:r w:rsidR="00AC17D9" w:rsidRPr="00127E8E">
              <w:rPr>
                <w:rFonts w:eastAsia="Times New Roman" w:cs="Arial"/>
                <w:color w:val="000000"/>
                <w:szCs w:val="24"/>
                <w:lang w:eastAsia="es-CR"/>
              </w:rPr>
              <w:t xml:space="preserve"> </w:t>
            </w:r>
            <w:r w:rsidRPr="00127E8E">
              <w:rPr>
                <w:rFonts w:eastAsia="Times New Roman" w:cs="Arial"/>
                <w:color w:val="000000"/>
                <w:szCs w:val="24"/>
                <w:lang w:eastAsia="es-CR"/>
              </w:rPr>
              <w:t>d</w:t>
            </w:r>
            <w:r w:rsidR="00AC17D9" w:rsidRPr="00127E8E">
              <w:rPr>
                <w:rFonts w:eastAsia="Times New Roman" w:cs="Arial"/>
                <w:color w:val="000000"/>
                <w:szCs w:val="24"/>
                <w:lang w:eastAsia="es-CR"/>
              </w:rPr>
              <w:t xml:space="preserve">e Desarrollo </w:t>
            </w:r>
            <w:r w:rsidRPr="00127E8E">
              <w:rPr>
                <w:rFonts w:eastAsia="Times New Roman" w:cs="Arial"/>
                <w:color w:val="000000"/>
                <w:szCs w:val="24"/>
                <w:lang w:eastAsia="es-CR"/>
              </w:rPr>
              <w:t>Indígena</w:t>
            </w:r>
            <w:r w:rsidR="00AC17D9" w:rsidRPr="00127E8E">
              <w:rPr>
                <w:rFonts w:eastAsia="Times New Roman" w:cs="Arial"/>
                <w:color w:val="000000"/>
                <w:szCs w:val="24"/>
                <w:lang w:eastAsia="es-CR"/>
              </w:rPr>
              <w:t xml:space="preserve"> Altos </w:t>
            </w:r>
            <w:r w:rsidRPr="00127E8E">
              <w:rPr>
                <w:rFonts w:eastAsia="Times New Roman" w:cs="Arial"/>
                <w:color w:val="000000"/>
                <w:szCs w:val="24"/>
                <w:lang w:eastAsia="es-CR"/>
              </w:rPr>
              <w:t>d</w:t>
            </w:r>
            <w:r w:rsidR="00AC17D9" w:rsidRPr="00127E8E">
              <w:rPr>
                <w:rFonts w:eastAsia="Times New Roman" w:cs="Arial"/>
                <w:color w:val="000000"/>
                <w:szCs w:val="24"/>
                <w:lang w:eastAsia="es-CR"/>
              </w:rPr>
              <w:t>e San Antonio</w:t>
            </w:r>
          </w:p>
        </w:tc>
        <w:tc>
          <w:tcPr>
            <w:tcW w:w="1253" w:type="dxa"/>
            <w:tcBorders>
              <w:top w:val="nil"/>
              <w:left w:val="nil"/>
              <w:bottom w:val="single" w:sz="4" w:space="0" w:color="000000"/>
              <w:right w:val="single" w:sz="4" w:space="0" w:color="000000"/>
            </w:tcBorders>
            <w:shd w:val="clear" w:color="auto" w:fill="auto"/>
            <w:noWrap/>
            <w:vAlign w:val="center"/>
            <w:hideMark/>
          </w:tcPr>
          <w:p w14:paraId="6AB9FC08" w14:textId="77777777" w:rsidR="00AC17D9" w:rsidRPr="00127E8E" w:rsidRDefault="00AC17D9" w:rsidP="00127E8E">
            <w:pPr>
              <w:spacing w:before="0" w:after="0"/>
              <w:jc w:val="center"/>
              <w:rPr>
                <w:rFonts w:eastAsia="Times New Roman" w:cs="Arial"/>
                <w:color w:val="000000"/>
                <w:szCs w:val="24"/>
                <w:lang w:eastAsia="es-CR"/>
              </w:rPr>
            </w:pPr>
            <w:r w:rsidRPr="00127E8E">
              <w:rPr>
                <w:rFonts w:eastAsia="Times New Roman" w:cs="Arial"/>
                <w:color w:val="000000"/>
                <w:szCs w:val="24"/>
                <w:lang w:eastAsia="es-CR"/>
              </w:rPr>
              <w:t>1</w:t>
            </w:r>
          </w:p>
        </w:tc>
      </w:tr>
      <w:tr w:rsidR="00127E8E" w:rsidRPr="00127E8E" w14:paraId="76191882" w14:textId="77777777" w:rsidTr="00127E8E">
        <w:trPr>
          <w:trHeight w:val="280"/>
        </w:trPr>
        <w:tc>
          <w:tcPr>
            <w:tcW w:w="7725" w:type="dxa"/>
            <w:tcBorders>
              <w:top w:val="nil"/>
              <w:left w:val="single" w:sz="4" w:space="0" w:color="000000"/>
              <w:bottom w:val="single" w:sz="4" w:space="0" w:color="000000"/>
              <w:right w:val="single" w:sz="4" w:space="0" w:color="000000"/>
            </w:tcBorders>
            <w:shd w:val="clear" w:color="auto" w:fill="auto"/>
            <w:noWrap/>
            <w:vAlign w:val="bottom"/>
            <w:hideMark/>
          </w:tcPr>
          <w:p w14:paraId="29F565D0" w14:textId="5EF9AFF2" w:rsidR="00AC17D9" w:rsidRPr="00127E8E" w:rsidRDefault="00127E8E" w:rsidP="00055CFC">
            <w:pPr>
              <w:spacing w:before="0" w:after="0"/>
              <w:jc w:val="left"/>
              <w:rPr>
                <w:rFonts w:eastAsia="Times New Roman" w:cs="Arial"/>
                <w:color w:val="000000"/>
                <w:szCs w:val="24"/>
                <w:lang w:eastAsia="es-CR"/>
              </w:rPr>
            </w:pPr>
            <w:r w:rsidRPr="00127E8E">
              <w:rPr>
                <w:rFonts w:eastAsia="Times New Roman" w:cs="Arial"/>
                <w:color w:val="000000"/>
                <w:szCs w:val="24"/>
                <w:lang w:eastAsia="es-CR"/>
              </w:rPr>
              <w:t>Asociación</w:t>
            </w:r>
            <w:r w:rsidR="00AC17D9" w:rsidRPr="00127E8E">
              <w:rPr>
                <w:rFonts w:eastAsia="Times New Roman" w:cs="Arial"/>
                <w:color w:val="000000"/>
                <w:szCs w:val="24"/>
                <w:lang w:eastAsia="es-CR"/>
              </w:rPr>
              <w:t xml:space="preserve"> </w:t>
            </w:r>
            <w:r w:rsidRPr="00127E8E">
              <w:rPr>
                <w:rFonts w:eastAsia="Times New Roman" w:cs="Arial"/>
                <w:color w:val="000000"/>
                <w:szCs w:val="24"/>
                <w:lang w:eastAsia="es-CR"/>
              </w:rPr>
              <w:t>d</w:t>
            </w:r>
            <w:r w:rsidR="00AC17D9" w:rsidRPr="00127E8E">
              <w:rPr>
                <w:rFonts w:eastAsia="Times New Roman" w:cs="Arial"/>
                <w:color w:val="000000"/>
                <w:szCs w:val="24"/>
                <w:lang w:eastAsia="es-CR"/>
              </w:rPr>
              <w:t xml:space="preserve">e Desarrollo Integral </w:t>
            </w:r>
            <w:r w:rsidRPr="00127E8E">
              <w:rPr>
                <w:rFonts w:eastAsia="Times New Roman" w:cs="Arial"/>
                <w:color w:val="000000"/>
                <w:szCs w:val="24"/>
                <w:lang w:eastAsia="es-CR"/>
              </w:rPr>
              <w:t>d</w:t>
            </w:r>
            <w:r w:rsidR="00AC17D9" w:rsidRPr="00127E8E">
              <w:rPr>
                <w:rFonts w:eastAsia="Times New Roman" w:cs="Arial"/>
                <w:color w:val="000000"/>
                <w:szCs w:val="24"/>
                <w:lang w:eastAsia="es-CR"/>
              </w:rPr>
              <w:t xml:space="preserve">e Reserva </w:t>
            </w:r>
            <w:r w:rsidRPr="00127E8E">
              <w:rPr>
                <w:rFonts w:eastAsia="Times New Roman" w:cs="Arial"/>
                <w:color w:val="000000"/>
                <w:szCs w:val="24"/>
                <w:lang w:eastAsia="es-CR"/>
              </w:rPr>
              <w:t>Indígena</w:t>
            </w:r>
            <w:r w:rsidR="00AC17D9" w:rsidRPr="00127E8E">
              <w:rPr>
                <w:rFonts w:eastAsia="Times New Roman" w:cs="Arial"/>
                <w:color w:val="000000"/>
                <w:szCs w:val="24"/>
                <w:lang w:eastAsia="es-CR"/>
              </w:rPr>
              <w:t xml:space="preserve"> San Rafael De </w:t>
            </w:r>
            <w:proofErr w:type="spellStart"/>
            <w:r w:rsidR="00AC17D9" w:rsidRPr="00127E8E">
              <w:rPr>
                <w:rFonts w:eastAsia="Times New Roman" w:cs="Arial"/>
                <w:color w:val="000000"/>
                <w:szCs w:val="24"/>
                <w:lang w:eastAsia="es-CR"/>
              </w:rPr>
              <w:t>Cabagra</w:t>
            </w:r>
            <w:proofErr w:type="spellEnd"/>
          </w:p>
        </w:tc>
        <w:tc>
          <w:tcPr>
            <w:tcW w:w="1253" w:type="dxa"/>
            <w:tcBorders>
              <w:top w:val="nil"/>
              <w:left w:val="nil"/>
              <w:bottom w:val="single" w:sz="4" w:space="0" w:color="000000"/>
              <w:right w:val="single" w:sz="4" w:space="0" w:color="000000"/>
            </w:tcBorders>
            <w:shd w:val="clear" w:color="auto" w:fill="auto"/>
            <w:noWrap/>
            <w:vAlign w:val="center"/>
            <w:hideMark/>
          </w:tcPr>
          <w:p w14:paraId="464F9522" w14:textId="77777777" w:rsidR="00AC17D9" w:rsidRPr="00127E8E" w:rsidRDefault="00AC17D9" w:rsidP="00127E8E">
            <w:pPr>
              <w:spacing w:before="0" w:after="0"/>
              <w:jc w:val="center"/>
              <w:rPr>
                <w:rFonts w:eastAsia="Times New Roman" w:cs="Arial"/>
                <w:color w:val="000000"/>
                <w:szCs w:val="24"/>
                <w:lang w:eastAsia="es-CR"/>
              </w:rPr>
            </w:pPr>
            <w:r w:rsidRPr="00127E8E">
              <w:rPr>
                <w:rFonts w:eastAsia="Times New Roman" w:cs="Arial"/>
                <w:color w:val="000000"/>
                <w:szCs w:val="24"/>
                <w:lang w:eastAsia="es-CR"/>
              </w:rPr>
              <w:t>1</w:t>
            </w:r>
          </w:p>
        </w:tc>
      </w:tr>
      <w:tr w:rsidR="00127E8E" w:rsidRPr="00127E8E" w14:paraId="433901D3" w14:textId="77777777" w:rsidTr="00127E8E">
        <w:trPr>
          <w:trHeight w:val="280"/>
        </w:trPr>
        <w:tc>
          <w:tcPr>
            <w:tcW w:w="7725" w:type="dxa"/>
            <w:tcBorders>
              <w:top w:val="nil"/>
              <w:left w:val="single" w:sz="4" w:space="0" w:color="000000"/>
              <w:bottom w:val="single" w:sz="4" w:space="0" w:color="000000"/>
              <w:right w:val="single" w:sz="4" w:space="0" w:color="000000"/>
            </w:tcBorders>
            <w:shd w:val="clear" w:color="auto" w:fill="auto"/>
            <w:noWrap/>
            <w:vAlign w:val="bottom"/>
            <w:hideMark/>
          </w:tcPr>
          <w:p w14:paraId="3BCE274B" w14:textId="4FB7B15F" w:rsidR="00AC17D9" w:rsidRPr="00127E8E" w:rsidRDefault="00127E8E" w:rsidP="00055CFC">
            <w:pPr>
              <w:spacing w:before="0" w:after="0"/>
              <w:jc w:val="left"/>
              <w:rPr>
                <w:rFonts w:eastAsia="Times New Roman" w:cs="Arial"/>
                <w:color w:val="000000"/>
                <w:szCs w:val="24"/>
                <w:lang w:eastAsia="es-CR"/>
              </w:rPr>
            </w:pPr>
            <w:r w:rsidRPr="00127E8E">
              <w:rPr>
                <w:rFonts w:eastAsia="Times New Roman" w:cs="Arial"/>
                <w:color w:val="000000"/>
                <w:szCs w:val="24"/>
                <w:lang w:eastAsia="es-CR"/>
              </w:rPr>
              <w:t>Asociación</w:t>
            </w:r>
            <w:r w:rsidR="00AC17D9" w:rsidRPr="00127E8E">
              <w:rPr>
                <w:rFonts w:eastAsia="Times New Roman" w:cs="Arial"/>
                <w:color w:val="000000"/>
                <w:szCs w:val="24"/>
                <w:lang w:eastAsia="es-CR"/>
              </w:rPr>
              <w:t xml:space="preserve"> </w:t>
            </w:r>
            <w:r w:rsidRPr="00127E8E">
              <w:rPr>
                <w:rFonts w:eastAsia="Times New Roman" w:cs="Arial"/>
                <w:color w:val="000000"/>
                <w:szCs w:val="24"/>
                <w:lang w:eastAsia="es-CR"/>
              </w:rPr>
              <w:t>d</w:t>
            </w:r>
            <w:r w:rsidR="00AC17D9" w:rsidRPr="00127E8E">
              <w:rPr>
                <w:rFonts w:eastAsia="Times New Roman" w:cs="Arial"/>
                <w:color w:val="000000"/>
                <w:szCs w:val="24"/>
                <w:lang w:eastAsia="es-CR"/>
              </w:rPr>
              <w:t xml:space="preserve">e Desarrollo Integral </w:t>
            </w:r>
            <w:r w:rsidRPr="00127E8E">
              <w:rPr>
                <w:rFonts w:eastAsia="Times New Roman" w:cs="Arial"/>
                <w:color w:val="000000"/>
                <w:szCs w:val="24"/>
                <w:lang w:eastAsia="es-CR"/>
              </w:rPr>
              <w:t>Indígena</w:t>
            </w:r>
            <w:r w:rsidR="00AC17D9" w:rsidRPr="00127E8E">
              <w:rPr>
                <w:rFonts w:eastAsia="Times New Roman" w:cs="Arial"/>
                <w:color w:val="000000"/>
                <w:szCs w:val="24"/>
                <w:lang w:eastAsia="es-CR"/>
              </w:rPr>
              <w:t xml:space="preserve"> </w:t>
            </w:r>
            <w:r w:rsidRPr="00127E8E">
              <w:rPr>
                <w:rFonts w:eastAsia="Times New Roman" w:cs="Arial"/>
                <w:color w:val="000000"/>
                <w:szCs w:val="24"/>
                <w:lang w:eastAsia="es-CR"/>
              </w:rPr>
              <w:t>d</w:t>
            </w:r>
            <w:r w:rsidR="00AC17D9" w:rsidRPr="00127E8E">
              <w:rPr>
                <w:rFonts w:eastAsia="Times New Roman" w:cs="Arial"/>
                <w:color w:val="000000"/>
                <w:szCs w:val="24"/>
                <w:lang w:eastAsia="es-CR"/>
              </w:rPr>
              <w:t xml:space="preserve">e </w:t>
            </w:r>
            <w:proofErr w:type="spellStart"/>
            <w:r w:rsidR="00AC17D9" w:rsidRPr="00127E8E">
              <w:rPr>
                <w:rFonts w:eastAsia="Times New Roman" w:cs="Arial"/>
                <w:color w:val="000000"/>
                <w:szCs w:val="24"/>
                <w:lang w:eastAsia="es-CR"/>
              </w:rPr>
              <w:t>Quit</w:t>
            </w:r>
            <w:proofErr w:type="spellEnd"/>
          </w:p>
        </w:tc>
        <w:tc>
          <w:tcPr>
            <w:tcW w:w="1253" w:type="dxa"/>
            <w:tcBorders>
              <w:top w:val="nil"/>
              <w:left w:val="nil"/>
              <w:bottom w:val="single" w:sz="4" w:space="0" w:color="000000"/>
              <w:right w:val="single" w:sz="4" w:space="0" w:color="000000"/>
            </w:tcBorders>
            <w:shd w:val="clear" w:color="auto" w:fill="auto"/>
            <w:noWrap/>
            <w:vAlign w:val="center"/>
            <w:hideMark/>
          </w:tcPr>
          <w:p w14:paraId="6EC629A8" w14:textId="77777777" w:rsidR="00AC17D9" w:rsidRPr="00127E8E" w:rsidRDefault="00AC17D9" w:rsidP="00127E8E">
            <w:pPr>
              <w:spacing w:before="0" w:after="0"/>
              <w:jc w:val="center"/>
              <w:rPr>
                <w:rFonts w:eastAsia="Times New Roman" w:cs="Arial"/>
                <w:color w:val="000000"/>
                <w:szCs w:val="24"/>
                <w:lang w:eastAsia="es-CR"/>
              </w:rPr>
            </w:pPr>
            <w:r w:rsidRPr="00127E8E">
              <w:rPr>
                <w:rFonts w:eastAsia="Times New Roman" w:cs="Arial"/>
                <w:color w:val="000000"/>
                <w:szCs w:val="24"/>
                <w:lang w:eastAsia="es-CR"/>
              </w:rPr>
              <w:t>1</w:t>
            </w:r>
          </w:p>
        </w:tc>
      </w:tr>
      <w:tr w:rsidR="00127E8E" w:rsidRPr="00127E8E" w14:paraId="41B4DA84" w14:textId="77777777" w:rsidTr="00127E8E">
        <w:trPr>
          <w:trHeight w:val="280"/>
        </w:trPr>
        <w:tc>
          <w:tcPr>
            <w:tcW w:w="7725" w:type="dxa"/>
            <w:tcBorders>
              <w:top w:val="nil"/>
              <w:left w:val="single" w:sz="4" w:space="0" w:color="000000"/>
              <w:bottom w:val="single" w:sz="4" w:space="0" w:color="000000"/>
              <w:right w:val="single" w:sz="4" w:space="0" w:color="000000"/>
            </w:tcBorders>
            <w:shd w:val="clear" w:color="auto" w:fill="auto"/>
            <w:noWrap/>
            <w:vAlign w:val="bottom"/>
            <w:hideMark/>
          </w:tcPr>
          <w:p w14:paraId="7D07D5CA" w14:textId="623416ED" w:rsidR="00AC17D9" w:rsidRPr="00127E8E" w:rsidRDefault="00127E8E" w:rsidP="00055CFC">
            <w:pPr>
              <w:spacing w:before="0" w:after="0"/>
              <w:jc w:val="left"/>
              <w:rPr>
                <w:rFonts w:eastAsia="Times New Roman" w:cs="Arial"/>
                <w:color w:val="000000"/>
                <w:szCs w:val="24"/>
                <w:lang w:eastAsia="es-CR"/>
              </w:rPr>
            </w:pPr>
            <w:r w:rsidRPr="00127E8E">
              <w:rPr>
                <w:rFonts w:eastAsia="Times New Roman" w:cs="Arial"/>
                <w:color w:val="000000"/>
                <w:szCs w:val="24"/>
                <w:lang w:eastAsia="es-CR"/>
              </w:rPr>
              <w:t>Asociación</w:t>
            </w:r>
            <w:r w:rsidR="00AC17D9" w:rsidRPr="00127E8E">
              <w:rPr>
                <w:rFonts w:eastAsia="Times New Roman" w:cs="Arial"/>
                <w:color w:val="000000"/>
                <w:szCs w:val="24"/>
                <w:lang w:eastAsia="es-CR"/>
              </w:rPr>
              <w:t xml:space="preserve"> </w:t>
            </w:r>
            <w:r w:rsidRPr="00127E8E">
              <w:rPr>
                <w:rFonts w:eastAsia="Times New Roman" w:cs="Arial"/>
                <w:color w:val="000000"/>
                <w:szCs w:val="24"/>
                <w:lang w:eastAsia="es-CR"/>
              </w:rPr>
              <w:t>d</w:t>
            </w:r>
            <w:r w:rsidR="00AC17D9" w:rsidRPr="00127E8E">
              <w:rPr>
                <w:rFonts w:eastAsia="Times New Roman" w:cs="Arial"/>
                <w:color w:val="000000"/>
                <w:szCs w:val="24"/>
                <w:lang w:eastAsia="es-CR"/>
              </w:rPr>
              <w:t xml:space="preserve">e Desarrollo Integral De La Reserva </w:t>
            </w:r>
            <w:r w:rsidRPr="00127E8E">
              <w:rPr>
                <w:rFonts w:eastAsia="Times New Roman" w:cs="Arial"/>
                <w:color w:val="000000"/>
                <w:szCs w:val="24"/>
                <w:lang w:eastAsia="es-CR"/>
              </w:rPr>
              <w:t>Indígena</w:t>
            </w:r>
            <w:r w:rsidR="00AC17D9" w:rsidRPr="00127E8E">
              <w:rPr>
                <w:rFonts w:eastAsia="Times New Roman" w:cs="Arial"/>
                <w:color w:val="000000"/>
                <w:szCs w:val="24"/>
                <w:lang w:eastAsia="es-CR"/>
              </w:rPr>
              <w:t xml:space="preserve"> </w:t>
            </w:r>
            <w:r w:rsidRPr="00127E8E">
              <w:rPr>
                <w:rFonts w:eastAsia="Times New Roman" w:cs="Arial"/>
                <w:color w:val="000000"/>
                <w:szCs w:val="24"/>
                <w:lang w:eastAsia="es-CR"/>
              </w:rPr>
              <w:t>Chirripó</w:t>
            </w:r>
          </w:p>
        </w:tc>
        <w:tc>
          <w:tcPr>
            <w:tcW w:w="1253" w:type="dxa"/>
            <w:tcBorders>
              <w:top w:val="nil"/>
              <w:left w:val="nil"/>
              <w:bottom w:val="single" w:sz="4" w:space="0" w:color="000000"/>
              <w:right w:val="single" w:sz="4" w:space="0" w:color="000000"/>
            </w:tcBorders>
            <w:shd w:val="clear" w:color="auto" w:fill="auto"/>
            <w:noWrap/>
            <w:vAlign w:val="center"/>
            <w:hideMark/>
          </w:tcPr>
          <w:p w14:paraId="30A193EE" w14:textId="77777777" w:rsidR="00AC17D9" w:rsidRPr="00127E8E" w:rsidRDefault="00AC17D9" w:rsidP="00127E8E">
            <w:pPr>
              <w:spacing w:before="0" w:after="0"/>
              <w:jc w:val="center"/>
              <w:rPr>
                <w:rFonts w:eastAsia="Times New Roman" w:cs="Arial"/>
                <w:color w:val="000000"/>
                <w:szCs w:val="24"/>
                <w:lang w:eastAsia="es-CR"/>
              </w:rPr>
            </w:pPr>
            <w:r w:rsidRPr="00127E8E">
              <w:rPr>
                <w:rFonts w:eastAsia="Times New Roman" w:cs="Arial"/>
                <w:color w:val="000000"/>
                <w:szCs w:val="24"/>
                <w:lang w:eastAsia="es-CR"/>
              </w:rPr>
              <w:t>1</w:t>
            </w:r>
          </w:p>
        </w:tc>
      </w:tr>
      <w:tr w:rsidR="00127E8E" w:rsidRPr="00127E8E" w14:paraId="203ACEB0" w14:textId="77777777" w:rsidTr="00127E8E">
        <w:trPr>
          <w:trHeight w:val="280"/>
        </w:trPr>
        <w:tc>
          <w:tcPr>
            <w:tcW w:w="7725" w:type="dxa"/>
            <w:tcBorders>
              <w:top w:val="nil"/>
              <w:left w:val="single" w:sz="4" w:space="0" w:color="000000"/>
              <w:bottom w:val="single" w:sz="4" w:space="0" w:color="000000"/>
              <w:right w:val="single" w:sz="4" w:space="0" w:color="000000"/>
            </w:tcBorders>
            <w:shd w:val="clear" w:color="auto" w:fill="auto"/>
            <w:noWrap/>
            <w:vAlign w:val="bottom"/>
            <w:hideMark/>
          </w:tcPr>
          <w:p w14:paraId="522FD79D" w14:textId="60DC6081" w:rsidR="00AC17D9" w:rsidRPr="00127E8E" w:rsidRDefault="00127E8E" w:rsidP="00055CFC">
            <w:pPr>
              <w:spacing w:before="0" w:after="0"/>
              <w:jc w:val="left"/>
              <w:rPr>
                <w:rFonts w:eastAsia="Times New Roman" w:cs="Arial"/>
                <w:color w:val="000000"/>
                <w:szCs w:val="24"/>
                <w:lang w:eastAsia="es-CR"/>
              </w:rPr>
            </w:pPr>
            <w:r w:rsidRPr="00127E8E">
              <w:rPr>
                <w:rFonts w:eastAsia="Times New Roman" w:cs="Arial"/>
                <w:color w:val="000000"/>
                <w:szCs w:val="24"/>
                <w:lang w:eastAsia="es-CR"/>
              </w:rPr>
              <w:t>Asociación</w:t>
            </w:r>
            <w:r w:rsidR="00AC17D9" w:rsidRPr="00127E8E">
              <w:rPr>
                <w:rFonts w:eastAsia="Times New Roman" w:cs="Arial"/>
                <w:color w:val="000000"/>
                <w:szCs w:val="24"/>
                <w:lang w:eastAsia="es-CR"/>
              </w:rPr>
              <w:t xml:space="preserve"> </w:t>
            </w:r>
            <w:r w:rsidRPr="00127E8E">
              <w:rPr>
                <w:rFonts w:eastAsia="Times New Roman" w:cs="Arial"/>
                <w:color w:val="000000"/>
                <w:szCs w:val="24"/>
                <w:lang w:eastAsia="es-CR"/>
              </w:rPr>
              <w:t>d</w:t>
            </w:r>
            <w:r w:rsidR="00AC17D9" w:rsidRPr="00127E8E">
              <w:rPr>
                <w:rFonts w:eastAsia="Times New Roman" w:cs="Arial"/>
                <w:color w:val="000000"/>
                <w:szCs w:val="24"/>
                <w:lang w:eastAsia="es-CR"/>
              </w:rPr>
              <w:t xml:space="preserve">e Desarrollo Integral </w:t>
            </w:r>
            <w:r w:rsidRPr="00127E8E">
              <w:rPr>
                <w:rFonts w:eastAsia="Times New Roman" w:cs="Arial"/>
                <w:color w:val="000000"/>
                <w:szCs w:val="24"/>
                <w:lang w:eastAsia="es-CR"/>
              </w:rPr>
              <w:t>Indígena</w:t>
            </w:r>
            <w:r w:rsidR="00AC17D9" w:rsidRPr="00127E8E">
              <w:rPr>
                <w:rFonts w:eastAsia="Times New Roman" w:cs="Arial"/>
                <w:color w:val="000000"/>
                <w:szCs w:val="24"/>
                <w:lang w:eastAsia="es-CR"/>
              </w:rPr>
              <w:t xml:space="preserve"> </w:t>
            </w:r>
            <w:r w:rsidRPr="00127E8E">
              <w:rPr>
                <w:rFonts w:eastAsia="Times New Roman" w:cs="Arial"/>
                <w:color w:val="000000"/>
                <w:szCs w:val="24"/>
                <w:lang w:eastAsia="es-CR"/>
              </w:rPr>
              <w:t>d</w:t>
            </w:r>
            <w:r w:rsidR="00AC17D9" w:rsidRPr="00127E8E">
              <w:rPr>
                <w:rFonts w:eastAsia="Times New Roman" w:cs="Arial"/>
                <w:color w:val="000000"/>
                <w:szCs w:val="24"/>
                <w:lang w:eastAsia="es-CR"/>
              </w:rPr>
              <w:t xml:space="preserve">e </w:t>
            </w:r>
            <w:r w:rsidRPr="00127E8E">
              <w:rPr>
                <w:rFonts w:eastAsia="Times New Roman" w:cs="Arial"/>
                <w:color w:val="000000"/>
                <w:szCs w:val="24"/>
                <w:lang w:eastAsia="es-CR"/>
              </w:rPr>
              <w:t>Térraba</w:t>
            </w:r>
          </w:p>
        </w:tc>
        <w:tc>
          <w:tcPr>
            <w:tcW w:w="1253" w:type="dxa"/>
            <w:tcBorders>
              <w:top w:val="nil"/>
              <w:left w:val="nil"/>
              <w:bottom w:val="single" w:sz="4" w:space="0" w:color="000000"/>
              <w:right w:val="single" w:sz="4" w:space="0" w:color="000000"/>
            </w:tcBorders>
            <w:shd w:val="clear" w:color="auto" w:fill="auto"/>
            <w:noWrap/>
            <w:vAlign w:val="center"/>
            <w:hideMark/>
          </w:tcPr>
          <w:p w14:paraId="106F7DD3" w14:textId="77777777" w:rsidR="00AC17D9" w:rsidRPr="00127E8E" w:rsidRDefault="00AC17D9" w:rsidP="00127E8E">
            <w:pPr>
              <w:spacing w:before="0" w:after="0"/>
              <w:jc w:val="center"/>
              <w:rPr>
                <w:rFonts w:eastAsia="Times New Roman" w:cs="Arial"/>
                <w:color w:val="000000"/>
                <w:szCs w:val="24"/>
                <w:lang w:eastAsia="es-CR"/>
              </w:rPr>
            </w:pPr>
            <w:r w:rsidRPr="00127E8E">
              <w:rPr>
                <w:rFonts w:eastAsia="Times New Roman" w:cs="Arial"/>
                <w:color w:val="000000"/>
                <w:szCs w:val="24"/>
                <w:lang w:eastAsia="es-CR"/>
              </w:rPr>
              <w:t>1</w:t>
            </w:r>
          </w:p>
        </w:tc>
      </w:tr>
      <w:tr w:rsidR="00127E8E" w:rsidRPr="00127E8E" w14:paraId="7E85702A" w14:textId="77777777" w:rsidTr="00127E8E">
        <w:trPr>
          <w:trHeight w:val="280"/>
        </w:trPr>
        <w:tc>
          <w:tcPr>
            <w:tcW w:w="7725" w:type="dxa"/>
            <w:tcBorders>
              <w:top w:val="nil"/>
              <w:left w:val="single" w:sz="4" w:space="0" w:color="000000"/>
              <w:bottom w:val="single" w:sz="4" w:space="0" w:color="000000"/>
              <w:right w:val="single" w:sz="4" w:space="0" w:color="000000"/>
            </w:tcBorders>
            <w:shd w:val="clear" w:color="auto" w:fill="D9D9D9"/>
            <w:noWrap/>
            <w:vAlign w:val="bottom"/>
            <w:hideMark/>
          </w:tcPr>
          <w:p w14:paraId="0B17F0E9" w14:textId="77777777" w:rsidR="00AC17D9" w:rsidRPr="00127E8E" w:rsidRDefault="00AC17D9" w:rsidP="00127E8E">
            <w:pPr>
              <w:spacing w:before="0" w:after="0"/>
              <w:jc w:val="right"/>
              <w:rPr>
                <w:rFonts w:eastAsia="Times New Roman" w:cs="Arial"/>
                <w:b/>
                <w:bCs/>
                <w:color w:val="000000"/>
                <w:szCs w:val="24"/>
                <w:lang w:eastAsia="es-CR"/>
              </w:rPr>
            </w:pPr>
            <w:r w:rsidRPr="00127E8E">
              <w:rPr>
                <w:rFonts w:eastAsia="Times New Roman" w:cs="Arial"/>
                <w:b/>
                <w:bCs/>
                <w:color w:val="000000"/>
                <w:szCs w:val="24"/>
                <w:lang w:eastAsia="es-CR"/>
              </w:rPr>
              <w:t>Total, de expedientes</w:t>
            </w:r>
          </w:p>
        </w:tc>
        <w:tc>
          <w:tcPr>
            <w:tcW w:w="1253" w:type="dxa"/>
            <w:tcBorders>
              <w:top w:val="nil"/>
              <w:left w:val="nil"/>
              <w:bottom w:val="single" w:sz="4" w:space="0" w:color="000000"/>
              <w:right w:val="single" w:sz="4" w:space="0" w:color="000000"/>
            </w:tcBorders>
            <w:shd w:val="clear" w:color="auto" w:fill="D9D9D9"/>
            <w:noWrap/>
            <w:vAlign w:val="center"/>
            <w:hideMark/>
          </w:tcPr>
          <w:p w14:paraId="3081CC40" w14:textId="77777777" w:rsidR="00AC17D9" w:rsidRPr="00127E8E" w:rsidRDefault="00AC17D9" w:rsidP="00127E8E">
            <w:pPr>
              <w:spacing w:before="0" w:after="0"/>
              <w:jc w:val="center"/>
              <w:rPr>
                <w:rFonts w:eastAsia="Times New Roman" w:cs="Arial"/>
                <w:b/>
                <w:bCs/>
                <w:color w:val="000000"/>
                <w:szCs w:val="24"/>
                <w:lang w:eastAsia="es-CR"/>
              </w:rPr>
            </w:pPr>
            <w:r w:rsidRPr="00127E8E">
              <w:rPr>
                <w:rFonts w:eastAsia="Times New Roman" w:cs="Arial"/>
                <w:b/>
                <w:bCs/>
                <w:color w:val="000000"/>
                <w:szCs w:val="24"/>
                <w:lang w:eastAsia="es-CR"/>
              </w:rPr>
              <w:t>97</w:t>
            </w:r>
          </w:p>
        </w:tc>
      </w:tr>
    </w:tbl>
    <w:p w14:paraId="2585B5CE" w14:textId="64DFEFBF" w:rsidR="4602F816" w:rsidRPr="008D2522" w:rsidRDefault="195FCF97" w:rsidP="00127E8E">
      <w:pPr>
        <w:spacing w:after="0"/>
        <w:rPr>
          <w:rFonts w:eastAsia="Arial" w:cs="Arial"/>
          <w:sz w:val="20"/>
          <w:szCs w:val="20"/>
        </w:rPr>
      </w:pPr>
      <w:r w:rsidRPr="008D2522">
        <w:rPr>
          <w:rFonts w:eastAsia="Arial" w:cs="Arial"/>
          <w:b/>
          <w:bCs/>
          <w:sz w:val="20"/>
          <w:szCs w:val="20"/>
        </w:rPr>
        <w:t>Fuente:</w:t>
      </w:r>
      <w:r w:rsidRPr="008D2522">
        <w:rPr>
          <w:rFonts w:eastAsia="Arial" w:cs="Arial"/>
          <w:sz w:val="20"/>
          <w:szCs w:val="20"/>
        </w:rPr>
        <w:t xml:space="preserve"> Subproceso de Modernización Institucional, de la Dirección de Planificación con datos facilitados por el Tribunal Contencioso Administrativo.</w:t>
      </w:r>
    </w:p>
    <w:p w14:paraId="54C0F229" w14:textId="1D3177D3" w:rsidR="4602F816" w:rsidRPr="00163514" w:rsidRDefault="195FCF97" w:rsidP="00163514">
      <w:pPr>
        <w:spacing w:line="240" w:lineRule="auto"/>
        <w:rPr>
          <w:rFonts w:ascii="Book Antiqua" w:hAnsi="Book Antiqua"/>
          <w:noProof/>
        </w:rPr>
      </w:pPr>
      <w:r w:rsidRPr="00163514">
        <w:rPr>
          <w:rFonts w:ascii="Book Antiqua" w:hAnsi="Book Antiqua"/>
          <w:noProof/>
        </w:rPr>
        <w:t>En este partícular, tal como se hizo mención en líneas anteriores, únicamente se identifica la intervención de personas indígenas cuando participan en asociaciones u organizaciones; es decir, la cantidad de asuntos donde se participa como parte demandada o actora sin la representación de una asoción y/u organización presenta una limitante estadísitica en los sistemas actuales, para determinar la cantidad de asuntos Contenciosos Administrativos donde intervinen personas indígenas y así estimar la proyección de la demanda del proceso.</w:t>
      </w:r>
    </w:p>
    <w:p w14:paraId="5483FBFC" w14:textId="76306A2E" w:rsidR="4602F816" w:rsidRPr="00163514" w:rsidRDefault="1EB9C385" w:rsidP="00163514">
      <w:pPr>
        <w:spacing w:line="240" w:lineRule="auto"/>
        <w:rPr>
          <w:rFonts w:ascii="Book Antiqua" w:eastAsia="Arial" w:hAnsi="Book Antiqua"/>
          <w:noProof/>
        </w:rPr>
      </w:pPr>
      <w:r w:rsidRPr="00163514">
        <w:rPr>
          <w:rFonts w:ascii="Book Antiqua" w:eastAsia="Arial" w:hAnsi="Book Antiqua"/>
          <w:noProof/>
        </w:rPr>
        <w:t xml:space="preserve">De igual manera, se puede observar en la tabla anterior que, </w:t>
      </w:r>
      <w:r w:rsidR="2547EAA9" w:rsidRPr="00163514">
        <w:rPr>
          <w:rFonts w:ascii="Book Antiqua" w:eastAsia="Arial" w:hAnsi="Book Antiqua"/>
          <w:noProof/>
        </w:rPr>
        <w:t>de los 97 expedientes activos</w:t>
      </w:r>
      <w:r w:rsidR="3EAAF5EB" w:rsidRPr="00163514">
        <w:rPr>
          <w:rFonts w:ascii="Book Antiqua" w:eastAsia="Arial" w:hAnsi="Book Antiqua"/>
          <w:noProof/>
        </w:rPr>
        <w:t>, 62 mantienen como intervinientes a la Comisión Nacional de Asuntos Indígenas, mientras que la Asociación de Desarro</w:t>
      </w:r>
      <w:r w:rsidR="6DD89196" w:rsidRPr="00163514">
        <w:rPr>
          <w:rFonts w:ascii="Book Antiqua" w:eastAsia="Arial" w:hAnsi="Book Antiqua"/>
          <w:noProof/>
        </w:rPr>
        <w:t>llo Integral del Territorio Indígena de Kelkoldi mantiene 12 expedientes activos. Las dos asociaciones mencionadas anteriormente representan el 76% de la totalidad de cau</w:t>
      </w:r>
      <w:r w:rsidR="62620489" w:rsidRPr="00163514">
        <w:rPr>
          <w:rFonts w:ascii="Book Antiqua" w:eastAsia="Arial" w:hAnsi="Book Antiqua"/>
          <w:noProof/>
        </w:rPr>
        <w:t xml:space="preserve">sas activas. </w:t>
      </w:r>
      <w:r w:rsidR="7F1CDA3F" w:rsidRPr="00163514">
        <w:rPr>
          <w:rFonts w:ascii="Book Antiqua" w:eastAsia="Arial" w:hAnsi="Book Antiqua"/>
          <w:noProof/>
        </w:rPr>
        <w:t xml:space="preserve">Es importante </w:t>
      </w:r>
      <w:r w:rsidR="440DC2A9" w:rsidRPr="00163514">
        <w:rPr>
          <w:rFonts w:ascii="Book Antiqua" w:eastAsia="Arial" w:hAnsi="Book Antiqua"/>
          <w:noProof/>
        </w:rPr>
        <w:t xml:space="preserve">mencionar </w:t>
      </w:r>
      <w:r w:rsidR="7F1CDA3F" w:rsidRPr="00163514">
        <w:rPr>
          <w:rFonts w:ascii="Book Antiqua" w:eastAsia="Arial" w:hAnsi="Book Antiqua"/>
          <w:noProof/>
        </w:rPr>
        <w:t xml:space="preserve">que el terrorio Kelkoldi </w:t>
      </w:r>
      <w:r w:rsidR="619DC7AC" w:rsidRPr="00163514">
        <w:rPr>
          <w:rFonts w:ascii="Book Antiqua" w:eastAsia="Arial" w:hAnsi="Book Antiqua"/>
          <w:noProof/>
        </w:rPr>
        <w:t>pertenece a la Cordillera de Talamanca, donde prevalece la etnia Bribri.</w:t>
      </w:r>
    </w:p>
    <w:p w14:paraId="2E27C365" w14:textId="3A045F8C" w:rsidR="00EB759D" w:rsidRPr="00163514" w:rsidRDefault="00EB759D" w:rsidP="00163514">
      <w:pPr>
        <w:spacing w:line="240" w:lineRule="auto"/>
        <w:rPr>
          <w:rFonts w:ascii="Book Antiqua" w:eastAsia="Arial" w:hAnsi="Book Antiqua"/>
          <w:noProof/>
          <w:highlight w:val="yellow"/>
        </w:rPr>
      </w:pPr>
      <w:r w:rsidRPr="00163514">
        <w:rPr>
          <w:rFonts w:ascii="Book Antiqua" w:eastAsia="Arial" w:hAnsi="Book Antiqua"/>
          <w:noProof/>
        </w:rPr>
        <w:t xml:space="preserve">Por lo tanto, es importante destacar lo acordado sesión del Consejo Superior 43-19 del 14 de mayo del 2019, artículo XL, donde aprobó trasladar de la Secretería Técnica de Género la plaza de Defensor Público (369766) ocupada por el Lic. Jorge Sánchez Solano hacia la Defensa Pública de San José, para la atención de la nueva legislación que entró en vigencia a partir del 2018, atendiendo personas indígenas en los procesos Agrarios, Civiles, Contenciosos prioritariamente, así como defensa a </w:t>
      </w:r>
      <w:r w:rsidRPr="00163514">
        <w:rPr>
          <w:rFonts w:ascii="Book Antiqua" w:eastAsia="Arial" w:hAnsi="Book Antiqua"/>
          <w:noProof/>
        </w:rPr>
        <w:lastRenderedPageBreak/>
        <w:t xml:space="preserve">servidores judiciales que son denunciados atendiendo las funciones inherentes a los cargos que desarrollan en el Poder Judicial. </w:t>
      </w:r>
    </w:p>
    <w:p w14:paraId="70708DCB" w14:textId="40B5EC0D" w:rsidR="001B2904" w:rsidRPr="00E85457" w:rsidRDefault="008F087D" w:rsidP="00127E8E">
      <w:pPr>
        <w:rPr>
          <w:rFonts w:ascii="Book Antiqua" w:eastAsia="Arial" w:hAnsi="Book Antiqua"/>
          <w:noProof/>
        </w:rPr>
      </w:pPr>
      <w:r w:rsidRPr="00E85457">
        <w:rPr>
          <w:rFonts w:ascii="Book Antiqua" w:eastAsia="Arial" w:hAnsi="Book Antiqua"/>
          <w:noProof/>
        </w:rPr>
        <w:t>Sin embargo, en sesión 60-19 del Consejo Superior del 4 de julio de 2019, artículo VIII, se aprobó un recurso de reconsideración el cual fue acogido parcialmente, por lo que la Jefatura de la Defensa Pública debió de mantener al licenciado Sánchez Solano destacado en una de las oficinas del Primer Circuito Judicial de San José, reforzando aquellas áreas que estime conveniente, y de acuerdo a los conocimientos que tenga don Jorge.</w:t>
      </w:r>
    </w:p>
    <w:p w14:paraId="1A36D3C7" w14:textId="79FEC97C" w:rsidR="008F087D" w:rsidRPr="00E85457" w:rsidRDefault="008F087D" w:rsidP="00127E8E">
      <w:pPr>
        <w:rPr>
          <w:rFonts w:ascii="Book Antiqua" w:eastAsia="Arial" w:hAnsi="Book Antiqua"/>
          <w:noProof/>
        </w:rPr>
      </w:pPr>
      <w:r w:rsidRPr="00E85457">
        <w:rPr>
          <w:rFonts w:ascii="Book Antiqua" w:eastAsia="Arial" w:hAnsi="Book Antiqua"/>
          <w:noProof/>
        </w:rPr>
        <w:t>Por lo anterior, la Jefatura de la Defensa Pública solventó la necesidad movilizando al Dr. Roberto Montero García</w:t>
      </w:r>
      <w:r>
        <w:rPr>
          <w:rFonts w:ascii="Book Antiqua" w:eastAsia="Arial" w:hAnsi="Book Antiqua"/>
          <w:noProof/>
        </w:rPr>
        <w:t xml:space="preserve"> para la atención de esta materia.</w:t>
      </w:r>
    </w:p>
    <w:p w14:paraId="4144B0D1" w14:textId="6FA899EE" w:rsidR="00274CC6" w:rsidRDefault="00274CC6" w:rsidP="00410F64">
      <w:pPr>
        <w:pStyle w:val="Ttulo3"/>
      </w:pPr>
      <w:r>
        <w:t>Atención de asuntos agrarios</w:t>
      </w:r>
    </w:p>
    <w:p w14:paraId="32263B65" w14:textId="3A547524" w:rsidR="00274CC6" w:rsidRPr="00163514" w:rsidRDefault="00274CC6" w:rsidP="00163514">
      <w:pPr>
        <w:spacing w:line="240" w:lineRule="auto"/>
        <w:rPr>
          <w:rFonts w:ascii="Book Antiqua" w:hAnsi="Book Antiqua"/>
        </w:rPr>
      </w:pPr>
      <w:r w:rsidRPr="00163514">
        <w:rPr>
          <w:rFonts w:ascii="Book Antiqua" w:hAnsi="Book Antiqua"/>
        </w:rPr>
        <w:t xml:space="preserve">En sesión del Consejo Superior 44-19 artículo II, se aprobó el informe 634-PLA-RH-MI-2019 de la Dirección de Planificación referente al impacto de la entrada en vigencia de la ley 9593 de acceso a la justicia a pueblos indígenas, posteriormente la Corte Plena en sesión 47-19 (Presupuesto 2020), celebrada el 23 de mayo de 2019 aprueba la comunicación del informe 102-CSP-19, en el mismo se aprueba cambiar la condición de siete plazas de recurso defensor que se encontraban extraordinarias para la atención de materia agraria, </w:t>
      </w:r>
      <w:r w:rsidR="003E6E9E" w:rsidRPr="00163514">
        <w:rPr>
          <w:rFonts w:ascii="Book Antiqua" w:hAnsi="Book Antiqua"/>
        </w:rPr>
        <w:t xml:space="preserve">a </w:t>
      </w:r>
      <w:r w:rsidRPr="00163514">
        <w:rPr>
          <w:rFonts w:ascii="Book Antiqua" w:hAnsi="Book Antiqua"/>
        </w:rPr>
        <w:t xml:space="preserve">condición ordinarias; asumiendo </w:t>
      </w:r>
      <w:r w:rsidR="003E6E9E" w:rsidRPr="00163514">
        <w:rPr>
          <w:rFonts w:ascii="Book Antiqua" w:hAnsi="Book Antiqua"/>
        </w:rPr>
        <w:t xml:space="preserve">además de materia agraria </w:t>
      </w:r>
      <w:r w:rsidRPr="00163514">
        <w:rPr>
          <w:rFonts w:ascii="Book Antiqua" w:hAnsi="Book Antiqua"/>
        </w:rPr>
        <w:t>la defensa técnica de aquellos asuntos Contenciosos Administrativos donde figure como parte actora o demandada una o más personas indígenas. En el caso de aquellas plazas, donde la carga de trabajo no alcance la cuota establecida, se le asignará asuntos de otras jurisdicciones para completar su carga de trabajo.</w:t>
      </w:r>
    </w:p>
    <w:p w14:paraId="075842B7" w14:textId="38543B29" w:rsidR="00274CC6" w:rsidRPr="00163514" w:rsidRDefault="003E6E9E" w:rsidP="00163514">
      <w:pPr>
        <w:spacing w:line="240" w:lineRule="auto"/>
        <w:rPr>
          <w:rFonts w:ascii="Book Antiqua" w:hAnsi="Book Antiqua"/>
        </w:rPr>
      </w:pPr>
      <w:r w:rsidRPr="00163514">
        <w:rPr>
          <w:rFonts w:ascii="Book Antiqua" w:hAnsi="Book Antiqua"/>
        </w:rPr>
        <w:t>De tal manera, se considera que con la aprobación e implementación de la recomendación planteada en el informe 634-PLA-RH-MI-2019, fue solventada la necesidad en materia agraria y la defensa técnica en materia contenciosa administrativa.</w:t>
      </w:r>
    </w:p>
    <w:p w14:paraId="126E736E" w14:textId="659A6FCD" w:rsidR="003E6E9E" w:rsidRPr="00163514" w:rsidRDefault="008276AA" w:rsidP="00163514">
      <w:pPr>
        <w:spacing w:line="240" w:lineRule="auto"/>
        <w:rPr>
          <w:rFonts w:ascii="Book Antiqua" w:hAnsi="Book Antiqua"/>
        </w:rPr>
      </w:pPr>
      <w:r w:rsidRPr="00163514">
        <w:rPr>
          <w:rFonts w:ascii="Book Antiqua" w:hAnsi="Book Antiqua"/>
        </w:rPr>
        <w:t xml:space="preserve">Seguidamente, se realizó un balance general de la materia agrario </w:t>
      </w:r>
      <w:r w:rsidR="00D80DBA" w:rsidRPr="00163514">
        <w:rPr>
          <w:rFonts w:ascii="Book Antiqua" w:hAnsi="Book Antiqua"/>
        </w:rPr>
        <w:t>de los primeros tres trimestres</w:t>
      </w:r>
      <w:r w:rsidRPr="00163514">
        <w:rPr>
          <w:rFonts w:ascii="Book Antiqua" w:hAnsi="Book Antiqua"/>
        </w:rPr>
        <w:t xml:space="preserve"> del 2019:</w:t>
      </w:r>
    </w:p>
    <w:p w14:paraId="06A9A0EA" w14:textId="343231A4" w:rsidR="008276AA" w:rsidRPr="00F249A1" w:rsidRDefault="008276AA" w:rsidP="00F249A1">
      <w:pPr>
        <w:pStyle w:val="Descripcin"/>
        <w:keepNext/>
        <w:jc w:val="center"/>
        <w:rPr>
          <w:sz w:val="24"/>
          <w:szCs w:val="24"/>
        </w:rPr>
      </w:pPr>
      <w:r w:rsidRPr="00F249A1">
        <w:rPr>
          <w:sz w:val="24"/>
          <w:szCs w:val="24"/>
        </w:rPr>
        <w:lastRenderedPageBreak/>
        <w:t xml:space="preserve">Figura </w:t>
      </w:r>
      <w:r w:rsidRPr="00F249A1">
        <w:rPr>
          <w:sz w:val="24"/>
          <w:szCs w:val="24"/>
        </w:rPr>
        <w:fldChar w:fldCharType="begin"/>
      </w:r>
      <w:r w:rsidRPr="00F249A1">
        <w:rPr>
          <w:sz w:val="24"/>
          <w:szCs w:val="24"/>
        </w:rPr>
        <w:instrText xml:space="preserve"> SEQ Figura \* ARABIC </w:instrText>
      </w:r>
      <w:r w:rsidRPr="00F249A1">
        <w:rPr>
          <w:sz w:val="24"/>
          <w:szCs w:val="24"/>
        </w:rPr>
        <w:fldChar w:fldCharType="separate"/>
      </w:r>
      <w:r w:rsidR="0052740A">
        <w:rPr>
          <w:noProof/>
          <w:sz w:val="24"/>
          <w:szCs w:val="24"/>
        </w:rPr>
        <w:t>6</w:t>
      </w:r>
      <w:r w:rsidRPr="00F249A1">
        <w:rPr>
          <w:sz w:val="24"/>
          <w:szCs w:val="24"/>
        </w:rPr>
        <w:fldChar w:fldCharType="end"/>
      </w:r>
      <w:r w:rsidRPr="00F249A1">
        <w:rPr>
          <w:sz w:val="24"/>
          <w:szCs w:val="24"/>
        </w:rPr>
        <w:t xml:space="preserve"> Balance general de los procesos </w:t>
      </w:r>
      <w:r w:rsidR="00DA35A3" w:rsidRPr="00F249A1">
        <w:rPr>
          <w:sz w:val="24"/>
          <w:szCs w:val="24"/>
        </w:rPr>
        <w:t>de materia agraria a nivel nacional en la Defensa Pública del primer semestre de 2019</w:t>
      </w:r>
    </w:p>
    <w:p w14:paraId="363486E8" w14:textId="72FB11EA" w:rsidR="008276AA" w:rsidRDefault="00D80DBA" w:rsidP="00274CC6">
      <w:r>
        <w:rPr>
          <w:noProof/>
        </w:rPr>
        <w:drawing>
          <wp:inline distT="0" distB="0" distL="0" distR="0" wp14:anchorId="4ABC06D8" wp14:editId="6FCEFE34">
            <wp:extent cx="5612130" cy="2628900"/>
            <wp:effectExtent l="0" t="0" r="7620" b="0"/>
            <wp:docPr id="12" name="Gráfico 12">
              <a:extLst xmlns:a="http://schemas.openxmlformats.org/drawingml/2006/main">
                <a:ext uri="{FF2B5EF4-FFF2-40B4-BE49-F238E27FC236}">
                  <a16:creationId xmlns:a16="http://schemas.microsoft.com/office/drawing/2014/main" id="{E914C719-4241-4B79-B950-0CC68E115F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18BA550" w14:textId="4D6CEA9E" w:rsidR="008276AA" w:rsidRPr="00163514" w:rsidRDefault="00DA35A3" w:rsidP="00163514">
      <w:pPr>
        <w:spacing w:line="240" w:lineRule="auto"/>
        <w:rPr>
          <w:rFonts w:ascii="Book Antiqua" w:hAnsi="Book Antiqua"/>
        </w:rPr>
      </w:pPr>
      <w:r w:rsidRPr="00163514">
        <w:rPr>
          <w:rFonts w:ascii="Book Antiqua" w:hAnsi="Book Antiqua"/>
        </w:rPr>
        <w:t xml:space="preserve">Durante </w:t>
      </w:r>
      <w:r w:rsidR="00D80DBA" w:rsidRPr="00163514">
        <w:rPr>
          <w:rFonts w:ascii="Book Antiqua" w:hAnsi="Book Antiqua"/>
        </w:rPr>
        <w:t>los primeros tres trimestres</w:t>
      </w:r>
      <w:r w:rsidRPr="00163514">
        <w:rPr>
          <w:rFonts w:ascii="Book Antiqua" w:hAnsi="Book Antiqua"/>
        </w:rPr>
        <w:t xml:space="preserve"> de 2019 se finalizaron </w:t>
      </w:r>
      <w:r w:rsidR="00D80DBA" w:rsidRPr="00163514">
        <w:rPr>
          <w:rFonts w:ascii="Book Antiqua" w:hAnsi="Book Antiqua"/>
        </w:rPr>
        <w:t>975</w:t>
      </w:r>
      <w:r w:rsidRPr="00163514">
        <w:rPr>
          <w:rFonts w:ascii="Book Antiqua" w:hAnsi="Book Antiqua"/>
        </w:rPr>
        <w:t xml:space="preserve"> asuntos, de </w:t>
      </w:r>
      <w:r w:rsidR="00D80DBA" w:rsidRPr="00163514">
        <w:rPr>
          <w:rFonts w:ascii="Book Antiqua" w:hAnsi="Book Antiqua"/>
        </w:rPr>
        <w:t>1317</w:t>
      </w:r>
      <w:r w:rsidRPr="00163514">
        <w:rPr>
          <w:rFonts w:ascii="Book Antiqua" w:hAnsi="Book Antiqua"/>
        </w:rPr>
        <w:t xml:space="preserve"> que ingresaron, logrando una efectividad de 7</w:t>
      </w:r>
      <w:r w:rsidR="00D80DBA" w:rsidRPr="00163514">
        <w:rPr>
          <w:rFonts w:ascii="Book Antiqua" w:hAnsi="Book Antiqua"/>
        </w:rPr>
        <w:t>4</w:t>
      </w:r>
      <w:r w:rsidRPr="00163514">
        <w:rPr>
          <w:rFonts w:ascii="Book Antiqua" w:hAnsi="Book Antiqua"/>
        </w:rPr>
        <w:t>%, acumulando un 2</w:t>
      </w:r>
      <w:r w:rsidR="00D80DBA" w:rsidRPr="00163514">
        <w:rPr>
          <w:rFonts w:ascii="Book Antiqua" w:hAnsi="Book Antiqua"/>
        </w:rPr>
        <w:t>6</w:t>
      </w:r>
      <w:r w:rsidRPr="00163514">
        <w:rPr>
          <w:rFonts w:ascii="Book Antiqua" w:hAnsi="Book Antiqua"/>
        </w:rPr>
        <w:t>% (</w:t>
      </w:r>
      <w:r w:rsidR="00D80DBA" w:rsidRPr="00163514">
        <w:rPr>
          <w:rFonts w:ascii="Book Antiqua" w:hAnsi="Book Antiqua"/>
        </w:rPr>
        <w:t>342</w:t>
      </w:r>
      <w:r w:rsidRPr="00163514">
        <w:rPr>
          <w:rFonts w:ascii="Book Antiqua" w:hAnsi="Book Antiqua"/>
        </w:rPr>
        <w:t xml:space="preserve">) en el circulante, </w:t>
      </w:r>
      <w:r w:rsidR="000A201E" w:rsidRPr="00163514">
        <w:rPr>
          <w:rFonts w:ascii="Book Antiqua" w:hAnsi="Book Antiqua"/>
        </w:rPr>
        <w:t>lo que muestra</w:t>
      </w:r>
      <w:r w:rsidRPr="00163514">
        <w:rPr>
          <w:rFonts w:ascii="Book Antiqua" w:hAnsi="Book Antiqua"/>
        </w:rPr>
        <w:t xml:space="preserve"> un incremento en el circulante al finalizar de un </w:t>
      </w:r>
      <w:r w:rsidR="000A201E" w:rsidRPr="00163514">
        <w:rPr>
          <w:rFonts w:ascii="Book Antiqua" w:hAnsi="Book Antiqua"/>
        </w:rPr>
        <w:t>25</w:t>
      </w:r>
      <w:r w:rsidRPr="00163514">
        <w:rPr>
          <w:rFonts w:ascii="Book Antiqua" w:hAnsi="Book Antiqua"/>
        </w:rPr>
        <w:t>%.</w:t>
      </w:r>
    </w:p>
    <w:p w14:paraId="2DE12CDE" w14:textId="7DC08900" w:rsidR="004328A4" w:rsidRPr="00163514" w:rsidRDefault="004328A4" w:rsidP="00163514">
      <w:pPr>
        <w:spacing w:line="240" w:lineRule="auto"/>
        <w:rPr>
          <w:rFonts w:ascii="Book Antiqua" w:hAnsi="Book Antiqua"/>
        </w:rPr>
      </w:pPr>
      <w:r w:rsidRPr="00163514">
        <w:rPr>
          <w:rFonts w:ascii="Book Antiqua" w:hAnsi="Book Antiqua"/>
        </w:rPr>
        <w:t>Seguidamente se realizó una comparación de los asuntos terminados en los Juzgados Agrarios y los asuntos terminados por las Defensas Públicas en Materia Agraria a nivel nacional al tercer trimestre del 2019.</w:t>
      </w:r>
    </w:p>
    <w:p w14:paraId="328302F6" w14:textId="77777777" w:rsidR="004328A4" w:rsidRPr="00616A48" w:rsidRDefault="004328A4" w:rsidP="004328A4">
      <w:pPr>
        <w:rPr>
          <w:highlight w:val="yellow"/>
        </w:rPr>
      </w:pPr>
    </w:p>
    <w:p w14:paraId="671567B0" w14:textId="77777777" w:rsidR="004328A4" w:rsidRPr="00163514" w:rsidRDefault="004328A4" w:rsidP="004328A4">
      <w:pPr>
        <w:pStyle w:val="Descripcin"/>
        <w:keepNext/>
        <w:jc w:val="center"/>
      </w:pPr>
      <w:r w:rsidRPr="00163514">
        <w:lastRenderedPageBreak/>
        <w:t xml:space="preserve">Figura </w:t>
      </w:r>
      <w:r>
        <w:fldChar w:fldCharType="begin"/>
      </w:r>
      <w:r>
        <w:instrText>SEQ Figura \* ARABIC</w:instrText>
      </w:r>
      <w:r>
        <w:fldChar w:fldCharType="separate"/>
      </w:r>
      <w:r w:rsidRPr="00163514">
        <w:rPr>
          <w:noProof/>
        </w:rPr>
        <w:t>7</w:t>
      </w:r>
      <w:r>
        <w:fldChar w:fldCharType="end"/>
      </w:r>
      <w:r w:rsidRPr="00163514">
        <w:t xml:space="preserve"> Comparativa entre asuntos terminados en los Juzgados Agrarios y las Defensas Públicas en materia Agraria, al tercer trimestre de 2019</w:t>
      </w:r>
    </w:p>
    <w:p w14:paraId="3B37C05A" w14:textId="77777777" w:rsidR="004328A4" w:rsidRPr="00616A48" w:rsidRDefault="004328A4" w:rsidP="004328A4">
      <w:pPr>
        <w:jc w:val="center"/>
        <w:rPr>
          <w:highlight w:val="yellow"/>
        </w:rPr>
      </w:pPr>
      <w:r w:rsidRPr="00616A48">
        <w:rPr>
          <w:noProof/>
          <w:highlight w:val="yellow"/>
        </w:rPr>
        <w:drawing>
          <wp:inline distT="0" distB="0" distL="0" distR="0" wp14:anchorId="07A37DF5" wp14:editId="2623D2CF">
            <wp:extent cx="4197350" cy="2263775"/>
            <wp:effectExtent l="0" t="0" r="12700" b="3175"/>
            <wp:docPr id="11" name="Gráfico 11">
              <a:extLst xmlns:a="http://schemas.openxmlformats.org/drawingml/2006/main">
                <a:ext uri="{FF2B5EF4-FFF2-40B4-BE49-F238E27FC236}">
                  <a16:creationId xmlns:a16="http://schemas.microsoft.com/office/drawing/2014/main" id="{D73939B8-AC61-4381-9E64-724AF87752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4DB085F" w14:textId="77777777" w:rsidR="004328A4" w:rsidRPr="00616A48" w:rsidRDefault="004328A4" w:rsidP="004328A4">
      <w:pPr>
        <w:rPr>
          <w:sz w:val="18"/>
          <w:szCs w:val="16"/>
        </w:rPr>
      </w:pPr>
      <w:r w:rsidRPr="00616A48">
        <w:rPr>
          <w:sz w:val="18"/>
          <w:szCs w:val="16"/>
        </w:rPr>
        <w:t>Nota: En lo referente a la información de la Defensa Pública los datos del primer y segundo trimestre fueron facilitados por el Subproceso de Estadística, en lo que respecta al tercer trimestre son datos preliminares facilitados por la Administración de la Defensa Pública.</w:t>
      </w:r>
    </w:p>
    <w:p w14:paraId="41DD0FE2" w14:textId="77777777" w:rsidR="004328A4" w:rsidRPr="00616A48" w:rsidRDefault="004328A4" w:rsidP="004328A4">
      <w:pPr>
        <w:spacing w:before="120"/>
        <w:rPr>
          <w:sz w:val="18"/>
          <w:szCs w:val="16"/>
        </w:rPr>
      </w:pPr>
      <w:r w:rsidRPr="00616A48">
        <w:rPr>
          <w:sz w:val="18"/>
          <w:szCs w:val="16"/>
        </w:rPr>
        <w:t>Fuente: Elaboración propia, con datos suministrados por el Subproceso de Estadística y la Administración de la Defensa Pública.</w:t>
      </w:r>
    </w:p>
    <w:p w14:paraId="66719154" w14:textId="58B7361B" w:rsidR="004328A4" w:rsidRPr="00163514" w:rsidRDefault="004328A4" w:rsidP="00163514">
      <w:pPr>
        <w:spacing w:line="240" w:lineRule="auto"/>
        <w:rPr>
          <w:rFonts w:ascii="Book Antiqua" w:hAnsi="Book Antiqua"/>
        </w:rPr>
      </w:pPr>
      <w:r w:rsidRPr="00163514">
        <w:rPr>
          <w:rFonts w:ascii="Book Antiqua" w:hAnsi="Book Antiqua"/>
        </w:rPr>
        <w:t>El total de 975 asuntos terminados por la Unidad Agraria de la Defensa Pública representa un 35% del total de 2 822 asuntos terminados en los Juzgados Agrarios a nivel nacional. El restante de 1847 (65%) asuntos terminados pueden estar asociados a la representación de abogado particular; así como, causas que se presentaron ante los Juzgados Agrarios sin patrocinio letrado.</w:t>
      </w:r>
    </w:p>
    <w:p w14:paraId="762CD5F2" w14:textId="0ACBCEC8" w:rsidR="00DE4D9B" w:rsidRPr="00163514" w:rsidRDefault="00DE4D9B" w:rsidP="00163514">
      <w:pPr>
        <w:spacing w:before="120" w:line="240" w:lineRule="auto"/>
        <w:rPr>
          <w:rFonts w:ascii="Book Antiqua" w:hAnsi="Book Antiqua"/>
        </w:rPr>
      </w:pPr>
      <w:r w:rsidRPr="00163514">
        <w:rPr>
          <w:rFonts w:ascii="Book Antiqua" w:hAnsi="Book Antiqua"/>
        </w:rPr>
        <w:t xml:space="preserve">Por otra parte, en consulta realizada el 5 de marzo de 2019 al Lic. Mario Alberto Rosales Vargas, Coordinador </w:t>
      </w:r>
      <w:proofErr w:type="spellStart"/>
      <w:r w:rsidRPr="00163514">
        <w:rPr>
          <w:rFonts w:ascii="Book Antiqua" w:hAnsi="Book Antiqua"/>
        </w:rPr>
        <w:t>a.i</w:t>
      </w:r>
      <w:proofErr w:type="spellEnd"/>
      <w:r w:rsidRPr="00163514">
        <w:rPr>
          <w:rFonts w:ascii="Book Antiqua" w:hAnsi="Book Antiqua"/>
        </w:rPr>
        <w:t xml:space="preserve"> de la Unidad de Agrario sobre la cuota de circulante por plaza de Defensor Público Agrario a nivel nacional, señala que una cuota máxima que puede llevar un Defensor es de 150 a 180 procesos o expedientes, dado a la complejidad de la materia, por factores cualitativos como el tiempo de traslado, visitas previas a campo, atención de poblaciones vulnerables y la atención de contrapartes. </w:t>
      </w:r>
    </w:p>
    <w:p w14:paraId="31189BC0" w14:textId="3A2D6765" w:rsidR="00DE4D9B" w:rsidRPr="00163514" w:rsidRDefault="00DE4D9B" w:rsidP="00163514">
      <w:pPr>
        <w:spacing w:before="120" w:line="240" w:lineRule="auto"/>
        <w:rPr>
          <w:rFonts w:ascii="Book Antiqua" w:hAnsi="Book Antiqua"/>
        </w:rPr>
      </w:pPr>
      <w:r w:rsidRPr="00163514">
        <w:rPr>
          <w:rFonts w:ascii="Book Antiqua" w:hAnsi="Book Antiqua"/>
        </w:rPr>
        <w:t xml:space="preserve">El Consejo Superior del Poder Judicial, </w:t>
      </w:r>
      <w:r w:rsidR="00867851" w:rsidRPr="00163514">
        <w:rPr>
          <w:rFonts w:ascii="Book Antiqua" w:hAnsi="Book Antiqua"/>
        </w:rPr>
        <w:t xml:space="preserve">mediante el acta </w:t>
      </w:r>
      <w:proofErr w:type="spellStart"/>
      <w:r w:rsidR="00867851" w:rsidRPr="00163514">
        <w:rPr>
          <w:rFonts w:ascii="Book Antiqua" w:hAnsi="Book Antiqua"/>
        </w:rPr>
        <w:t>N°</w:t>
      </w:r>
      <w:proofErr w:type="spellEnd"/>
      <w:r w:rsidR="00867851" w:rsidRPr="00163514">
        <w:rPr>
          <w:rFonts w:ascii="Book Antiqua" w:hAnsi="Book Antiqua"/>
        </w:rPr>
        <w:t xml:space="preserve"> 023-2018 del 21 de marzo de 2018 en el artículo LVI, se </w:t>
      </w:r>
      <w:r w:rsidRPr="00163514">
        <w:rPr>
          <w:rFonts w:ascii="Book Antiqua" w:hAnsi="Book Antiqua"/>
        </w:rPr>
        <w:t xml:space="preserve">acordó tener por rendido el </w:t>
      </w:r>
      <w:r w:rsidR="00867851" w:rsidRPr="00163514">
        <w:rPr>
          <w:rFonts w:ascii="Book Antiqua" w:hAnsi="Book Antiqua"/>
        </w:rPr>
        <w:t xml:space="preserve">informe presentado por la máster Damaris Vargas Vásquez, en calidad de Gestora del Proyecto de Implementación de la Reforma Procesal Agraria e Integrante de la Comisión de la </w:t>
      </w:r>
      <w:r w:rsidR="00867851" w:rsidRPr="00163514">
        <w:rPr>
          <w:rFonts w:ascii="Book Antiqua" w:hAnsi="Book Antiqua"/>
        </w:rPr>
        <w:lastRenderedPageBreak/>
        <w:t>Jurisdicción Agraria</w:t>
      </w:r>
      <w:r w:rsidR="00B10846" w:rsidRPr="00163514">
        <w:rPr>
          <w:rFonts w:ascii="Book Antiqua" w:hAnsi="Book Antiqua"/>
        </w:rPr>
        <w:t xml:space="preserve">; el cual contiene el </w:t>
      </w:r>
      <w:r w:rsidR="005173EF" w:rsidRPr="00163514">
        <w:rPr>
          <w:rFonts w:ascii="Book Antiqua" w:hAnsi="Book Antiqua"/>
        </w:rPr>
        <w:t xml:space="preserve">oficio </w:t>
      </w:r>
      <w:proofErr w:type="spellStart"/>
      <w:r w:rsidR="005173EF" w:rsidRPr="00163514">
        <w:rPr>
          <w:rFonts w:ascii="Book Antiqua" w:hAnsi="Book Antiqua"/>
        </w:rPr>
        <w:t>N°</w:t>
      </w:r>
      <w:proofErr w:type="spellEnd"/>
      <w:r w:rsidR="005173EF" w:rsidRPr="00163514">
        <w:rPr>
          <w:rFonts w:ascii="Book Antiqua" w:hAnsi="Book Antiqua"/>
        </w:rPr>
        <w:t xml:space="preserve"> 1284-213-AUO-2014 </w:t>
      </w:r>
      <w:r w:rsidR="005515E0" w:rsidRPr="00163514">
        <w:rPr>
          <w:rFonts w:ascii="Book Antiqua" w:hAnsi="Book Antiqua"/>
        </w:rPr>
        <w:t xml:space="preserve">de Auditoría Judicial </w:t>
      </w:r>
      <w:r w:rsidR="005173EF" w:rsidRPr="00163514">
        <w:rPr>
          <w:rFonts w:ascii="Book Antiqua" w:hAnsi="Book Antiqua"/>
        </w:rPr>
        <w:t xml:space="preserve">denominado </w:t>
      </w:r>
      <w:r w:rsidR="005173EF" w:rsidRPr="00163514">
        <w:rPr>
          <w:rFonts w:ascii="Book Antiqua" w:hAnsi="Book Antiqua"/>
          <w:i/>
          <w:iCs/>
        </w:rPr>
        <w:t>“Estudio Operativo del proceso Agrario (Primera Instancia)”</w:t>
      </w:r>
      <w:r w:rsidRPr="00163514">
        <w:rPr>
          <w:rFonts w:ascii="Book Antiqua" w:hAnsi="Book Antiqua"/>
        </w:rPr>
        <w:t xml:space="preserve">, donde se dispuso establecer </w:t>
      </w:r>
      <w:r w:rsidR="005515E0" w:rsidRPr="00163514">
        <w:rPr>
          <w:rFonts w:ascii="Book Antiqua" w:hAnsi="Book Antiqua"/>
        </w:rPr>
        <w:t>como cuotas mínima de señalamientos a realizarse por semana, por cada persona juzgadora agraria, al menos tres audiencias en el despacho y dos fuera de la sede de éste</w:t>
      </w:r>
      <w:r w:rsidR="0012750A" w:rsidRPr="00163514">
        <w:rPr>
          <w:rFonts w:ascii="Book Antiqua" w:hAnsi="Book Antiqua"/>
        </w:rPr>
        <w:t>.</w:t>
      </w:r>
      <w:r w:rsidRPr="00163514">
        <w:rPr>
          <w:rFonts w:ascii="Book Antiqua" w:hAnsi="Book Antiqua"/>
        </w:rPr>
        <w:t xml:space="preserve"> </w:t>
      </w:r>
      <w:r w:rsidR="00B10846" w:rsidRPr="00163514">
        <w:rPr>
          <w:rFonts w:ascii="Book Antiqua" w:hAnsi="Book Antiqua"/>
        </w:rPr>
        <w:t xml:space="preserve">Esta cuota de trabajo por persona juzgadora se mantiene según el informe </w:t>
      </w:r>
      <w:r w:rsidR="00B10846" w:rsidRPr="00163514">
        <w:rPr>
          <w:rFonts w:ascii="Book Antiqua" w:hAnsi="Book Antiqua"/>
          <w:b/>
          <w:bCs/>
        </w:rPr>
        <w:t>630-PLA-RH-MI-2019</w:t>
      </w:r>
      <w:r w:rsidR="00B10846" w:rsidRPr="00163514">
        <w:rPr>
          <w:rFonts w:ascii="Book Antiqua" w:hAnsi="Book Antiqua"/>
        </w:rPr>
        <w:t xml:space="preserve"> </w:t>
      </w:r>
      <w:r w:rsidR="00B10846" w:rsidRPr="00163514">
        <w:rPr>
          <w:rFonts w:ascii="Book Antiqua" w:hAnsi="Book Antiqua"/>
          <w:b/>
          <w:bCs/>
          <w:i/>
          <w:iCs/>
        </w:rPr>
        <w:t>“Impacto organizacional y presupuestario en el Poder Judicial a partir de la promulgación del Nuevo Código Procesal Agrario para el 2020”</w:t>
      </w:r>
      <w:r w:rsidR="00B10846" w:rsidRPr="00163514">
        <w:rPr>
          <w:rFonts w:ascii="Book Antiqua" w:hAnsi="Book Antiqua"/>
        </w:rPr>
        <w:t xml:space="preserve">, el cual fue aprobado por el Consejo Superior en la sesión extraordinaria 44-19 (Presupuesto 2019) el 16 de mayo de 2019 y, </w:t>
      </w:r>
      <w:r w:rsidR="002A4F6F" w:rsidRPr="00163514">
        <w:rPr>
          <w:rFonts w:ascii="Book Antiqua" w:hAnsi="Book Antiqua"/>
        </w:rPr>
        <w:t xml:space="preserve">aprobado </w:t>
      </w:r>
      <w:r w:rsidR="00B10846" w:rsidRPr="00163514">
        <w:rPr>
          <w:rFonts w:ascii="Book Antiqua" w:hAnsi="Book Antiqua"/>
        </w:rPr>
        <w:t xml:space="preserve">por Corte Plena el 06 de junio de 2019 en la sesión 47-19, </w:t>
      </w:r>
      <w:r w:rsidR="002A4F6F" w:rsidRPr="00163514">
        <w:rPr>
          <w:rFonts w:ascii="Book Antiqua" w:hAnsi="Book Antiqua"/>
        </w:rPr>
        <w:t>artículo</w:t>
      </w:r>
      <w:r w:rsidR="00B10846" w:rsidRPr="00163514">
        <w:rPr>
          <w:rFonts w:ascii="Book Antiqua" w:hAnsi="Book Antiqua"/>
        </w:rPr>
        <w:t xml:space="preserve"> </w:t>
      </w:r>
      <w:r w:rsidR="002A4F6F" w:rsidRPr="00163514">
        <w:rPr>
          <w:rFonts w:ascii="Book Antiqua" w:hAnsi="Book Antiqua"/>
        </w:rPr>
        <w:t>VI. Para el informe de informe de impacto organizacional y presupuestario en el Poder Judicial a partir de la promulgación del nuevo Código Procesal Agrario para el 2021, la Dirección de Planificación mantiene la cuota de trabajo descrita anteriormente.</w:t>
      </w:r>
      <w:r w:rsidR="00CB5B4B" w:rsidRPr="00163514">
        <w:rPr>
          <w:rFonts w:ascii="Book Antiqua" w:hAnsi="Book Antiqua"/>
        </w:rPr>
        <w:t xml:space="preserve"> </w:t>
      </w:r>
    </w:p>
    <w:p w14:paraId="701E7C13" w14:textId="1BC89FB2" w:rsidR="00DE4D9B" w:rsidRPr="00163514" w:rsidRDefault="00DE4D9B" w:rsidP="00163514">
      <w:pPr>
        <w:spacing w:line="240" w:lineRule="auto"/>
        <w:rPr>
          <w:rFonts w:ascii="Book Antiqua" w:hAnsi="Book Antiqua"/>
        </w:rPr>
      </w:pPr>
      <w:r w:rsidRPr="00163514">
        <w:rPr>
          <w:rFonts w:ascii="Book Antiqua" w:hAnsi="Book Antiqua"/>
        </w:rPr>
        <w:t>En este particular, con la finalidad de determinar la carga de trabajo por Oficina, en el siguiente cuadro se detalla el circulante y cantidad de asuntos entrados por recurso Defensor Público.</w:t>
      </w:r>
    </w:p>
    <w:p w14:paraId="214E2808" w14:textId="77777777" w:rsidR="005B5D07" w:rsidRDefault="005B5D07" w:rsidP="00163514">
      <w:pPr>
        <w:pStyle w:val="Descripcin"/>
        <w:keepNext/>
        <w:spacing w:line="240" w:lineRule="auto"/>
        <w:jc w:val="center"/>
      </w:pPr>
      <w:r>
        <w:t xml:space="preserve">Tabla </w:t>
      </w:r>
      <w:r>
        <w:fldChar w:fldCharType="begin"/>
      </w:r>
      <w:r>
        <w:instrText>SEQ Tabla \* ARABIC</w:instrText>
      </w:r>
      <w:r>
        <w:fldChar w:fldCharType="separate"/>
      </w:r>
      <w:r>
        <w:rPr>
          <w:noProof/>
        </w:rPr>
        <w:t>7</w:t>
      </w:r>
      <w:r>
        <w:fldChar w:fldCharType="end"/>
      </w:r>
      <w:r>
        <w:t xml:space="preserve"> </w:t>
      </w:r>
      <w:r w:rsidRPr="005B5D07">
        <w:t>Relación de asuntos entrados y circulante por recurso Defensor Público</w:t>
      </w:r>
      <w:r>
        <w:t xml:space="preserve">, </w:t>
      </w:r>
    </w:p>
    <w:p w14:paraId="408A8FFF" w14:textId="1131D425" w:rsidR="005B5D07" w:rsidRDefault="000A201E" w:rsidP="00163514">
      <w:pPr>
        <w:pStyle w:val="Descripcin"/>
        <w:keepNext/>
        <w:spacing w:line="240" w:lineRule="auto"/>
        <w:jc w:val="center"/>
      </w:pPr>
      <w:r>
        <w:t>al tercer trimestre</w:t>
      </w:r>
      <w:r w:rsidR="005B5D07">
        <w:t xml:space="preserve"> de</w:t>
      </w:r>
      <w:r>
        <w:t>l</w:t>
      </w:r>
      <w:r w:rsidR="005B5D07">
        <w:t xml:space="preserve"> 2019</w:t>
      </w:r>
      <w:r w:rsidR="00282EBF">
        <w:t xml:space="preserve"> </w:t>
      </w:r>
    </w:p>
    <w:tbl>
      <w:tblPr>
        <w:tblW w:w="9776" w:type="dxa"/>
        <w:tblCellMar>
          <w:left w:w="70" w:type="dxa"/>
          <w:right w:w="70" w:type="dxa"/>
        </w:tblCellMar>
        <w:tblLook w:val="04A0" w:firstRow="1" w:lastRow="0" w:firstColumn="1" w:lastColumn="0" w:noHBand="0" w:noVBand="1"/>
      </w:tblPr>
      <w:tblGrid>
        <w:gridCol w:w="3118"/>
        <w:gridCol w:w="1272"/>
        <w:gridCol w:w="992"/>
        <w:gridCol w:w="1276"/>
        <w:gridCol w:w="992"/>
        <w:gridCol w:w="992"/>
        <w:gridCol w:w="1134"/>
      </w:tblGrid>
      <w:tr w:rsidR="000A201E" w:rsidRPr="000A201E" w14:paraId="0E88A2E2" w14:textId="77777777" w:rsidTr="00F249A1">
        <w:trPr>
          <w:trHeight w:val="280"/>
        </w:trPr>
        <w:tc>
          <w:tcPr>
            <w:tcW w:w="3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32E157" w14:textId="77777777" w:rsidR="000A201E" w:rsidRPr="000A201E" w:rsidRDefault="000A201E" w:rsidP="000A201E">
            <w:pPr>
              <w:spacing w:before="0" w:after="0" w:line="240" w:lineRule="auto"/>
              <w:jc w:val="center"/>
              <w:rPr>
                <w:rFonts w:eastAsia="Times New Roman" w:cs="Arial"/>
                <w:b/>
                <w:bCs/>
                <w:color w:val="000000"/>
                <w:sz w:val="16"/>
                <w:szCs w:val="16"/>
                <w:lang w:eastAsia="es-CR"/>
              </w:rPr>
            </w:pPr>
            <w:r w:rsidRPr="000A201E">
              <w:rPr>
                <w:rFonts w:eastAsia="Times New Roman" w:cs="Arial"/>
                <w:b/>
                <w:bCs/>
                <w:color w:val="000000"/>
                <w:sz w:val="16"/>
                <w:szCs w:val="16"/>
                <w:lang w:eastAsia="es-CR"/>
              </w:rPr>
              <w:t>Oficinas de la Defensa Pública</w:t>
            </w:r>
          </w:p>
        </w:tc>
        <w:tc>
          <w:tcPr>
            <w:tcW w:w="12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FB88EA" w14:textId="77777777" w:rsidR="000A201E" w:rsidRPr="000A201E" w:rsidRDefault="000A201E" w:rsidP="000A201E">
            <w:pPr>
              <w:spacing w:before="0" w:after="0" w:line="240" w:lineRule="auto"/>
              <w:jc w:val="center"/>
              <w:rPr>
                <w:rFonts w:eastAsia="Times New Roman" w:cs="Arial"/>
                <w:b/>
                <w:bCs/>
                <w:color w:val="000000"/>
                <w:sz w:val="16"/>
                <w:szCs w:val="16"/>
                <w:lang w:eastAsia="es-CR"/>
              </w:rPr>
            </w:pPr>
            <w:r w:rsidRPr="000A201E">
              <w:rPr>
                <w:rFonts w:eastAsia="Times New Roman" w:cs="Arial"/>
                <w:b/>
                <w:bCs/>
                <w:color w:val="000000"/>
                <w:sz w:val="16"/>
                <w:szCs w:val="16"/>
                <w:lang w:eastAsia="es-CR"/>
              </w:rPr>
              <w:t>Cantidad de Recurso Defensor</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C06FB1" w14:textId="177D40BB" w:rsidR="000A201E" w:rsidRPr="000A201E" w:rsidRDefault="000A201E" w:rsidP="000A201E">
            <w:pPr>
              <w:spacing w:before="0" w:after="0" w:line="240" w:lineRule="auto"/>
              <w:jc w:val="center"/>
              <w:rPr>
                <w:rFonts w:eastAsia="Times New Roman" w:cs="Arial"/>
                <w:b/>
                <w:bCs/>
                <w:color w:val="000000"/>
                <w:sz w:val="16"/>
                <w:szCs w:val="16"/>
                <w:lang w:eastAsia="es-CR"/>
              </w:rPr>
            </w:pPr>
            <w:r w:rsidRPr="000A201E">
              <w:rPr>
                <w:rFonts w:eastAsia="Times New Roman" w:cs="Arial"/>
                <w:b/>
                <w:bCs/>
                <w:color w:val="000000"/>
                <w:sz w:val="16"/>
                <w:szCs w:val="16"/>
                <w:lang w:eastAsia="es-CR"/>
              </w:rPr>
              <w:t xml:space="preserve">Entrada </w:t>
            </w:r>
            <w:r w:rsidR="004328A4">
              <w:rPr>
                <w:rFonts w:eastAsia="Times New Roman" w:cs="Arial"/>
                <w:b/>
                <w:bCs/>
                <w:color w:val="000000"/>
                <w:sz w:val="16"/>
                <w:szCs w:val="16"/>
                <w:lang w:eastAsia="es-CR"/>
              </w:rPr>
              <w:t>al III Trimestre</w:t>
            </w:r>
            <w:r w:rsidRPr="000A201E">
              <w:rPr>
                <w:rFonts w:eastAsia="Times New Roman" w:cs="Arial"/>
                <w:b/>
                <w:bCs/>
                <w:color w:val="000000"/>
                <w:sz w:val="16"/>
                <w:szCs w:val="16"/>
                <w:lang w:eastAsia="es-CR"/>
              </w:rPr>
              <w:t xml:space="preserve"> 2019</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989CEB6" w14:textId="77777777" w:rsidR="000A201E" w:rsidRPr="000A201E" w:rsidRDefault="000A201E" w:rsidP="000A201E">
            <w:pPr>
              <w:spacing w:before="0" w:after="0" w:line="240" w:lineRule="auto"/>
              <w:jc w:val="center"/>
              <w:rPr>
                <w:rFonts w:eastAsia="Times New Roman" w:cs="Arial"/>
                <w:b/>
                <w:bCs/>
                <w:color w:val="000000"/>
                <w:sz w:val="16"/>
                <w:szCs w:val="16"/>
                <w:lang w:eastAsia="es-CR"/>
              </w:rPr>
            </w:pPr>
            <w:r w:rsidRPr="000A201E">
              <w:rPr>
                <w:rFonts w:eastAsia="Times New Roman" w:cs="Arial"/>
                <w:b/>
                <w:bCs/>
                <w:color w:val="000000"/>
                <w:sz w:val="16"/>
                <w:szCs w:val="16"/>
                <w:lang w:eastAsia="es-CR"/>
              </w:rPr>
              <w:t>Entrada mensual, por Defensor</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6CC0E28" w14:textId="77777777" w:rsidR="000A201E" w:rsidRPr="000A201E" w:rsidRDefault="000A201E" w:rsidP="000A201E">
            <w:pPr>
              <w:spacing w:before="0" w:after="0" w:line="240" w:lineRule="auto"/>
              <w:jc w:val="center"/>
              <w:rPr>
                <w:rFonts w:eastAsia="Times New Roman" w:cs="Arial"/>
                <w:b/>
                <w:bCs/>
                <w:color w:val="000000"/>
                <w:sz w:val="16"/>
                <w:szCs w:val="16"/>
                <w:lang w:eastAsia="es-CR"/>
              </w:rPr>
            </w:pPr>
            <w:r w:rsidRPr="000A201E">
              <w:rPr>
                <w:rFonts w:eastAsia="Times New Roman" w:cs="Arial"/>
                <w:b/>
                <w:bCs/>
                <w:color w:val="000000"/>
                <w:sz w:val="16"/>
                <w:szCs w:val="16"/>
                <w:lang w:eastAsia="es-CR"/>
              </w:rPr>
              <w:t xml:space="preserve">Circulante activo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D47FFE7" w14:textId="77777777" w:rsidR="000A201E" w:rsidRPr="000A201E" w:rsidRDefault="000A201E" w:rsidP="000A201E">
            <w:pPr>
              <w:spacing w:before="0" w:after="0" w:line="240" w:lineRule="auto"/>
              <w:jc w:val="center"/>
              <w:rPr>
                <w:rFonts w:eastAsia="Times New Roman" w:cs="Arial"/>
                <w:b/>
                <w:bCs/>
                <w:color w:val="000000"/>
                <w:sz w:val="16"/>
                <w:szCs w:val="16"/>
                <w:lang w:eastAsia="es-CR"/>
              </w:rPr>
            </w:pPr>
            <w:r w:rsidRPr="000A201E">
              <w:rPr>
                <w:rFonts w:eastAsia="Times New Roman" w:cs="Arial"/>
                <w:b/>
                <w:bCs/>
                <w:color w:val="000000"/>
                <w:sz w:val="16"/>
                <w:szCs w:val="16"/>
                <w:lang w:eastAsia="es-CR"/>
              </w:rPr>
              <w:t>Circulante</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E3125ED" w14:textId="77777777" w:rsidR="000A201E" w:rsidRPr="000A201E" w:rsidRDefault="000A201E" w:rsidP="000A201E">
            <w:pPr>
              <w:spacing w:before="0" w:after="0" w:line="240" w:lineRule="auto"/>
              <w:jc w:val="center"/>
              <w:rPr>
                <w:rFonts w:eastAsia="Times New Roman" w:cs="Arial"/>
                <w:b/>
                <w:bCs/>
                <w:color w:val="000000"/>
                <w:sz w:val="16"/>
                <w:szCs w:val="16"/>
                <w:lang w:eastAsia="es-CR"/>
              </w:rPr>
            </w:pPr>
            <w:r w:rsidRPr="000A201E">
              <w:rPr>
                <w:rFonts w:eastAsia="Times New Roman" w:cs="Arial"/>
                <w:b/>
                <w:bCs/>
                <w:color w:val="000000"/>
                <w:sz w:val="16"/>
                <w:szCs w:val="16"/>
                <w:lang w:eastAsia="es-CR"/>
              </w:rPr>
              <w:t>Promedio de entrada + Circulante</w:t>
            </w:r>
          </w:p>
        </w:tc>
      </w:tr>
      <w:tr w:rsidR="000A201E" w:rsidRPr="000A201E" w14:paraId="0CBF983E" w14:textId="77777777" w:rsidTr="00F249A1">
        <w:trPr>
          <w:trHeight w:val="280"/>
        </w:trPr>
        <w:tc>
          <w:tcPr>
            <w:tcW w:w="3118" w:type="dxa"/>
            <w:vMerge/>
            <w:tcBorders>
              <w:top w:val="single" w:sz="4" w:space="0" w:color="auto"/>
              <w:left w:val="single" w:sz="4" w:space="0" w:color="auto"/>
              <w:bottom w:val="single" w:sz="4" w:space="0" w:color="auto"/>
              <w:right w:val="single" w:sz="4" w:space="0" w:color="auto"/>
            </w:tcBorders>
            <w:vAlign w:val="center"/>
            <w:hideMark/>
          </w:tcPr>
          <w:p w14:paraId="2ADD6AE8" w14:textId="77777777" w:rsidR="000A201E" w:rsidRPr="000A201E" w:rsidRDefault="000A201E" w:rsidP="000A201E">
            <w:pPr>
              <w:spacing w:before="0" w:after="0" w:line="240" w:lineRule="auto"/>
              <w:jc w:val="left"/>
              <w:rPr>
                <w:rFonts w:eastAsia="Times New Roman" w:cs="Arial"/>
                <w:b/>
                <w:bCs/>
                <w:color w:val="000000"/>
                <w:sz w:val="16"/>
                <w:szCs w:val="16"/>
                <w:lang w:eastAsia="es-CR"/>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0B5AFF9B" w14:textId="77777777" w:rsidR="000A201E" w:rsidRPr="000A201E" w:rsidRDefault="000A201E" w:rsidP="000A201E">
            <w:pPr>
              <w:spacing w:before="0" w:after="0" w:line="240" w:lineRule="auto"/>
              <w:jc w:val="left"/>
              <w:rPr>
                <w:rFonts w:eastAsia="Times New Roman" w:cs="Arial"/>
                <w:b/>
                <w:bCs/>
                <w:color w:val="000000"/>
                <w:sz w:val="16"/>
                <w:szCs w:val="16"/>
                <w:lang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D0C8F10" w14:textId="77777777" w:rsidR="000A201E" w:rsidRPr="000A201E" w:rsidRDefault="000A201E" w:rsidP="000A201E">
            <w:pPr>
              <w:spacing w:before="0" w:after="0" w:line="240" w:lineRule="auto"/>
              <w:jc w:val="left"/>
              <w:rPr>
                <w:rFonts w:eastAsia="Times New Roman" w:cs="Arial"/>
                <w:b/>
                <w:bCs/>
                <w:color w:val="000000"/>
                <w:sz w:val="16"/>
                <w:szCs w:val="16"/>
                <w:lang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5D923AB" w14:textId="77777777" w:rsidR="000A201E" w:rsidRPr="000A201E" w:rsidRDefault="000A201E" w:rsidP="000A201E">
            <w:pPr>
              <w:spacing w:before="0" w:after="0" w:line="240" w:lineRule="auto"/>
              <w:jc w:val="left"/>
              <w:rPr>
                <w:rFonts w:eastAsia="Times New Roman" w:cs="Arial"/>
                <w:b/>
                <w:bCs/>
                <w:color w:val="000000"/>
                <w:sz w:val="16"/>
                <w:szCs w:val="16"/>
                <w:lang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63A1C35" w14:textId="77777777" w:rsidR="000A201E" w:rsidRPr="000A201E" w:rsidRDefault="000A201E" w:rsidP="000A201E">
            <w:pPr>
              <w:spacing w:before="0" w:after="0" w:line="240" w:lineRule="auto"/>
              <w:jc w:val="left"/>
              <w:rPr>
                <w:rFonts w:eastAsia="Times New Roman" w:cs="Arial"/>
                <w:b/>
                <w:bCs/>
                <w:color w:val="000000"/>
                <w:sz w:val="16"/>
                <w:szCs w:val="16"/>
                <w:lang w:eastAsia="es-CR"/>
              </w:rPr>
            </w:pPr>
          </w:p>
        </w:tc>
        <w:tc>
          <w:tcPr>
            <w:tcW w:w="992" w:type="dxa"/>
            <w:tcBorders>
              <w:top w:val="nil"/>
              <w:left w:val="nil"/>
              <w:bottom w:val="single" w:sz="4" w:space="0" w:color="auto"/>
              <w:right w:val="single" w:sz="4" w:space="0" w:color="auto"/>
            </w:tcBorders>
            <w:shd w:val="clear" w:color="000000" w:fill="FFFFFF"/>
            <w:vAlign w:val="center"/>
            <w:hideMark/>
          </w:tcPr>
          <w:p w14:paraId="4E58E2DD" w14:textId="77777777" w:rsidR="000A201E" w:rsidRPr="000A201E" w:rsidRDefault="000A201E" w:rsidP="000A201E">
            <w:pPr>
              <w:spacing w:before="0" w:after="0" w:line="240" w:lineRule="auto"/>
              <w:jc w:val="center"/>
              <w:rPr>
                <w:rFonts w:eastAsia="Times New Roman" w:cs="Arial"/>
                <w:b/>
                <w:bCs/>
                <w:color w:val="000000"/>
                <w:sz w:val="16"/>
                <w:szCs w:val="16"/>
                <w:lang w:eastAsia="es-CR"/>
              </w:rPr>
            </w:pPr>
            <w:r w:rsidRPr="000A201E">
              <w:rPr>
                <w:rFonts w:eastAsia="Times New Roman" w:cs="Arial"/>
                <w:b/>
                <w:bCs/>
                <w:color w:val="000000"/>
                <w:sz w:val="16"/>
                <w:szCs w:val="16"/>
                <w:lang w:eastAsia="es-CR"/>
              </w:rPr>
              <w:t>por Defensor</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304084F" w14:textId="77777777" w:rsidR="000A201E" w:rsidRPr="000A201E" w:rsidRDefault="000A201E" w:rsidP="000A201E">
            <w:pPr>
              <w:spacing w:before="0" w:after="0" w:line="240" w:lineRule="auto"/>
              <w:jc w:val="left"/>
              <w:rPr>
                <w:rFonts w:eastAsia="Times New Roman" w:cs="Arial"/>
                <w:b/>
                <w:bCs/>
                <w:color w:val="000000"/>
                <w:sz w:val="16"/>
                <w:szCs w:val="16"/>
                <w:lang w:eastAsia="es-CR"/>
              </w:rPr>
            </w:pPr>
          </w:p>
        </w:tc>
      </w:tr>
      <w:tr w:rsidR="000A201E" w:rsidRPr="000A201E" w14:paraId="77C76BE4" w14:textId="77777777" w:rsidTr="00F249A1">
        <w:trPr>
          <w:trHeight w:val="280"/>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2D403853" w14:textId="77777777" w:rsidR="000A201E" w:rsidRPr="000A201E" w:rsidRDefault="000A201E" w:rsidP="000A201E">
            <w:pPr>
              <w:spacing w:before="0" w:after="0" w:line="240" w:lineRule="auto"/>
              <w:jc w:val="left"/>
              <w:rPr>
                <w:rFonts w:eastAsia="Times New Roman" w:cs="Arial"/>
                <w:sz w:val="16"/>
                <w:szCs w:val="16"/>
                <w:lang w:eastAsia="es-CR"/>
              </w:rPr>
            </w:pPr>
            <w:r w:rsidRPr="000A201E">
              <w:rPr>
                <w:rFonts w:eastAsia="Times New Roman" w:cs="Arial"/>
                <w:sz w:val="16"/>
                <w:szCs w:val="16"/>
                <w:lang w:eastAsia="es-CR"/>
              </w:rPr>
              <w:t>Defensa Pública San José</w:t>
            </w:r>
          </w:p>
        </w:tc>
        <w:tc>
          <w:tcPr>
            <w:tcW w:w="1272" w:type="dxa"/>
            <w:tcBorders>
              <w:top w:val="nil"/>
              <w:left w:val="nil"/>
              <w:bottom w:val="single" w:sz="4" w:space="0" w:color="auto"/>
              <w:right w:val="single" w:sz="4" w:space="0" w:color="auto"/>
            </w:tcBorders>
            <w:shd w:val="clear" w:color="000000" w:fill="F2F2F2"/>
            <w:vAlign w:val="center"/>
            <w:hideMark/>
          </w:tcPr>
          <w:p w14:paraId="13BD8BAA" w14:textId="77777777" w:rsidR="000A201E" w:rsidRPr="000A201E" w:rsidRDefault="000A201E" w:rsidP="000A201E">
            <w:pPr>
              <w:spacing w:before="0" w:after="0" w:line="240" w:lineRule="auto"/>
              <w:jc w:val="center"/>
              <w:rPr>
                <w:rFonts w:eastAsia="Times New Roman" w:cs="Arial"/>
                <w:sz w:val="16"/>
                <w:szCs w:val="16"/>
                <w:lang w:eastAsia="es-CR"/>
              </w:rPr>
            </w:pPr>
            <w:r w:rsidRPr="000A201E">
              <w:rPr>
                <w:rFonts w:eastAsia="Times New Roman" w:cs="Arial"/>
                <w:sz w:val="16"/>
                <w:szCs w:val="16"/>
                <w:lang w:eastAsia="es-CR"/>
              </w:rPr>
              <w:t>2</w:t>
            </w:r>
          </w:p>
        </w:tc>
        <w:tc>
          <w:tcPr>
            <w:tcW w:w="992" w:type="dxa"/>
            <w:tcBorders>
              <w:top w:val="nil"/>
              <w:left w:val="nil"/>
              <w:bottom w:val="single" w:sz="4" w:space="0" w:color="auto"/>
              <w:right w:val="single" w:sz="4" w:space="0" w:color="auto"/>
            </w:tcBorders>
            <w:shd w:val="clear" w:color="auto" w:fill="auto"/>
            <w:noWrap/>
            <w:vAlign w:val="bottom"/>
            <w:hideMark/>
          </w:tcPr>
          <w:p w14:paraId="69A3C57B"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23</w:t>
            </w:r>
          </w:p>
        </w:tc>
        <w:tc>
          <w:tcPr>
            <w:tcW w:w="1276" w:type="dxa"/>
            <w:tcBorders>
              <w:top w:val="nil"/>
              <w:left w:val="nil"/>
              <w:bottom w:val="single" w:sz="4" w:space="0" w:color="auto"/>
              <w:right w:val="single" w:sz="4" w:space="0" w:color="auto"/>
            </w:tcBorders>
            <w:shd w:val="clear" w:color="auto" w:fill="auto"/>
            <w:noWrap/>
            <w:vAlign w:val="bottom"/>
            <w:hideMark/>
          </w:tcPr>
          <w:p w14:paraId="4ADBFFE3"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3</w:t>
            </w:r>
          </w:p>
        </w:tc>
        <w:tc>
          <w:tcPr>
            <w:tcW w:w="992" w:type="dxa"/>
            <w:tcBorders>
              <w:top w:val="nil"/>
              <w:left w:val="nil"/>
              <w:bottom w:val="single" w:sz="4" w:space="0" w:color="auto"/>
              <w:right w:val="single" w:sz="4" w:space="0" w:color="auto"/>
            </w:tcBorders>
            <w:shd w:val="clear" w:color="auto" w:fill="auto"/>
            <w:noWrap/>
            <w:vAlign w:val="bottom"/>
            <w:hideMark/>
          </w:tcPr>
          <w:p w14:paraId="74F47922"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74</w:t>
            </w:r>
          </w:p>
        </w:tc>
        <w:tc>
          <w:tcPr>
            <w:tcW w:w="992" w:type="dxa"/>
            <w:tcBorders>
              <w:top w:val="nil"/>
              <w:left w:val="nil"/>
              <w:bottom w:val="single" w:sz="4" w:space="0" w:color="auto"/>
              <w:right w:val="single" w:sz="4" w:space="0" w:color="auto"/>
            </w:tcBorders>
            <w:shd w:val="clear" w:color="auto" w:fill="auto"/>
            <w:noWrap/>
            <w:vAlign w:val="bottom"/>
            <w:hideMark/>
          </w:tcPr>
          <w:p w14:paraId="61D80D1A"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37</w:t>
            </w:r>
          </w:p>
        </w:tc>
        <w:tc>
          <w:tcPr>
            <w:tcW w:w="1134" w:type="dxa"/>
            <w:tcBorders>
              <w:top w:val="nil"/>
              <w:left w:val="nil"/>
              <w:bottom w:val="single" w:sz="4" w:space="0" w:color="auto"/>
              <w:right w:val="single" w:sz="4" w:space="0" w:color="auto"/>
            </w:tcBorders>
            <w:shd w:val="clear" w:color="auto" w:fill="auto"/>
            <w:noWrap/>
            <w:vAlign w:val="bottom"/>
            <w:hideMark/>
          </w:tcPr>
          <w:p w14:paraId="387B931C"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45</w:t>
            </w:r>
          </w:p>
        </w:tc>
      </w:tr>
      <w:tr w:rsidR="000A201E" w:rsidRPr="000A201E" w14:paraId="552B1AAC" w14:textId="77777777" w:rsidTr="00F249A1">
        <w:trPr>
          <w:trHeight w:val="280"/>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3882F80C" w14:textId="77777777" w:rsidR="000A201E" w:rsidRPr="000A201E" w:rsidRDefault="000A201E" w:rsidP="000A201E">
            <w:pPr>
              <w:spacing w:before="0" w:after="0" w:line="240" w:lineRule="auto"/>
              <w:jc w:val="left"/>
              <w:rPr>
                <w:rFonts w:eastAsia="Times New Roman" w:cs="Arial"/>
                <w:sz w:val="16"/>
                <w:szCs w:val="16"/>
                <w:lang w:eastAsia="es-CR"/>
              </w:rPr>
            </w:pPr>
            <w:r w:rsidRPr="000A201E">
              <w:rPr>
                <w:rFonts w:eastAsia="Times New Roman" w:cs="Arial"/>
                <w:sz w:val="16"/>
                <w:szCs w:val="16"/>
                <w:lang w:eastAsia="es-CR"/>
              </w:rPr>
              <w:t xml:space="preserve">Defensa Pública I Circuito Judicial Zona Sur   </w:t>
            </w:r>
          </w:p>
        </w:tc>
        <w:tc>
          <w:tcPr>
            <w:tcW w:w="1272" w:type="dxa"/>
            <w:tcBorders>
              <w:top w:val="nil"/>
              <w:left w:val="nil"/>
              <w:bottom w:val="single" w:sz="4" w:space="0" w:color="auto"/>
              <w:right w:val="single" w:sz="4" w:space="0" w:color="auto"/>
            </w:tcBorders>
            <w:shd w:val="clear" w:color="auto" w:fill="auto"/>
            <w:vAlign w:val="center"/>
            <w:hideMark/>
          </w:tcPr>
          <w:p w14:paraId="1372C5B2" w14:textId="77777777" w:rsidR="000A201E" w:rsidRPr="000A201E" w:rsidRDefault="000A201E" w:rsidP="000A201E">
            <w:pPr>
              <w:spacing w:before="0" w:after="0" w:line="240" w:lineRule="auto"/>
              <w:jc w:val="center"/>
              <w:rPr>
                <w:rFonts w:eastAsia="Times New Roman" w:cs="Arial"/>
                <w:sz w:val="16"/>
                <w:szCs w:val="16"/>
                <w:lang w:eastAsia="es-CR"/>
              </w:rPr>
            </w:pPr>
            <w:r w:rsidRPr="000A201E">
              <w:rPr>
                <w:rFonts w:eastAsia="Times New Roman" w:cs="Arial"/>
                <w:sz w:val="16"/>
                <w:szCs w:val="16"/>
                <w:lang w:eastAsia="es-CR"/>
              </w:rPr>
              <w:t>1</w:t>
            </w:r>
          </w:p>
        </w:tc>
        <w:tc>
          <w:tcPr>
            <w:tcW w:w="992" w:type="dxa"/>
            <w:tcBorders>
              <w:top w:val="nil"/>
              <w:left w:val="nil"/>
              <w:bottom w:val="single" w:sz="4" w:space="0" w:color="auto"/>
              <w:right w:val="single" w:sz="4" w:space="0" w:color="auto"/>
            </w:tcBorders>
            <w:shd w:val="clear" w:color="auto" w:fill="auto"/>
            <w:noWrap/>
            <w:vAlign w:val="bottom"/>
            <w:hideMark/>
          </w:tcPr>
          <w:p w14:paraId="3516EF45"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45</w:t>
            </w:r>
          </w:p>
        </w:tc>
        <w:tc>
          <w:tcPr>
            <w:tcW w:w="1276" w:type="dxa"/>
            <w:tcBorders>
              <w:top w:val="nil"/>
              <w:left w:val="nil"/>
              <w:bottom w:val="single" w:sz="4" w:space="0" w:color="auto"/>
              <w:right w:val="single" w:sz="4" w:space="0" w:color="auto"/>
            </w:tcBorders>
            <w:shd w:val="clear" w:color="auto" w:fill="auto"/>
            <w:noWrap/>
            <w:vAlign w:val="bottom"/>
            <w:hideMark/>
          </w:tcPr>
          <w:p w14:paraId="4BE5E6FC"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5</w:t>
            </w:r>
          </w:p>
        </w:tc>
        <w:tc>
          <w:tcPr>
            <w:tcW w:w="992" w:type="dxa"/>
            <w:tcBorders>
              <w:top w:val="nil"/>
              <w:left w:val="nil"/>
              <w:bottom w:val="single" w:sz="4" w:space="0" w:color="auto"/>
              <w:right w:val="single" w:sz="4" w:space="0" w:color="auto"/>
            </w:tcBorders>
            <w:shd w:val="clear" w:color="auto" w:fill="auto"/>
            <w:noWrap/>
            <w:vAlign w:val="bottom"/>
            <w:hideMark/>
          </w:tcPr>
          <w:p w14:paraId="4DDB1EDF"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121</w:t>
            </w:r>
          </w:p>
        </w:tc>
        <w:tc>
          <w:tcPr>
            <w:tcW w:w="992" w:type="dxa"/>
            <w:tcBorders>
              <w:top w:val="nil"/>
              <w:left w:val="nil"/>
              <w:bottom w:val="single" w:sz="4" w:space="0" w:color="auto"/>
              <w:right w:val="single" w:sz="4" w:space="0" w:color="auto"/>
            </w:tcBorders>
            <w:shd w:val="clear" w:color="auto" w:fill="auto"/>
            <w:noWrap/>
            <w:vAlign w:val="bottom"/>
            <w:hideMark/>
          </w:tcPr>
          <w:p w14:paraId="6A3C3C3B"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121</w:t>
            </w:r>
          </w:p>
        </w:tc>
        <w:tc>
          <w:tcPr>
            <w:tcW w:w="1134" w:type="dxa"/>
            <w:tcBorders>
              <w:top w:val="nil"/>
              <w:left w:val="nil"/>
              <w:bottom w:val="single" w:sz="4" w:space="0" w:color="auto"/>
              <w:right w:val="single" w:sz="4" w:space="0" w:color="auto"/>
            </w:tcBorders>
            <w:shd w:val="clear" w:color="auto" w:fill="auto"/>
            <w:noWrap/>
            <w:vAlign w:val="bottom"/>
            <w:hideMark/>
          </w:tcPr>
          <w:p w14:paraId="23DFA0DE"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129</w:t>
            </w:r>
          </w:p>
        </w:tc>
      </w:tr>
      <w:tr w:rsidR="000A201E" w:rsidRPr="000A201E" w14:paraId="173EA2C0" w14:textId="77777777" w:rsidTr="00F249A1">
        <w:trPr>
          <w:trHeight w:val="280"/>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71AB10E6" w14:textId="77777777" w:rsidR="000A201E" w:rsidRPr="000A201E" w:rsidRDefault="000A201E" w:rsidP="000A201E">
            <w:pPr>
              <w:spacing w:before="0" w:after="0" w:line="240" w:lineRule="auto"/>
              <w:jc w:val="left"/>
              <w:rPr>
                <w:rFonts w:eastAsia="Times New Roman" w:cs="Arial"/>
                <w:sz w:val="16"/>
                <w:szCs w:val="16"/>
                <w:lang w:eastAsia="es-CR"/>
              </w:rPr>
            </w:pPr>
            <w:r w:rsidRPr="000A201E">
              <w:rPr>
                <w:rFonts w:eastAsia="Times New Roman" w:cs="Arial"/>
                <w:sz w:val="16"/>
                <w:szCs w:val="16"/>
                <w:lang w:eastAsia="es-CR"/>
              </w:rPr>
              <w:t>Defensa Pública II Circuito Judicial Zona Sur (Corredores)</w:t>
            </w:r>
          </w:p>
        </w:tc>
        <w:tc>
          <w:tcPr>
            <w:tcW w:w="1272" w:type="dxa"/>
            <w:tcBorders>
              <w:top w:val="nil"/>
              <w:left w:val="nil"/>
              <w:bottom w:val="single" w:sz="4" w:space="0" w:color="auto"/>
              <w:right w:val="single" w:sz="4" w:space="0" w:color="auto"/>
            </w:tcBorders>
            <w:shd w:val="clear" w:color="000000" w:fill="F2F2F2"/>
            <w:vAlign w:val="center"/>
            <w:hideMark/>
          </w:tcPr>
          <w:p w14:paraId="4AB42E48" w14:textId="77777777" w:rsidR="000A201E" w:rsidRPr="000A201E" w:rsidRDefault="000A201E" w:rsidP="000A201E">
            <w:pPr>
              <w:spacing w:before="0" w:after="0" w:line="240" w:lineRule="auto"/>
              <w:jc w:val="center"/>
              <w:rPr>
                <w:rFonts w:eastAsia="Times New Roman" w:cs="Arial"/>
                <w:sz w:val="16"/>
                <w:szCs w:val="16"/>
                <w:lang w:eastAsia="es-CR"/>
              </w:rPr>
            </w:pPr>
            <w:r w:rsidRPr="000A201E">
              <w:rPr>
                <w:rFonts w:eastAsia="Times New Roman" w:cs="Arial"/>
                <w:sz w:val="16"/>
                <w:szCs w:val="16"/>
                <w:lang w:eastAsia="es-CR"/>
              </w:rPr>
              <w:t>1</w:t>
            </w:r>
          </w:p>
        </w:tc>
        <w:tc>
          <w:tcPr>
            <w:tcW w:w="992" w:type="dxa"/>
            <w:tcBorders>
              <w:top w:val="nil"/>
              <w:left w:val="nil"/>
              <w:bottom w:val="single" w:sz="4" w:space="0" w:color="auto"/>
              <w:right w:val="single" w:sz="4" w:space="0" w:color="auto"/>
            </w:tcBorders>
            <w:shd w:val="clear" w:color="auto" w:fill="auto"/>
            <w:noWrap/>
            <w:vAlign w:val="bottom"/>
            <w:hideMark/>
          </w:tcPr>
          <w:p w14:paraId="7D605B31"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65</w:t>
            </w:r>
          </w:p>
        </w:tc>
        <w:tc>
          <w:tcPr>
            <w:tcW w:w="1276" w:type="dxa"/>
            <w:tcBorders>
              <w:top w:val="nil"/>
              <w:left w:val="nil"/>
              <w:bottom w:val="single" w:sz="4" w:space="0" w:color="auto"/>
              <w:right w:val="single" w:sz="4" w:space="0" w:color="auto"/>
            </w:tcBorders>
            <w:shd w:val="clear" w:color="auto" w:fill="auto"/>
            <w:noWrap/>
            <w:vAlign w:val="bottom"/>
            <w:hideMark/>
          </w:tcPr>
          <w:p w14:paraId="74975B3D"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7</w:t>
            </w:r>
          </w:p>
        </w:tc>
        <w:tc>
          <w:tcPr>
            <w:tcW w:w="992" w:type="dxa"/>
            <w:tcBorders>
              <w:top w:val="nil"/>
              <w:left w:val="nil"/>
              <w:bottom w:val="single" w:sz="4" w:space="0" w:color="auto"/>
              <w:right w:val="single" w:sz="4" w:space="0" w:color="auto"/>
            </w:tcBorders>
            <w:shd w:val="clear" w:color="auto" w:fill="auto"/>
            <w:noWrap/>
            <w:vAlign w:val="bottom"/>
            <w:hideMark/>
          </w:tcPr>
          <w:p w14:paraId="6D94177D"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119</w:t>
            </w:r>
          </w:p>
        </w:tc>
        <w:tc>
          <w:tcPr>
            <w:tcW w:w="992" w:type="dxa"/>
            <w:tcBorders>
              <w:top w:val="nil"/>
              <w:left w:val="nil"/>
              <w:bottom w:val="single" w:sz="4" w:space="0" w:color="auto"/>
              <w:right w:val="single" w:sz="4" w:space="0" w:color="auto"/>
            </w:tcBorders>
            <w:shd w:val="clear" w:color="auto" w:fill="auto"/>
            <w:noWrap/>
            <w:vAlign w:val="bottom"/>
            <w:hideMark/>
          </w:tcPr>
          <w:p w14:paraId="6555F8A4"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119</w:t>
            </w:r>
          </w:p>
        </w:tc>
        <w:tc>
          <w:tcPr>
            <w:tcW w:w="1134" w:type="dxa"/>
            <w:tcBorders>
              <w:top w:val="nil"/>
              <w:left w:val="nil"/>
              <w:bottom w:val="single" w:sz="4" w:space="0" w:color="auto"/>
              <w:right w:val="single" w:sz="4" w:space="0" w:color="auto"/>
            </w:tcBorders>
            <w:shd w:val="clear" w:color="auto" w:fill="auto"/>
            <w:noWrap/>
            <w:vAlign w:val="bottom"/>
            <w:hideMark/>
          </w:tcPr>
          <w:p w14:paraId="2E308A84"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127</w:t>
            </w:r>
          </w:p>
        </w:tc>
      </w:tr>
      <w:tr w:rsidR="000A201E" w:rsidRPr="000A201E" w14:paraId="21A79E52" w14:textId="77777777" w:rsidTr="00F249A1">
        <w:trPr>
          <w:trHeight w:val="280"/>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58F66D73" w14:textId="77777777" w:rsidR="000A201E" w:rsidRPr="000A201E" w:rsidRDefault="000A201E" w:rsidP="000A201E">
            <w:pPr>
              <w:spacing w:before="0" w:after="0" w:line="240" w:lineRule="auto"/>
              <w:jc w:val="left"/>
              <w:rPr>
                <w:rFonts w:eastAsia="Times New Roman" w:cs="Arial"/>
                <w:sz w:val="16"/>
                <w:szCs w:val="16"/>
                <w:lang w:eastAsia="es-CR"/>
              </w:rPr>
            </w:pPr>
            <w:r w:rsidRPr="000A201E">
              <w:rPr>
                <w:rFonts w:eastAsia="Times New Roman" w:cs="Arial"/>
                <w:sz w:val="16"/>
                <w:szCs w:val="16"/>
                <w:lang w:eastAsia="es-CR"/>
              </w:rPr>
              <w:t>Defensa Pública Buenos Aires</w:t>
            </w:r>
          </w:p>
        </w:tc>
        <w:tc>
          <w:tcPr>
            <w:tcW w:w="1272" w:type="dxa"/>
            <w:tcBorders>
              <w:top w:val="nil"/>
              <w:left w:val="nil"/>
              <w:bottom w:val="single" w:sz="4" w:space="0" w:color="auto"/>
              <w:right w:val="single" w:sz="4" w:space="0" w:color="auto"/>
            </w:tcBorders>
            <w:shd w:val="clear" w:color="auto" w:fill="auto"/>
            <w:vAlign w:val="center"/>
            <w:hideMark/>
          </w:tcPr>
          <w:p w14:paraId="00D1BC7B" w14:textId="77777777" w:rsidR="000A201E" w:rsidRPr="000A201E" w:rsidRDefault="000A201E" w:rsidP="000A201E">
            <w:pPr>
              <w:spacing w:before="0" w:after="0" w:line="240" w:lineRule="auto"/>
              <w:jc w:val="center"/>
              <w:rPr>
                <w:rFonts w:eastAsia="Times New Roman" w:cs="Arial"/>
                <w:sz w:val="16"/>
                <w:szCs w:val="16"/>
                <w:lang w:eastAsia="es-CR"/>
              </w:rPr>
            </w:pPr>
            <w:r w:rsidRPr="000A201E">
              <w:rPr>
                <w:rFonts w:eastAsia="Times New Roman" w:cs="Arial"/>
                <w:sz w:val="16"/>
                <w:szCs w:val="16"/>
                <w:lang w:eastAsia="es-CR"/>
              </w:rPr>
              <w:t>1</w:t>
            </w:r>
          </w:p>
        </w:tc>
        <w:tc>
          <w:tcPr>
            <w:tcW w:w="992" w:type="dxa"/>
            <w:tcBorders>
              <w:top w:val="nil"/>
              <w:left w:val="nil"/>
              <w:bottom w:val="single" w:sz="4" w:space="0" w:color="auto"/>
              <w:right w:val="single" w:sz="4" w:space="0" w:color="auto"/>
            </w:tcBorders>
            <w:shd w:val="clear" w:color="auto" w:fill="auto"/>
            <w:noWrap/>
            <w:vAlign w:val="bottom"/>
            <w:hideMark/>
          </w:tcPr>
          <w:p w14:paraId="09387D26"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45</w:t>
            </w:r>
          </w:p>
        </w:tc>
        <w:tc>
          <w:tcPr>
            <w:tcW w:w="1276" w:type="dxa"/>
            <w:tcBorders>
              <w:top w:val="nil"/>
              <w:left w:val="nil"/>
              <w:bottom w:val="single" w:sz="4" w:space="0" w:color="auto"/>
              <w:right w:val="single" w:sz="4" w:space="0" w:color="auto"/>
            </w:tcBorders>
            <w:shd w:val="clear" w:color="auto" w:fill="auto"/>
            <w:noWrap/>
            <w:vAlign w:val="bottom"/>
            <w:hideMark/>
          </w:tcPr>
          <w:p w14:paraId="5725D2B4"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5</w:t>
            </w:r>
          </w:p>
        </w:tc>
        <w:tc>
          <w:tcPr>
            <w:tcW w:w="992" w:type="dxa"/>
            <w:tcBorders>
              <w:top w:val="nil"/>
              <w:left w:val="nil"/>
              <w:bottom w:val="single" w:sz="4" w:space="0" w:color="auto"/>
              <w:right w:val="single" w:sz="4" w:space="0" w:color="auto"/>
            </w:tcBorders>
            <w:shd w:val="clear" w:color="auto" w:fill="auto"/>
            <w:noWrap/>
            <w:vAlign w:val="bottom"/>
            <w:hideMark/>
          </w:tcPr>
          <w:p w14:paraId="611115B3"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98</w:t>
            </w:r>
          </w:p>
        </w:tc>
        <w:tc>
          <w:tcPr>
            <w:tcW w:w="992" w:type="dxa"/>
            <w:tcBorders>
              <w:top w:val="nil"/>
              <w:left w:val="nil"/>
              <w:bottom w:val="single" w:sz="4" w:space="0" w:color="auto"/>
              <w:right w:val="single" w:sz="4" w:space="0" w:color="auto"/>
            </w:tcBorders>
            <w:shd w:val="clear" w:color="auto" w:fill="auto"/>
            <w:noWrap/>
            <w:vAlign w:val="bottom"/>
            <w:hideMark/>
          </w:tcPr>
          <w:p w14:paraId="677A4F23"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98</w:t>
            </w:r>
          </w:p>
        </w:tc>
        <w:tc>
          <w:tcPr>
            <w:tcW w:w="1134" w:type="dxa"/>
            <w:tcBorders>
              <w:top w:val="nil"/>
              <w:left w:val="nil"/>
              <w:bottom w:val="single" w:sz="4" w:space="0" w:color="auto"/>
              <w:right w:val="single" w:sz="4" w:space="0" w:color="auto"/>
            </w:tcBorders>
            <w:shd w:val="clear" w:color="auto" w:fill="auto"/>
            <w:noWrap/>
            <w:vAlign w:val="bottom"/>
            <w:hideMark/>
          </w:tcPr>
          <w:p w14:paraId="5A3AED1F"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106</w:t>
            </w:r>
          </w:p>
        </w:tc>
      </w:tr>
      <w:tr w:rsidR="000A201E" w:rsidRPr="000A201E" w14:paraId="6DEFDDFE" w14:textId="77777777" w:rsidTr="00F249A1">
        <w:trPr>
          <w:trHeight w:val="280"/>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36718462" w14:textId="77777777" w:rsidR="000A201E" w:rsidRPr="000A201E" w:rsidRDefault="000A201E" w:rsidP="000A201E">
            <w:pPr>
              <w:spacing w:before="0" w:after="0" w:line="240" w:lineRule="auto"/>
              <w:jc w:val="left"/>
              <w:rPr>
                <w:rFonts w:eastAsia="Times New Roman" w:cs="Arial"/>
                <w:sz w:val="16"/>
                <w:szCs w:val="16"/>
                <w:lang w:eastAsia="es-CR"/>
              </w:rPr>
            </w:pPr>
            <w:r w:rsidRPr="000A201E">
              <w:rPr>
                <w:rFonts w:eastAsia="Times New Roman" w:cs="Arial"/>
                <w:sz w:val="16"/>
                <w:szCs w:val="16"/>
                <w:lang w:eastAsia="es-CR"/>
              </w:rPr>
              <w:t xml:space="preserve">Defensa Pública I Circuito Judicial Alajuela   </w:t>
            </w:r>
          </w:p>
        </w:tc>
        <w:tc>
          <w:tcPr>
            <w:tcW w:w="1272" w:type="dxa"/>
            <w:tcBorders>
              <w:top w:val="nil"/>
              <w:left w:val="nil"/>
              <w:bottom w:val="single" w:sz="4" w:space="0" w:color="auto"/>
              <w:right w:val="single" w:sz="4" w:space="0" w:color="auto"/>
            </w:tcBorders>
            <w:shd w:val="clear" w:color="000000" w:fill="F2F2F2"/>
            <w:vAlign w:val="center"/>
            <w:hideMark/>
          </w:tcPr>
          <w:p w14:paraId="3BF08037" w14:textId="77777777" w:rsidR="000A201E" w:rsidRPr="000A201E" w:rsidRDefault="000A201E" w:rsidP="000A201E">
            <w:pPr>
              <w:spacing w:before="0" w:after="0" w:line="240" w:lineRule="auto"/>
              <w:jc w:val="center"/>
              <w:rPr>
                <w:rFonts w:eastAsia="Times New Roman" w:cs="Arial"/>
                <w:sz w:val="16"/>
                <w:szCs w:val="16"/>
                <w:lang w:eastAsia="es-CR"/>
              </w:rPr>
            </w:pPr>
            <w:r w:rsidRPr="000A201E">
              <w:rPr>
                <w:rFonts w:eastAsia="Times New Roman" w:cs="Arial"/>
                <w:sz w:val="16"/>
                <w:szCs w:val="16"/>
                <w:lang w:eastAsia="es-CR"/>
              </w:rPr>
              <w:t>1</w:t>
            </w:r>
          </w:p>
        </w:tc>
        <w:tc>
          <w:tcPr>
            <w:tcW w:w="992" w:type="dxa"/>
            <w:tcBorders>
              <w:top w:val="nil"/>
              <w:left w:val="nil"/>
              <w:bottom w:val="single" w:sz="4" w:space="0" w:color="auto"/>
              <w:right w:val="single" w:sz="4" w:space="0" w:color="auto"/>
            </w:tcBorders>
            <w:shd w:val="clear" w:color="auto" w:fill="auto"/>
            <w:noWrap/>
            <w:vAlign w:val="bottom"/>
            <w:hideMark/>
          </w:tcPr>
          <w:p w14:paraId="147384F1"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77</w:t>
            </w:r>
          </w:p>
        </w:tc>
        <w:tc>
          <w:tcPr>
            <w:tcW w:w="1276" w:type="dxa"/>
            <w:tcBorders>
              <w:top w:val="nil"/>
              <w:left w:val="nil"/>
              <w:bottom w:val="single" w:sz="4" w:space="0" w:color="auto"/>
              <w:right w:val="single" w:sz="4" w:space="0" w:color="auto"/>
            </w:tcBorders>
            <w:shd w:val="clear" w:color="auto" w:fill="auto"/>
            <w:noWrap/>
            <w:vAlign w:val="bottom"/>
            <w:hideMark/>
          </w:tcPr>
          <w:p w14:paraId="2EBFC58D"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9</w:t>
            </w:r>
          </w:p>
        </w:tc>
        <w:tc>
          <w:tcPr>
            <w:tcW w:w="992" w:type="dxa"/>
            <w:tcBorders>
              <w:top w:val="nil"/>
              <w:left w:val="nil"/>
              <w:bottom w:val="single" w:sz="4" w:space="0" w:color="auto"/>
              <w:right w:val="single" w:sz="4" w:space="0" w:color="auto"/>
            </w:tcBorders>
            <w:shd w:val="clear" w:color="auto" w:fill="auto"/>
            <w:noWrap/>
            <w:vAlign w:val="bottom"/>
            <w:hideMark/>
          </w:tcPr>
          <w:p w14:paraId="0E0A8E50"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114</w:t>
            </w:r>
          </w:p>
        </w:tc>
        <w:tc>
          <w:tcPr>
            <w:tcW w:w="992" w:type="dxa"/>
            <w:tcBorders>
              <w:top w:val="nil"/>
              <w:left w:val="nil"/>
              <w:bottom w:val="single" w:sz="4" w:space="0" w:color="auto"/>
              <w:right w:val="single" w:sz="4" w:space="0" w:color="auto"/>
            </w:tcBorders>
            <w:shd w:val="clear" w:color="auto" w:fill="auto"/>
            <w:noWrap/>
            <w:vAlign w:val="bottom"/>
            <w:hideMark/>
          </w:tcPr>
          <w:p w14:paraId="46024F9B"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114</w:t>
            </w:r>
          </w:p>
        </w:tc>
        <w:tc>
          <w:tcPr>
            <w:tcW w:w="1134" w:type="dxa"/>
            <w:tcBorders>
              <w:top w:val="nil"/>
              <w:left w:val="nil"/>
              <w:bottom w:val="single" w:sz="4" w:space="0" w:color="auto"/>
              <w:right w:val="single" w:sz="4" w:space="0" w:color="auto"/>
            </w:tcBorders>
            <w:shd w:val="clear" w:color="auto" w:fill="auto"/>
            <w:noWrap/>
            <w:vAlign w:val="bottom"/>
            <w:hideMark/>
          </w:tcPr>
          <w:p w14:paraId="61B4BE28"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122</w:t>
            </w:r>
          </w:p>
        </w:tc>
      </w:tr>
      <w:tr w:rsidR="000A201E" w:rsidRPr="000A201E" w14:paraId="46D10956" w14:textId="77777777" w:rsidTr="00F249A1">
        <w:trPr>
          <w:trHeight w:val="280"/>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262454D5" w14:textId="77777777" w:rsidR="000A201E" w:rsidRPr="000A201E" w:rsidRDefault="000A201E" w:rsidP="000A201E">
            <w:pPr>
              <w:spacing w:before="0" w:after="0" w:line="240" w:lineRule="auto"/>
              <w:jc w:val="left"/>
              <w:rPr>
                <w:rFonts w:eastAsia="Times New Roman" w:cs="Arial"/>
                <w:sz w:val="16"/>
                <w:szCs w:val="16"/>
                <w:lang w:eastAsia="es-CR"/>
              </w:rPr>
            </w:pPr>
            <w:r w:rsidRPr="000A201E">
              <w:rPr>
                <w:rFonts w:eastAsia="Times New Roman" w:cs="Arial"/>
                <w:sz w:val="16"/>
                <w:szCs w:val="16"/>
                <w:lang w:eastAsia="es-CR"/>
              </w:rPr>
              <w:t xml:space="preserve">Defensa Pública III Circuito Judicial Alajuela (San Ramón)  </w:t>
            </w:r>
          </w:p>
        </w:tc>
        <w:tc>
          <w:tcPr>
            <w:tcW w:w="1272" w:type="dxa"/>
            <w:tcBorders>
              <w:top w:val="nil"/>
              <w:left w:val="nil"/>
              <w:bottom w:val="single" w:sz="4" w:space="0" w:color="auto"/>
              <w:right w:val="single" w:sz="4" w:space="0" w:color="auto"/>
            </w:tcBorders>
            <w:shd w:val="clear" w:color="auto" w:fill="auto"/>
            <w:vAlign w:val="center"/>
            <w:hideMark/>
          </w:tcPr>
          <w:p w14:paraId="5AD73715" w14:textId="77777777" w:rsidR="000A201E" w:rsidRPr="000A201E" w:rsidRDefault="000A201E" w:rsidP="000A201E">
            <w:pPr>
              <w:spacing w:before="0" w:after="0" w:line="240" w:lineRule="auto"/>
              <w:jc w:val="center"/>
              <w:rPr>
                <w:rFonts w:eastAsia="Times New Roman" w:cs="Arial"/>
                <w:sz w:val="16"/>
                <w:szCs w:val="16"/>
                <w:lang w:eastAsia="es-CR"/>
              </w:rPr>
            </w:pPr>
            <w:r w:rsidRPr="000A201E">
              <w:rPr>
                <w:rFonts w:eastAsia="Times New Roman" w:cs="Arial"/>
                <w:sz w:val="16"/>
                <w:szCs w:val="16"/>
                <w:lang w:eastAsia="es-CR"/>
              </w:rPr>
              <w:t>1</w:t>
            </w:r>
          </w:p>
        </w:tc>
        <w:tc>
          <w:tcPr>
            <w:tcW w:w="992" w:type="dxa"/>
            <w:tcBorders>
              <w:top w:val="nil"/>
              <w:left w:val="nil"/>
              <w:bottom w:val="single" w:sz="4" w:space="0" w:color="auto"/>
              <w:right w:val="single" w:sz="4" w:space="0" w:color="auto"/>
            </w:tcBorders>
            <w:shd w:val="clear" w:color="auto" w:fill="auto"/>
            <w:noWrap/>
            <w:vAlign w:val="bottom"/>
            <w:hideMark/>
          </w:tcPr>
          <w:p w14:paraId="0D691A51"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148</w:t>
            </w:r>
          </w:p>
        </w:tc>
        <w:tc>
          <w:tcPr>
            <w:tcW w:w="1276" w:type="dxa"/>
            <w:tcBorders>
              <w:top w:val="nil"/>
              <w:left w:val="nil"/>
              <w:bottom w:val="single" w:sz="4" w:space="0" w:color="auto"/>
              <w:right w:val="single" w:sz="4" w:space="0" w:color="auto"/>
            </w:tcBorders>
            <w:shd w:val="clear" w:color="auto" w:fill="auto"/>
            <w:noWrap/>
            <w:vAlign w:val="bottom"/>
            <w:hideMark/>
          </w:tcPr>
          <w:p w14:paraId="1423484E"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16</w:t>
            </w:r>
          </w:p>
        </w:tc>
        <w:tc>
          <w:tcPr>
            <w:tcW w:w="992" w:type="dxa"/>
            <w:tcBorders>
              <w:top w:val="nil"/>
              <w:left w:val="nil"/>
              <w:bottom w:val="single" w:sz="4" w:space="0" w:color="auto"/>
              <w:right w:val="single" w:sz="4" w:space="0" w:color="auto"/>
            </w:tcBorders>
            <w:shd w:val="clear" w:color="auto" w:fill="auto"/>
            <w:noWrap/>
            <w:vAlign w:val="bottom"/>
            <w:hideMark/>
          </w:tcPr>
          <w:p w14:paraId="289998A0"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139</w:t>
            </w:r>
          </w:p>
        </w:tc>
        <w:tc>
          <w:tcPr>
            <w:tcW w:w="992" w:type="dxa"/>
            <w:tcBorders>
              <w:top w:val="nil"/>
              <w:left w:val="nil"/>
              <w:bottom w:val="single" w:sz="4" w:space="0" w:color="auto"/>
              <w:right w:val="single" w:sz="4" w:space="0" w:color="auto"/>
            </w:tcBorders>
            <w:shd w:val="clear" w:color="auto" w:fill="auto"/>
            <w:noWrap/>
            <w:vAlign w:val="bottom"/>
            <w:hideMark/>
          </w:tcPr>
          <w:p w14:paraId="2781061F"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139</w:t>
            </w:r>
          </w:p>
        </w:tc>
        <w:tc>
          <w:tcPr>
            <w:tcW w:w="1134" w:type="dxa"/>
            <w:tcBorders>
              <w:top w:val="nil"/>
              <w:left w:val="nil"/>
              <w:bottom w:val="single" w:sz="4" w:space="0" w:color="auto"/>
              <w:right w:val="single" w:sz="4" w:space="0" w:color="auto"/>
            </w:tcBorders>
            <w:shd w:val="clear" w:color="auto" w:fill="auto"/>
            <w:noWrap/>
            <w:vAlign w:val="bottom"/>
            <w:hideMark/>
          </w:tcPr>
          <w:p w14:paraId="1BD49E7E"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147</w:t>
            </w:r>
          </w:p>
        </w:tc>
      </w:tr>
      <w:tr w:rsidR="000A201E" w:rsidRPr="000A201E" w14:paraId="3A8243C3" w14:textId="77777777" w:rsidTr="00F249A1">
        <w:trPr>
          <w:trHeight w:val="280"/>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5C5FFF9B" w14:textId="77777777" w:rsidR="000A201E" w:rsidRPr="000A201E" w:rsidRDefault="000A201E" w:rsidP="000A201E">
            <w:pPr>
              <w:spacing w:before="0" w:after="0" w:line="240" w:lineRule="auto"/>
              <w:jc w:val="left"/>
              <w:rPr>
                <w:rFonts w:eastAsia="Times New Roman" w:cs="Arial"/>
                <w:sz w:val="16"/>
                <w:szCs w:val="16"/>
                <w:lang w:eastAsia="es-CR"/>
              </w:rPr>
            </w:pPr>
            <w:r w:rsidRPr="000A201E">
              <w:rPr>
                <w:rFonts w:eastAsia="Times New Roman" w:cs="Arial"/>
                <w:sz w:val="16"/>
                <w:szCs w:val="16"/>
                <w:lang w:eastAsia="es-CR"/>
              </w:rPr>
              <w:t xml:space="preserve">Defensa Pública II Circuito Judicial Alajuela   </w:t>
            </w:r>
          </w:p>
        </w:tc>
        <w:tc>
          <w:tcPr>
            <w:tcW w:w="1272" w:type="dxa"/>
            <w:tcBorders>
              <w:top w:val="nil"/>
              <w:left w:val="nil"/>
              <w:bottom w:val="single" w:sz="4" w:space="0" w:color="auto"/>
              <w:right w:val="single" w:sz="4" w:space="0" w:color="auto"/>
            </w:tcBorders>
            <w:shd w:val="clear" w:color="000000" w:fill="F2F2F2"/>
            <w:vAlign w:val="center"/>
            <w:hideMark/>
          </w:tcPr>
          <w:p w14:paraId="69DDD591" w14:textId="77777777" w:rsidR="000A201E" w:rsidRPr="000A201E" w:rsidRDefault="000A201E" w:rsidP="000A201E">
            <w:pPr>
              <w:spacing w:before="0" w:after="0" w:line="240" w:lineRule="auto"/>
              <w:jc w:val="center"/>
              <w:rPr>
                <w:rFonts w:eastAsia="Times New Roman" w:cs="Arial"/>
                <w:sz w:val="16"/>
                <w:szCs w:val="16"/>
                <w:lang w:eastAsia="es-CR"/>
              </w:rPr>
            </w:pPr>
            <w:r w:rsidRPr="000A201E">
              <w:rPr>
                <w:rFonts w:eastAsia="Times New Roman" w:cs="Arial"/>
                <w:sz w:val="16"/>
                <w:szCs w:val="16"/>
                <w:lang w:eastAsia="es-CR"/>
              </w:rPr>
              <w:t>1</w:t>
            </w:r>
          </w:p>
        </w:tc>
        <w:tc>
          <w:tcPr>
            <w:tcW w:w="992" w:type="dxa"/>
            <w:tcBorders>
              <w:top w:val="nil"/>
              <w:left w:val="nil"/>
              <w:bottom w:val="single" w:sz="4" w:space="0" w:color="auto"/>
              <w:right w:val="single" w:sz="4" w:space="0" w:color="auto"/>
            </w:tcBorders>
            <w:shd w:val="clear" w:color="auto" w:fill="auto"/>
            <w:noWrap/>
            <w:vAlign w:val="bottom"/>
            <w:hideMark/>
          </w:tcPr>
          <w:p w14:paraId="7E5709F7"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85</w:t>
            </w:r>
          </w:p>
        </w:tc>
        <w:tc>
          <w:tcPr>
            <w:tcW w:w="1276" w:type="dxa"/>
            <w:tcBorders>
              <w:top w:val="nil"/>
              <w:left w:val="nil"/>
              <w:bottom w:val="single" w:sz="4" w:space="0" w:color="auto"/>
              <w:right w:val="single" w:sz="4" w:space="0" w:color="auto"/>
            </w:tcBorders>
            <w:shd w:val="clear" w:color="auto" w:fill="auto"/>
            <w:noWrap/>
            <w:vAlign w:val="bottom"/>
            <w:hideMark/>
          </w:tcPr>
          <w:p w14:paraId="6C265751"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9</w:t>
            </w:r>
          </w:p>
        </w:tc>
        <w:tc>
          <w:tcPr>
            <w:tcW w:w="992" w:type="dxa"/>
            <w:tcBorders>
              <w:top w:val="nil"/>
              <w:left w:val="nil"/>
              <w:bottom w:val="single" w:sz="4" w:space="0" w:color="auto"/>
              <w:right w:val="single" w:sz="4" w:space="0" w:color="auto"/>
            </w:tcBorders>
            <w:shd w:val="clear" w:color="auto" w:fill="auto"/>
            <w:noWrap/>
            <w:vAlign w:val="bottom"/>
            <w:hideMark/>
          </w:tcPr>
          <w:p w14:paraId="15F0B1BE"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178</w:t>
            </w:r>
          </w:p>
        </w:tc>
        <w:tc>
          <w:tcPr>
            <w:tcW w:w="992" w:type="dxa"/>
            <w:tcBorders>
              <w:top w:val="nil"/>
              <w:left w:val="nil"/>
              <w:bottom w:val="single" w:sz="4" w:space="0" w:color="auto"/>
              <w:right w:val="single" w:sz="4" w:space="0" w:color="auto"/>
            </w:tcBorders>
            <w:shd w:val="clear" w:color="auto" w:fill="auto"/>
            <w:noWrap/>
            <w:vAlign w:val="bottom"/>
            <w:hideMark/>
          </w:tcPr>
          <w:p w14:paraId="4DDF8E7B"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178</w:t>
            </w:r>
          </w:p>
        </w:tc>
        <w:tc>
          <w:tcPr>
            <w:tcW w:w="1134" w:type="dxa"/>
            <w:tcBorders>
              <w:top w:val="nil"/>
              <w:left w:val="nil"/>
              <w:bottom w:val="single" w:sz="4" w:space="0" w:color="auto"/>
              <w:right w:val="single" w:sz="4" w:space="0" w:color="auto"/>
            </w:tcBorders>
            <w:shd w:val="clear" w:color="auto" w:fill="auto"/>
            <w:noWrap/>
            <w:vAlign w:val="bottom"/>
            <w:hideMark/>
          </w:tcPr>
          <w:p w14:paraId="1469D0F7"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186</w:t>
            </w:r>
          </w:p>
        </w:tc>
      </w:tr>
      <w:tr w:rsidR="000A201E" w:rsidRPr="000A201E" w14:paraId="71C9FA0E" w14:textId="77777777" w:rsidTr="00F249A1">
        <w:trPr>
          <w:trHeight w:val="280"/>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326E53E0" w14:textId="77777777" w:rsidR="000A201E" w:rsidRPr="000A201E" w:rsidRDefault="000A201E" w:rsidP="000A201E">
            <w:pPr>
              <w:spacing w:before="0" w:after="0" w:line="240" w:lineRule="auto"/>
              <w:jc w:val="left"/>
              <w:rPr>
                <w:rFonts w:eastAsia="Times New Roman" w:cs="Arial"/>
                <w:sz w:val="16"/>
                <w:szCs w:val="16"/>
                <w:lang w:eastAsia="es-CR"/>
              </w:rPr>
            </w:pPr>
            <w:r w:rsidRPr="000A201E">
              <w:rPr>
                <w:rFonts w:eastAsia="Times New Roman" w:cs="Arial"/>
                <w:sz w:val="16"/>
                <w:szCs w:val="16"/>
                <w:lang w:eastAsia="es-CR"/>
              </w:rPr>
              <w:t xml:space="preserve">Defensa Pública Upala   </w:t>
            </w:r>
          </w:p>
        </w:tc>
        <w:tc>
          <w:tcPr>
            <w:tcW w:w="1272" w:type="dxa"/>
            <w:tcBorders>
              <w:top w:val="nil"/>
              <w:left w:val="nil"/>
              <w:bottom w:val="single" w:sz="4" w:space="0" w:color="auto"/>
              <w:right w:val="single" w:sz="4" w:space="0" w:color="auto"/>
            </w:tcBorders>
            <w:shd w:val="clear" w:color="auto" w:fill="auto"/>
            <w:vAlign w:val="center"/>
            <w:hideMark/>
          </w:tcPr>
          <w:p w14:paraId="4D948F84" w14:textId="77777777" w:rsidR="000A201E" w:rsidRPr="000A201E" w:rsidRDefault="000A201E" w:rsidP="000A201E">
            <w:pPr>
              <w:spacing w:before="0" w:after="0" w:line="240" w:lineRule="auto"/>
              <w:jc w:val="center"/>
              <w:rPr>
                <w:rFonts w:eastAsia="Times New Roman" w:cs="Arial"/>
                <w:sz w:val="16"/>
                <w:szCs w:val="16"/>
                <w:lang w:eastAsia="es-CR"/>
              </w:rPr>
            </w:pPr>
            <w:r w:rsidRPr="000A201E">
              <w:rPr>
                <w:rFonts w:eastAsia="Times New Roman" w:cs="Arial"/>
                <w:sz w:val="16"/>
                <w:szCs w:val="16"/>
                <w:lang w:eastAsia="es-CR"/>
              </w:rPr>
              <w:t>1</w:t>
            </w:r>
          </w:p>
        </w:tc>
        <w:tc>
          <w:tcPr>
            <w:tcW w:w="992" w:type="dxa"/>
            <w:tcBorders>
              <w:top w:val="nil"/>
              <w:left w:val="nil"/>
              <w:bottom w:val="single" w:sz="4" w:space="0" w:color="auto"/>
              <w:right w:val="single" w:sz="4" w:space="0" w:color="auto"/>
            </w:tcBorders>
            <w:shd w:val="clear" w:color="auto" w:fill="auto"/>
            <w:noWrap/>
            <w:vAlign w:val="bottom"/>
            <w:hideMark/>
          </w:tcPr>
          <w:p w14:paraId="57529E4F"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123</w:t>
            </w:r>
          </w:p>
        </w:tc>
        <w:tc>
          <w:tcPr>
            <w:tcW w:w="1276" w:type="dxa"/>
            <w:tcBorders>
              <w:top w:val="nil"/>
              <w:left w:val="nil"/>
              <w:bottom w:val="single" w:sz="4" w:space="0" w:color="auto"/>
              <w:right w:val="single" w:sz="4" w:space="0" w:color="auto"/>
            </w:tcBorders>
            <w:shd w:val="clear" w:color="auto" w:fill="auto"/>
            <w:noWrap/>
            <w:vAlign w:val="bottom"/>
            <w:hideMark/>
          </w:tcPr>
          <w:p w14:paraId="179010FF"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14</w:t>
            </w:r>
          </w:p>
        </w:tc>
        <w:tc>
          <w:tcPr>
            <w:tcW w:w="992" w:type="dxa"/>
            <w:tcBorders>
              <w:top w:val="nil"/>
              <w:left w:val="nil"/>
              <w:bottom w:val="single" w:sz="4" w:space="0" w:color="auto"/>
              <w:right w:val="single" w:sz="4" w:space="0" w:color="auto"/>
            </w:tcBorders>
            <w:shd w:val="clear" w:color="auto" w:fill="auto"/>
            <w:noWrap/>
            <w:vAlign w:val="bottom"/>
            <w:hideMark/>
          </w:tcPr>
          <w:p w14:paraId="0CE8C761"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185</w:t>
            </w:r>
          </w:p>
        </w:tc>
        <w:tc>
          <w:tcPr>
            <w:tcW w:w="992" w:type="dxa"/>
            <w:tcBorders>
              <w:top w:val="nil"/>
              <w:left w:val="nil"/>
              <w:bottom w:val="single" w:sz="4" w:space="0" w:color="auto"/>
              <w:right w:val="single" w:sz="4" w:space="0" w:color="auto"/>
            </w:tcBorders>
            <w:shd w:val="clear" w:color="auto" w:fill="auto"/>
            <w:noWrap/>
            <w:vAlign w:val="bottom"/>
            <w:hideMark/>
          </w:tcPr>
          <w:p w14:paraId="59358551"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185</w:t>
            </w:r>
          </w:p>
        </w:tc>
        <w:tc>
          <w:tcPr>
            <w:tcW w:w="1134" w:type="dxa"/>
            <w:tcBorders>
              <w:top w:val="nil"/>
              <w:left w:val="nil"/>
              <w:bottom w:val="single" w:sz="4" w:space="0" w:color="auto"/>
              <w:right w:val="single" w:sz="4" w:space="0" w:color="auto"/>
            </w:tcBorders>
            <w:shd w:val="clear" w:color="auto" w:fill="auto"/>
            <w:noWrap/>
            <w:vAlign w:val="bottom"/>
            <w:hideMark/>
          </w:tcPr>
          <w:p w14:paraId="75484D4A"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193</w:t>
            </w:r>
          </w:p>
        </w:tc>
      </w:tr>
      <w:tr w:rsidR="000A201E" w:rsidRPr="000A201E" w14:paraId="5137F96C" w14:textId="77777777" w:rsidTr="00F249A1">
        <w:trPr>
          <w:trHeight w:val="280"/>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6C8AD3C2" w14:textId="77777777" w:rsidR="000A201E" w:rsidRPr="000A201E" w:rsidRDefault="000A201E" w:rsidP="000A201E">
            <w:pPr>
              <w:spacing w:before="0" w:after="0" w:line="240" w:lineRule="auto"/>
              <w:jc w:val="left"/>
              <w:rPr>
                <w:rFonts w:eastAsia="Times New Roman" w:cs="Arial"/>
                <w:sz w:val="16"/>
                <w:szCs w:val="16"/>
                <w:lang w:eastAsia="es-CR"/>
              </w:rPr>
            </w:pPr>
            <w:r w:rsidRPr="000A201E">
              <w:rPr>
                <w:rFonts w:eastAsia="Times New Roman" w:cs="Arial"/>
                <w:sz w:val="16"/>
                <w:szCs w:val="16"/>
                <w:lang w:eastAsia="es-CR"/>
              </w:rPr>
              <w:t>Defensa Pública Cartago</w:t>
            </w:r>
          </w:p>
        </w:tc>
        <w:tc>
          <w:tcPr>
            <w:tcW w:w="1272" w:type="dxa"/>
            <w:tcBorders>
              <w:top w:val="nil"/>
              <w:left w:val="nil"/>
              <w:bottom w:val="single" w:sz="4" w:space="0" w:color="auto"/>
              <w:right w:val="single" w:sz="4" w:space="0" w:color="auto"/>
            </w:tcBorders>
            <w:shd w:val="clear" w:color="000000" w:fill="F2F2F2"/>
            <w:vAlign w:val="center"/>
            <w:hideMark/>
          </w:tcPr>
          <w:p w14:paraId="24EAB03D" w14:textId="77777777" w:rsidR="000A201E" w:rsidRPr="000A201E" w:rsidRDefault="000A201E" w:rsidP="000A201E">
            <w:pPr>
              <w:spacing w:before="0" w:after="0" w:line="240" w:lineRule="auto"/>
              <w:jc w:val="center"/>
              <w:rPr>
                <w:rFonts w:eastAsia="Times New Roman" w:cs="Arial"/>
                <w:sz w:val="16"/>
                <w:szCs w:val="16"/>
                <w:lang w:eastAsia="es-CR"/>
              </w:rPr>
            </w:pPr>
            <w:r w:rsidRPr="000A201E">
              <w:rPr>
                <w:rFonts w:eastAsia="Times New Roman" w:cs="Arial"/>
                <w:sz w:val="16"/>
                <w:szCs w:val="16"/>
                <w:lang w:eastAsia="es-CR"/>
              </w:rPr>
              <w:t>1</w:t>
            </w:r>
          </w:p>
        </w:tc>
        <w:tc>
          <w:tcPr>
            <w:tcW w:w="992" w:type="dxa"/>
            <w:tcBorders>
              <w:top w:val="nil"/>
              <w:left w:val="nil"/>
              <w:bottom w:val="single" w:sz="4" w:space="0" w:color="auto"/>
              <w:right w:val="single" w:sz="4" w:space="0" w:color="auto"/>
            </w:tcBorders>
            <w:shd w:val="clear" w:color="auto" w:fill="auto"/>
            <w:noWrap/>
            <w:vAlign w:val="bottom"/>
            <w:hideMark/>
          </w:tcPr>
          <w:p w14:paraId="5A77EA40"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77</w:t>
            </w:r>
          </w:p>
        </w:tc>
        <w:tc>
          <w:tcPr>
            <w:tcW w:w="1276" w:type="dxa"/>
            <w:tcBorders>
              <w:top w:val="nil"/>
              <w:left w:val="nil"/>
              <w:bottom w:val="single" w:sz="4" w:space="0" w:color="auto"/>
              <w:right w:val="single" w:sz="4" w:space="0" w:color="auto"/>
            </w:tcBorders>
            <w:shd w:val="clear" w:color="auto" w:fill="auto"/>
            <w:noWrap/>
            <w:vAlign w:val="bottom"/>
            <w:hideMark/>
          </w:tcPr>
          <w:p w14:paraId="45628E23"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9</w:t>
            </w:r>
          </w:p>
        </w:tc>
        <w:tc>
          <w:tcPr>
            <w:tcW w:w="992" w:type="dxa"/>
            <w:tcBorders>
              <w:top w:val="nil"/>
              <w:left w:val="nil"/>
              <w:bottom w:val="single" w:sz="4" w:space="0" w:color="auto"/>
              <w:right w:val="single" w:sz="4" w:space="0" w:color="auto"/>
            </w:tcBorders>
            <w:shd w:val="clear" w:color="auto" w:fill="auto"/>
            <w:noWrap/>
            <w:vAlign w:val="bottom"/>
            <w:hideMark/>
          </w:tcPr>
          <w:p w14:paraId="70F3BC57"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152</w:t>
            </w:r>
          </w:p>
        </w:tc>
        <w:tc>
          <w:tcPr>
            <w:tcW w:w="992" w:type="dxa"/>
            <w:tcBorders>
              <w:top w:val="nil"/>
              <w:left w:val="nil"/>
              <w:bottom w:val="single" w:sz="4" w:space="0" w:color="auto"/>
              <w:right w:val="single" w:sz="4" w:space="0" w:color="auto"/>
            </w:tcBorders>
            <w:shd w:val="clear" w:color="auto" w:fill="auto"/>
            <w:noWrap/>
            <w:vAlign w:val="bottom"/>
            <w:hideMark/>
          </w:tcPr>
          <w:p w14:paraId="518D3776"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152</w:t>
            </w:r>
          </w:p>
        </w:tc>
        <w:tc>
          <w:tcPr>
            <w:tcW w:w="1134" w:type="dxa"/>
            <w:tcBorders>
              <w:top w:val="nil"/>
              <w:left w:val="nil"/>
              <w:bottom w:val="single" w:sz="4" w:space="0" w:color="auto"/>
              <w:right w:val="single" w:sz="4" w:space="0" w:color="auto"/>
            </w:tcBorders>
            <w:shd w:val="clear" w:color="auto" w:fill="auto"/>
            <w:noWrap/>
            <w:vAlign w:val="bottom"/>
            <w:hideMark/>
          </w:tcPr>
          <w:p w14:paraId="31958C66"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160</w:t>
            </w:r>
          </w:p>
        </w:tc>
      </w:tr>
      <w:tr w:rsidR="000A201E" w:rsidRPr="000A201E" w14:paraId="2772C334" w14:textId="77777777" w:rsidTr="00F249A1">
        <w:trPr>
          <w:trHeight w:val="280"/>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6B68924D" w14:textId="77777777" w:rsidR="000A201E" w:rsidRPr="000A201E" w:rsidRDefault="000A201E" w:rsidP="000A201E">
            <w:pPr>
              <w:spacing w:before="0" w:after="0" w:line="240" w:lineRule="auto"/>
              <w:jc w:val="left"/>
              <w:rPr>
                <w:rFonts w:eastAsia="Times New Roman" w:cs="Arial"/>
                <w:sz w:val="16"/>
                <w:szCs w:val="16"/>
                <w:lang w:eastAsia="es-CR"/>
              </w:rPr>
            </w:pPr>
            <w:r w:rsidRPr="000A201E">
              <w:rPr>
                <w:rFonts w:eastAsia="Times New Roman" w:cs="Arial"/>
                <w:sz w:val="16"/>
                <w:szCs w:val="16"/>
                <w:lang w:eastAsia="es-CR"/>
              </w:rPr>
              <w:t>Defensa Pública Turrialba</w:t>
            </w:r>
          </w:p>
        </w:tc>
        <w:tc>
          <w:tcPr>
            <w:tcW w:w="1272" w:type="dxa"/>
            <w:tcBorders>
              <w:top w:val="nil"/>
              <w:left w:val="nil"/>
              <w:bottom w:val="single" w:sz="4" w:space="0" w:color="auto"/>
              <w:right w:val="single" w:sz="4" w:space="0" w:color="auto"/>
            </w:tcBorders>
            <w:shd w:val="clear" w:color="auto" w:fill="auto"/>
            <w:vAlign w:val="center"/>
            <w:hideMark/>
          </w:tcPr>
          <w:p w14:paraId="25C18DA8" w14:textId="77777777" w:rsidR="000A201E" w:rsidRPr="000A201E" w:rsidRDefault="000A201E" w:rsidP="000A201E">
            <w:pPr>
              <w:spacing w:before="0" w:after="0" w:line="240" w:lineRule="auto"/>
              <w:jc w:val="center"/>
              <w:rPr>
                <w:rFonts w:eastAsia="Times New Roman" w:cs="Arial"/>
                <w:sz w:val="16"/>
                <w:szCs w:val="16"/>
                <w:lang w:eastAsia="es-CR"/>
              </w:rPr>
            </w:pPr>
            <w:r w:rsidRPr="000A201E">
              <w:rPr>
                <w:rFonts w:eastAsia="Times New Roman" w:cs="Arial"/>
                <w:sz w:val="16"/>
                <w:szCs w:val="16"/>
                <w:lang w:eastAsia="es-CR"/>
              </w:rPr>
              <w:t>1</w:t>
            </w:r>
          </w:p>
        </w:tc>
        <w:tc>
          <w:tcPr>
            <w:tcW w:w="992" w:type="dxa"/>
            <w:tcBorders>
              <w:top w:val="nil"/>
              <w:left w:val="nil"/>
              <w:bottom w:val="single" w:sz="4" w:space="0" w:color="auto"/>
              <w:right w:val="single" w:sz="4" w:space="0" w:color="auto"/>
            </w:tcBorders>
            <w:shd w:val="clear" w:color="auto" w:fill="auto"/>
            <w:noWrap/>
            <w:vAlign w:val="bottom"/>
            <w:hideMark/>
          </w:tcPr>
          <w:p w14:paraId="0D643F46"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113</w:t>
            </w:r>
          </w:p>
        </w:tc>
        <w:tc>
          <w:tcPr>
            <w:tcW w:w="1276" w:type="dxa"/>
            <w:tcBorders>
              <w:top w:val="nil"/>
              <w:left w:val="nil"/>
              <w:bottom w:val="single" w:sz="4" w:space="0" w:color="auto"/>
              <w:right w:val="single" w:sz="4" w:space="0" w:color="auto"/>
            </w:tcBorders>
            <w:shd w:val="clear" w:color="auto" w:fill="auto"/>
            <w:noWrap/>
            <w:vAlign w:val="bottom"/>
            <w:hideMark/>
          </w:tcPr>
          <w:p w14:paraId="59DC20B8"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13</w:t>
            </w:r>
          </w:p>
        </w:tc>
        <w:tc>
          <w:tcPr>
            <w:tcW w:w="992" w:type="dxa"/>
            <w:tcBorders>
              <w:top w:val="nil"/>
              <w:left w:val="nil"/>
              <w:bottom w:val="single" w:sz="4" w:space="0" w:color="auto"/>
              <w:right w:val="single" w:sz="4" w:space="0" w:color="auto"/>
            </w:tcBorders>
            <w:shd w:val="clear" w:color="auto" w:fill="auto"/>
            <w:noWrap/>
            <w:vAlign w:val="bottom"/>
            <w:hideMark/>
          </w:tcPr>
          <w:p w14:paraId="6CE006D6"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119</w:t>
            </w:r>
          </w:p>
        </w:tc>
        <w:tc>
          <w:tcPr>
            <w:tcW w:w="992" w:type="dxa"/>
            <w:tcBorders>
              <w:top w:val="nil"/>
              <w:left w:val="nil"/>
              <w:bottom w:val="single" w:sz="4" w:space="0" w:color="auto"/>
              <w:right w:val="single" w:sz="4" w:space="0" w:color="auto"/>
            </w:tcBorders>
            <w:shd w:val="clear" w:color="auto" w:fill="auto"/>
            <w:noWrap/>
            <w:vAlign w:val="bottom"/>
            <w:hideMark/>
          </w:tcPr>
          <w:p w14:paraId="69733155"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119</w:t>
            </w:r>
          </w:p>
        </w:tc>
        <w:tc>
          <w:tcPr>
            <w:tcW w:w="1134" w:type="dxa"/>
            <w:tcBorders>
              <w:top w:val="nil"/>
              <w:left w:val="nil"/>
              <w:bottom w:val="single" w:sz="4" w:space="0" w:color="auto"/>
              <w:right w:val="single" w:sz="4" w:space="0" w:color="auto"/>
            </w:tcBorders>
            <w:shd w:val="clear" w:color="auto" w:fill="auto"/>
            <w:noWrap/>
            <w:vAlign w:val="bottom"/>
            <w:hideMark/>
          </w:tcPr>
          <w:p w14:paraId="033871CF"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127</w:t>
            </w:r>
          </w:p>
        </w:tc>
      </w:tr>
      <w:tr w:rsidR="000A201E" w:rsidRPr="000A201E" w14:paraId="7E773839" w14:textId="77777777" w:rsidTr="00F249A1">
        <w:trPr>
          <w:trHeight w:val="280"/>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78B773C9" w14:textId="77777777" w:rsidR="000A201E" w:rsidRPr="000A201E" w:rsidRDefault="000A201E" w:rsidP="000A201E">
            <w:pPr>
              <w:spacing w:before="0" w:after="0" w:line="240" w:lineRule="auto"/>
              <w:jc w:val="left"/>
              <w:rPr>
                <w:rFonts w:eastAsia="Times New Roman" w:cs="Arial"/>
                <w:sz w:val="16"/>
                <w:szCs w:val="16"/>
                <w:lang w:eastAsia="es-CR"/>
              </w:rPr>
            </w:pPr>
            <w:r w:rsidRPr="000A201E">
              <w:rPr>
                <w:rFonts w:eastAsia="Times New Roman" w:cs="Arial"/>
                <w:sz w:val="16"/>
                <w:szCs w:val="16"/>
                <w:lang w:eastAsia="es-CR"/>
              </w:rPr>
              <w:t>Defensa Pública I Circuito Judicial Guanacaste (Liberia)</w:t>
            </w:r>
          </w:p>
        </w:tc>
        <w:tc>
          <w:tcPr>
            <w:tcW w:w="1272" w:type="dxa"/>
            <w:tcBorders>
              <w:top w:val="nil"/>
              <w:left w:val="nil"/>
              <w:bottom w:val="single" w:sz="4" w:space="0" w:color="auto"/>
              <w:right w:val="single" w:sz="4" w:space="0" w:color="auto"/>
            </w:tcBorders>
            <w:shd w:val="clear" w:color="000000" w:fill="F2F2F2"/>
            <w:vAlign w:val="center"/>
            <w:hideMark/>
          </w:tcPr>
          <w:p w14:paraId="30E1EB51" w14:textId="77777777" w:rsidR="000A201E" w:rsidRPr="000A201E" w:rsidRDefault="000A201E" w:rsidP="000A201E">
            <w:pPr>
              <w:spacing w:before="0" w:after="0" w:line="240" w:lineRule="auto"/>
              <w:jc w:val="center"/>
              <w:rPr>
                <w:rFonts w:eastAsia="Times New Roman" w:cs="Arial"/>
                <w:sz w:val="16"/>
                <w:szCs w:val="16"/>
                <w:lang w:eastAsia="es-CR"/>
              </w:rPr>
            </w:pPr>
            <w:r w:rsidRPr="000A201E">
              <w:rPr>
                <w:rFonts w:eastAsia="Times New Roman" w:cs="Arial"/>
                <w:sz w:val="16"/>
                <w:szCs w:val="16"/>
                <w:lang w:eastAsia="es-CR"/>
              </w:rPr>
              <w:t>1</w:t>
            </w:r>
          </w:p>
        </w:tc>
        <w:tc>
          <w:tcPr>
            <w:tcW w:w="992" w:type="dxa"/>
            <w:tcBorders>
              <w:top w:val="nil"/>
              <w:left w:val="nil"/>
              <w:bottom w:val="single" w:sz="4" w:space="0" w:color="auto"/>
              <w:right w:val="single" w:sz="4" w:space="0" w:color="auto"/>
            </w:tcBorders>
            <w:shd w:val="clear" w:color="auto" w:fill="auto"/>
            <w:noWrap/>
            <w:vAlign w:val="bottom"/>
            <w:hideMark/>
          </w:tcPr>
          <w:p w14:paraId="660D61A8"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62</w:t>
            </w:r>
          </w:p>
        </w:tc>
        <w:tc>
          <w:tcPr>
            <w:tcW w:w="1276" w:type="dxa"/>
            <w:tcBorders>
              <w:top w:val="nil"/>
              <w:left w:val="nil"/>
              <w:bottom w:val="single" w:sz="4" w:space="0" w:color="auto"/>
              <w:right w:val="single" w:sz="4" w:space="0" w:color="auto"/>
            </w:tcBorders>
            <w:shd w:val="clear" w:color="auto" w:fill="auto"/>
            <w:noWrap/>
            <w:vAlign w:val="bottom"/>
            <w:hideMark/>
          </w:tcPr>
          <w:p w14:paraId="2A686511"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7</w:t>
            </w:r>
          </w:p>
        </w:tc>
        <w:tc>
          <w:tcPr>
            <w:tcW w:w="992" w:type="dxa"/>
            <w:tcBorders>
              <w:top w:val="nil"/>
              <w:left w:val="nil"/>
              <w:bottom w:val="single" w:sz="4" w:space="0" w:color="auto"/>
              <w:right w:val="single" w:sz="4" w:space="0" w:color="auto"/>
            </w:tcBorders>
            <w:shd w:val="clear" w:color="auto" w:fill="auto"/>
            <w:noWrap/>
            <w:vAlign w:val="bottom"/>
            <w:hideMark/>
          </w:tcPr>
          <w:p w14:paraId="01F9FA65"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125</w:t>
            </w:r>
          </w:p>
        </w:tc>
        <w:tc>
          <w:tcPr>
            <w:tcW w:w="992" w:type="dxa"/>
            <w:tcBorders>
              <w:top w:val="nil"/>
              <w:left w:val="nil"/>
              <w:bottom w:val="single" w:sz="4" w:space="0" w:color="auto"/>
              <w:right w:val="single" w:sz="4" w:space="0" w:color="auto"/>
            </w:tcBorders>
            <w:shd w:val="clear" w:color="auto" w:fill="auto"/>
            <w:noWrap/>
            <w:vAlign w:val="bottom"/>
            <w:hideMark/>
          </w:tcPr>
          <w:p w14:paraId="6E07B786"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125</w:t>
            </w:r>
          </w:p>
        </w:tc>
        <w:tc>
          <w:tcPr>
            <w:tcW w:w="1134" w:type="dxa"/>
            <w:tcBorders>
              <w:top w:val="nil"/>
              <w:left w:val="nil"/>
              <w:bottom w:val="single" w:sz="4" w:space="0" w:color="auto"/>
              <w:right w:val="single" w:sz="4" w:space="0" w:color="auto"/>
            </w:tcBorders>
            <w:shd w:val="clear" w:color="auto" w:fill="auto"/>
            <w:noWrap/>
            <w:vAlign w:val="bottom"/>
            <w:hideMark/>
          </w:tcPr>
          <w:p w14:paraId="391890C9"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133</w:t>
            </w:r>
          </w:p>
        </w:tc>
      </w:tr>
      <w:tr w:rsidR="000A201E" w:rsidRPr="000A201E" w14:paraId="5C8B38F0" w14:textId="77777777" w:rsidTr="00F249A1">
        <w:trPr>
          <w:trHeight w:val="280"/>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3EB4CE4E" w14:textId="77777777" w:rsidR="000A201E" w:rsidRPr="000A201E" w:rsidRDefault="000A201E" w:rsidP="000A201E">
            <w:pPr>
              <w:spacing w:before="0" w:after="0" w:line="240" w:lineRule="auto"/>
              <w:jc w:val="left"/>
              <w:rPr>
                <w:rFonts w:eastAsia="Times New Roman" w:cs="Arial"/>
                <w:sz w:val="16"/>
                <w:szCs w:val="16"/>
                <w:lang w:eastAsia="es-CR"/>
              </w:rPr>
            </w:pPr>
            <w:r w:rsidRPr="000A201E">
              <w:rPr>
                <w:rFonts w:eastAsia="Times New Roman" w:cs="Arial"/>
                <w:sz w:val="16"/>
                <w:szCs w:val="16"/>
                <w:lang w:eastAsia="es-CR"/>
              </w:rPr>
              <w:t>Defensa Pública Santa Cruz</w:t>
            </w:r>
          </w:p>
        </w:tc>
        <w:tc>
          <w:tcPr>
            <w:tcW w:w="1272" w:type="dxa"/>
            <w:tcBorders>
              <w:top w:val="nil"/>
              <w:left w:val="nil"/>
              <w:bottom w:val="single" w:sz="4" w:space="0" w:color="auto"/>
              <w:right w:val="single" w:sz="4" w:space="0" w:color="auto"/>
            </w:tcBorders>
            <w:shd w:val="clear" w:color="auto" w:fill="auto"/>
            <w:vAlign w:val="center"/>
            <w:hideMark/>
          </w:tcPr>
          <w:p w14:paraId="395B59E2" w14:textId="77777777" w:rsidR="000A201E" w:rsidRPr="000A201E" w:rsidRDefault="000A201E" w:rsidP="000A201E">
            <w:pPr>
              <w:spacing w:before="0" w:after="0" w:line="240" w:lineRule="auto"/>
              <w:jc w:val="center"/>
              <w:rPr>
                <w:rFonts w:eastAsia="Times New Roman" w:cs="Arial"/>
                <w:sz w:val="16"/>
                <w:szCs w:val="16"/>
                <w:lang w:eastAsia="es-CR"/>
              </w:rPr>
            </w:pPr>
            <w:r w:rsidRPr="000A201E">
              <w:rPr>
                <w:rFonts w:eastAsia="Times New Roman" w:cs="Arial"/>
                <w:sz w:val="16"/>
                <w:szCs w:val="16"/>
                <w:lang w:eastAsia="es-CR"/>
              </w:rPr>
              <w:t>1</w:t>
            </w:r>
          </w:p>
        </w:tc>
        <w:tc>
          <w:tcPr>
            <w:tcW w:w="992" w:type="dxa"/>
            <w:tcBorders>
              <w:top w:val="nil"/>
              <w:left w:val="nil"/>
              <w:bottom w:val="single" w:sz="4" w:space="0" w:color="auto"/>
              <w:right w:val="single" w:sz="4" w:space="0" w:color="auto"/>
            </w:tcBorders>
            <w:shd w:val="clear" w:color="auto" w:fill="auto"/>
            <w:noWrap/>
            <w:vAlign w:val="bottom"/>
            <w:hideMark/>
          </w:tcPr>
          <w:p w14:paraId="0093FAE3"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88</w:t>
            </w:r>
          </w:p>
        </w:tc>
        <w:tc>
          <w:tcPr>
            <w:tcW w:w="1276" w:type="dxa"/>
            <w:tcBorders>
              <w:top w:val="nil"/>
              <w:left w:val="nil"/>
              <w:bottom w:val="single" w:sz="4" w:space="0" w:color="auto"/>
              <w:right w:val="single" w:sz="4" w:space="0" w:color="auto"/>
            </w:tcBorders>
            <w:shd w:val="clear" w:color="auto" w:fill="auto"/>
            <w:noWrap/>
            <w:vAlign w:val="bottom"/>
            <w:hideMark/>
          </w:tcPr>
          <w:p w14:paraId="480C8A64"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10</w:t>
            </w:r>
          </w:p>
        </w:tc>
        <w:tc>
          <w:tcPr>
            <w:tcW w:w="992" w:type="dxa"/>
            <w:tcBorders>
              <w:top w:val="nil"/>
              <w:left w:val="nil"/>
              <w:bottom w:val="single" w:sz="4" w:space="0" w:color="auto"/>
              <w:right w:val="single" w:sz="4" w:space="0" w:color="auto"/>
            </w:tcBorders>
            <w:shd w:val="clear" w:color="auto" w:fill="auto"/>
            <w:noWrap/>
            <w:vAlign w:val="bottom"/>
            <w:hideMark/>
          </w:tcPr>
          <w:p w14:paraId="2425F373"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199</w:t>
            </w:r>
          </w:p>
        </w:tc>
        <w:tc>
          <w:tcPr>
            <w:tcW w:w="992" w:type="dxa"/>
            <w:tcBorders>
              <w:top w:val="nil"/>
              <w:left w:val="nil"/>
              <w:bottom w:val="single" w:sz="4" w:space="0" w:color="auto"/>
              <w:right w:val="single" w:sz="4" w:space="0" w:color="auto"/>
            </w:tcBorders>
            <w:shd w:val="clear" w:color="auto" w:fill="auto"/>
            <w:noWrap/>
            <w:vAlign w:val="bottom"/>
            <w:hideMark/>
          </w:tcPr>
          <w:p w14:paraId="5EF94EE7"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199</w:t>
            </w:r>
          </w:p>
        </w:tc>
        <w:tc>
          <w:tcPr>
            <w:tcW w:w="1134" w:type="dxa"/>
            <w:tcBorders>
              <w:top w:val="nil"/>
              <w:left w:val="nil"/>
              <w:bottom w:val="single" w:sz="4" w:space="0" w:color="auto"/>
              <w:right w:val="single" w:sz="4" w:space="0" w:color="auto"/>
            </w:tcBorders>
            <w:shd w:val="clear" w:color="auto" w:fill="auto"/>
            <w:noWrap/>
            <w:vAlign w:val="bottom"/>
            <w:hideMark/>
          </w:tcPr>
          <w:p w14:paraId="1D54E2BD"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207</w:t>
            </w:r>
          </w:p>
        </w:tc>
      </w:tr>
      <w:tr w:rsidR="000A201E" w:rsidRPr="000A201E" w14:paraId="749078E2" w14:textId="77777777" w:rsidTr="00F249A1">
        <w:trPr>
          <w:trHeight w:val="280"/>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64142594" w14:textId="77777777" w:rsidR="000A201E" w:rsidRPr="000A201E" w:rsidRDefault="000A201E" w:rsidP="000A201E">
            <w:pPr>
              <w:spacing w:before="0" w:after="0" w:line="240" w:lineRule="auto"/>
              <w:jc w:val="left"/>
              <w:rPr>
                <w:rFonts w:eastAsia="Times New Roman" w:cs="Arial"/>
                <w:sz w:val="16"/>
                <w:szCs w:val="16"/>
                <w:lang w:eastAsia="es-CR"/>
              </w:rPr>
            </w:pPr>
            <w:r w:rsidRPr="000A201E">
              <w:rPr>
                <w:rFonts w:eastAsia="Times New Roman" w:cs="Arial"/>
                <w:sz w:val="16"/>
                <w:szCs w:val="16"/>
                <w:lang w:eastAsia="es-CR"/>
              </w:rPr>
              <w:t>Defensa Pública Puntarenas</w:t>
            </w:r>
          </w:p>
        </w:tc>
        <w:tc>
          <w:tcPr>
            <w:tcW w:w="1272" w:type="dxa"/>
            <w:tcBorders>
              <w:top w:val="nil"/>
              <w:left w:val="nil"/>
              <w:bottom w:val="single" w:sz="4" w:space="0" w:color="auto"/>
              <w:right w:val="single" w:sz="4" w:space="0" w:color="auto"/>
            </w:tcBorders>
            <w:shd w:val="clear" w:color="000000" w:fill="F2F2F2"/>
            <w:vAlign w:val="center"/>
            <w:hideMark/>
          </w:tcPr>
          <w:p w14:paraId="73F28929" w14:textId="77777777" w:rsidR="000A201E" w:rsidRPr="000A201E" w:rsidRDefault="000A201E" w:rsidP="000A201E">
            <w:pPr>
              <w:spacing w:before="0" w:after="0" w:line="240" w:lineRule="auto"/>
              <w:jc w:val="center"/>
              <w:rPr>
                <w:rFonts w:eastAsia="Times New Roman" w:cs="Arial"/>
                <w:sz w:val="16"/>
                <w:szCs w:val="16"/>
                <w:lang w:eastAsia="es-CR"/>
              </w:rPr>
            </w:pPr>
            <w:r w:rsidRPr="000A201E">
              <w:rPr>
                <w:rFonts w:eastAsia="Times New Roman" w:cs="Arial"/>
                <w:sz w:val="16"/>
                <w:szCs w:val="16"/>
                <w:lang w:eastAsia="es-CR"/>
              </w:rPr>
              <w:t>1</w:t>
            </w:r>
          </w:p>
        </w:tc>
        <w:tc>
          <w:tcPr>
            <w:tcW w:w="992" w:type="dxa"/>
            <w:tcBorders>
              <w:top w:val="nil"/>
              <w:left w:val="nil"/>
              <w:bottom w:val="single" w:sz="4" w:space="0" w:color="auto"/>
              <w:right w:val="single" w:sz="4" w:space="0" w:color="auto"/>
            </w:tcBorders>
            <w:shd w:val="clear" w:color="auto" w:fill="auto"/>
            <w:noWrap/>
            <w:vAlign w:val="bottom"/>
            <w:hideMark/>
          </w:tcPr>
          <w:p w14:paraId="3A84E766"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87</w:t>
            </w:r>
          </w:p>
        </w:tc>
        <w:tc>
          <w:tcPr>
            <w:tcW w:w="1276" w:type="dxa"/>
            <w:tcBorders>
              <w:top w:val="nil"/>
              <w:left w:val="nil"/>
              <w:bottom w:val="single" w:sz="4" w:space="0" w:color="auto"/>
              <w:right w:val="single" w:sz="4" w:space="0" w:color="auto"/>
            </w:tcBorders>
            <w:shd w:val="clear" w:color="auto" w:fill="auto"/>
            <w:noWrap/>
            <w:vAlign w:val="bottom"/>
            <w:hideMark/>
          </w:tcPr>
          <w:p w14:paraId="17AE177D"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10</w:t>
            </w:r>
          </w:p>
        </w:tc>
        <w:tc>
          <w:tcPr>
            <w:tcW w:w="992" w:type="dxa"/>
            <w:tcBorders>
              <w:top w:val="nil"/>
              <w:left w:val="nil"/>
              <w:bottom w:val="single" w:sz="4" w:space="0" w:color="auto"/>
              <w:right w:val="single" w:sz="4" w:space="0" w:color="auto"/>
            </w:tcBorders>
            <w:shd w:val="clear" w:color="auto" w:fill="auto"/>
            <w:noWrap/>
            <w:vAlign w:val="bottom"/>
            <w:hideMark/>
          </w:tcPr>
          <w:p w14:paraId="0CC7CB50"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175</w:t>
            </w:r>
          </w:p>
        </w:tc>
        <w:tc>
          <w:tcPr>
            <w:tcW w:w="992" w:type="dxa"/>
            <w:tcBorders>
              <w:top w:val="nil"/>
              <w:left w:val="nil"/>
              <w:bottom w:val="single" w:sz="4" w:space="0" w:color="auto"/>
              <w:right w:val="single" w:sz="4" w:space="0" w:color="auto"/>
            </w:tcBorders>
            <w:shd w:val="clear" w:color="auto" w:fill="auto"/>
            <w:noWrap/>
            <w:vAlign w:val="bottom"/>
            <w:hideMark/>
          </w:tcPr>
          <w:p w14:paraId="67CF78AD"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175</w:t>
            </w:r>
          </w:p>
        </w:tc>
        <w:tc>
          <w:tcPr>
            <w:tcW w:w="1134" w:type="dxa"/>
            <w:tcBorders>
              <w:top w:val="nil"/>
              <w:left w:val="nil"/>
              <w:bottom w:val="single" w:sz="4" w:space="0" w:color="auto"/>
              <w:right w:val="single" w:sz="4" w:space="0" w:color="auto"/>
            </w:tcBorders>
            <w:shd w:val="clear" w:color="auto" w:fill="auto"/>
            <w:noWrap/>
            <w:vAlign w:val="bottom"/>
            <w:hideMark/>
          </w:tcPr>
          <w:p w14:paraId="1D558308"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183</w:t>
            </w:r>
          </w:p>
        </w:tc>
      </w:tr>
      <w:tr w:rsidR="000A201E" w:rsidRPr="000A201E" w14:paraId="5C29F37F" w14:textId="77777777" w:rsidTr="00F249A1">
        <w:trPr>
          <w:trHeight w:val="280"/>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657A7208" w14:textId="77777777" w:rsidR="000A201E" w:rsidRPr="000A201E" w:rsidRDefault="000A201E" w:rsidP="000A201E">
            <w:pPr>
              <w:spacing w:before="0" w:after="0" w:line="240" w:lineRule="auto"/>
              <w:jc w:val="left"/>
              <w:rPr>
                <w:rFonts w:eastAsia="Times New Roman" w:cs="Arial"/>
                <w:sz w:val="16"/>
                <w:szCs w:val="16"/>
                <w:lang w:eastAsia="es-CR"/>
              </w:rPr>
            </w:pPr>
            <w:r w:rsidRPr="000A201E">
              <w:rPr>
                <w:rFonts w:eastAsia="Times New Roman" w:cs="Arial"/>
                <w:sz w:val="16"/>
                <w:szCs w:val="16"/>
                <w:lang w:eastAsia="es-CR"/>
              </w:rPr>
              <w:t>Defensa Pública I Circuito Judicial Zona Atlántica (Limón)</w:t>
            </w:r>
          </w:p>
        </w:tc>
        <w:tc>
          <w:tcPr>
            <w:tcW w:w="1272" w:type="dxa"/>
            <w:tcBorders>
              <w:top w:val="nil"/>
              <w:left w:val="nil"/>
              <w:bottom w:val="single" w:sz="4" w:space="0" w:color="auto"/>
              <w:right w:val="single" w:sz="4" w:space="0" w:color="auto"/>
            </w:tcBorders>
            <w:shd w:val="clear" w:color="auto" w:fill="auto"/>
            <w:vAlign w:val="center"/>
            <w:hideMark/>
          </w:tcPr>
          <w:p w14:paraId="25758788" w14:textId="77777777" w:rsidR="000A201E" w:rsidRPr="000A201E" w:rsidRDefault="000A201E" w:rsidP="000A201E">
            <w:pPr>
              <w:spacing w:before="0" w:after="0" w:line="240" w:lineRule="auto"/>
              <w:jc w:val="center"/>
              <w:rPr>
                <w:rFonts w:eastAsia="Times New Roman" w:cs="Arial"/>
                <w:sz w:val="16"/>
                <w:szCs w:val="16"/>
                <w:lang w:eastAsia="es-CR"/>
              </w:rPr>
            </w:pPr>
            <w:r w:rsidRPr="000A201E">
              <w:rPr>
                <w:rFonts w:eastAsia="Times New Roman" w:cs="Arial"/>
                <w:sz w:val="16"/>
                <w:szCs w:val="16"/>
                <w:lang w:eastAsia="es-CR"/>
              </w:rPr>
              <w:t>2</w:t>
            </w:r>
          </w:p>
        </w:tc>
        <w:tc>
          <w:tcPr>
            <w:tcW w:w="992" w:type="dxa"/>
            <w:tcBorders>
              <w:top w:val="nil"/>
              <w:left w:val="nil"/>
              <w:bottom w:val="single" w:sz="4" w:space="0" w:color="auto"/>
              <w:right w:val="single" w:sz="4" w:space="0" w:color="auto"/>
            </w:tcBorders>
            <w:shd w:val="clear" w:color="auto" w:fill="auto"/>
            <w:noWrap/>
            <w:vAlign w:val="bottom"/>
            <w:hideMark/>
          </w:tcPr>
          <w:p w14:paraId="28DD3217"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166</w:t>
            </w:r>
          </w:p>
        </w:tc>
        <w:tc>
          <w:tcPr>
            <w:tcW w:w="1276" w:type="dxa"/>
            <w:tcBorders>
              <w:top w:val="nil"/>
              <w:left w:val="nil"/>
              <w:bottom w:val="single" w:sz="4" w:space="0" w:color="auto"/>
              <w:right w:val="single" w:sz="4" w:space="0" w:color="auto"/>
            </w:tcBorders>
            <w:shd w:val="clear" w:color="auto" w:fill="auto"/>
            <w:noWrap/>
            <w:vAlign w:val="bottom"/>
            <w:hideMark/>
          </w:tcPr>
          <w:p w14:paraId="48D77359"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18</w:t>
            </w:r>
          </w:p>
        </w:tc>
        <w:tc>
          <w:tcPr>
            <w:tcW w:w="992" w:type="dxa"/>
            <w:tcBorders>
              <w:top w:val="nil"/>
              <w:left w:val="nil"/>
              <w:bottom w:val="single" w:sz="4" w:space="0" w:color="auto"/>
              <w:right w:val="single" w:sz="4" w:space="0" w:color="auto"/>
            </w:tcBorders>
            <w:shd w:val="clear" w:color="auto" w:fill="auto"/>
            <w:noWrap/>
            <w:vAlign w:val="bottom"/>
            <w:hideMark/>
          </w:tcPr>
          <w:p w14:paraId="0C70F2C1"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438</w:t>
            </w:r>
          </w:p>
        </w:tc>
        <w:tc>
          <w:tcPr>
            <w:tcW w:w="992" w:type="dxa"/>
            <w:tcBorders>
              <w:top w:val="nil"/>
              <w:left w:val="nil"/>
              <w:bottom w:val="single" w:sz="4" w:space="0" w:color="auto"/>
              <w:right w:val="single" w:sz="4" w:space="0" w:color="auto"/>
            </w:tcBorders>
            <w:shd w:val="clear" w:color="auto" w:fill="auto"/>
            <w:noWrap/>
            <w:vAlign w:val="bottom"/>
            <w:hideMark/>
          </w:tcPr>
          <w:p w14:paraId="641D8C49"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219</w:t>
            </w:r>
          </w:p>
        </w:tc>
        <w:tc>
          <w:tcPr>
            <w:tcW w:w="1134" w:type="dxa"/>
            <w:tcBorders>
              <w:top w:val="nil"/>
              <w:left w:val="nil"/>
              <w:bottom w:val="single" w:sz="4" w:space="0" w:color="auto"/>
              <w:right w:val="single" w:sz="4" w:space="0" w:color="auto"/>
            </w:tcBorders>
            <w:shd w:val="clear" w:color="auto" w:fill="auto"/>
            <w:noWrap/>
            <w:vAlign w:val="bottom"/>
            <w:hideMark/>
          </w:tcPr>
          <w:p w14:paraId="5C9BB2DF"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227</w:t>
            </w:r>
          </w:p>
        </w:tc>
      </w:tr>
      <w:tr w:rsidR="000A201E" w:rsidRPr="000A201E" w14:paraId="1C3B92FE" w14:textId="77777777" w:rsidTr="00F249A1">
        <w:trPr>
          <w:trHeight w:val="280"/>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506F2AD9" w14:textId="77777777" w:rsidR="000A201E" w:rsidRPr="000A201E" w:rsidRDefault="000A201E" w:rsidP="000A201E">
            <w:pPr>
              <w:spacing w:before="0" w:after="0" w:line="240" w:lineRule="auto"/>
              <w:jc w:val="left"/>
              <w:rPr>
                <w:rFonts w:eastAsia="Times New Roman" w:cs="Arial"/>
                <w:sz w:val="16"/>
                <w:szCs w:val="16"/>
                <w:lang w:eastAsia="es-CR"/>
              </w:rPr>
            </w:pPr>
            <w:r w:rsidRPr="000A201E">
              <w:rPr>
                <w:rFonts w:eastAsia="Times New Roman" w:cs="Arial"/>
                <w:sz w:val="16"/>
                <w:szCs w:val="16"/>
                <w:lang w:eastAsia="es-CR"/>
              </w:rPr>
              <w:t>Defensa Pública II Circuito Judicial Zona Atlántica (Pococí)</w:t>
            </w:r>
          </w:p>
        </w:tc>
        <w:tc>
          <w:tcPr>
            <w:tcW w:w="1272" w:type="dxa"/>
            <w:tcBorders>
              <w:top w:val="nil"/>
              <w:left w:val="nil"/>
              <w:bottom w:val="single" w:sz="4" w:space="0" w:color="auto"/>
              <w:right w:val="single" w:sz="4" w:space="0" w:color="auto"/>
            </w:tcBorders>
            <w:shd w:val="clear" w:color="000000" w:fill="F2F2F2"/>
            <w:vAlign w:val="center"/>
            <w:hideMark/>
          </w:tcPr>
          <w:p w14:paraId="53CBAD42" w14:textId="77777777" w:rsidR="000A201E" w:rsidRPr="000A201E" w:rsidRDefault="000A201E" w:rsidP="000A201E">
            <w:pPr>
              <w:spacing w:before="0" w:after="0" w:line="240" w:lineRule="auto"/>
              <w:jc w:val="center"/>
              <w:rPr>
                <w:rFonts w:eastAsia="Times New Roman" w:cs="Arial"/>
                <w:sz w:val="16"/>
                <w:szCs w:val="16"/>
                <w:lang w:eastAsia="es-CR"/>
              </w:rPr>
            </w:pPr>
            <w:r w:rsidRPr="000A201E">
              <w:rPr>
                <w:rFonts w:eastAsia="Times New Roman" w:cs="Arial"/>
                <w:sz w:val="16"/>
                <w:szCs w:val="16"/>
                <w:lang w:eastAsia="es-CR"/>
              </w:rPr>
              <w:t>1</w:t>
            </w:r>
          </w:p>
        </w:tc>
        <w:tc>
          <w:tcPr>
            <w:tcW w:w="992" w:type="dxa"/>
            <w:tcBorders>
              <w:top w:val="nil"/>
              <w:left w:val="nil"/>
              <w:bottom w:val="single" w:sz="4" w:space="0" w:color="auto"/>
              <w:right w:val="single" w:sz="4" w:space="0" w:color="auto"/>
            </w:tcBorders>
            <w:shd w:val="clear" w:color="auto" w:fill="auto"/>
            <w:noWrap/>
            <w:vAlign w:val="bottom"/>
            <w:hideMark/>
          </w:tcPr>
          <w:p w14:paraId="47C2A26E"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113</w:t>
            </w:r>
          </w:p>
        </w:tc>
        <w:tc>
          <w:tcPr>
            <w:tcW w:w="1276" w:type="dxa"/>
            <w:tcBorders>
              <w:top w:val="nil"/>
              <w:left w:val="nil"/>
              <w:bottom w:val="single" w:sz="4" w:space="0" w:color="auto"/>
              <w:right w:val="single" w:sz="4" w:space="0" w:color="auto"/>
            </w:tcBorders>
            <w:shd w:val="clear" w:color="auto" w:fill="auto"/>
            <w:noWrap/>
            <w:vAlign w:val="bottom"/>
            <w:hideMark/>
          </w:tcPr>
          <w:p w14:paraId="10DE2D8E"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13</w:t>
            </w:r>
          </w:p>
        </w:tc>
        <w:tc>
          <w:tcPr>
            <w:tcW w:w="992" w:type="dxa"/>
            <w:tcBorders>
              <w:top w:val="nil"/>
              <w:left w:val="nil"/>
              <w:bottom w:val="single" w:sz="4" w:space="0" w:color="auto"/>
              <w:right w:val="single" w:sz="4" w:space="0" w:color="auto"/>
            </w:tcBorders>
            <w:shd w:val="clear" w:color="auto" w:fill="auto"/>
            <w:noWrap/>
            <w:vAlign w:val="bottom"/>
            <w:hideMark/>
          </w:tcPr>
          <w:p w14:paraId="36866106"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218</w:t>
            </w:r>
          </w:p>
        </w:tc>
        <w:tc>
          <w:tcPr>
            <w:tcW w:w="992" w:type="dxa"/>
            <w:tcBorders>
              <w:top w:val="nil"/>
              <w:left w:val="nil"/>
              <w:bottom w:val="single" w:sz="4" w:space="0" w:color="auto"/>
              <w:right w:val="single" w:sz="4" w:space="0" w:color="auto"/>
            </w:tcBorders>
            <w:shd w:val="clear" w:color="auto" w:fill="auto"/>
            <w:noWrap/>
            <w:vAlign w:val="bottom"/>
            <w:hideMark/>
          </w:tcPr>
          <w:p w14:paraId="5C45051C"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218</w:t>
            </w:r>
          </w:p>
        </w:tc>
        <w:tc>
          <w:tcPr>
            <w:tcW w:w="1134" w:type="dxa"/>
            <w:tcBorders>
              <w:top w:val="nil"/>
              <w:left w:val="nil"/>
              <w:bottom w:val="single" w:sz="4" w:space="0" w:color="auto"/>
              <w:right w:val="single" w:sz="4" w:space="0" w:color="auto"/>
            </w:tcBorders>
            <w:shd w:val="clear" w:color="auto" w:fill="auto"/>
            <w:noWrap/>
            <w:vAlign w:val="bottom"/>
            <w:hideMark/>
          </w:tcPr>
          <w:p w14:paraId="5EE1EC85" w14:textId="77777777" w:rsidR="000A201E" w:rsidRPr="000A201E" w:rsidRDefault="000A201E" w:rsidP="000A201E">
            <w:pPr>
              <w:spacing w:before="0" w:after="0" w:line="240" w:lineRule="auto"/>
              <w:jc w:val="right"/>
              <w:rPr>
                <w:rFonts w:eastAsia="Times New Roman" w:cs="Arial"/>
                <w:color w:val="000000"/>
                <w:sz w:val="16"/>
                <w:szCs w:val="16"/>
                <w:lang w:eastAsia="es-CR"/>
              </w:rPr>
            </w:pPr>
            <w:r w:rsidRPr="000A201E">
              <w:rPr>
                <w:rFonts w:eastAsia="Times New Roman" w:cs="Arial"/>
                <w:color w:val="000000"/>
                <w:sz w:val="16"/>
                <w:szCs w:val="16"/>
                <w:lang w:eastAsia="es-CR"/>
              </w:rPr>
              <w:t>226</w:t>
            </w:r>
          </w:p>
        </w:tc>
      </w:tr>
      <w:tr w:rsidR="000A201E" w:rsidRPr="000A201E" w14:paraId="08BC5D8E" w14:textId="77777777" w:rsidTr="00F249A1">
        <w:trPr>
          <w:trHeight w:val="280"/>
        </w:trPr>
        <w:tc>
          <w:tcPr>
            <w:tcW w:w="3118" w:type="dxa"/>
            <w:tcBorders>
              <w:top w:val="nil"/>
              <w:left w:val="nil"/>
              <w:bottom w:val="nil"/>
              <w:right w:val="nil"/>
            </w:tcBorders>
            <w:shd w:val="clear" w:color="auto" w:fill="auto"/>
            <w:noWrap/>
            <w:vAlign w:val="bottom"/>
            <w:hideMark/>
          </w:tcPr>
          <w:p w14:paraId="3482EA99" w14:textId="77777777" w:rsidR="000A201E" w:rsidRPr="000A201E" w:rsidRDefault="000A201E" w:rsidP="000A201E">
            <w:pPr>
              <w:spacing w:before="0" w:after="0" w:line="240" w:lineRule="auto"/>
              <w:jc w:val="center"/>
              <w:rPr>
                <w:rFonts w:eastAsia="Times New Roman" w:cs="Arial"/>
                <w:color w:val="000000"/>
                <w:sz w:val="16"/>
                <w:szCs w:val="16"/>
                <w:lang w:eastAsia="es-CR"/>
              </w:rPr>
            </w:pPr>
            <w:r w:rsidRPr="000A201E">
              <w:rPr>
                <w:rFonts w:eastAsia="Times New Roman" w:cs="Arial"/>
                <w:color w:val="000000"/>
                <w:sz w:val="16"/>
                <w:szCs w:val="16"/>
                <w:lang w:eastAsia="es-CR"/>
              </w:rPr>
              <w:t>Total</w:t>
            </w:r>
          </w:p>
        </w:tc>
        <w:tc>
          <w:tcPr>
            <w:tcW w:w="1272" w:type="dxa"/>
            <w:tcBorders>
              <w:top w:val="nil"/>
              <w:left w:val="nil"/>
              <w:bottom w:val="nil"/>
              <w:right w:val="nil"/>
            </w:tcBorders>
            <w:shd w:val="clear" w:color="auto" w:fill="auto"/>
            <w:noWrap/>
            <w:vAlign w:val="bottom"/>
            <w:hideMark/>
          </w:tcPr>
          <w:p w14:paraId="1D6EBEA2" w14:textId="77777777" w:rsidR="000A201E" w:rsidRPr="000A201E" w:rsidRDefault="000A201E" w:rsidP="000A201E">
            <w:pPr>
              <w:spacing w:before="0" w:after="0" w:line="240" w:lineRule="auto"/>
              <w:jc w:val="center"/>
              <w:rPr>
                <w:rFonts w:eastAsia="Times New Roman" w:cs="Arial"/>
                <w:color w:val="000000"/>
                <w:sz w:val="16"/>
                <w:szCs w:val="16"/>
                <w:lang w:eastAsia="es-CR"/>
              </w:rPr>
            </w:pPr>
            <w:r w:rsidRPr="000A201E">
              <w:rPr>
                <w:rFonts w:eastAsia="Times New Roman" w:cs="Arial"/>
                <w:color w:val="000000"/>
                <w:sz w:val="16"/>
                <w:szCs w:val="16"/>
                <w:lang w:eastAsia="es-CR"/>
              </w:rPr>
              <w:t>17</w:t>
            </w:r>
          </w:p>
        </w:tc>
        <w:tc>
          <w:tcPr>
            <w:tcW w:w="992" w:type="dxa"/>
            <w:tcBorders>
              <w:top w:val="nil"/>
              <w:left w:val="nil"/>
              <w:bottom w:val="nil"/>
              <w:right w:val="nil"/>
            </w:tcBorders>
            <w:shd w:val="clear" w:color="auto" w:fill="auto"/>
            <w:noWrap/>
            <w:vAlign w:val="bottom"/>
            <w:hideMark/>
          </w:tcPr>
          <w:p w14:paraId="3C941888" w14:textId="77777777" w:rsidR="000A201E" w:rsidRPr="000A201E" w:rsidRDefault="000A201E" w:rsidP="000A201E">
            <w:pPr>
              <w:spacing w:before="0" w:after="0" w:line="240" w:lineRule="auto"/>
              <w:jc w:val="center"/>
              <w:rPr>
                <w:rFonts w:eastAsia="Times New Roman" w:cs="Arial"/>
                <w:color w:val="000000"/>
                <w:sz w:val="16"/>
                <w:szCs w:val="16"/>
                <w:lang w:eastAsia="es-CR"/>
              </w:rPr>
            </w:pPr>
            <w:r w:rsidRPr="000A201E">
              <w:rPr>
                <w:rFonts w:eastAsia="Times New Roman" w:cs="Arial"/>
                <w:color w:val="000000"/>
                <w:sz w:val="16"/>
                <w:szCs w:val="16"/>
                <w:lang w:eastAsia="es-CR"/>
              </w:rPr>
              <w:t>1317</w:t>
            </w:r>
          </w:p>
        </w:tc>
        <w:tc>
          <w:tcPr>
            <w:tcW w:w="1276" w:type="dxa"/>
            <w:tcBorders>
              <w:top w:val="nil"/>
              <w:left w:val="nil"/>
              <w:bottom w:val="nil"/>
              <w:right w:val="nil"/>
            </w:tcBorders>
            <w:shd w:val="clear" w:color="auto" w:fill="auto"/>
            <w:noWrap/>
            <w:vAlign w:val="bottom"/>
            <w:hideMark/>
          </w:tcPr>
          <w:p w14:paraId="187DDE6B" w14:textId="77777777" w:rsidR="000A201E" w:rsidRPr="000A201E" w:rsidRDefault="000A201E" w:rsidP="000A201E">
            <w:pPr>
              <w:spacing w:before="0" w:after="0" w:line="240" w:lineRule="auto"/>
              <w:jc w:val="center"/>
              <w:rPr>
                <w:rFonts w:eastAsia="Times New Roman" w:cs="Arial"/>
                <w:color w:val="000000"/>
                <w:sz w:val="16"/>
                <w:szCs w:val="16"/>
                <w:lang w:eastAsia="es-CR"/>
              </w:rPr>
            </w:pPr>
          </w:p>
        </w:tc>
        <w:tc>
          <w:tcPr>
            <w:tcW w:w="992" w:type="dxa"/>
            <w:tcBorders>
              <w:top w:val="nil"/>
              <w:left w:val="nil"/>
              <w:bottom w:val="nil"/>
              <w:right w:val="nil"/>
            </w:tcBorders>
            <w:shd w:val="clear" w:color="auto" w:fill="auto"/>
            <w:noWrap/>
            <w:vAlign w:val="bottom"/>
            <w:hideMark/>
          </w:tcPr>
          <w:p w14:paraId="2FCA6D83" w14:textId="77777777" w:rsidR="000A201E" w:rsidRPr="000A201E" w:rsidRDefault="000A201E" w:rsidP="000A201E">
            <w:pPr>
              <w:spacing w:before="0" w:after="0" w:line="240" w:lineRule="auto"/>
              <w:jc w:val="center"/>
              <w:rPr>
                <w:rFonts w:eastAsia="Times New Roman" w:cs="Arial"/>
                <w:color w:val="000000"/>
                <w:sz w:val="16"/>
                <w:szCs w:val="16"/>
                <w:lang w:eastAsia="es-CR"/>
              </w:rPr>
            </w:pPr>
            <w:r w:rsidRPr="000A201E">
              <w:rPr>
                <w:rFonts w:eastAsia="Times New Roman" w:cs="Arial"/>
                <w:color w:val="000000"/>
                <w:sz w:val="16"/>
                <w:szCs w:val="16"/>
                <w:lang w:eastAsia="es-CR"/>
              </w:rPr>
              <w:t>2454</w:t>
            </w:r>
          </w:p>
        </w:tc>
        <w:tc>
          <w:tcPr>
            <w:tcW w:w="992" w:type="dxa"/>
            <w:tcBorders>
              <w:top w:val="nil"/>
              <w:left w:val="nil"/>
              <w:bottom w:val="nil"/>
              <w:right w:val="nil"/>
            </w:tcBorders>
            <w:shd w:val="clear" w:color="auto" w:fill="auto"/>
            <w:noWrap/>
            <w:vAlign w:val="bottom"/>
            <w:hideMark/>
          </w:tcPr>
          <w:p w14:paraId="03D80EBD" w14:textId="77777777" w:rsidR="000A201E" w:rsidRPr="000A201E" w:rsidRDefault="000A201E" w:rsidP="000A201E">
            <w:pPr>
              <w:spacing w:before="0" w:after="0" w:line="240" w:lineRule="auto"/>
              <w:jc w:val="center"/>
              <w:rPr>
                <w:rFonts w:eastAsia="Times New Roman" w:cs="Arial"/>
                <w:color w:val="000000"/>
                <w:sz w:val="16"/>
                <w:szCs w:val="16"/>
                <w:lang w:eastAsia="es-CR"/>
              </w:rPr>
            </w:pPr>
            <w:r w:rsidRPr="000A201E">
              <w:rPr>
                <w:rFonts w:eastAsia="Times New Roman" w:cs="Arial"/>
                <w:color w:val="000000"/>
                <w:sz w:val="16"/>
                <w:szCs w:val="16"/>
                <w:lang w:eastAsia="es-CR"/>
              </w:rPr>
              <w:t> </w:t>
            </w:r>
          </w:p>
        </w:tc>
        <w:tc>
          <w:tcPr>
            <w:tcW w:w="1134" w:type="dxa"/>
            <w:tcBorders>
              <w:top w:val="nil"/>
              <w:left w:val="nil"/>
              <w:bottom w:val="nil"/>
              <w:right w:val="nil"/>
            </w:tcBorders>
            <w:shd w:val="clear" w:color="auto" w:fill="auto"/>
            <w:noWrap/>
            <w:vAlign w:val="bottom"/>
            <w:hideMark/>
          </w:tcPr>
          <w:p w14:paraId="12BA1B77" w14:textId="77777777" w:rsidR="000A201E" w:rsidRPr="000A201E" w:rsidRDefault="000A201E" w:rsidP="000A201E">
            <w:pPr>
              <w:spacing w:before="0" w:after="0" w:line="240" w:lineRule="auto"/>
              <w:jc w:val="center"/>
              <w:rPr>
                <w:rFonts w:eastAsia="Times New Roman" w:cs="Arial"/>
                <w:color w:val="000000"/>
                <w:sz w:val="16"/>
                <w:szCs w:val="16"/>
                <w:lang w:eastAsia="es-CR"/>
              </w:rPr>
            </w:pPr>
            <w:r w:rsidRPr="000A201E">
              <w:rPr>
                <w:rFonts w:eastAsia="Times New Roman" w:cs="Arial"/>
                <w:color w:val="000000"/>
                <w:sz w:val="16"/>
                <w:szCs w:val="16"/>
                <w:lang w:eastAsia="es-CR"/>
              </w:rPr>
              <w:t> </w:t>
            </w:r>
          </w:p>
        </w:tc>
      </w:tr>
      <w:tr w:rsidR="000A201E" w:rsidRPr="000A201E" w14:paraId="2F05F9B1" w14:textId="77777777" w:rsidTr="00F249A1">
        <w:trPr>
          <w:trHeight w:val="280"/>
        </w:trPr>
        <w:tc>
          <w:tcPr>
            <w:tcW w:w="3118" w:type="dxa"/>
            <w:tcBorders>
              <w:top w:val="nil"/>
              <w:left w:val="nil"/>
              <w:bottom w:val="nil"/>
              <w:right w:val="nil"/>
            </w:tcBorders>
            <w:shd w:val="clear" w:color="auto" w:fill="auto"/>
            <w:noWrap/>
            <w:vAlign w:val="bottom"/>
            <w:hideMark/>
          </w:tcPr>
          <w:p w14:paraId="3D5DC257" w14:textId="77777777" w:rsidR="000A201E" w:rsidRPr="000A201E" w:rsidRDefault="000A201E" w:rsidP="000A201E">
            <w:pPr>
              <w:spacing w:before="0" w:after="0" w:line="240" w:lineRule="auto"/>
              <w:jc w:val="center"/>
              <w:rPr>
                <w:rFonts w:eastAsia="Times New Roman" w:cs="Arial"/>
                <w:b/>
                <w:bCs/>
                <w:color w:val="000000"/>
                <w:sz w:val="16"/>
                <w:szCs w:val="16"/>
                <w:lang w:eastAsia="es-CR"/>
              </w:rPr>
            </w:pPr>
            <w:r w:rsidRPr="000A201E">
              <w:rPr>
                <w:rFonts w:eastAsia="Times New Roman" w:cs="Arial"/>
                <w:b/>
                <w:bCs/>
                <w:color w:val="000000"/>
                <w:sz w:val="16"/>
                <w:szCs w:val="16"/>
                <w:lang w:eastAsia="es-CR"/>
              </w:rPr>
              <w:lastRenderedPageBreak/>
              <w:t>Promedio Nacional</w:t>
            </w:r>
          </w:p>
        </w:tc>
        <w:tc>
          <w:tcPr>
            <w:tcW w:w="1272" w:type="dxa"/>
            <w:tcBorders>
              <w:top w:val="nil"/>
              <w:left w:val="nil"/>
              <w:bottom w:val="nil"/>
              <w:right w:val="nil"/>
            </w:tcBorders>
            <w:shd w:val="clear" w:color="auto" w:fill="auto"/>
            <w:noWrap/>
            <w:vAlign w:val="bottom"/>
            <w:hideMark/>
          </w:tcPr>
          <w:p w14:paraId="50F54E75" w14:textId="77777777" w:rsidR="000A201E" w:rsidRPr="000A201E" w:rsidRDefault="000A201E" w:rsidP="000A201E">
            <w:pPr>
              <w:spacing w:before="0" w:after="0" w:line="240" w:lineRule="auto"/>
              <w:jc w:val="center"/>
              <w:rPr>
                <w:rFonts w:eastAsia="Times New Roman" w:cs="Arial"/>
                <w:b/>
                <w:bCs/>
                <w:color w:val="000000"/>
                <w:sz w:val="16"/>
                <w:szCs w:val="16"/>
                <w:lang w:eastAsia="es-CR"/>
              </w:rPr>
            </w:pPr>
            <w:r w:rsidRPr="000A201E">
              <w:rPr>
                <w:rFonts w:eastAsia="Times New Roman" w:cs="Arial"/>
                <w:b/>
                <w:bCs/>
                <w:color w:val="000000"/>
                <w:sz w:val="16"/>
                <w:szCs w:val="16"/>
                <w:lang w:eastAsia="es-CR"/>
              </w:rPr>
              <w:t xml:space="preserve"> -</w:t>
            </w:r>
          </w:p>
        </w:tc>
        <w:tc>
          <w:tcPr>
            <w:tcW w:w="992" w:type="dxa"/>
            <w:tcBorders>
              <w:top w:val="nil"/>
              <w:left w:val="nil"/>
              <w:bottom w:val="nil"/>
              <w:right w:val="nil"/>
            </w:tcBorders>
            <w:shd w:val="clear" w:color="auto" w:fill="auto"/>
            <w:noWrap/>
            <w:vAlign w:val="bottom"/>
            <w:hideMark/>
          </w:tcPr>
          <w:p w14:paraId="6DCFC9F3" w14:textId="77777777" w:rsidR="000A201E" w:rsidRPr="000A201E" w:rsidRDefault="000A201E" w:rsidP="000A201E">
            <w:pPr>
              <w:spacing w:before="0" w:after="0" w:line="240" w:lineRule="auto"/>
              <w:jc w:val="center"/>
              <w:rPr>
                <w:rFonts w:eastAsia="Times New Roman" w:cs="Arial"/>
                <w:b/>
                <w:bCs/>
                <w:color w:val="000000"/>
                <w:sz w:val="16"/>
                <w:szCs w:val="16"/>
                <w:lang w:eastAsia="es-CR"/>
              </w:rPr>
            </w:pPr>
            <w:r w:rsidRPr="000A201E">
              <w:rPr>
                <w:rFonts w:eastAsia="Times New Roman" w:cs="Arial"/>
                <w:b/>
                <w:bCs/>
                <w:color w:val="000000"/>
                <w:sz w:val="16"/>
                <w:szCs w:val="16"/>
                <w:lang w:eastAsia="es-CR"/>
              </w:rPr>
              <w:t xml:space="preserve"> -</w:t>
            </w:r>
          </w:p>
        </w:tc>
        <w:tc>
          <w:tcPr>
            <w:tcW w:w="1276" w:type="dxa"/>
            <w:tcBorders>
              <w:top w:val="nil"/>
              <w:left w:val="nil"/>
              <w:bottom w:val="nil"/>
              <w:right w:val="nil"/>
            </w:tcBorders>
            <w:shd w:val="clear" w:color="auto" w:fill="auto"/>
            <w:noWrap/>
            <w:vAlign w:val="bottom"/>
            <w:hideMark/>
          </w:tcPr>
          <w:p w14:paraId="57835B3F" w14:textId="77777777" w:rsidR="000A201E" w:rsidRPr="000A201E" w:rsidRDefault="000A201E" w:rsidP="000A201E">
            <w:pPr>
              <w:spacing w:before="0" w:after="0" w:line="240" w:lineRule="auto"/>
              <w:jc w:val="center"/>
              <w:rPr>
                <w:rFonts w:eastAsia="Times New Roman" w:cs="Arial"/>
                <w:b/>
                <w:bCs/>
                <w:color w:val="000000"/>
                <w:sz w:val="16"/>
                <w:szCs w:val="16"/>
                <w:lang w:eastAsia="es-CR"/>
              </w:rPr>
            </w:pPr>
            <w:r w:rsidRPr="000A201E">
              <w:rPr>
                <w:rFonts w:eastAsia="Times New Roman" w:cs="Arial"/>
                <w:b/>
                <w:bCs/>
                <w:color w:val="000000"/>
                <w:sz w:val="16"/>
                <w:szCs w:val="16"/>
                <w:lang w:eastAsia="es-CR"/>
              </w:rPr>
              <w:t>8</w:t>
            </w:r>
          </w:p>
        </w:tc>
        <w:tc>
          <w:tcPr>
            <w:tcW w:w="992" w:type="dxa"/>
            <w:tcBorders>
              <w:top w:val="nil"/>
              <w:left w:val="nil"/>
              <w:bottom w:val="nil"/>
              <w:right w:val="nil"/>
            </w:tcBorders>
            <w:shd w:val="clear" w:color="auto" w:fill="auto"/>
            <w:noWrap/>
            <w:vAlign w:val="bottom"/>
            <w:hideMark/>
          </w:tcPr>
          <w:p w14:paraId="65507659" w14:textId="77777777" w:rsidR="000A201E" w:rsidRPr="000A201E" w:rsidRDefault="000A201E" w:rsidP="000A201E">
            <w:pPr>
              <w:spacing w:before="0" w:after="0" w:line="240" w:lineRule="auto"/>
              <w:jc w:val="center"/>
              <w:rPr>
                <w:rFonts w:eastAsia="Times New Roman" w:cs="Arial"/>
                <w:b/>
                <w:bCs/>
                <w:color w:val="000000"/>
                <w:sz w:val="16"/>
                <w:szCs w:val="16"/>
                <w:lang w:eastAsia="es-CR"/>
              </w:rPr>
            </w:pPr>
            <w:r w:rsidRPr="000A201E">
              <w:rPr>
                <w:rFonts w:eastAsia="Times New Roman" w:cs="Arial"/>
                <w:b/>
                <w:bCs/>
                <w:color w:val="000000"/>
                <w:sz w:val="16"/>
                <w:szCs w:val="16"/>
                <w:lang w:eastAsia="es-CR"/>
              </w:rPr>
              <w:t xml:space="preserve"> -</w:t>
            </w:r>
          </w:p>
        </w:tc>
        <w:tc>
          <w:tcPr>
            <w:tcW w:w="992" w:type="dxa"/>
            <w:tcBorders>
              <w:top w:val="nil"/>
              <w:left w:val="nil"/>
              <w:bottom w:val="nil"/>
              <w:right w:val="nil"/>
            </w:tcBorders>
            <w:shd w:val="clear" w:color="auto" w:fill="auto"/>
            <w:noWrap/>
            <w:vAlign w:val="bottom"/>
            <w:hideMark/>
          </w:tcPr>
          <w:p w14:paraId="5AD914D7" w14:textId="77777777" w:rsidR="000A201E" w:rsidRPr="000A201E" w:rsidRDefault="000A201E" w:rsidP="000A201E">
            <w:pPr>
              <w:spacing w:before="0" w:after="0" w:line="240" w:lineRule="auto"/>
              <w:jc w:val="center"/>
              <w:rPr>
                <w:rFonts w:eastAsia="Times New Roman" w:cs="Arial"/>
                <w:b/>
                <w:bCs/>
                <w:color w:val="000000"/>
                <w:sz w:val="16"/>
                <w:szCs w:val="16"/>
                <w:lang w:eastAsia="es-CR"/>
              </w:rPr>
            </w:pPr>
            <w:r w:rsidRPr="000A201E">
              <w:rPr>
                <w:rFonts w:eastAsia="Times New Roman" w:cs="Arial"/>
                <w:b/>
                <w:bCs/>
                <w:color w:val="000000"/>
                <w:sz w:val="16"/>
                <w:szCs w:val="16"/>
                <w:lang w:eastAsia="es-CR"/>
              </w:rPr>
              <w:t>129</w:t>
            </w:r>
          </w:p>
        </w:tc>
        <w:tc>
          <w:tcPr>
            <w:tcW w:w="1134" w:type="dxa"/>
            <w:tcBorders>
              <w:top w:val="nil"/>
              <w:left w:val="nil"/>
              <w:bottom w:val="nil"/>
              <w:right w:val="nil"/>
            </w:tcBorders>
            <w:shd w:val="clear" w:color="auto" w:fill="auto"/>
            <w:noWrap/>
            <w:vAlign w:val="bottom"/>
            <w:hideMark/>
          </w:tcPr>
          <w:p w14:paraId="55015425" w14:textId="77777777" w:rsidR="000A201E" w:rsidRPr="000A201E" w:rsidRDefault="000A201E" w:rsidP="000A201E">
            <w:pPr>
              <w:spacing w:before="0" w:after="0" w:line="240" w:lineRule="auto"/>
              <w:jc w:val="center"/>
              <w:rPr>
                <w:rFonts w:eastAsia="Times New Roman" w:cs="Arial"/>
                <w:b/>
                <w:bCs/>
                <w:color w:val="000000"/>
                <w:sz w:val="16"/>
                <w:szCs w:val="16"/>
                <w:lang w:eastAsia="es-CR"/>
              </w:rPr>
            </w:pPr>
            <w:r w:rsidRPr="000A201E">
              <w:rPr>
                <w:rFonts w:eastAsia="Times New Roman" w:cs="Arial"/>
                <w:b/>
                <w:bCs/>
                <w:color w:val="000000"/>
                <w:sz w:val="16"/>
                <w:szCs w:val="16"/>
                <w:lang w:eastAsia="es-CR"/>
              </w:rPr>
              <w:t xml:space="preserve"> -</w:t>
            </w:r>
          </w:p>
        </w:tc>
      </w:tr>
    </w:tbl>
    <w:p w14:paraId="5C196BC3" w14:textId="7003733B" w:rsidR="000A201E" w:rsidRPr="00BF0D0F" w:rsidRDefault="000A201E" w:rsidP="000A201E">
      <w:pPr>
        <w:rPr>
          <w:sz w:val="20"/>
          <w:szCs w:val="18"/>
        </w:rPr>
      </w:pPr>
      <w:r>
        <w:rPr>
          <w:sz w:val="20"/>
          <w:szCs w:val="18"/>
        </w:rPr>
        <w:t>Nota</w:t>
      </w:r>
      <w:r w:rsidRPr="00BF0D0F">
        <w:rPr>
          <w:sz w:val="20"/>
          <w:szCs w:val="18"/>
        </w:rPr>
        <w:t xml:space="preserve">: </w:t>
      </w:r>
      <w:r>
        <w:rPr>
          <w:sz w:val="20"/>
          <w:szCs w:val="18"/>
        </w:rPr>
        <w:t xml:space="preserve">Los datos del primer y segundo trimestre fueron facilitados por el Subproceso de Estadística, en lo que respecta al tercer trimestre </w:t>
      </w:r>
      <w:r w:rsidR="00825604">
        <w:rPr>
          <w:sz w:val="20"/>
          <w:szCs w:val="18"/>
        </w:rPr>
        <w:t>son</w:t>
      </w:r>
      <w:r>
        <w:rPr>
          <w:sz w:val="20"/>
          <w:szCs w:val="18"/>
        </w:rPr>
        <w:t xml:space="preserve"> datos preliminares facilitados por la Administración de la Defensa Pública.</w:t>
      </w:r>
    </w:p>
    <w:p w14:paraId="7AA333C5" w14:textId="134D14E1" w:rsidR="00DE4D9B" w:rsidRPr="00F249A1" w:rsidRDefault="005E2187" w:rsidP="00DE4D9B">
      <w:pPr>
        <w:rPr>
          <w:sz w:val="20"/>
          <w:szCs w:val="18"/>
        </w:rPr>
      </w:pPr>
      <w:r w:rsidRPr="00F249A1">
        <w:rPr>
          <w:sz w:val="20"/>
          <w:szCs w:val="18"/>
        </w:rPr>
        <w:t>Fuente: Elaboración propia</w:t>
      </w:r>
      <w:r>
        <w:rPr>
          <w:sz w:val="20"/>
          <w:szCs w:val="18"/>
        </w:rPr>
        <w:t>,</w:t>
      </w:r>
      <w:r w:rsidRPr="00F249A1">
        <w:rPr>
          <w:sz w:val="20"/>
          <w:szCs w:val="18"/>
        </w:rPr>
        <w:t xml:space="preserve"> con datos suministrados por el Subproceso de Estadística.</w:t>
      </w:r>
    </w:p>
    <w:p w14:paraId="3E0D1CD4" w14:textId="719F5C89" w:rsidR="00D06F77" w:rsidRPr="00163514" w:rsidRDefault="00D06F77" w:rsidP="00163514">
      <w:pPr>
        <w:spacing w:line="240" w:lineRule="auto"/>
        <w:rPr>
          <w:rFonts w:ascii="Book Antiqua" w:hAnsi="Book Antiqua"/>
        </w:rPr>
      </w:pPr>
      <w:r w:rsidRPr="00163514">
        <w:rPr>
          <w:rFonts w:ascii="Book Antiqua" w:hAnsi="Book Antiqua"/>
        </w:rPr>
        <w:t>En análisis de los datos proyectados de la Defensa Pública en materia Agraria, se estima una entrada promedio de 8 asuntos por recurso Defensor Público a nivel nacional; así como, un circulante promedio de 1</w:t>
      </w:r>
      <w:r w:rsidR="000A201E" w:rsidRPr="00163514">
        <w:rPr>
          <w:rFonts w:ascii="Book Antiqua" w:hAnsi="Book Antiqua"/>
        </w:rPr>
        <w:t>29</w:t>
      </w:r>
      <w:r w:rsidRPr="00163514">
        <w:rPr>
          <w:rFonts w:ascii="Book Antiqua" w:hAnsi="Book Antiqua"/>
        </w:rPr>
        <w:t xml:space="preserve"> asuntos por cada plaza de Defensor.</w:t>
      </w:r>
    </w:p>
    <w:p w14:paraId="7E70D622" w14:textId="2393957B" w:rsidR="00476927" w:rsidRPr="00163514" w:rsidRDefault="00D06F77" w:rsidP="00163514">
      <w:pPr>
        <w:spacing w:line="240" w:lineRule="auto"/>
        <w:rPr>
          <w:rFonts w:ascii="Book Antiqua" w:hAnsi="Book Antiqua"/>
          <w:sz w:val="22"/>
        </w:rPr>
      </w:pPr>
      <w:r w:rsidRPr="00163514">
        <w:rPr>
          <w:rFonts w:ascii="Book Antiqua" w:hAnsi="Book Antiqua"/>
        </w:rPr>
        <w:t xml:space="preserve">De considerar la entrada promedio de 8 asuntos a nivel nacional más el circulante por cada plaza a diciembre de 2018, se estima un circulante proyectado de aproximadamente </w:t>
      </w:r>
      <w:r w:rsidR="006941FF" w:rsidRPr="00163514">
        <w:rPr>
          <w:rFonts w:ascii="Book Antiqua" w:hAnsi="Book Antiqua"/>
        </w:rPr>
        <w:t>137</w:t>
      </w:r>
      <w:r w:rsidRPr="00163514">
        <w:rPr>
          <w:rFonts w:ascii="Book Antiqua" w:hAnsi="Book Antiqua"/>
        </w:rPr>
        <w:t xml:space="preserve"> asuntos por cada recurso Defensor Público; estando por debajo en </w:t>
      </w:r>
      <w:r w:rsidR="006941FF" w:rsidRPr="00163514">
        <w:rPr>
          <w:rFonts w:ascii="Book Antiqua" w:hAnsi="Book Antiqua"/>
        </w:rPr>
        <w:t>43</w:t>
      </w:r>
      <w:r w:rsidRPr="00163514">
        <w:rPr>
          <w:rFonts w:ascii="Book Antiqua" w:hAnsi="Book Antiqua"/>
        </w:rPr>
        <w:t xml:space="preserve"> procesos </w:t>
      </w:r>
      <w:r w:rsidR="00825604" w:rsidRPr="00163514">
        <w:rPr>
          <w:rFonts w:ascii="Book Antiqua" w:hAnsi="Book Antiqua"/>
        </w:rPr>
        <w:t xml:space="preserve">(24%) </w:t>
      </w:r>
      <w:r w:rsidRPr="00163514">
        <w:rPr>
          <w:rFonts w:ascii="Book Antiqua" w:hAnsi="Book Antiqua"/>
        </w:rPr>
        <w:t xml:space="preserve">de la cuota establecida de 180 asuntos de circulante por </w:t>
      </w:r>
      <w:r w:rsidR="00476927" w:rsidRPr="00163514">
        <w:rPr>
          <w:rFonts w:ascii="Book Antiqua" w:hAnsi="Book Antiqua"/>
        </w:rPr>
        <w:t>cada plaza de Defensora o Defensor Público.</w:t>
      </w:r>
    </w:p>
    <w:p w14:paraId="358A2B71" w14:textId="6C242766" w:rsidR="00D06F77" w:rsidRPr="00163514" w:rsidRDefault="00476927" w:rsidP="00163514">
      <w:pPr>
        <w:spacing w:line="240" w:lineRule="auto"/>
        <w:rPr>
          <w:rFonts w:ascii="Book Antiqua" w:hAnsi="Book Antiqua"/>
          <w:b/>
          <w:bCs/>
        </w:rPr>
      </w:pPr>
      <w:r w:rsidRPr="00163514">
        <w:rPr>
          <w:rFonts w:ascii="Book Antiqua" w:hAnsi="Book Antiqua"/>
          <w:b/>
          <w:bCs/>
        </w:rPr>
        <w:t>E</w:t>
      </w:r>
      <w:r w:rsidR="00D06F77" w:rsidRPr="00163514">
        <w:rPr>
          <w:rFonts w:ascii="Book Antiqua" w:hAnsi="Book Antiqua"/>
          <w:b/>
          <w:bCs/>
        </w:rPr>
        <w:t xml:space="preserve">n consideración de la carga de trabajo de los recursos defensores a nivel nacional, se </w:t>
      </w:r>
      <w:r w:rsidR="005B5D07" w:rsidRPr="00163514">
        <w:rPr>
          <w:rFonts w:ascii="Book Antiqua" w:hAnsi="Book Antiqua"/>
          <w:b/>
          <w:bCs/>
        </w:rPr>
        <w:t>estima conveniente mantener la recomendación planteada en el informe 634-PLA-RH-MI-2019 donde se establece</w:t>
      </w:r>
      <w:r w:rsidR="00D06F77" w:rsidRPr="00163514">
        <w:rPr>
          <w:rFonts w:ascii="Book Antiqua" w:hAnsi="Book Antiqua"/>
          <w:b/>
          <w:bCs/>
        </w:rPr>
        <w:t xml:space="preserve"> que las plazas de Agrario asuman como carga ordinaria aquellos asuntos en materia Contenciosa Administrativa donde figure como parte actora o demandada una o más personas indígenas. Tal y como lo </w:t>
      </w:r>
      <w:r w:rsidR="00E921C9" w:rsidRPr="00163514">
        <w:rPr>
          <w:rFonts w:ascii="Book Antiqua" w:hAnsi="Book Antiqua"/>
          <w:b/>
          <w:bCs/>
        </w:rPr>
        <w:t>recomendó la</w:t>
      </w:r>
      <w:r w:rsidR="00D06F77" w:rsidRPr="00163514">
        <w:rPr>
          <w:rFonts w:ascii="Book Antiqua" w:hAnsi="Book Antiqua"/>
          <w:b/>
          <w:bCs/>
        </w:rPr>
        <w:t xml:space="preserve"> Dirección de la Defensa Pública.</w:t>
      </w:r>
    </w:p>
    <w:p w14:paraId="56EAC219" w14:textId="77777777" w:rsidR="00D06F77" w:rsidRPr="00274CC6" w:rsidRDefault="00D06F77" w:rsidP="00F249A1"/>
    <w:p w14:paraId="270FD5C1" w14:textId="12256FF4" w:rsidR="6A425548" w:rsidRPr="002F31FB" w:rsidRDefault="6A425548" w:rsidP="00410F64">
      <w:pPr>
        <w:pStyle w:val="Ttulo3"/>
      </w:pPr>
      <w:r w:rsidRPr="002F31FB">
        <w:t>Atención de asuntos de Pensión Alimentaria</w:t>
      </w:r>
    </w:p>
    <w:p w14:paraId="5127E0C1" w14:textId="1DB4F208" w:rsidR="738AEF88" w:rsidRPr="00163514" w:rsidRDefault="738AEF88" w:rsidP="00163514">
      <w:pPr>
        <w:spacing w:line="240" w:lineRule="auto"/>
        <w:rPr>
          <w:rFonts w:ascii="Book Antiqua" w:hAnsi="Book Antiqua"/>
        </w:rPr>
      </w:pPr>
      <w:r w:rsidRPr="00163514">
        <w:rPr>
          <w:rFonts w:ascii="Book Antiqua" w:hAnsi="Book Antiqua"/>
        </w:rPr>
        <w:t xml:space="preserve">Con el fin de establecer las Defensa Públicas del país con </w:t>
      </w:r>
      <w:r w:rsidR="317866EB" w:rsidRPr="00163514">
        <w:rPr>
          <w:rFonts w:ascii="Book Antiqua" w:hAnsi="Book Antiqua"/>
        </w:rPr>
        <w:t xml:space="preserve">mayor afluencia de personas indígenas </w:t>
      </w:r>
      <w:r w:rsidR="14B5C90C" w:rsidRPr="00163514">
        <w:rPr>
          <w:rFonts w:ascii="Book Antiqua" w:hAnsi="Book Antiqua"/>
        </w:rPr>
        <w:t xml:space="preserve">en materia de pensiones alimentarias, </w:t>
      </w:r>
      <w:r w:rsidR="0F9F4A6D" w:rsidRPr="00163514">
        <w:rPr>
          <w:rFonts w:ascii="Book Antiqua" w:hAnsi="Book Antiqua"/>
        </w:rPr>
        <w:t>se adjunt</w:t>
      </w:r>
      <w:r w:rsidR="690B6512" w:rsidRPr="00163514">
        <w:rPr>
          <w:rFonts w:ascii="Book Antiqua" w:hAnsi="Book Antiqua"/>
        </w:rPr>
        <w:t>a</w:t>
      </w:r>
      <w:r w:rsidR="0F9F4A6D" w:rsidRPr="00163514">
        <w:rPr>
          <w:rFonts w:ascii="Book Antiqua" w:hAnsi="Book Antiqua"/>
        </w:rPr>
        <w:t xml:space="preserve"> el siguiente gráfico:</w:t>
      </w:r>
    </w:p>
    <w:p w14:paraId="28319181" w14:textId="3FA44611" w:rsidR="002F31FB" w:rsidRPr="002F31FB" w:rsidRDefault="002F31FB" w:rsidP="00D67659">
      <w:pPr>
        <w:pStyle w:val="Descripcin"/>
        <w:keepNext/>
        <w:spacing w:after="0"/>
        <w:jc w:val="center"/>
        <w:rPr>
          <w:sz w:val="24"/>
          <w:szCs w:val="24"/>
        </w:rPr>
      </w:pPr>
      <w:r w:rsidRPr="002F31FB">
        <w:rPr>
          <w:sz w:val="24"/>
          <w:szCs w:val="24"/>
        </w:rPr>
        <w:lastRenderedPageBreak/>
        <w:t xml:space="preserve">Figura </w:t>
      </w:r>
      <w:r w:rsidRPr="002F31FB">
        <w:rPr>
          <w:sz w:val="24"/>
          <w:szCs w:val="24"/>
        </w:rPr>
        <w:fldChar w:fldCharType="begin"/>
      </w:r>
      <w:r w:rsidRPr="002F31FB">
        <w:rPr>
          <w:sz w:val="24"/>
          <w:szCs w:val="24"/>
        </w:rPr>
        <w:instrText xml:space="preserve"> SEQ Figura \* ARABIC </w:instrText>
      </w:r>
      <w:r w:rsidRPr="002F31FB">
        <w:rPr>
          <w:sz w:val="24"/>
          <w:szCs w:val="24"/>
        </w:rPr>
        <w:fldChar w:fldCharType="separate"/>
      </w:r>
      <w:r w:rsidR="008276AA">
        <w:rPr>
          <w:noProof/>
          <w:sz w:val="24"/>
          <w:szCs w:val="24"/>
        </w:rPr>
        <w:t>7</w:t>
      </w:r>
      <w:r w:rsidRPr="002F31FB">
        <w:rPr>
          <w:sz w:val="24"/>
          <w:szCs w:val="24"/>
        </w:rPr>
        <w:fldChar w:fldCharType="end"/>
      </w:r>
      <w:r w:rsidRPr="002F31FB">
        <w:rPr>
          <w:sz w:val="24"/>
          <w:szCs w:val="24"/>
        </w:rPr>
        <w:t xml:space="preserve"> Cantidad de asuntos en trámite de Pensiones Alimentarias con uno o varios intervinientes de población indígena, por ofídica de la Defensa Pública al 30 de setiembre de 2019</w:t>
      </w:r>
    </w:p>
    <w:p w14:paraId="3E83F5B1" w14:textId="398A5B74" w:rsidR="7BCB9147" w:rsidRPr="008D2522" w:rsidRDefault="008D1B0F" w:rsidP="00055CFC">
      <w:pPr>
        <w:spacing w:before="0" w:after="0"/>
        <w:rPr>
          <w:rFonts w:cs="Arial"/>
        </w:rPr>
      </w:pPr>
      <w:r>
        <w:rPr>
          <w:rFonts w:cs="Arial"/>
          <w:noProof/>
          <w:color w:val="2B579A"/>
          <w:shd w:val="clear" w:color="auto" w:fill="E6E6E6"/>
        </w:rPr>
        <w:drawing>
          <wp:inline distT="0" distB="0" distL="0" distR="0" wp14:anchorId="4FF9EB9F" wp14:editId="54D63A60">
            <wp:extent cx="5700395" cy="33845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l="1114" t="21957" r="1491" b="5412"/>
                    <a:stretch>
                      <a:fillRect/>
                    </a:stretch>
                  </pic:blipFill>
                  <pic:spPr bwMode="auto">
                    <a:xfrm>
                      <a:off x="0" y="0"/>
                      <a:ext cx="5700395" cy="3384550"/>
                    </a:xfrm>
                    <a:prstGeom prst="rect">
                      <a:avLst/>
                    </a:prstGeom>
                    <a:noFill/>
                    <a:ln>
                      <a:noFill/>
                    </a:ln>
                  </pic:spPr>
                </pic:pic>
              </a:graphicData>
            </a:graphic>
          </wp:inline>
        </w:drawing>
      </w:r>
    </w:p>
    <w:p w14:paraId="72F9668F" w14:textId="77777777" w:rsidR="00D67659" w:rsidRPr="008D2522" w:rsidRDefault="00D67659" w:rsidP="00D67659">
      <w:pPr>
        <w:spacing w:before="0" w:after="0"/>
        <w:rPr>
          <w:rFonts w:eastAsia="Arial" w:cs="Arial"/>
          <w:sz w:val="20"/>
          <w:szCs w:val="20"/>
        </w:rPr>
      </w:pPr>
      <w:r w:rsidRPr="008D2522">
        <w:rPr>
          <w:rFonts w:eastAsia="Arial" w:cs="Arial"/>
          <w:b/>
          <w:bCs/>
          <w:sz w:val="20"/>
          <w:szCs w:val="20"/>
        </w:rPr>
        <w:t>Fuente:</w:t>
      </w:r>
      <w:r w:rsidRPr="008D2522">
        <w:rPr>
          <w:rFonts w:eastAsia="Arial" w:cs="Arial"/>
          <w:sz w:val="20"/>
          <w:szCs w:val="20"/>
        </w:rPr>
        <w:t xml:space="preserve"> Subproceso de Modernización Institucional, de la Dirección de Planificación con datos facilitados por la Administración de la Defensa Pública.</w:t>
      </w:r>
    </w:p>
    <w:p w14:paraId="2C925E9F" w14:textId="62BC327A" w:rsidR="2A534E02" w:rsidRPr="00163514" w:rsidRDefault="2A534E02" w:rsidP="00163514">
      <w:pPr>
        <w:spacing w:line="240" w:lineRule="auto"/>
        <w:rPr>
          <w:rFonts w:ascii="Book Antiqua" w:hAnsi="Book Antiqua"/>
        </w:rPr>
      </w:pPr>
      <w:r w:rsidRPr="00163514">
        <w:rPr>
          <w:rFonts w:ascii="Book Antiqua" w:hAnsi="Book Antiqua"/>
        </w:rPr>
        <w:t>A</w:t>
      </w:r>
      <w:r w:rsidR="65DF25BC" w:rsidRPr="00163514">
        <w:rPr>
          <w:rFonts w:ascii="Book Antiqua" w:hAnsi="Book Antiqua"/>
        </w:rPr>
        <w:t xml:space="preserve">l </w:t>
      </w:r>
      <w:r w:rsidR="19506A52" w:rsidRPr="00163514">
        <w:rPr>
          <w:rFonts w:ascii="Book Antiqua" w:hAnsi="Book Antiqua"/>
        </w:rPr>
        <w:t>tercer trimestre del 2019</w:t>
      </w:r>
      <w:r w:rsidR="65DF25BC" w:rsidRPr="00163514">
        <w:rPr>
          <w:rFonts w:ascii="Book Antiqua" w:hAnsi="Book Antiqua"/>
        </w:rPr>
        <w:t xml:space="preserve"> exist</w:t>
      </w:r>
      <w:r w:rsidR="7C2652F2" w:rsidRPr="00163514">
        <w:rPr>
          <w:rFonts w:ascii="Book Antiqua" w:hAnsi="Book Antiqua"/>
        </w:rPr>
        <w:t>í</w:t>
      </w:r>
      <w:r w:rsidR="65DF25BC" w:rsidRPr="00163514">
        <w:rPr>
          <w:rFonts w:ascii="Book Antiqua" w:hAnsi="Book Antiqua"/>
        </w:rPr>
        <w:t>an 306 asuntos</w:t>
      </w:r>
      <w:r w:rsidR="77C81894" w:rsidRPr="00163514">
        <w:rPr>
          <w:rFonts w:ascii="Book Antiqua" w:hAnsi="Book Antiqua"/>
        </w:rPr>
        <w:t xml:space="preserve"> en trámite en la Defensa Pública</w:t>
      </w:r>
      <w:r w:rsidR="65DF25BC" w:rsidRPr="00163514">
        <w:rPr>
          <w:rFonts w:ascii="Book Antiqua" w:hAnsi="Book Antiqua"/>
        </w:rPr>
        <w:t>, en los</w:t>
      </w:r>
      <w:r w:rsidR="72DD1001" w:rsidRPr="00163514">
        <w:rPr>
          <w:rFonts w:ascii="Book Antiqua" w:hAnsi="Book Antiqua"/>
        </w:rPr>
        <w:t xml:space="preserve"> que figuraba una o varias personas </w:t>
      </w:r>
      <w:r w:rsidR="019B7CC9" w:rsidRPr="00163514">
        <w:rPr>
          <w:rFonts w:ascii="Book Antiqua" w:hAnsi="Book Antiqua"/>
        </w:rPr>
        <w:t xml:space="preserve">pertenecientes a </w:t>
      </w:r>
      <w:r w:rsidR="72DD1001" w:rsidRPr="00163514">
        <w:rPr>
          <w:rFonts w:ascii="Book Antiqua" w:hAnsi="Book Antiqua"/>
        </w:rPr>
        <w:t>poblaci</w:t>
      </w:r>
      <w:r w:rsidR="7960C338" w:rsidRPr="00163514">
        <w:rPr>
          <w:rFonts w:ascii="Book Antiqua" w:hAnsi="Book Antiqua"/>
        </w:rPr>
        <w:t>ones</w:t>
      </w:r>
      <w:r w:rsidR="72DD1001" w:rsidRPr="00163514">
        <w:rPr>
          <w:rFonts w:ascii="Book Antiqua" w:hAnsi="Book Antiqua"/>
        </w:rPr>
        <w:t xml:space="preserve"> indígena</w:t>
      </w:r>
      <w:r w:rsidR="3325993A" w:rsidRPr="00163514">
        <w:rPr>
          <w:rFonts w:ascii="Book Antiqua" w:hAnsi="Book Antiqua"/>
        </w:rPr>
        <w:t>s</w:t>
      </w:r>
      <w:r w:rsidR="58C5317B" w:rsidRPr="00163514">
        <w:rPr>
          <w:rFonts w:ascii="Book Antiqua" w:hAnsi="Book Antiqua"/>
        </w:rPr>
        <w:t xml:space="preserve">, </w:t>
      </w:r>
      <w:r w:rsidR="4F4999F4" w:rsidRPr="00163514">
        <w:rPr>
          <w:rFonts w:ascii="Book Antiqua" w:hAnsi="Book Antiqua"/>
        </w:rPr>
        <w:t xml:space="preserve">del total de </w:t>
      </w:r>
      <w:r w:rsidR="7F9B6571" w:rsidRPr="00163514">
        <w:rPr>
          <w:rFonts w:ascii="Book Antiqua" w:hAnsi="Book Antiqua"/>
        </w:rPr>
        <w:t xml:space="preserve">asuntos un 68% esta centralizado en </w:t>
      </w:r>
      <w:r w:rsidR="57382E1B" w:rsidRPr="00163514">
        <w:rPr>
          <w:rFonts w:ascii="Book Antiqua" w:hAnsi="Book Antiqua"/>
        </w:rPr>
        <w:t xml:space="preserve">las oficinas de Bribri y Buenos Aires, </w:t>
      </w:r>
      <w:r w:rsidR="493954C0" w:rsidRPr="00163514">
        <w:rPr>
          <w:rFonts w:ascii="Book Antiqua" w:hAnsi="Book Antiqua"/>
        </w:rPr>
        <w:t>con un 34% cada una</w:t>
      </w:r>
      <w:r w:rsidR="65DFE578" w:rsidRPr="00163514">
        <w:rPr>
          <w:rFonts w:ascii="Book Antiqua" w:hAnsi="Book Antiqua"/>
        </w:rPr>
        <w:t>; seguidos de Pérez Zeledón con un 7% y Limón con un 6%.</w:t>
      </w:r>
      <w:r w:rsidR="664BD5E1" w:rsidRPr="00163514">
        <w:rPr>
          <w:rFonts w:ascii="Book Antiqua" w:hAnsi="Book Antiqua"/>
        </w:rPr>
        <w:t xml:space="preserve"> </w:t>
      </w:r>
    </w:p>
    <w:p w14:paraId="250D33D6" w14:textId="2F16F5CB" w:rsidR="664BD5E1" w:rsidRPr="00163514" w:rsidRDefault="664BD5E1" w:rsidP="00163514">
      <w:pPr>
        <w:spacing w:line="240" w:lineRule="auto"/>
        <w:rPr>
          <w:rFonts w:ascii="Book Antiqua" w:hAnsi="Book Antiqua"/>
        </w:rPr>
      </w:pPr>
      <w:r w:rsidRPr="00163514">
        <w:rPr>
          <w:rFonts w:ascii="Book Antiqua" w:hAnsi="Book Antiqua"/>
        </w:rPr>
        <w:t>De tal m</w:t>
      </w:r>
      <w:r w:rsidR="4EB7FEE6" w:rsidRPr="00163514">
        <w:rPr>
          <w:rFonts w:ascii="Book Antiqua" w:hAnsi="Book Antiqua"/>
        </w:rPr>
        <w:t>odo</w:t>
      </w:r>
      <w:r w:rsidRPr="00163514">
        <w:rPr>
          <w:rFonts w:ascii="Book Antiqua" w:hAnsi="Book Antiqua"/>
        </w:rPr>
        <w:t xml:space="preserve">, </w:t>
      </w:r>
      <w:r w:rsidR="67D7BC8E" w:rsidRPr="00163514">
        <w:rPr>
          <w:rFonts w:ascii="Book Antiqua" w:hAnsi="Book Antiqua"/>
        </w:rPr>
        <w:t>es posible</w:t>
      </w:r>
      <w:r w:rsidRPr="00163514">
        <w:rPr>
          <w:rFonts w:ascii="Book Antiqua" w:hAnsi="Book Antiqua"/>
        </w:rPr>
        <w:t xml:space="preserve"> </w:t>
      </w:r>
      <w:r w:rsidR="7D1FBBDC" w:rsidRPr="00163514">
        <w:rPr>
          <w:rFonts w:ascii="Book Antiqua" w:hAnsi="Book Antiqua"/>
        </w:rPr>
        <w:t>determin</w:t>
      </w:r>
      <w:r w:rsidR="556AD26E" w:rsidRPr="00163514">
        <w:rPr>
          <w:rFonts w:ascii="Book Antiqua" w:hAnsi="Book Antiqua"/>
        </w:rPr>
        <w:t>ar que los asuntos en trámite en Bribri y Buenos Aires</w:t>
      </w:r>
      <w:r w:rsidR="312E0459" w:rsidRPr="00163514">
        <w:rPr>
          <w:rFonts w:ascii="Book Antiqua" w:hAnsi="Book Antiqua"/>
        </w:rPr>
        <w:t xml:space="preserve"> de forma separada</w:t>
      </w:r>
      <w:r w:rsidR="556AD26E" w:rsidRPr="00163514">
        <w:rPr>
          <w:rFonts w:ascii="Book Antiqua" w:hAnsi="Book Antiqua"/>
        </w:rPr>
        <w:t xml:space="preserve">, </w:t>
      </w:r>
      <w:r w:rsidR="5A382077" w:rsidRPr="00163514">
        <w:rPr>
          <w:rFonts w:ascii="Book Antiqua" w:hAnsi="Book Antiqua"/>
        </w:rPr>
        <w:t xml:space="preserve">superan en un 80% a los casos </w:t>
      </w:r>
      <w:r w:rsidR="301DCE0B" w:rsidRPr="00163514">
        <w:rPr>
          <w:rFonts w:ascii="Book Antiqua" w:hAnsi="Book Antiqua"/>
        </w:rPr>
        <w:t>en trámite</w:t>
      </w:r>
      <w:r w:rsidR="5A382077" w:rsidRPr="00163514">
        <w:rPr>
          <w:rFonts w:ascii="Book Antiqua" w:hAnsi="Book Antiqua"/>
        </w:rPr>
        <w:t xml:space="preserve"> en la </w:t>
      </w:r>
      <w:r w:rsidR="003F759A" w:rsidRPr="00163514">
        <w:rPr>
          <w:rFonts w:ascii="Book Antiqua" w:hAnsi="Book Antiqua"/>
        </w:rPr>
        <w:t>D</w:t>
      </w:r>
      <w:r w:rsidR="5A382077" w:rsidRPr="00163514">
        <w:rPr>
          <w:rFonts w:ascii="Book Antiqua" w:hAnsi="Book Antiqua"/>
        </w:rPr>
        <w:t xml:space="preserve">efensa </w:t>
      </w:r>
      <w:r w:rsidR="003F759A" w:rsidRPr="00163514">
        <w:rPr>
          <w:rFonts w:ascii="Book Antiqua" w:hAnsi="Book Antiqua"/>
        </w:rPr>
        <w:t>P</w:t>
      </w:r>
      <w:r w:rsidR="5A382077" w:rsidRPr="00163514">
        <w:rPr>
          <w:rFonts w:ascii="Book Antiqua" w:hAnsi="Book Antiqua"/>
        </w:rPr>
        <w:t>ública con el tercer lugar, en materia de Pensiones Alimentarias.</w:t>
      </w:r>
    </w:p>
    <w:p w14:paraId="5F906D8F" w14:textId="0CC8B8B0" w:rsidR="3E6CE07F" w:rsidRPr="00163514" w:rsidRDefault="3E6CE07F" w:rsidP="00163514">
      <w:pPr>
        <w:spacing w:line="240" w:lineRule="auto"/>
        <w:rPr>
          <w:rFonts w:ascii="Book Antiqua" w:hAnsi="Book Antiqua"/>
        </w:rPr>
      </w:pPr>
      <w:r w:rsidRPr="00163514">
        <w:rPr>
          <w:rFonts w:ascii="Book Antiqua" w:hAnsi="Book Antiqua"/>
        </w:rPr>
        <w:t xml:space="preserve">Por otro lado, tomando como insumo lo establecido en </w:t>
      </w:r>
      <w:r w:rsidR="0069387D" w:rsidRPr="00163514">
        <w:rPr>
          <w:rFonts w:ascii="Book Antiqua" w:hAnsi="Book Antiqua"/>
        </w:rPr>
        <w:t>la tabla 1 del presente informe,</w:t>
      </w:r>
      <w:r w:rsidR="00D57070" w:rsidRPr="00163514">
        <w:rPr>
          <w:rFonts w:ascii="Book Antiqua" w:hAnsi="Book Antiqua"/>
        </w:rPr>
        <w:t xml:space="preserve"> donde</w:t>
      </w:r>
      <w:r w:rsidR="0069387D" w:rsidRPr="00163514">
        <w:rPr>
          <w:rFonts w:ascii="Book Antiqua" w:hAnsi="Book Antiqua"/>
        </w:rPr>
        <w:t xml:space="preserve"> se determinó que la relación de asuntos entrados e intervi</w:t>
      </w:r>
      <w:r w:rsidR="00034E06" w:rsidRPr="00163514">
        <w:rPr>
          <w:rFonts w:ascii="Book Antiqua" w:hAnsi="Book Antiqua"/>
        </w:rPr>
        <w:t>ni</w:t>
      </w:r>
      <w:r w:rsidR="0069387D" w:rsidRPr="00163514">
        <w:rPr>
          <w:rFonts w:ascii="Book Antiqua" w:hAnsi="Book Antiqua"/>
        </w:rPr>
        <w:t xml:space="preserve">entes </w:t>
      </w:r>
      <w:r w:rsidR="00D57070" w:rsidRPr="00163514">
        <w:rPr>
          <w:rFonts w:ascii="Book Antiqua" w:hAnsi="Book Antiqua"/>
        </w:rPr>
        <w:t xml:space="preserve">en Pensiones Alimentarias </w:t>
      </w:r>
      <w:r w:rsidR="0069387D" w:rsidRPr="00163514">
        <w:rPr>
          <w:rFonts w:ascii="Book Antiqua" w:hAnsi="Book Antiqua"/>
        </w:rPr>
        <w:t>es de uno a uno; seguidamente, s</w:t>
      </w:r>
      <w:r w:rsidRPr="00163514">
        <w:rPr>
          <w:rFonts w:ascii="Book Antiqua" w:hAnsi="Book Antiqua"/>
        </w:rPr>
        <w:t>e proced</w:t>
      </w:r>
      <w:r w:rsidR="0069387D" w:rsidRPr="00163514">
        <w:rPr>
          <w:rFonts w:ascii="Book Antiqua" w:hAnsi="Book Antiqua"/>
        </w:rPr>
        <w:t>e</w:t>
      </w:r>
      <w:r w:rsidRPr="00163514">
        <w:rPr>
          <w:rFonts w:ascii="Book Antiqua" w:hAnsi="Book Antiqua"/>
        </w:rPr>
        <w:t xml:space="preserve"> a analizar los asuntos en trámite por cantidad de personas indígenas.</w:t>
      </w:r>
    </w:p>
    <w:p w14:paraId="2FAD9607" w14:textId="0B61EF03" w:rsidR="00D67659" w:rsidRPr="00D67659" w:rsidRDefault="00D67659" w:rsidP="003848C2">
      <w:pPr>
        <w:pStyle w:val="Descripcin"/>
        <w:keepNext/>
        <w:spacing w:after="0"/>
        <w:jc w:val="center"/>
        <w:rPr>
          <w:sz w:val="24"/>
          <w:szCs w:val="24"/>
        </w:rPr>
      </w:pPr>
      <w:r w:rsidRPr="00D67659">
        <w:rPr>
          <w:sz w:val="24"/>
          <w:szCs w:val="24"/>
        </w:rPr>
        <w:lastRenderedPageBreak/>
        <w:t xml:space="preserve">Figura </w:t>
      </w:r>
      <w:r w:rsidRPr="00D67659">
        <w:rPr>
          <w:sz w:val="24"/>
          <w:szCs w:val="24"/>
        </w:rPr>
        <w:fldChar w:fldCharType="begin"/>
      </w:r>
      <w:r w:rsidRPr="00D67659">
        <w:rPr>
          <w:sz w:val="24"/>
          <w:szCs w:val="24"/>
        </w:rPr>
        <w:instrText xml:space="preserve"> SEQ Figura \* ARABIC </w:instrText>
      </w:r>
      <w:r w:rsidRPr="00D67659">
        <w:rPr>
          <w:sz w:val="24"/>
          <w:szCs w:val="24"/>
        </w:rPr>
        <w:fldChar w:fldCharType="separate"/>
      </w:r>
      <w:r w:rsidR="008276AA">
        <w:rPr>
          <w:noProof/>
          <w:sz w:val="24"/>
          <w:szCs w:val="24"/>
        </w:rPr>
        <w:t>8</w:t>
      </w:r>
      <w:r w:rsidRPr="00D67659">
        <w:rPr>
          <w:sz w:val="24"/>
          <w:szCs w:val="24"/>
        </w:rPr>
        <w:fldChar w:fldCharType="end"/>
      </w:r>
      <w:r w:rsidRPr="00D67659">
        <w:rPr>
          <w:sz w:val="24"/>
          <w:szCs w:val="24"/>
        </w:rPr>
        <w:t xml:space="preserve"> Cantidad de asuntos con interviniente persona usuaria indígena ingresados en materia de Pensiones Alimentarias, de octubre 2018 a setiembre 2019</w:t>
      </w:r>
    </w:p>
    <w:p w14:paraId="3722A2BC" w14:textId="0EAAA5E9" w:rsidR="34AB836D" w:rsidRPr="008D2522" w:rsidRDefault="008D1B0F" w:rsidP="003848C2">
      <w:pPr>
        <w:spacing w:before="0" w:after="0"/>
      </w:pPr>
      <w:r>
        <w:rPr>
          <w:noProof/>
          <w:color w:val="2B579A"/>
          <w:shd w:val="clear" w:color="auto" w:fill="E6E6E6"/>
        </w:rPr>
        <w:drawing>
          <wp:inline distT="0" distB="0" distL="0" distR="0" wp14:anchorId="2A5B0533" wp14:editId="1DEFAC1D">
            <wp:extent cx="5546090" cy="41446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l="7437" t="15736" r="2032" b="4747"/>
                    <a:stretch>
                      <a:fillRect/>
                    </a:stretch>
                  </pic:blipFill>
                  <pic:spPr bwMode="auto">
                    <a:xfrm>
                      <a:off x="0" y="0"/>
                      <a:ext cx="5546090" cy="4144645"/>
                    </a:xfrm>
                    <a:prstGeom prst="rect">
                      <a:avLst/>
                    </a:prstGeom>
                    <a:noFill/>
                    <a:ln>
                      <a:noFill/>
                    </a:ln>
                  </pic:spPr>
                </pic:pic>
              </a:graphicData>
            </a:graphic>
          </wp:inline>
        </w:drawing>
      </w:r>
    </w:p>
    <w:p w14:paraId="600A56A0" w14:textId="77777777" w:rsidR="003848C2" w:rsidRPr="008D2522" w:rsidRDefault="003848C2" w:rsidP="003848C2">
      <w:pPr>
        <w:spacing w:before="0" w:after="0"/>
        <w:rPr>
          <w:rFonts w:eastAsia="Arial" w:cs="Arial"/>
          <w:sz w:val="20"/>
          <w:szCs w:val="20"/>
        </w:rPr>
      </w:pPr>
      <w:r w:rsidRPr="008D2522">
        <w:rPr>
          <w:rFonts w:eastAsia="Arial" w:cs="Arial"/>
          <w:b/>
          <w:bCs/>
          <w:sz w:val="20"/>
          <w:szCs w:val="20"/>
        </w:rPr>
        <w:t>Fuente:</w:t>
      </w:r>
      <w:r w:rsidRPr="008D2522">
        <w:rPr>
          <w:rFonts w:eastAsia="Arial" w:cs="Arial"/>
          <w:sz w:val="20"/>
          <w:szCs w:val="20"/>
        </w:rPr>
        <w:t xml:space="preserve"> Subproceso de Modernización Institucional, de la Dirección de Planificación con datos facilitados por la Administración de la Defensa Pública.</w:t>
      </w:r>
    </w:p>
    <w:p w14:paraId="11CED598" w14:textId="0A0C2349" w:rsidR="6820E068" w:rsidRPr="00163514" w:rsidRDefault="09115658" w:rsidP="003848C2">
      <w:pPr>
        <w:rPr>
          <w:rFonts w:ascii="Times New Roman" w:hAnsi="Times New Roman"/>
        </w:rPr>
      </w:pPr>
      <w:r w:rsidRPr="00163514">
        <w:rPr>
          <w:rFonts w:ascii="Times New Roman" w:hAnsi="Times New Roman"/>
        </w:rPr>
        <w:t>Del gráfico anterior, se señalan</w:t>
      </w:r>
      <w:r w:rsidR="6820E068" w:rsidRPr="00163514">
        <w:rPr>
          <w:rFonts w:ascii="Times New Roman" w:hAnsi="Times New Roman"/>
        </w:rPr>
        <w:t xml:space="preserve"> l</w:t>
      </w:r>
      <w:r w:rsidR="34EC8DBD" w:rsidRPr="00163514">
        <w:rPr>
          <w:rFonts w:ascii="Times New Roman" w:hAnsi="Times New Roman"/>
        </w:rPr>
        <w:t>as siguientes conclusiones</w:t>
      </w:r>
      <w:r w:rsidR="6820E068" w:rsidRPr="00163514">
        <w:rPr>
          <w:rFonts w:ascii="Times New Roman" w:hAnsi="Times New Roman"/>
        </w:rPr>
        <w:t xml:space="preserve"> </w:t>
      </w:r>
      <w:r w:rsidR="4BC911D9" w:rsidRPr="00163514">
        <w:rPr>
          <w:rFonts w:ascii="Times New Roman" w:hAnsi="Times New Roman"/>
        </w:rPr>
        <w:t xml:space="preserve">como </w:t>
      </w:r>
      <w:r w:rsidR="02AE2E48" w:rsidRPr="00163514">
        <w:rPr>
          <w:rFonts w:ascii="Times New Roman" w:hAnsi="Times New Roman"/>
        </w:rPr>
        <w:t>principales</w:t>
      </w:r>
      <w:r w:rsidR="6820E068" w:rsidRPr="00163514">
        <w:rPr>
          <w:rFonts w:ascii="Times New Roman" w:hAnsi="Times New Roman"/>
        </w:rPr>
        <w:t>:</w:t>
      </w:r>
    </w:p>
    <w:p w14:paraId="371D7E1B" w14:textId="4185D9E8" w:rsidR="673A1ED5" w:rsidRPr="00163514" w:rsidRDefault="673A1ED5" w:rsidP="00163514">
      <w:pPr>
        <w:numPr>
          <w:ilvl w:val="0"/>
          <w:numId w:val="23"/>
        </w:numPr>
        <w:spacing w:line="240" w:lineRule="auto"/>
        <w:ind w:left="714" w:hanging="357"/>
        <w:rPr>
          <w:rFonts w:ascii="Book Antiqua" w:hAnsi="Book Antiqua"/>
        </w:rPr>
      </w:pPr>
      <w:r w:rsidRPr="00163514">
        <w:rPr>
          <w:rFonts w:ascii="Book Antiqua" w:hAnsi="Book Antiqua"/>
        </w:rPr>
        <w:t xml:space="preserve">De las 19 defensas públicas en las que ingresaron asuntos </w:t>
      </w:r>
      <w:r w:rsidR="3B73212A" w:rsidRPr="00163514">
        <w:rPr>
          <w:rFonts w:ascii="Book Antiqua" w:hAnsi="Book Antiqua"/>
        </w:rPr>
        <w:t xml:space="preserve">con intervinientes indígenas, se vislumbra que el </w:t>
      </w:r>
      <w:r w:rsidR="1061AA99" w:rsidRPr="00163514">
        <w:rPr>
          <w:rFonts w:ascii="Book Antiqua" w:hAnsi="Book Antiqua"/>
        </w:rPr>
        <w:t>83%</w:t>
      </w:r>
      <w:r w:rsidR="3F304942" w:rsidRPr="00163514">
        <w:rPr>
          <w:rFonts w:ascii="Book Antiqua" w:hAnsi="Book Antiqua"/>
        </w:rPr>
        <w:t xml:space="preserve"> </w:t>
      </w:r>
      <w:r w:rsidR="1061AA99" w:rsidRPr="00163514">
        <w:rPr>
          <w:rFonts w:ascii="Book Antiqua" w:hAnsi="Book Antiqua"/>
        </w:rPr>
        <w:t>de los asuntos ingresa</w:t>
      </w:r>
      <w:r w:rsidR="3751807C" w:rsidRPr="00163514">
        <w:rPr>
          <w:rFonts w:ascii="Book Antiqua" w:hAnsi="Book Antiqua"/>
        </w:rPr>
        <w:t>n</w:t>
      </w:r>
      <w:r w:rsidR="1061AA99" w:rsidRPr="00163514">
        <w:rPr>
          <w:rFonts w:ascii="Book Antiqua" w:hAnsi="Book Antiqua"/>
        </w:rPr>
        <w:t xml:space="preserve"> en 6 oficinas, encabezadas por Bribri con 163</w:t>
      </w:r>
      <w:r w:rsidR="7AB0E485" w:rsidRPr="00163514">
        <w:rPr>
          <w:rFonts w:ascii="Book Antiqua" w:hAnsi="Book Antiqua"/>
        </w:rPr>
        <w:t xml:space="preserve"> (37%)</w:t>
      </w:r>
      <w:r w:rsidR="1061AA99" w:rsidRPr="00163514">
        <w:rPr>
          <w:rFonts w:ascii="Book Antiqua" w:hAnsi="Book Antiqua"/>
        </w:rPr>
        <w:t xml:space="preserve"> asuntos y Buenos Aires con 72</w:t>
      </w:r>
      <w:r w:rsidR="0DD248D1" w:rsidRPr="00163514">
        <w:rPr>
          <w:rFonts w:ascii="Book Antiqua" w:hAnsi="Book Antiqua"/>
        </w:rPr>
        <w:t xml:space="preserve"> (16%)</w:t>
      </w:r>
      <w:r w:rsidR="590B9FFA" w:rsidRPr="00163514">
        <w:rPr>
          <w:rFonts w:ascii="Book Antiqua" w:hAnsi="Book Antiqua"/>
        </w:rPr>
        <w:t xml:space="preserve">, luego Turrialba y Pérez Zeledón con 35 </w:t>
      </w:r>
      <w:r w:rsidR="29893C9D" w:rsidRPr="00163514">
        <w:rPr>
          <w:rFonts w:ascii="Book Antiqua" w:hAnsi="Book Antiqua"/>
        </w:rPr>
        <w:t xml:space="preserve">(8%) </w:t>
      </w:r>
      <w:r w:rsidR="590B9FFA" w:rsidRPr="00163514">
        <w:rPr>
          <w:rFonts w:ascii="Book Antiqua" w:hAnsi="Book Antiqua"/>
        </w:rPr>
        <w:t>cada una</w:t>
      </w:r>
      <w:r w:rsidR="0DC6D58B" w:rsidRPr="00163514">
        <w:rPr>
          <w:rFonts w:ascii="Book Antiqua" w:hAnsi="Book Antiqua"/>
        </w:rPr>
        <w:t>;</w:t>
      </w:r>
      <w:r w:rsidR="590B9FFA" w:rsidRPr="00163514">
        <w:rPr>
          <w:rFonts w:ascii="Book Antiqua" w:hAnsi="Book Antiqua"/>
        </w:rPr>
        <w:t xml:space="preserve"> y finalmente</w:t>
      </w:r>
      <w:r w:rsidR="3AD73C43" w:rsidRPr="00163514">
        <w:rPr>
          <w:rFonts w:ascii="Book Antiqua" w:hAnsi="Book Antiqua"/>
        </w:rPr>
        <w:t xml:space="preserve">, Limón con 32 </w:t>
      </w:r>
      <w:r w:rsidR="3FF2ACCA" w:rsidRPr="00163514">
        <w:rPr>
          <w:rFonts w:ascii="Book Antiqua" w:hAnsi="Book Antiqua"/>
        </w:rPr>
        <w:t xml:space="preserve">(7%) </w:t>
      </w:r>
      <w:r w:rsidR="3AD73C43" w:rsidRPr="00163514">
        <w:rPr>
          <w:rFonts w:ascii="Book Antiqua" w:hAnsi="Book Antiqua"/>
        </w:rPr>
        <w:t xml:space="preserve">y Coto Brus con 28 </w:t>
      </w:r>
      <w:r w:rsidR="6512B9CF" w:rsidRPr="00163514">
        <w:rPr>
          <w:rFonts w:ascii="Book Antiqua" w:hAnsi="Book Antiqua"/>
        </w:rPr>
        <w:t xml:space="preserve">(6%) </w:t>
      </w:r>
      <w:r w:rsidR="3AD73C43" w:rsidRPr="00163514">
        <w:rPr>
          <w:rFonts w:ascii="Book Antiqua" w:hAnsi="Book Antiqua"/>
        </w:rPr>
        <w:t>asuntos.</w:t>
      </w:r>
      <w:r w:rsidR="0C6275E1" w:rsidRPr="00163514">
        <w:rPr>
          <w:rFonts w:ascii="Book Antiqua" w:hAnsi="Book Antiqua"/>
        </w:rPr>
        <w:t xml:space="preserve"> El restante 17% de los asuntos ingresados está distribuido en </w:t>
      </w:r>
      <w:r w:rsidR="22762A0A" w:rsidRPr="00163514">
        <w:rPr>
          <w:rFonts w:ascii="Book Antiqua" w:hAnsi="Book Antiqua"/>
        </w:rPr>
        <w:t xml:space="preserve">las otras </w:t>
      </w:r>
      <w:r w:rsidR="0C6275E1" w:rsidRPr="00163514">
        <w:rPr>
          <w:rFonts w:ascii="Book Antiqua" w:hAnsi="Book Antiqua"/>
        </w:rPr>
        <w:t>13 oficinas</w:t>
      </w:r>
      <w:r w:rsidR="0CE8CEEC" w:rsidRPr="00163514">
        <w:rPr>
          <w:rFonts w:ascii="Book Antiqua" w:hAnsi="Book Antiqua"/>
        </w:rPr>
        <w:t>.</w:t>
      </w:r>
    </w:p>
    <w:p w14:paraId="77022B4D" w14:textId="2B33DC3C" w:rsidR="590A0619" w:rsidRPr="00163514" w:rsidRDefault="590A0619" w:rsidP="00163514">
      <w:pPr>
        <w:numPr>
          <w:ilvl w:val="0"/>
          <w:numId w:val="23"/>
        </w:numPr>
        <w:spacing w:line="240" w:lineRule="auto"/>
        <w:ind w:left="714" w:hanging="357"/>
        <w:rPr>
          <w:rFonts w:ascii="Book Antiqua" w:hAnsi="Book Antiqua"/>
        </w:rPr>
      </w:pPr>
      <w:r w:rsidRPr="00163514">
        <w:rPr>
          <w:rFonts w:ascii="Book Antiqua" w:hAnsi="Book Antiqua"/>
        </w:rPr>
        <w:t>En B</w:t>
      </w:r>
      <w:r w:rsidR="29E4318D" w:rsidRPr="00163514">
        <w:rPr>
          <w:rFonts w:ascii="Book Antiqua" w:hAnsi="Book Antiqua"/>
        </w:rPr>
        <w:t xml:space="preserve">ribri </w:t>
      </w:r>
      <w:r w:rsidR="0158C1A5" w:rsidRPr="00163514">
        <w:rPr>
          <w:rFonts w:ascii="Book Antiqua" w:hAnsi="Book Antiqua"/>
        </w:rPr>
        <w:t>ingresaron más del doble de asuntos que en Buenos Aires y más del cuádruple de asuntos</w:t>
      </w:r>
      <w:r w:rsidR="3250FE99" w:rsidRPr="00163514">
        <w:rPr>
          <w:rFonts w:ascii="Book Antiqua" w:hAnsi="Book Antiqua"/>
        </w:rPr>
        <w:t xml:space="preserve"> que </w:t>
      </w:r>
      <w:r w:rsidR="0158C1A5" w:rsidRPr="00163514">
        <w:rPr>
          <w:rFonts w:ascii="Book Antiqua" w:hAnsi="Book Antiqua"/>
        </w:rPr>
        <w:t xml:space="preserve">en </w:t>
      </w:r>
      <w:r w:rsidR="69F3CCC5" w:rsidRPr="00163514">
        <w:rPr>
          <w:rFonts w:ascii="Book Antiqua" w:hAnsi="Book Antiqua"/>
        </w:rPr>
        <w:t>Turrialba y Pérez Zeledón.</w:t>
      </w:r>
    </w:p>
    <w:p w14:paraId="730CED0C" w14:textId="46537247" w:rsidR="42D367D4" w:rsidRPr="00163514" w:rsidRDefault="42D367D4" w:rsidP="00163514">
      <w:pPr>
        <w:numPr>
          <w:ilvl w:val="0"/>
          <w:numId w:val="23"/>
        </w:numPr>
        <w:spacing w:line="240" w:lineRule="auto"/>
        <w:ind w:left="714" w:hanging="357"/>
        <w:rPr>
          <w:rFonts w:ascii="Book Antiqua" w:hAnsi="Book Antiqua"/>
        </w:rPr>
      </w:pPr>
      <w:r w:rsidRPr="00163514">
        <w:rPr>
          <w:rFonts w:ascii="Book Antiqua" w:hAnsi="Book Antiqua"/>
        </w:rPr>
        <w:lastRenderedPageBreak/>
        <w:t xml:space="preserve">En Buenos Aires se atendieron el doble de asuntos que en </w:t>
      </w:r>
      <w:r w:rsidR="055AF0DB" w:rsidRPr="00163514">
        <w:rPr>
          <w:rFonts w:ascii="Book Antiqua" w:hAnsi="Book Antiqua"/>
        </w:rPr>
        <w:t xml:space="preserve">las oficinas de </w:t>
      </w:r>
      <w:r w:rsidRPr="00163514">
        <w:rPr>
          <w:rFonts w:ascii="Book Antiqua" w:hAnsi="Book Antiqua"/>
        </w:rPr>
        <w:t>Turrialba y Pérez Zeledón.</w:t>
      </w:r>
    </w:p>
    <w:p w14:paraId="7801896E" w14:textId="44F6E6EA" w:rsidR="659FA8C1" w:rsidRPr="00163514" w:rsidRDefault="659FA8C1" w:rsidP="00163514">
      <w:pPr>
        <w:numPr>
          <w:ilvl w:val="0"/>
          <w:numId w:val="23"/>
        </w:numPr>
        <w:spacing w:line="240" w:lineRule="auto"/>
        <w:ind w:left="714" w:hanging="357"/>
        <w:rPr>
          <w:rFonts w:ascii="Book Antiqua" w:hAnsi="Book Antiqua"/>
        </w:rPr>
      </w:pPr>
      <w:r w:rsidRPr="00163514">
        <w:rPr>
          <w:rFonts w:ascii="Book Antiqua" w:hAnsi="Book Antiqua"/>
        </w:rPr>
        <w:t xml:space="preserve">Los datos estadísticos de la Defensa </w:t>
      </w:r>
      <w:r w:rsidR="68650A25" w:rsidRPr="00163514">
        <w:rPr>
          <w:rFonts w:ascii="Book Antiqua" w:hAnsi="Book Antiqua"/>
        </w:rPr>
        <w:t>Pública</w:t>
      </w:r>
      <w:r w:rsidRPr="00163514">
        <w:rPr>
          <w:rFonts w:ascii="Book Antiqua" w:hAnsi="Book Antiqua"/>
        </w:rPr>
        <w:t xml:space="preserve"> </w:t>
      </w:r>
      <w:r w:rsidR="3CE8D2BA" w:rsidRPr="00163514">
        <w:rPr>
          <w:rFonts w:ascii="Book Antiqua" w:hAnsi="Book Antiqua"/>
        </w:rPr>
        <w:t>poseen una concordancia lógica</w:t>
      </w:r>
      <w:r w:rsidRPr="00163514">
        <w:rPr>
          <w:rFonts w:ascii="Book Antiqua" w:hAnsi="Book Antiqua"/>
        </w:rPr>
        <w:t xml:space="preserve"> con la información </w:t>
      </w:r>
      <w:r w:rsidR="220C796A" w:rsidRPr="00163514">
        <w:rPr>
          <w:rFonts w:ascii="Book Antiqua" w:hAnsi="Book Antiqua"/>
        </w:rPr>
        <w:t>tomada del INEC, en relación a la densidad de población indígena según territorio.</w:t>
      </w:r>
    </w:p>
    <w:p w14:paraId="4DC70EC0" w14:textId="3E3E3E85" w:rsidR="47A75149" w:rsidRPr="00163514" w:rsidRDefault="0F35D6CD" w:rsidP="00163514">
      <w:pPr>
        <w:spacing w:line="240" w:lineRule="auto"/>
        <w:rPr>
          <w:rFonts w:ascii="Book Antiqua" w:hAnsi="Book Antiqua"/>
        </w:rPr>
      </w:pPr>
      <w:r w:rsidRPr="00163514">
        <w:rPr>
          <w:rFonts w:ascii="Book Antiqua" w:hAnsi="Book Antiqua"/>
        </w:rPr>
        <w:t>P</w:t>
      </w:r>
      <w:r w:rsidR="03D80334" w:rsidRPr="00163514">
        <w:rPr>
          <w:rFonts w:ascii="Book Antiqua" w:hAnsi="Book Antiqua"/>
        </w:rPr>
        <w:t xml:space="preserve">or </w:t>
      </w:r>
      <w:r w:rsidRPr="00163514">
        <w:rPr>
          <w:rFonts w:ascii="Book Antiqua" w:hAnsi="Book Antiqua"/>
        </w:rPr>
        <w:t>otro lado</w:t>
      </w:r>
      <w:r w:rsidR="5EF83E00" w:rsidRPr="00163514">
        <w:rPr>
          <w:rFonts w:ascii="Book Antiqua" w:hAnsi="Book Antiqua"/>
        </w:rPr>
        <w:t>,</w:t>
      </w:r>
      <w:r w:rsidRPr="00163514">
        <w:rPr>
          <w:rFonts w:ascii="Book Antiqua" w:hAnsi="Book Antiqua"/>
        </w:rPr>
        <w:t xml:space="preserve"> </w:t>
      </w:r>
      <w:r w:rsidR="00FF1DF1" w:rsidRPr="00163514">
        <w:rPr>
          <w:rFonts w:ascii="Book Antiqua" w:hAnsi="Book Antiqua"/>
        </w:rPr>
        <w:t xml:space="preserve">anteriormente </w:t>
      </w:r>
      <w:r w:rsidRPr="00163514">
        <w:rPr>
          <w:rFonts w:ascii="Book Antiqua" w:hAnsi="Book Antiqua"/>
        </w:rPr>
        <w:t xml:space="preserve">se le consultó a la </w:t>
      </w:r>
      <w:r w:rsidR="03D80334" w:rsidRPr="00163514">
        <w:rPr>
          <w:rFonts w:ascii="Book Antiqua" w:hAnsi="Book Antiqua"/>
        </w:rPr>
        <w:t xml:space="preserve">Licda. Sandra Mora Venegas, Supervisora en Pensiones Alimentarias de la Defensa Pública, </w:t>
      </w:r>
      <w:r w:rsidR="460B1424" w:rsidRPr="00163514">
        <w:rPr>
          <w:rFonts w:ascii="Book Antiqua" w:hAnsi="Book Antiqua"/>
        </w:rPr>
        <w:t xml:space="preserve">sobre la estructura funcional </w:t>
      </w:r>
      <w:r w:rsidR="1AF587B3" w:rsidRPr="00163514">
        <w:rPr>
          <w:rFonts w:ascii="Book Antiqua" w:hAnsi="Book Antiqua"/>
        </w:rPr>
        <w:t xml:space="preserve">para la atención de pensiones alimentarias </w:t>
      </w:r>
      <w:r w:rsidR="460B1424" w:rsidRPr="00163514">
        <w:rPr>
          <w:rFonts w:ascii="Book Antiqua" w:hAnsi="Book Antiqua"/>
        </w:rPr>
        <w:t>de las oficinas de Bribri y Buenos Aires</w:t>
      </w:r>
      <w:r w:rsidR="00FF1DF1" w:rsidRPr="00163514">
        <w:rPr>
          <w:rFonts w:ascii="Book Antiqua" w:hAnsi="Book Antiqua"/>
        </w:rPr>
        <w:t>, manifestando:</w:t>
      </w:r>
    </w:p>
    <w:p w14:paraId="396E6AB3" w14:textId="6880D8A6" w:rsidR="47A75149" w:rsidRPr="008D2522" w:rsidRDefault="03D80334" w:rsidP="00410F64">
      <w:pPr>
        <w:pStyle w:val="Ttulo3"/>
        <w:numPr>
          <w:ilvl w:val="0"/>
          <w:numId w:val="24"/>
        </w:numPr>
      </w:pPr>
      <w:r w:rsidRPr="008D2522">
        <w:t>Defensa Pública de Buenos Aires:</w:t>
      </w:r>
    </w:p>
    <w:p w14:paraId="7A22F524" w14:textId="059A8120" w:rsidR="47A75149" w:rsidRPr="003C5978" w:rsidRDefault="03D80334" w:rsidP="003C5978">
      <w:pPr>
        <w:spacing w:line="240" w:lineRule="auto"/>
        <w:rPr>
          <w:rFonts w:ascii="Book Antiqua" w:hAnsi="Book Antiqua"/>
        </w:rPr>
      </w:pPr>
      <w:r w:rsidRPr="003C5978">
        <w:rPr>
          <w:rFonts w:ascii="Book Antiqua" w:hAnsi="Book Antiqua"/>
        </w:rPr>
        <w:t xml:space="preserve">Una plaza de Defensor Público de la Oficina de Pérez Zeledón, se desplaza los martes y miércoles a la zona de Buenos Aires, para atender los asuntos en materia de Pensión Alimentaria. El tiempo de traslado de ida y regreso entre una Oficina a otra es de aproximadamente de dos horas. </w:t>
      </w:r>
    </w:p>
    <w:p w14:paraId="0F59F0BD" w14:textId="7AB0E2FF" w:rsidR="47A75149" w:rsidRPr="003848C2" w:rsidRDefault="03D80334" w:rsidP="00410F64">
      <w:pPr>
        <w:pStyle w:val="Ttulo3"/>
        <w:numPr>
          <w:ilvl w:val="0"/>
          <w:numId w:val="24"/>
        </w:numPr>
      </w:pPr>
      <w:r w:rsidRPr="003848C2">
        <w:t>Defensa Pública de Bribrí</w:t>
      </w:r>
    </w:p>
    <w:p w14:paraId="13892407" w14:textId="0042C5AD" w:rsidR="47A75149" w:rsidRPr="003C5978" w:rsidRDefault="03D80334" w:rsidP="003C5978">
      <w:pPr>
        <w:spacing w:line="240" w:lineRule="auto"/>
        <w:rPr>
          <w:rFonts w:ascii="Book Antiqua" w:hAnsi="Book Antiqua"/>
        </w:rPr>
      </w:pPr>
      <w:r w:rsidRPr="003C5978">
        <w:rPr>
          <w:rFonts w:ascii="Book Antiqua" w:hAnsi="Book Antiqua"/>
        </w:rPr>
        <w:t>Cuenta con una plaza de Defensor Público para la atención de Pensiones Alimentarias. En los casos donde figure una persona indígena como parte demandada, son atendidos por una plaza de Defensor Público de Limón los miércoles de cada semana.</w:t>
      </w:r>
    </w:p>
    <w:p w14:paraId="138BBA36" w14:textId="3F582DCA" w:rsidR="47A75149" w:rsidRPr="003C5978" w:rsidRDefault="03D80334" w:rsidP="003C5978">
      <w:pPr>
        <w:spacing w:line="240" w:lineRule="auto"/>
        <w:rPr>
          <w:rFonts w:ascii="Book Antiqua" w:hAnsi="Book Antiqua"/>
        </w:rPr>
      </w:pPr>
      <w:r w:rsidRPr="003C5978">
        <w:rPr>
          <w:rFonts w:ascii="Book Antiqua" w:hAnsi="Book Antiqua"/>
        </w:rPr>
        <w:t>Aunado a lo anterior, es relevante resaltar que la Defensa Pública de Limón, a parte de la colaboración facilitada a Bribrí; además, colabora con un recurso de Defensor Público cada 15 días para asistir el Valle de la Estrella, y con otro recurso se apoya en la toma de demanda de la Defensa Pública de Matina los lunes de cada semana.</w:t>
      </w:r>
    </w:p>
    <w:p w14:paraId="4C349FE7" w14:textId="7727DDD6" w:rsidR="47A75149" w:rsidRPr="003C5978" w:rsidRDefault="4F3DD3F1" w:rsidP="003C5978">
      <w:pPr>
        <w:spacing w:line="240" w:lineRule="auto"/>
        <w:rPr>
          <w:rFonts w:ascii="Book Antiqua" w:hAnsi="Book Antiqua"/>
        </w:rPr>
      </w:pPr>
      <w:r w:rsidRPr="003C5978">
        <w:rPr>
          <w:rFonts w:ascii="Book Antiqua" w:hAnsi="Book Antiqua"/>
        </w:rPr>
        <w:t>Seguidamente se adjunta un cuadro donde se analiza</w:t>
      </w:r>
      <w:r w:rsidR="1760A5FB" w:rsidRPr="003C5978">
        <w:rPr>
          <w:rFonts w:ascii="Book Antiqua" w:hAnsi="Book Antiqua"/>
        </w:rPr>
        <w:t xml:space="preserve"> la carga ordinaria de trabajo</w:t>
      </w:r>
      <w:r w:rsidRPr="003C5978">
        <w:rPr>
          <w:rFonts w:ascii="Book Antiqua" w:hAnsi="Book Antiqua"/>
        </w:rPr>
        <w:t xml:space="preserve"> </w:t>
      </w:r>
      <w:r w:rsidR="3DF1CF20" w:rsidRPr="003C5978">
        <w:rPr>
          <w:rFonts w:ascii="Book Antiqua" w:hAnsi="Book Antiqua"/>
        </w:rPr>
        <w:t>s</w:t>
      </w:r>
      <w:r w:rsidRPr="003C5978">
        <w:rPr>
          <w:rFonts w:ascii="Book Antiqua" w:hAnsi="Book Antiqua"/>
        </w:rPr>
        <w:t>e</w:t>
      </w:r>
      <w:r w:rsidR="3DF1CF20" w:rsidRPr="003C5978">
        <w:rPr>
          <w:rFonts w:ascii="Book Antiqua" w:hAnsi="Book Antiqua"/>
        </w:rPr>
        <w:t>gún los</w:t>
      </w:r>
      <w:r w:rsidRPr="003C5978">
        <w:rPr>
          <w:rFonts w:ascii="Book Antiqua" w:hAnsi="Book Antiqua"/>
        </w:rPr>
        <w:t xml:space="preserve"> asuntos en trámite y entrados</w:t>
      </w:r>
      <w:r w:rsidR="3276FBFA" w:rsidRPr="003C5978">
        <w:rPr>
          <w:rFonts w:ascii="Book Antiqua" w:hAnsi="Book Antiqua"/>
        </w:rPr>
        <w:t xml:space="preserve"> </w:t>
      </w:r>
      <w:r w:rsidR="30A2609B" w:rsidRPr="003C5978">
        <w:rPr>
          <w:rFonts w:ascii="Book Antiqua" w:hAnsi="Book Antiqua"/>
        </w:rPr>
        <w:t xml:space="preserve">en relación </w:t>
      </w:r>
      <w:r w:rsidR="3276FBFA" w:rsidRPr="003C5978">
        <w:rPr>
          <w:rFonts w:ascii="Book Antiqua" w:hAnsi="Book Antiqua"/>
        </w:rPr>
        <w:t xml:space="preserve">con la cantidad de </w:t>
      </w:r>
      <w:r w:rsidR="1D73C869" w:rsidRPr="003C5978">
        <w:rPr>
          <w:rFonts w:ascii="Book Antiqua" w:hAnsi="Book Antiqua"/>
        </w:rPr>
        <w:t>recurso defensor</w:t>
      </w:r>
      <w:r w:rsidR="3276FBFA" w:rsidRPr="003C5978">
        <w:rPr>
          <w:rFonts w:ascii="Book Antiqua" w:hAnsi="Book Antiqua"/>
        </w:rPr>
        <w:t xml:space="preserve"> </w:t>
      </w:r>
      <w:r w:rsidR="5FBAE8DE" w:rsidRPr="003C5978">
        <w:rPr>
          <w:rFonts w:ascii="Book Antiqua" w:hAnsi="Book Antiqua"/>
        </w:rPr>
        <w:t>que ha</w:t>
      </w:r>
      <w:r w:rsidR="2EA00E2B" w:rsidRPr="003C5978">
        <w:rPr>
          <w:rFonts w:ascii="Book Antiqua" w:hAnsi="Book Antiqua"/>
        </w:rPr>
        <w:t>y</w:t>
      </w:r>
      <w:r w:rsidR="5FBAE8DE" w:rsidRPr="003C5978">
        <w:rPr>
          <w:rFonts w:ascii="Book Antiqua" w:hAnsi="Book Antiqua"/>
        </w:rPr>
        <w:t xml:space="preserve"> actualmente </w:t>
      </w:r>
      <w:r w:rsidR="3276FBFA" w:rsidRPr="003C5978">
        <w:rPr>
          <w:rFonts w:ascii="Book Antiqua" w:hAnsi="Book Antiqua"/>
        </w:rPr>
        <w:t xml:space="preserve">en las oficinas de Buenos Aires y </w:t>
      </w:r>
      <w:proofErr w:type="gramStart"/>
      <w:r w:rsidR="3276FBFA" w:rsidRPr="003C5978">
        <w:rPr>
          <w:rFonts w:ascii="Book Antiqua" w:hAnsi="Book Antiqua"/>
        </w:rPr>
        <w:t>Bribri</w:t>
      </w:r>
      <w:r w:rsidR="0069387D" w:rsidRPr="003C5978">
        <w:rPr>
          <w:rFonts w:ascii="Book Antiqua" w:hAnsi="Book Antiqua"/>
        </w:rPr>
        <w:t xml:space="preserve">  (</w:t>
      </w:r>
      <w:proofErr w:type="gramEnd"/>
      <w:r w:rsidR="0069387D" w:rsidRPr="003C5978">
        <w:rPr>
          <w:rFonts w:ascii="Book Antiqua" w:hAnsi="Book Antiqua"/>
        </w:rPr>
        <w:t>ver apéndice 2)</w:t>
      </w:r>
      <w:r w:rsidR="3276FBFA" w:rsidRPr="003C5978">
        <w:rPr>
          <w:rFonts w:ascii="Book Antiqua" w:hAnsi="Book Antiqua"/>
        </w:rPr>
        <w:t>, así como,</w:t>
      </w:r>
      <w:r w:rsidR="26F17427" w:rsidRPr="003C5978">
        <w:rPr>
          <w:rFonts w:ascii="Book Antiqua" w:hAnsi="Book Antiqua"/>
        </w:rPr>
        <w:t xml:space="preserve"> el escenario </w:t>
      </w:r>
      <w:r w:rsidR="73446356" w:rsidRPr="003C5978">
        <w:rPr>
          <w:rFonts w:ascii="Book Antiqua" w:hAnsi="Book Antiqua"/>
        </w:rPr>
        <w:t xml:space="preserve">aprobado por el Consejo Superior </w:t>
      </w:r>
      <w:r w:rsidR="26F17427" w:rsidRPr="003C5978">
        <w:rPr>
          <w:rFonts w:ascii="Book Antiqua" w:hAnsi="Book Antiqua"/>
        </w:rPr>
        <w:t>propuesto en el informe 634-PLA-RH-MI-2019.</w:t>
      </w:r>
    </w:p>
    <w:p w14:paraId="1E42D3CB" w14:textId="73CD7FD9" w:rsidR="003848C2" w:rsidRPr="003848C2" w:rsidRDefault="003848C2" w:rsidP="003848C2">
      <w:pPr>
        <w:pStyle w:val="Descripcin"/>
        <w:keepNext/>
        <w:jc w:val="center"/>
        <w:rPr>
          <w:sz w:val="24"/>
          <w:szCs w:val="24"/>
        </w:rPr>
      </w:pPr>
      <w:r w:rsidRPr="003848C2">
        <w:rPr>
          <w:sz w:val="24"/>
          <w:szCs w:val="24"/>
        </w:rPr>
        <w:lastRenderedPageBreak/>
        <w:t xml:space="preserve">Tabla </w:t>
      </w:r>
      <w:r w:rsidRPr="003848C2">
        <w:rPr>
          <w:sz w:val="24"/>
          <w:szCs w:val="24"/>
        </w:rPr>
        <w:fldChar w:fldCharType="begin"/>
      </w:r>
      <w:r w:rsidRPr="003848C2">
        <w:rPr>
          <w:sz w:val="24"/>
          <w:szCs w:val="24"/>
        </w:rPr>
        <w:instrText xml:space="preserve"> SEQ Tabla \* ARABIC </w:instrText>
      </w:r>
      <w:r w:rsidRPr="003848C2">
        <w:rPr>
          <w:sz w:val="24"/>
          <w:szCs w:val="24"/>
        </w:rPr>
        <w:fldChar w:fldCharType="separate"/>
      </w:r>
      <w:r w:rsidR="005B5D07">
        <w:rPr>
          <w:noProof/>
          <w:sz w:val="24"/>
          <w:szCs w:val="24"/>
        </w:rPr>
        <w:t>8</w:t>
      </w:r>
      <w:r w:rsidRPr="003848C2">
        <w:rPr>
          <w:sz w:val="24"/>
          <w:szCs w:val="24"/>
        </w:rPr>
        <w:fldChar w:fldCharType="end"/>
      </w:r>
      <w:r w:rsidRPr="003848C2">
        <w:rPr>
          <w:sz w:val="24"/>
          <w:szCs w:val="24"/>
        </w:rPr>
        <w:t xml:space="preserve"> Carga de trabajo estimada en asuntos de población indígena, según relación de entrada</w:t>
      </w:r>
      <w:r w:rsidR="0069387D">
        <w:rPr>
          <w:sz w:val="24"/>
          <w:szCs w:val="24"/>
        </w:rPr>
        <w:t xml:space="preserve"> de octubre 2018 a setiembre 2019 (12 meses)</w:t>
      </w:r>
      <w:r w:rsidRPr="003848C2">
        <w:rPr>
          <w:sz w:val="24"/>
          <w:szCs w:val="24"/>
        </w:rPr>
        <w:t xml:space="preserve"> y </w:t>
      </w:r>
      <w:r w:rsidR="0069387D">
        <w:rPr>
          <w:sz w:val="24"/>
          <w:szCs w:val="24"/>
        </w:rPr>
        <w:t xml:space="preserve">el </w:t>
      </w:r>
      <w:r w:rsidRPr="003848C2">
        <w:rPr>
          <w:sz w:val="24"/>
          <w:szCs w:val="24"/>
        </w:rPr>
        <w:t>circulante activo al cierre de setiembre 2019</w:t>
      </w:r>
    </w:p>
    <w:p w14:paraId="06FFD8A4" w14:textId="39ADE2B5" w:rsidR="41A51F8C" w:rsidRPr="008D2522" w:rsidRDefault="008D1B0F" w:rsidP="003848C2">
      <w:pPr>
        <w:spacing w:after="0"/>
        <w:jc w:val="center"/>
        <w:rPr>
          <w:rFonts w:cs="Arial"/>
        </w:rPr>
      </w:pPr>
      <w:r>
        <w:rPr>
          <w:rFonts w:cs="Arial"/>
          <w:noProof/>
          <w:color w:val="2B579A"/>
          <w:shd w:val="clear" w:color="auto" w:fill="E6E6E6"/>
        </w:rPr>
        <w:drawing>
          <wp:inline distT="0" distB="0" distL="0" distR="0" wp14:anchorId="1C07276E" wp14:editId="68B66E2F">
            <wp:extent cx="6044565" cy="165036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t="14026" b="7343"/>
                    <a:stretch>
                      <a:fillRect/>
                    </a:stretch>
                  </pic:blipFill>
                  <pic:spPr bwMode="auto">
                    <a:xfrm>
                      <a:off x="0" y="0"/>
                      <a:ext cx="6044565" cy="1650365"/>
                    </a:xfrm>
                    <a:prstGeom prst="rect">
                      <a:avLst/>
                    </a:prstGeom>
                    <a:noFill/>
                    <a:ln>
                      <a:noFill/>
                    </a:ln>
                  </pic:spPr>
                </pic:pic>
              </a:graphicData>
            </a:graphic>
          </wp:inline>
        </w:drawing>
      </w:r>
    </w:p>
    <w:p w14:paraId="604AD323" w14:textId="77777777" w:rsidR="003848C2" w:rsidRPr="008D2522" w:rsidRDefault="003848C2" w:rsidP="003848C2">
      <w:pPr>
        <w:spacing w:before="0" w:after="0"/>
        <w:rPr>
          <w:rFonts w:eastAsia="Arial" w:cs="Arial"/>
          <w:sz w:val="20"/>
          <w:szCs w:val="20"/>
        </w:rPr>
      </w:pPr>
      <w:r w:rsidRPr="008D2522">
        <w:rPr>
          <w:rFonts w:eastAsia="Arial" w:cs="Arial"/>
          <w:b/>
          <w:bCs/>
          <w:sz w:val="20"/>
          <w:szCs w:val="20"/>
        </w:rPr>
        <w:t>Fuente:</w:t>
      </w:r>
      <w:r w:rsidRPr="008D2522">
        <w:rPr>
          <w:rFonts w:eastAsia="Arial" w:cs="Arial"/>
          <w:sz w:val="20"/>
          <w:szCs w:val="20"/>
        </w:rPr>
        <w:t xml:space="preserve"> Subproceso de Modernización Institucional, de la Dirección de Planificación con datos facilitados por la Administración de la Defensa Pública.</w:t>
      </w:r>
    </w:p>
    <w:p w14:paraId="4F43A30D" w14:textId="60D327C2" w:rsidR="47A75149" w:rsidRPr="003C5978" w:rsidRDefault="09822904" w:rsidP="003C5978">
      <w:pPr>
        <w:spacing w:line="240" w:lineRule="auto"/>
        <w:rPr>
          <w:rFonts w:ascii="Book Antiqua" w:hAnsi="Book Antiqua"/>
        </w:rPr>
      </w:pPr>
      <w:r w:rsidRPr="003C5978">
        <w:rPr>
          <w:rFonts w:ascii="Book Antiqua" w:hAnsi="Book Antiqua"/>
        </w:rPr>
        <w:t>En virtud</w:t>
      </w:r>
      <w:r w:rsidR="6AD71951" w:rsidRPr="003C5978">
        <w:rPr>
          <w:rFonts w:ascii="Book Antiqua" w:hAnsi="Book Antiqua"/>
        </w:rPr>
        <w:t xml:space="preserve"> del cuadro anterior, </w:t>
      </w:r>
      <w:r w:rsidR="3ECD922E" w:rsidRPr="003C5978">
        <w:rPr>
          <w:rFonts w:ascii="Book Antiqua" w:hAnsi="Book Antiqua"/>
        </w:rPr>
        <w:t xml:space="preserve">se </w:t>
      </w:r>
      <w:r w:rsidR="5C3EAF4C" w:rsidRPr="003C5978">
        <w:rPr>
          <w:rFonts w:ascii="Book Antiqua" w:hAnsi="Book Antiqua"/>
        </w:rPr>
        <w:t>proyecta</w:t>
      </w:r>
      <w:r w:rsidR="4A713F3E" w:rsidRPr="003C5978">
        <w:rPr>
          <w:rFonts w:ascii="Book Antiqua" w:hAnsi="Book Antiqua"/>
        </w:rPr>
        <w:t xml:space="preserve"> que</w:t>
      </w:r>
      <w:r w:rsidR="3ECD922E" w:rsidRPr="003C5978">
        <w:rPr>
          <w:rFonts w:ascii="Book Antiqua" w:hAnsi="Book Antiqua"/>
        </w:rPr>
        <w:t xml:space="preserve"> </w:t>
      </w:r>
      <w:r w:rsidR="3E631CAD" w:rsidRPr="003C5978">
        <w:rPr>
          <w:rFonts w:ascii="Book Antiqua" w:hAnsi="Book Antiqua"/>
        </w:rPr>
        <w:t>en</w:t>
      </w:r>
      <w:r w:rsidR="3ECD922E" w:rsidRPr="003C5978">
        <w:rPr>
          <w:rFonts w:ascii="Book Antiqua" w:hAnsi="Book Antiqua"/>
        </w:rPr>
        <w:t xml:space="preserve"> el escenario propuesto el circulante mensu</w:t>
      </w:r>
      <w:r w:rsidR="13FCEFCD" w:rsidRPr="003C5978">
        <w:rPr>
          <w:rFonts w:ascii="Book Antiqua" w:hAnsi="Book Antiqua"/>
        </w:rPr>
        <w:t>al</w:t>
      </w:r>
      <w:r w:rsidR="3ECD922E" w:rsidRPr="003C5978">
        <w:rPr>
          <w:rFonts w:ascii="Book Antiqua" w:hAnsi="Book Antiqua"/>
        </w:rPr>
        <w:t xml:space="preserve"> por persona defensora en Buenos Aires </w:t>
      </w:r>
      <w:r w:rsidR="453599FC" w:rsidRPr="003C5978">
        <w:rPr>
          <w:rFonts w:ascii="Book Antiqua" w:hAnsi="Book Antiqua"/>
        </w:rPr>
        <w:t>rondará los 1</w:t>
      </w:r>
      <w:r w:rsidR="0E4C4DD3" w:rsidRPr="003C5978">
        <w:rPr>
          <w:rFonts w:ascii="Book Antiqua" w:hAnsi="Book Antiqua"/>
        </w:rPr>
        <w:t>09</w:t>
      </w:r>
      <w:r w:rsidR="3ACA4C20" w:rsidRPr="003C5978">
        <w:rPr>
          <w:rFonts w:ascii="Book Antiqua" w:hAnsi="Book Antiqua"/>
        </w:rPr>
        <w:t xml:space="preserve"> asunto, donde 103 asuntos</w:t>
      </w:r>
      <w:r w:rsidR="00A40E00" w:rsidRPr="003C5978">
        <w:rPr>
          <w:rFonts w:ascii="Book Antiqua" w:hAnsi="Book Antiqua"/>
        </w:rPr>
        <w:t xml:space="preserve"> </w:t>
      </w:r>
      <w:r w:rsidR="01B2A58A" w:rsidRPr="003C5978">
        <w:rPr>
          <w:rFonts w:ascii="Book Antiqua" w:hAnsi="Book Antiqua"/>
        </w:rPr>
        <w:t>corresponderán</w:t>
      </w:r>
      <w:r w:rsidR="3ACA4C20" w:rsidRPr="003C5978">
        <w:rPr>
          <w:rFonts w:ascii="Book Antiqua" w:hAnsi="Book Antiqua"/>
        </w:rPr>
        <w:t xml:space="preserve"> el circulante y alrededor de </w:t>
      </w:r>
      <w:r w:rsidR="6B584152" w:rsidRPr="003C5978">
        <w:rPr>
          <w:rFonts w:ascii="Book Antiqua" w:hAnsi="Book Antiqua"/>
        </w:rPr>
        <w:t>6</w:t>
      </w:r>
      <w:r w:rsidR="3ACA4C20" w:rsidRPr="003C5978">
        <w:rPr>
          <w:rFonts w:ascii="Book Antiqua" w:hAnsi="Book Antiqua"/>
        </w:rPr>
        <w:t xml:space="preserve"> asuntos ingresarían mensualmente. En el caso de Bribri, se es</w:t>
      </w:r>
      <w:r w:rsidR="291AF0B8" w:rsidRPr="003C5978">
        <w:rPr>
          <w:rFonts w:ascii="Book Antiqua" w:hAnsi="Book Antiqua"/>
        </w:rPr>
        <w:t xml:space="preserve">tima que el circulante mensual por persona defensora será de </w:t>
      </w:r>
      <w:r w:rsidR="3C22F0B7" w:rsidRPr="003C5978">
        <w:rPr>
          <w:rFonts w:ascii="Book Antiqua" w:hAnsi="Book Antiqua"/>
        </w:rPr>
        <w:t>59</w:t>
      </w:r>
      <w:r w:rsidR="291AF0B8" w:rsidRPr="003C5978">
        <w:rPr>
          <w:rFonts w:ascii="Book Antiqua" w:hAnsi="Book Antiqua"/>
        </w:rPr>
        <w:t xml:space="preserve"> asuntos, de los cuales </w:t>
      </w:r>
      <w:r w:rsidR="015C2D2E" w:rsidRPr="003C5978">
        <w:rPr>
          <w:rFonts w:ascii="Book Antiqua" w:hAnsi="Book Antiqua"/>
        </w:rPr>
        <w:t>5</w:t>
      </w:r>
      <w:r w:rsidR="13A80FD8" w:rsidRPr="003C5978">
        <w:rPr>
          <w:rFonts w:ascii="Book Antiqua" w:hAnsi="Book Antiqua"/>
        </w:rPr>
        <w:t>2</w:t>
      </w:r>
      <w:r w:rsidR="015C2D2E" w:rsidRPr="003C5978">
        <w:rPr>
          <w:rFonts w:ascii="Book Antiqua" w:hAnsi="Book Antiqua"/>
        </w:rPr>
        <w:t xml:space="preserve"> corresponderán a circulante y </w:t>
      </w:r>
      <w:r w:rsidR="28387DEA" w:rsidRPr="003C5978">
        <w:rPr>
          <w:rFonts w:ascii="Book Antiqua" w:hAnsi="Book Antiqua"/>
        </w:rPr>
        <w:t>7</w:t>
      </w:r>
      <w:r w:rsidR="015C2D2E" w:rsidRPr="003C5978">
        <w:rPr>
          <w:rFonts w:ascii="Book Antiqua" w:hAnsi="Book Antiqua"/>
        </w:rPr>
        <w:t xml:space="preserve"> a la entrada mensual.</w:t>
      </w:r>
    </w:p>
    <w:p w14:paraId="79792DA8" w14:textId="31307889" w:rsidR="00D55679" w:rsidRPr="003C5978" w:rsidRDefault="00EB759D" w:rsidP="003C5978">
      <w:pPr>
        <w:spacing w:line="240" w:lineRule="auto"/>
        <w:rPr>
          <w:rFonts w:ascii="Book Antiqua" w:hAnsi="Book Antiqua"/>
        </w:rPr>
      </w:pPr>
      <w:r w:rsidRPr="003C5978">
        <w:rPr>
          <w:rFonts w:ascii="Book Antiqua" w:hAnsi="Book Antiqua"/>
        </w:rPr>
        <w:t xml:space="preserve">Ahora bien, </w:t>
      </w:r>
      <w:r w:rsidR="00890B31" w:rsidRPr="003C5978">
        <w:rPr>
          <w:rFonts w:ascii="Book Antiqua" w:hAnsi="Book Antiqua"/>
        </w:rPr>
        <w:t xml:space="preserve">según los datos estadísticos del primer semestre del 2019, </w:t>
      </w:r>
      <w:r w:rsidRPr="003C5978">
        <w:rPr>
          <w:rFonts w:ascii="Book Antiqua" w:hAnsi="Book Antiqua"/>
        </w:rPr>
        <w:t xml:space="preserve">es importante destacar que la plaza de persona defensora en Bribri para </w:t>
      </w:r>
      <w:r w:rsidR="00890B31" w:rsidRPr="003C5978">
        <w:rPr>
          <w:rFonts w:ascii="Book Antiqua" w:hAnsi="Book Antiqua"/>
        </w:rPr>
        <w:t xml:space="preserve">atención de </w:t>
      </w:r>
      <w:r w:rsidRPr="003C5978">
        <w:rPr>
          <w:rFonts w:ascii="Book Antiqua" w:hAnsi="Book Antiqua"/>
        </w:rPr>
        <w:t xml:space="preserve">materia de Pensiones Alimentarias posee un promedio </w:t>
      </w:r>
      <w:r w:rsidR="00890B31" w:rsidRPr="003C5978">
        <w:rPr>
          <w:rFonts w:ascii="Book Antiqua" w:hAnsi="Book Antiqua"/>
        </w:rPr>
        <w:t xml:space="preserve">mensual </w:t>
      </w:r>
      <w:r w:rsidRPr="003C5978">
        <w:rPr>
          <w:rFonts w:ascii="Book Antiqua" w:hAnsi="Book Antiqua"/>
        </w:rPr>
        <w:t xml:space="preserve">de </w:t>
      </w:r>
      <w:r w:rsidR="00890B31" w:rsidRPr="003C5978">
        <w:rPr>
          <w:rFonts w:ascii="Book Antiqua" w:hAnsi="Book Antiqua"/>
        </w:rPr>
        <w:t>casos</w:t>
      </w:r>
      <w:r w:rsidRPr="003C5978">
        <w:rPr>
          <w:rFonts w:ascii="Book Antiqua" w:hAnsi="Book Antiqua"/>
        </w:rPr>
        <w:t xml:space="preserve"> entrados </w:t>
      </w:r>
      <w:r w:rsidR="00890B31" w:rsidRPr="003C5978">
        <w:rPr>
          <w:rFonts w:ascii="Book Antiqua" w:hAnsi="Book Antiqua"/>
        </w:rPr>
        <w:t>totales</w:t>
      </w:r>
      <w:r w:rsidRPr="003C5978">
        <w:rPr>
          <w:rFonts w:ascii="Book Antiqua" w:hAnsi="Book Antiqua"/>
        </w:rPr>
        <w:t xml:space="preserve"> de 30 asuntos</w:t>
      </w:r>
      <w:r w:rsidR="00890B31" w:rsidRPr="003C5978">
        <w:rPr>
          <w:rFonts w:ascii="Book Antiqua" w:hAnsi="Book Antiqua"/>
        </w:rPr>
        <w:t xml:space="preserve"> y la plaza de que da apoyo en Buenos Aires tiene una entrada mensual promedio total de 19 asuntos.</w:t>
      </w:r>
    </w:p>
    <w:p w14:paraId="03BBCFA1" w14:textId="7C683D3F" w:rsidR="47A75149" w:rsidRPr="003C5978" w:rsidRDefault="015C2D2E" w:rsidP="003C5978">
      <w:pPr>
        <w:spacing w:line="240" w:lineRule="auto"/>
        <w:rPr>
          <w:rFonts w:ascii="Book Antiqua" w:eastAsia="Arial" w:hAnsi="Book Antiqua" w:cs="Arial"/>
        </w:rPr>
      </w:pPr>
      <w:r w:rsidRPr="003C5978">
        <w:rPr>
          <w:rFonts w:ascii="Book Antiqua" w:eastAsia="Arial" w:hAnsi="Book Antiqua" w:cs="Arial"/>
        </w:rPr>
        <w:t xml:space="preserve">En consecuencia, </w:t>
      </w:r>
      <w:r w:rsidR="4D7601BB" w:rsidRPr="003C5978">
        <w:rPr>
          <w:rFonts w:ascii="Book Antiqua" w:eastAsia="Arial" w:hAnsi="Book Antiqua" w:cs="Arial"/>
        </w:rPr>
        <w:t xml:space="preserve">resulta </w:t>
      </w:r>
      <w:r w:rsidRPr="003C5978">
        <w:rPr>
          <w:rFonts w:ascii="Book Antiqua" w:eastAsia="Arial" w:hAnsi="Book Antiqua" w:cs="Arial"/>
        </w:rPr>
        <w:t xml:space="preserve">importante </w:t>
      </w:r>
      <w:r w:rsidR="358BA080" w:rsidRPr="003C5978">
        <w:rPr>
          <w:rFonts w:ascii="Book Antiqua" w:eastAsia="Arial" w:hAnsi="Book Antiqua" w:cs="Arial"/>
        </w:rPr>
        <w:t xml:space="preserve">resaltar </w:t>
      </w:r>
      <w:r w:rsidR="1163DD36" w:rsidRPr="003C5978">
        <w:rPr>
          <w:rFonts w:ascii="Book Antiqua" w:eastAsia="Arial" w:hAnsi="Book Antiqua" w:cs="Arial"/>
        </w:rPr>
        <w:t xml:space="preserve">y mantener </w:t>
      </w:r>
      <w:r w:rsidR="358BA080" w:rsidRPr="003C5978">
        <w:rPr>
          <w:rFonts w:ascii="Book Antiqua" w:eastAsia="Arial" w:hAnsi="Book Antiqua" w:cs="Arial"/>
        </w:rPr>
        <w:t xml:space="preserve">los aspectos planteados en el informe 634-PLA-RH-MI-2019, en lo que respecta </w:t>
      </w:r>
      <w:r w:rsidR="00FF1DF1" w:rsidRPr="003C5978">
        <w:rPr>
          <w:rFonts w:ascii="Book Antiqua" w:eastAsia="Arial" w:hAnsi="Book Antiqua" w:cs="Arial"/>
        </w:rPr>
        <w:t xml:space="preserve">a la estructura funcional </w:t>
      </w:r>
      <w:r w:rsidR="00F5154C" w:rsidRPr="003C5978">
        <w:rPr>
          <w:rFonts w:ascii="Book Antiqua" w:eastAsia="Arial" w:hAnsi="Book Antiqua" w:cs="Arial"/>
        </w:rPr>
        <w:t>que deberán seguir para un máximo aprovechamiento del recurso</w:t>
      </w:r>
      <w:r w:rsidR="358BA080" w:rsidRPr="003C5978">
        <w:rPr>
          <w:rFonts w:ascii="Book Antiqua" w:eastAsia="Arial" w:hAnsi="Book Antiqua" w:cs="Arial"/>
        </w:rPr>
        <w:t>:</w:t>
      </w:r>
    </w:p>
    <w:p w14:paraId="13976D07" w14:textId="7FEF819A" w:rsidR="47A75149" w:rsidRPr="003C5978" w:rsidRDefault="0069387D" w:rsidP="003C5978">
      <w:pPr>
        <w:numPr>
          <w:ilvl w:val="0"/>
          <w:numId w:val="26"/>
        </w:numPr>
        <w:spacing w:line="240" w:lineRule="auto"/>
        <w:rPr>
          <w:rFonts w:ascii="Book Antiqua" w:hAnsi="Book Antiqua"/>
          <w:i/>
          <w:iCs/>
        </w:rPr>
      </w:pPr>
      <w:r w:rsidRPr="003C5978">
        <w:rPr>
          <w:rFonts w:ascii="Book Antiqua" w:hAnsi="Book Antiqua"/>
        </w:rPr>
        <w:t>Que la Jefatura de la Defensa Pública mantenga la colaboración que presta actualmente por medio una plaza de Defensor Público proveniente de la Oficina de Pérez Zeledón para la atención de intereses contrapuestos en Buenos Aires.</w:t>
      </w:r>
      <w:r w:rsidR="006F1430" w:rsidRPr="003C5978">
        <w:rPr>
          <w:rFonts w:ascii="Book Antiqua" w:hAnsi="Book Antiqua"/>
        </w:rPr>
        <w:t xml:space="preserve"> </w:t>
      </w:r>
      <w:r w:rsidR="7D46D400" w:rsidRPr="003C5978">
        <w:rPr>
          <w:rFonts w:ascii="Book Antiqua" w:hAnsi="Book Antiqua"/>
        </w:rPr>
        <w:t>La Defensa Pública de Bribri</w:t>
      </w:r>
      <w:r w:rsidR="004F76C0" w:rsidRPr="003C5978">
        <w:rPr>
          <w:rFonts w:ascii="Book Antiqua" w:hAnsi="Book Antiqua"/>
        </w:rPr>
        <w:t>, en caso de aprobarse el contenido presupuestario</w:t>
      </w:r>
      <w:r w:rsidR="7D46D400" w:rsidRPr="003C5978">
        <w:rPr>
          <w:rFonts w:ascii="Book Antiqua" w:hAnsi="Book Antiqua"/>
        </w:rPr>
        <w:t xml:space="preserve"> contará con dos plazas de Pensión Alimentaria, tendrá la capacidad de atender los asuntos de intereses contrapuestos; de manera que la plaza de la Defensa Pública de Limón, que brinda la colaboración los </w:t>
      </w:r>
      <w:r w:rsidR="7D46D400" w:rsidRPr="003C5978">
        <w:rPr>
          <w:rFonts w:ascii="Book Antiqua" w:hAnsi="Book Antiqua"/>
        </w:rPr>
        <w:lastRenderedPageBreak/>
        <w:t>miércoles de cada semana, se podrá avocar a asuntos propios de la Oficina de Limón.</w:t>
      </w:r>
    </w:p>
    <w:p w14:paraId="3072E96D" w14:textId="224BECCE" w:rsidR="00BC76F1" w:rsidRPr="003C5978" w:rsidRDefault="00BC76F1" w:rsidP="003C5978">
      <w:pPr>
        <w:pStyle w:val="Prrafodelista"/>
        <w:ind w:left="720"/>
        <w:rPr>
          <w:rFonts w:ascii="Book Antiqua" w:hAnsi="Book Antiqua"/>
        </w:rPr>
      </w:pPr>
      <w:r w:rsidRPr="003C5978">
        <w:rPr>
          <w:rFonts w:ascii="Book Antiqua" w:eastAsia="Calibri" w:hAnsi="Book Antiqua" w:cs="Times New Roman"/>
          <w:szCs w:val="22"/>
          <w:lang w:val="es-CR" w:eastAsia="en-US"/>
        </w:rPr>
        <w:t xml:space="preserve">En razón a lo expuesto, y en consideración de factores cualitativos tales como, la calidad de atención a partir de un acceso de justicia efectivo, y reconocer las necesidades de atención diferenciada, se propone establecer una plaza de Defensor Público con la modalidad a tiempo completo, el cual se estima que tendrá una entrada mensual de 7 asuntos de Pensión Alimentaria; además, </w:t>
      </w:r>
      <w:r w:rsidR="009C41D0" w:rsidRPr="003C5978">
        <w:rPr>
          <w:rFonts w:ascii="Book Antiqua" w:eastAsia="Calibri" w:hAnsi="Book Antiqua" w:cs="Times New Roman"/>
          <w:szCs w:val="22"/>
          <w:lang w:val="es-CR" w:eastAsia="en-US"/>
        </w:rPr>
        <w:t xml:space="preserve">deberá </w:t>
      </w:r>
      <w:r w:rsidRPr="003C5978">
        <w:rPr>
          <w:rFonts w:ascii="Book Antiqua" w:eastAsia="Calibri" w:hAnsi="Book Antiqua" w:cs="Times New Roman"/>
          <w:szCs w:val="22"/>
          <w:lang w:val="es-CR" w:eastAsia="en-US"/>
        </w:rPr>
        <w:t xml:space="preserve">asumir la competencia de asuntos </w:t>
      </w:r>
      <w:r w:rsidR="009C41D0" w:rsidRPr="003C5978">
        <w:rPr>
          <w:rFonts w:ascii="Book Antiqua" w:eastAsia="Calibri" w:hAnsi="Book Antiqua" w:cs="Times New Roman"/>
          <w:szCs w:val="22"/>
          <w:lang w:val="es-CR" w:eastAsia="en-US"/>
        </w:rPr>
        <w:t xml:space="preserve">en </w:t>
      </w:r>
      <w:r w:rsidR="00545D90" w:rsidRPr="003C5978">
        <w:rPr>
          <w:rFonts w:ascii="Book Antiqua" w:eastAsia="Calibri" w:hAnsi="Book Antiqua" w:cs="Times New Roman"/>
          <w:szCs w:val="22"/>
          <w:lang w:val="es-CR" w:eastAsia="en-US"/>
        </w:rPr>
        <w:t xml:space="preserve">materia </w:t>
      </w:r>
      <w:r w:rsidRPr="003C5978">
        <w:rPr>
          <w:rFonts w:ascii="Book Antiqua" w:eastAsia="Calibri" w:hAnsi="Book Antiqua" w:cs="Times New Roman"/>
          <w:szCs w:val="22"/>
          <w:lang w:val="es-CR" w:eastAsia="en-US"/>
        </w:rPr>
        <w:t>de Familia.</w:t>
      </w:r>
    </w:p>
    <w:p w14:paraId="7F924492" w14:textId="0F5CDF7A" w:rsidR="47A75149" w:rsidRPr="003C5978" w:rsidRDefault="7D46D400" w:rsidP="003C5978">
      <w:pPr>
        <w:numPr>
          <w:ilvl w:val="0"/>
          <w:numId w:val="26"/>
        </w:numPr>
        <w:spacing w:line="240" w:lineRule="auto"/>
        <w:rPr>
          <w:rFonts w:ascii="Book Antiqua" w:hAnsi="Book Antiqua"/>
        </w:rPr>
      </w:pPr>
      <w:r w:rsidRPr="003C5978">
        <w:rPr>
          <w:rFonts w:ascii="Book Antiqua" w:hAnsi="Book Antiqua"/>
        </w:rPr>
        <w:t xml:space="preserve">En el caso de que la carga de trabajo </w:t>
      </w:r>
      <w:r w:rsidR="00352C05" w:rsidRPr="003C5978">
        <w:rPr>
          <w:rFonts w:ascii="Book Antiqua" w:hAnsi="Book Antiqua"/>
        </w:rPr>
        <w:t xml:space="preserve">este por debajo de su capacidad </w:t>
      </w:r>
      <w:proofErr w:type="gramStart"/>
      <w:r w:rsidR="00352C05" w:rsidRPr="003C5978">
        <w:rPr>
          <w:rFonts w:ascii="Book Antiqua" w:hAnsi="Book Antiqua"/>
        </w:rPr>
        <w:t xml:space="preserve">instalada </w:t>
      </w:r>
      <w:r w:rsidRPr="003C5978">
        <w:rPr>
          <w:rFonts w:ascii="Book Antiqua" w:hAnsi="Book Antiqua"/>
        </w:rPr>
        <w:t>,</w:t>
      </w:r>
      <w:proofErr w:type="gramEnd"/>
      <w:r w:rsidRPr="003C5978">
        <w:rPr>
          <w:rFonts w:ascii="Book Antiqua" w:hAnsi="Book Antiqua"/>
        </w:rPr>
        <w:t xml:space="preserve"> para las personas defensoras públicas asignadas a la atención de pensión Alimentaria de las Oficinas de Bribrí y Buenos Aires, se le asignen asuntos de materia Penal; siempre, en el entendido de que será predomina</w:t>
      </w:r>
      <w:r w:rsidR="00545D90" w:rsidRPr="003C5978">
        <w:rPr>
          <w:rFonts w:ascii="Book Antiqua" w:hAnsi="Book Antiqua"/>
        </w:rPr>
        <w:t xml:space="preserve"> </w:t>
      </w:r>
      <w:r w:rsidR="006F1430" w:rsidRPr="003C5978">
        <w:rPr>
          <w:rFonts w:ascii="Book Antiqua" w:hAnsi="Book Antiqua"/>
        </w:rPr>
        <w:t>es</w:t>
      </w:r>
      <w:r w:rsidRPr="003C5978">
        <w:rPr>
          <w:rFonts w:ascii="Book Antiqua" w:hAnsi="Book Antiqua"/>
        </w:rPr>
        <w:t>te la atención de asuntos de Pensión Alimentaria.</w:t>
      </w:r>
    </w:p>
    <w:p w14:paraId="0B670D82" w14:textId="3F4B09A7" w:rsidR="47A75149" w:rsidRPr="003C5978" w:rsidRDefault="7D46D400" w:rsidP="003C5978">
      <w:pPr>
        <w:numPr>
          <w:ilvl w:val="0"/>
          <w:numId w:val="26"/>
        </w:numPr>
        <w:spacing w:line="240" w:lineRule="auto"/>
        <w:rPr>
          <w:rFonts w:ascii="Book Antiqua" w:hAnsi="Book Antiqua"/>
        </w:rPr>
      </w:pPr>
      <w:r w:rsidRPr="003C5978">
        <w:rPr>
          <w:rFonts w:ascii="Book Antiqua" w:hAnsi="Book Antiqua"/>
        </w:rPr>
        <w:t>Mantener la dinámica planteada por la Dirección de la Defensa Pública, a partir de la promulgación de la Ley 9593 de Acceso a la Justicia de los Pueblos Indígenas, donde los asuntos en materia de Familia forman parte del circulante de la Unidad de la Defensa Pública que atiende Pensiones Alimentarias, y en materia de Violencia Doméstica pasan hacer parte del circulante de la Unidad de la Defensa Pública que atiende Penal.</w:t>
      </w:r>
    </w:p>
    <w:p w14:paraId="31ECDA1D" w14:textId="77777777" w:rsidR="00BC76F1" w:rsidRPr="003C5978" w:rsidRDefault="00BC76F1" w:rsidP="003C5978">
      <w:pPr>
        <w:pStyle w:val="Prrafodelista"/>
        <w:numPr>
          <w:ilvl w:val="0"/>
          <w:numId w:val="26"/>
        </w:numPr>
        <w:ind w:left="714" w:hanging="357"/>
        <w:rPr>
          <w:rFonts w:ascii="Book Antiqua" w:eastAsia="Calibri" w:hAnsi="Book Antiqua" w:cs="Times New Roman"/>
          <w:szCs w:val="22"/>
          <w:lang w:val="es-CR" w:eastAsia="en-US"/>
        </w:rPr>
      </w:pPr>
      <w:r w:rsidRPr="003C5978">
        <w:rPr>
          <w:rFonts w:ascii="Book Antiqua" w:eastAsia="Calibri" w:hAnsi="Book Antiqua" w:cs="Times New Roman"/>
          <w:szCs w:val="22"/>
          <w:lang w:val="es-CR" w:eastAsia="en-US"/>
        </w:rPr>
        <w:t>Por otro lado, en lo referente a materia contravencional, según los datos estadísticos suministrados por la Defensa Pública, en la oficina de Bribri al 30 de setiembre de 2019 existían 3 asuntos que contaban con intervinientes indígenas, lo que representa un 1% del circulante (276) que poseía el Juzgado Contravencional de Bribri al finalizar el tercer trimestre de 2019. En lo referente a la oficina de la Defensa Pública de Buenos Aires el circulante correspondía a 43 asuntos, lo que representa un 7% en relación con el circulante (650) que posee el Juzgado Contravencional de Buenos Aires al 30 de setiembre de 2019.</w:t>
      </w:r>
    </w:p>
    <w:p w14:paraId="195C3225" w14:textId="77777777" w:rsidR="00844F22" w:rsidRPr="003C5978" w:rsidRDefault="00844F22" w:rsidP="003C5978">
      <w:pPr>
        <w:spacing w:line="240" w:lineRule="auto"/>
        <w:rPr>
          <w:rFonts w:ascii="Book Antiqua" w:hAnsi="Book Antiqua"/>
        </w:rPr>
      </w:pPr>
      <w:r w:rsidRPr="003C5978">
        <w:rPr>
          <w:rFonts w:ascii="Book Antiqua" w:hAnsi="Book Antiqua"/>
        </w:rPr>
        <w:t>Lo anterior sustentado en que para el 2018 el 85% del circulante activo en Pensiones Alimentarias con interviniente indígena se encontraba en las oficinas de Bribri y Buenos Aires, y para el tercer trimestre del 2019 este dato corresponde a un 70% distribuido en 36% para Bribri y 34% para Buenos Aires, mostrando que si bien es cierto el porcentaje disminuyó contra el año anterior, la tendencia es la misma; ya que, el restante 30% del circulante se diluye entre 15 oficinas.</w:t>
      </w:r>
    </w:p>
    <w:p w14:paraId="32BAC97B" w14:textId="26AD27A4" w:rsidR="2CDF5A81" w:rsidRPr="00616A48" w:rsidRDefault="003848C2" w:rsidP="003C5978">
      <w:pPr>
        <w:pStyle w:val="Ttulo2"/>
        <w:spacing w:line="240" w:lineRule="auto"/>
      </w:pPr>
      <w:r w:rsidRPr="003C5978">
        <w:br w:type="page"/>
      </w:r>
      <w:r w:rsidR="2CDF5A81" w:rsidRPr="00616A48">
        <w:lastRenderedPageBreak/>
        <w:t xml:space="preserve">Seguimiento a las recomendaciones emitidas en el informe 634-PLA-RH-MI-2019 de la Dirección de Planificación </w:t>
      </w:r>
    </w:p>
    <w:p w14:paraId="5CDEFF0E" w14:textId="77777777" w:rsidR="00BC76F1" w:rsidRPr="003C5978" w:rsidRDefault="00BC76F1" w:rsidP="003C5978">
      <w:pPr>
        <w:spacing w:line="240" w:lineRule="auto"/>
        <w:rPr>
          <w:rFonts w:ascii="Book Antiqua" w:hAnsi="Book Antiqua"/>
        </w:rPr>
      </w:pPr>
      <w:r w:rsidRPr="003C5978">
        <w:rPr>
          <w:rFonts w:ascii="Book Antiqua" w:hAnsi="Book Antiqua"/>
        </w:rPr>
        <w:t>En sesión del Consejo Superior 44-19 artículo II, se aprobó el informe 634-PLA-RH-MI-2019 de la Dirección de Planificación referente al impacto de la entrada en vigencia de la ley 9593 de acceso a la justicia a pueblos indígenas, posteriormente la Corte Plena en sesión 47-19 (Presupuesto 2020), celebrada el 23 de mayo de 2019 aprueba la comunicación del informe 102-CSP-19 y remite a la Dirección de Gestión Humana el acuerdo tomado donde se aprueba cambiar a condición ordinaria siete plazas extraordinarias de Defensora o Defensor Público que mantiene asignada la Unidad Agraria de la Defensa Pública.</w:t>
      </w:r>
    </w:p>
    <w:p w14:paraId="196759C0" w14:textId="413C7DE4" w:rsidR="00BC76F1" w:rsidRPr="003C5978" w:rsidRDefault="00BC76F1" w:rsidP="003C5978">
      <w:pPr>
        <w:spacing w:line="240" w:lineRule="auto"/>
        <w:rPr>
          <w:rFonts w:ascii="Book Antiqua" w:hAnsi="Book Antiqua"/>
        </w:rPr>
      </w:pPr>
      <w:r w:rsidRPr="003C5978">
        <w:rPr>
          <w:rFonts w:ascii="Book Antiqua" w:hAnsi="Book Antiqua"/>
        </w:rPr>
        <w:t>Además, mediante la minuta 29-PLA-MNTA-2020 del 03 de febrero del 2020, la Sub Jefatura de la Defensa Pública expone dichas plazas de Defensora o Defensor Público se encuentran condición ordinaria a partir del presente año.</w:t>
      </w:r>
    </w:p>
    <w:p w14:paraId="24334799" w14:textId="7721BE77" w:rsidR="2CDF5A81" w:rsidRPr="003C5978" w:rsidRDefault="00F227C5" w:rsidP="003C5978">
      <w:pPr>
        <w:spacing w:line="240" w:lineRule="auto"/>
        <w:rPr>
          <w:rFonts w:ascii="Book Antiqua" w:hAnsi="Book Antiqua"/>
        </w:rPr>
      </w:pPr>
      <w:r w:rsidRPr="003C5978">
        <w:rPr>
          <w:rFonts w:ascii="Book Antiqua" w:hAnsi="Book Antiqua"/>
        </w:rPr>
        <w:t>Por otro lado, d</w:t>
      </w:r>
      <w:r w:rsidR="2CDF5A81" w:rsidRPr="003C5978">
        <w:rPr>
          <w:rFonts w:ascii="Book Antiqua" w:hAnsi="Book Antiqua"/>
        </w:rPr>
        <w:t xml:space="preserve">e acuerdo con la consulta realizada al Tribunal Contencioso Administrativo, en el correo electrónico enviado el 03 de febrero de 2020; se menciona que el despacho continúa trabajando con los filtros que se indican en el Sistema de Gestión, por lo que se tiene la limitación para diferenciar los asuntos con interviniente persona usuaria indígena o persona servidora judicial. Los asuntos que se pueden diferenciar y, por </w:t>
      </w:r>
      <w:r w:rsidR="4FD96CC5" w:rsidRPr="003C5978">
        <w:rPr>
          <w:rFonts w:ascii="Book Antiqua" w:hAnsi="Book Antiqua"/>
        </w:rPr>
        <w:t>ende,</w:t>
      </w:r>
      <w:r w:rsidR="2CDF5A81" w:rsidRPr="003C5978">
        <w:rPr>
          <w:rFonts w:ascii="Book Antiqua" w:hAnsi="Book Antiqua"/>
        </w:rPr>
        <w:t xml:space="preserve"> filtrar, son los que mantienen como interviniente una asociación indígena o la Comisión Nacional de Asuntos Indígenas. </w:t>
      </w:r>
    </w:p>
    <w:p w14:paraId="6CA39503" w14:textId="3A4FE5BA" w:rsidR="2CDF5A81" w:rsidRPr="003C5978" w:rsidRDefault="2CDF5A81" w:rsidP="003C5978">
      <w:pPr>
        <w:spacing w:line="240" w:lineRule="auto"/>
        <w:rPr>
          <w:rFonts w:ascii="Book Antiqua" w:hAnsi="Book Antiqua"/>
        </w:rPr>
      </w:pPr>
      <w:r w:rsidRPr="003C5978">
        <w:rPr>
          <w:rFonts w:ascii="Book Antiqua" w:hAnsi="Book Antiqua"/>
        </w:rPr>
        <w:t xml:space="preserve">Aunado al párrafo anterior, se consulta al Subproceso de Estadística de la Dirección de Planificación, mediante el correo enviado el 03 de febrero de 2020, sí se ha incorporado una fórmula para contabilizar los procesos judiciales que mantengan como interviniente una persona usuaria indígena o persona servidora judicial. Es así que, el 04 de febrero de 2020, el Subproceso de Estadística de la Dirección de Planificación indica que ha sido incorporado dentro de las bases de datos la variable “etnia” y que, para los Anuarios Judiciales del 2019, se visualizará dicha variable en los cuadros estadísticos. Adicionalmente, se consulta vía telefónica, y la identificación de los asuntos que donde una persona judicial esté en condición de interviniente, a la fecha no ha sido implementada.   </w:t>
      </w:r>
    </w:p>
    <w:p w14:paraId="4C2C836E" w14:textId="14418654" w:rsidR="2CDF5A81" w:rsidRDefault="2CDF5A81" w:rsidP="003C5978">
      <w:pPr>
        <w:spacing w:line="240" w:lineRule="auto"/>
      </w:pPr>
      <w:r w:rsidRPr="003C5978">
        <w:rPr>
          <w:rFonts w:ascii="Book Antiqua" w:hAnsi="Book Antiqua"/>
        </w:rPr>
        <w:t>Con respecto a la implementación del Sistema de Seguimiento de Casos (SSC) en materia agraria en la Defensa Pública, se consult</w:t>
      </w:r>
      <w:r w:rsidR="004328A4" w:rsidRPr="003C5978">
        <w:rPr>
          <w:rFonts w:ascii="Book Antiqua" w:hAnsi="Book Antiqua"/>
        </w:rPr>
        <w:t>ó</w:t>
      </w:r>
      <w:r w:rsidRPr="003C5978">
        <w:rPr>
          <w:rFonts w:ascii="Book Antiqua" w:hAnsi="Book Antiqua"/>
        </w:rPr>
        <w:t xml:space="preserve"> </w:t>
      </w:r>
      <w:r w:rsidR="004328A4" w:rsidRPr="003C5978">
        <w:rPr>
          <w:rFonts w:ascii="Book Antiqua" w:hAnsi="Book Antiqua"/>
        </w:rPr>
        <w:t>a</w:t>
      </w:r>
      <w:r w:rsidRPr="003C5978">
        <w:rPr>
          <w:rFonts w:ascii="Book Antiqua" w:hAnsi="Book Antiqua"/>
        </w:rPr>
        <w:t xml:space="preserve">l Lic. Roberto Montero García, quién </w:t>
      </w:r>
      <w:r w:rsidR="004328A4" w:rsidRPr="003C5978">
        <w:rPr>
          <w:rFonts w:ascii="Book Antiqua" w:hAnsi="Book Antiqua"/>
        </w:rPr>
        <w:t>se encontraba al día 10 de febrero de 2020 como</w:t>
      </w:r>
      <w:r w:rsidRPr="003C5978">
        <w:rPr>
          <w:rFonts w:ascii="Book Antiqua" w:hAnsi="Book Antiqua"/>
        </w:rPr>
        <w:t xml:space="preserve"> responsable de la implementación del SSC en la Defensa Pública</w:t>
      </w:r>
      <w:r w:rsidR="004328A4" w:rsidRPr="003C5978">
        <w:rPr>
          <w:rFonts w:ascii="Book Antiqua" w:hAnsi="Book Antiqua"/>
        </w:rPr>
        <w:t>, quien</w:t>
      </w:r>
      <w:r w:rsidRPr="003C5978">
        <w:rPr>
          <w:rFonts w:ascii="Book Antiqua" w:hAnsi="Book Antiqua"/>
        </w:rPr>
        <w:t xml:space="preserve"> indica que la Dirección de Tecnología de la Información se encuentra realizando los ajustes indicados por el Lic. Mario Rosales Vargas, Coordinador de Agrario, de manera que el sistema se adecúe a la materia en gestión. Una vez que los ajustes se encuentren realizados y </w:t>
      </w:r>
      <w:r w:rsidRPr="003C5978">
        <w:rPr>
          <w:rFonts w:ascii="Book Antiqua" w:hAnsi="Book Antiqua"/>
        </w:rPr>
        <w:lastRenderedPageBreak/>
        <w:t>aprobados por el Lic. Rosales Vargas, se procederá con la implementación a nivel nacional.</w:t>
      </w:r>
      <w:r w:rsidRPr="008D2522">
        <w:t xml:space="preserve">   </w:t>
      </w:r>
    </w:p>
    <w:p w14:paraId="03E2969C" w14:textId="77777777" w:rsidR="004328A4" w:rsidRPr="003C5978" w:rsidRDefault="004328A4" w:rsidP="004328A4">
      <w:pPr>
        <w:numPr>
          <w:ilvl w:val="0"/>
          <w:numId w:val="6"/>
        </w:numPr>
        <w:rPr>
          <w:rFonts w:ascii="Book Antiqua" w:hAnsi="Book Antiqua"/>
          <w:b/>
          <w:bCs/>
        </w:rPr>
      </w:pPr>
      <w:r w:rsidRPr="003C5978">
        <w:rPr>
          <w:rFonts w:ascii="Book Antiqua" w:hAnsi="Book Antiqua"/>
          <w:b/>
          <w:bCs/>
        </w:rPr>
        <w:t>Recomendaciones a la Dirección de Tecnología de Información</w:t>
      </w:r>
    </w:p>
    <w:p w14:paraId="26B89872" w14:textId="77777777" w:rsidR="004328A4" w:rsidRPr="003C5978" w:rsidRDefault="004328A4" w:rsidP="003C5978">
      <w:pPr>
        <w:spacing w:line="240" w:lineRule="auto"/>
        <w:rPr>
          <w:rFonts w:ascii="Book Antiqua" w:hAnsi="Book Antiqua"/>
        </w:rPr>
      </w:pPr>
      <w:r w:rsidRPr="003C5978">
        <w:rPr>
          <w:rFonts w:ascii="Book Antiqua" w:hAnsi="Book Antiqua"/>
        </w:rPr>
        <w:t>En lo referente a las recomendaciones emitidas por en el informe 634-PLA-RH-MI-2020 hacia la Dirección de Tecnología de Información se plantearon las siguientes:</w:t>
      </w:r>
    </w:p>
    <w:p w14:paraId="12BD029E" w14:textId="77777777" w:rsidR="004328A4" w:rsidRPr="003C5978" w:rsidRDefault="004328A4" w:rsidP="003C5978">
      <w:pPr>
        <w:numPr>
          <w:ilvl w:val="0"/>
          <w:numId w:val="19"/>
        </w:numPr>
        <w:spacing w:line="240" w:lineRule="auto"/>
        <w:ind w:left="714" w:hanging="357"/>
        <w:rPr>
          <w:rFonts w:ascii="Book Antiqua" w:hAnsi="Book Antiqua"/>
          <w:color w:val="000000"/>
        </w:rPr>
      </w:pPr>
      <w:r w:rsidRPr="003C5978">
        <w:rPr>
          <w:rFonts w:ascii="Book Antiqua" w:hAnsi="Book Antiqua"/>
        </w:rPr>
        <w:t xml:space="preserve">Establecer una mejora a nivel del Sistema de Gestión de Despachos Judiciales, Gestión en línea, CEREDOC, Escritorio Virtual y Sistema de Seguimiento de Casos, de forma tal que desde el Juzgado y el Tribunal Contencioso Administrativo y Civil de Hacienda; así como, para el resto de las materias, se permita identificar la cantidad de asuntos donde figuran como intervinientes personas servidoras judiciales e indígenas, sea como Asociación Integral de Desarrollo, o como persona física. </w:t>
      </w:r>
    </w:p>
    <w:p w14:paraId="781A1986" w14:textId="77777777" w:rsidR="004328A4" w:rsidRPr="003C5978" w:rsidRDefault="004328A4" w:rsidP="003C5978">
      <w:pPr>
        <w:numPr>
          <w:ilvl w:val="0"/>
          <w:numId w:val="19"/>
        </w:numPr>
        <w:spacing w:line="240" w:lineRule="auto"/>
        <w:ind w:left="714" w:hanging="357"/>
        <w:rPr>
          <w:rFonts w:ascii="Book Antiqua" w:hAnsi="Book Antiqua"/>
          <w:color w:val="000000"/>
        </w:rPr>
      </w:pPr>
      <w:r w:rsidRPr="003C5978">
        <w:rPr>
          <w:rFonts w:ascii="Book Antiqua" w:hAnsi="Book Antiqua"/>
        </w:rPr>
        <w:t>Coordinar lo relacionado con la implantación y capacitación del Sistema de Seguimientos de Casos (SSC) y SIGMA en las Oficinas de la Defensa Pública que atiendan materia Agraria, con fin de obtener datos estadísticos para futuros estudios.</w:t>
      </w:r>
    </w:p>
    <w:p w14:paraId="1C521761" w14:textId="77777777" w:rsidR="004328A4" w:rsidRPr="003C5978" w:rsidRDefault="004328A4" w:rsidP="003C5978">
      <w:pPr>
        <w:spacing w:line="240" w:lineRule="auto"/>
        <w:rPr>
          <w:rFonts w:ascii="Book Antiqua" w:hAnsi="Book Antiqua"/>
        </w:rPr>
      </w:pPr>
      <w:r w:rsidRPr="003C5978">
        <w:rPr>
          <w:rFonts w:ascii="Book Antiqua" w:hAnsi="Book Antiqua"/>
        </w:rPr>
        <w:t>En consecuencia, se efectuó una consulta el 3 de febrero de 2020 al Juzgado y al Tribunal Contencioso Administrativo y Civil de Hacienda, con el fin de conocer si dicha recomendación había sido implementada en los sistemas, a lo que se recibió una respuesta negativa.</w:t>
      </w:r>
    </w:p>
    <w:p w14:paraId="145794B8" w14:textId="77777777" w:rsidR="004328A4" w:rsidRPr="003C5978" w:rsidRDefault="004328A4" w:rsidP="003C5978">
      <w:pPr>
        <w:spacing w:line="240" w:lineRule="auto"/>
        <w:rPr>
          <w:rFonts w:ascii="Book Antiqua" w:hAnsi="Book Antiqua"/>
        </w:rPr>
      </w:pPr>
      <w:r w:rsidRPr="003C5978">
        <w:rPr>
          <w:rFonts w:ascii="Book Antiqua" w:hAnsi="Book Antiqua"/>
        </w:rPr>
        <w:t xml:space="preserve">Posteriormente, el 27 de marzo de 2020, se consultó al Lic. Uriel García Regalado, Profesional Informático de la Dirección de Tecnología de Información sobre el estado de las dos recomendaciones, a lo que manifestó que el Consejo Superior en mediante oficio 13919-17 acordó lo siguiente: </w:t>
      </w:r>
    </w:p>
    <w:p w14:paraId="7EF11E52" w14:textId="77777777" w:rsidR="004328A4" w:rsidRPr="003C5978" w:rsidRDefault="004328A4" w:rsidP="004328A4">
      <w:pPr>
        <w:rPr>
          <w:rFonts w:ascii="Book Antiqua" w:hAnsi="Book Antiqua"/>
          <w:color w:val="000000"/>
        </w:rPr>
      </w:pPr>
      <w:r w:rsidRPr="003C5978">
        <w:rPr>
          <w:rFonts w:ascii="Book Antiqua" w:hAnsi="Book Antiqua"/>
          <w:color w:val="000000"/>
        </w:rPr>
        <w:t>“</w:t>
      </w:r>
      <w:r w:rsidRPr="003C5978">
        <w:rPr>
          <w:rFonts w:ascii="Book Antiqua" w:hAnsi="Book Antiqua"/>
          <w:i/>
          <w:iCs/>
          <w:color w:val="000000"/>
        </w:rPr>
        <w:t>(…) autorizar la suspensión del desarrollo de nuevas solicitudes de mejoras para los sistemas actuales utilizados para la gestión y tramitación de expedientes y oficinas judiciales.</w:t>
      </w:r>
      <w:r w:rsidRPr="003C5978">
        <w:rPr>
          <w:rFonts w:ascii="Book Antiqua" w:hAnsi="Book Antiqua"/>
          <w:color w:val="000000"/>
        </w:rPr>
        <w:t>”</w:t>
      </w:r>
    </w:p>
    <w:p w14:paraId="03253AEF" w14:textId="77777777" w:rsidR="004328A4" w:rsidRPr="003C5978" w:rsidRDefault="004328A4" w:rsidP="003C5978">
      <w:pPr>
        <w:spacing w:line="240" w:lineRule="auto"/>
        <w:rPr>
          <w:rFonts w:ascii="Book Antiqua" w:hAnsi="Book Antiqua"/>
          <w:color w:val="000000"/>
        </w:rPr>
      </w:pPr>
      <w:r w:rsidRPr="003C5978">
        <w:rPr>
          <w:rFonts w:ascii="Book Antiqua" w:hAnsi="Book Antiqua"/>
          <w:color w:val="000000"/>
        </w:rPr>
        <w:t xml:space="preserve">Lo anterior debido a que todos los esfuerzos se están centrando en el desarrollo de la nueva plataforma informática que está desarrollando la Dirección de Tecnología de Información. </w:t>
      </w:r>
    </w:p>
    <w:p w14:paraId="4F657FBF" w14:textId="1E2D832B" w:rsidR="004328A4" w:rsidRDefault="00B020BD" w:rsidP="003C5978">
      <w:pPr>
        <w:spacing w:line="240" w:lineRule="auto"/>
        <w:rPr>
          <w:rFonts w:ascii="Book Antiqua" w:hAnsi="Book Antiqua"/>
          <w:color w:val="000000"/>
        </w:rPr>
      </w:pPr>
      <w:r>
        <w:rPr>
          <w:rFonts w:ascii="Book Antiqua" w:hAnsi="Book Antiqua"/>
          <w:color w:val="000000"/>
        </w:rPr>
        <w:lastRenderedPageBreak/>
        <w:t>Posteriormente</w:t>
      </w:r>
      <w:r w:rsidR="004328A4" w:rsidRPr="003C5978">
        <w:rPr>
          <w:rFonts w:ascii="Book Antiqua" w:hAnsi="Book Antiqua"/>
          <w:color w:val="000000"/>
        </w:rPr>
        <w:t>, se remitió un correo electrónico a la Dirección de Tecnología de Información para conocer el estado actual de las mismas, sin embargo, no se recibió respuesta al momento de remitir el informe.</w:t>
      </w:r>
    </w:p>
    <w:p w14:paraId="52842473" w14:textId="625ADB6F" w:rsidR="00B020BD" w:rsidRPr="00B020BD" w:rsidRDefault="00B020BD" w:rsidP="00B020BD">
      <w:pPr>
        <w:spacing w:line="240" w:lineRule="auto"/>
        <w:rPr>
          <w:rFonts w:ascii="Book Antiqua" w:hAnsi="Book Antiqua"/>
          <w:color w:val="000000"/>
        </w:rPr>
      </w:pPr>
      <w:r w:rsidRPr="00E85457">
        <w:rPr>
          <w:rFonts w:ascii="Book Antiqua" w:hAnsi="Book Antiqua"/>
          <w:color w:val="000000"/>
        </w:rPr>
        <w:t xml:space="preserve">Por último, </w:t>
      </w:r>
      <w:r>
        <w:rPr>
          <w:rFonts w:ascii="Book Antiqua" w:hAnsi="Book Antiqua"/>
          <w:color w:val="000000"/>
        </w:rPr>
        <w:t xml:space="preserve">en respuesta al informe 507-PLA-RH-MI-2020 </w:t>
      </w:r>
      <w:r w:rsidRPr="00E85457">
        <w:rPr>
          <w:rFonts w:ascii="Book Antiqua" w:hAnsi="Book Antiqua"/>
          <w:color w:val="000000"/>
        </w:rPr>
        <w:t>mediante el oficio 662-DTI-2020 del 3 de abril la Licda. Fabiola Arancibia Hernández, Coordinadora de la Unidad de Implantaciones de la Dirección de Tecnología de Información manifiesta</w:t>
      </w:r>
      <w:r>
        <w:rPr>
          <w:rFonts w:ascii="Book Antiqua" w:hAnsi="Book Antiqua"/>
          <w:color w:val="000000"/>
        </w:rPr>
        <w:t>:</w:t>
      </w:r>
    </w:p>
    <w:p w14:paraId="20AF8222" w14:textId="51B72EBA" w:rsidR="00B020BD" w:rsidRPr="00E85457" w:rsidRDefault="00B020BD" w:rsidP="00B020BD">
      <w:pPr>
        <w:spacing w:line="240" w:lineRule="auto"/>
        <w:rPr>
          <w:rFonts w:ascii="Book Antiqua" w:hAnsi="Book Antiqua"/>
          <w:i/>
          <w:iCs/>
          <w:color w:val="000000"/>
        </w:rPr>
      </w:pPr>
      <w:r w:rsidRPr="00E85457">
        <w:rPr>
          <w:rFonts w:ascii="Book Antiqua" w:hAnsi="Book Antiqua"/>
          <w:i/>
          <w:iCs/>
          <w:color w:val="000000"/>
        </w:rPr>
        <w:t>"(...) Sobre las Implantaciones del SSC (Sistema de Seguimiento de Casos), me permito señalar que la unidad de Implantación no cuenta con la capacidad operativa para asumir las implantaciones del SSC, es por lo que actualmente la Defensa Publica cuenta con una persona encargada de las implantaciones de la Defensa Pública, bajo la administración y coordinación de la Defensa Pública. Por parte de la unidad de Implantaciones se ha colaborado en algunos aspectos de coordinación a lo interno de la Dirección de Tecnología para las configuraciones. Así mismo, al ser un solo recurso dedicado a las implantaciones, se coordinó con la Dirección de Planificación para establecer un orden y lograr las implantaciones de diferentes unidades que intervienen en las materias de Agrario, Ejecucion de la Pena (Penal), Pensiones.</w:t>
      </w:r>
    </w:p>
    <w:p w14:paraId="289DCED7" w14:textId="52A12384" w:rsidR="00B020BD" w:rsidRDefault="00B020BD" w:rsidP="00B020BD">
      <w:pPr>
        <w:spacing w:line="240" w:lineRule="auto"/>
        <w:rPr>
          <w:rFonts w:ascii="Book Antiqua" w:hAnsi="Book Antiqua"/>
          <w:i/>
          <w:iCs/>
          <w:color w:val="000000"/>
        </w:rPr>
      </w:pPr>
      <w:r w:rsidRPr="00E85457">
        <w:rPr>
          <w:rFonts w:ascii="Book Antiqua" w:hAnsi="Book Antiqua"/>
          <w:i/>
          <w:iCs/>
          <w:color w:val="000000"/>
        </w:rPr>
        <w:t>Actualmente se tiene validado las funciones del SSC para las unidades de Ejecución de la Pena por lo que se han iniciado desde finales del 2019 las implantaciones de esas unidades. Cabe señalar que se tiene en proceso la validación del funcionamiento del sistema para las Unidades de Agrario y Pensiones Alimentarias, una vez que se cuente con esa validación, la defensa podría continuar con las implantaciones en esas unidades según la prioridad establecida por la Dirección de Planificación."</w:t>
      </w:r>
    </w:p>
    <w:p w14:paraId="4B05137B" w14:textId="77777777" w:rsidR="00B020BD" w:rsidRPr="00E85457" w:rsidRDefault="00B020BD" w:rsidP="00B020BD">
      <w:pPr>
        <w:rPr>
          <w:rFonts w:ascii="Book Antiqua" w:hAnsi="Book Antiqua"/>
          <w:color w:val="000000"/>
        </w:rPr>
      </w:pPr>
      <w:r w:rsidRPr="00E85457">
        <w:rPr>
          <w:rFonts w:ascii="Book Antiqua" w:hAnsi="Book Antiqua"/>
          <w:color w:val="000000"/>
        </w:rPr>
        <w:t>En virtud de lo expuesto, se deberá esperar la validación del funcionamiento del sistema para las Unidades Agrarias y de Pensiones Alimentarias, para posteriormente continuar con las implantaciones, lo anterior supeditado a la capacidad operativa de la Unidad encargada en la Dirección de Tecnología de Información y el profesional en informática asignado a la Defensa Pública.</w:t>
      </w:r>
    </w:p>
    <w:p w14:paraId="1F8B1552" w14:textId="76F8D561" w:rsidR="00B020BD" w:rsidRPr="00E85457" w:rsidRDefault="00B020BD" w:rsidP="00B020BD">
      <w:pPr>
        <w:spacing w:line="240" w:lineRule="auto"/>
        <w:rPr>
          <w:rFonts w:ascii="Book Antiqua" w:hAnsi="Book Antiqua"/>
          <w:color w:val="000000"/>
        </w:rPr>
      </w:pPr>
      <w:r w:rsidRPr="00E85457">
        <w:rPr>
          <w:rFonts w:ascii="Book Antiqua" w:hAnsi="Book Antiqua"/>
          <w:color w:val="000000"/>
        </w:rPr>
        <w:t>Asimismo, mediante el oficio 0712-DTI-2020 la Dirección de Tecnología de Información comunica lo siguiente:</w:t>
      </w:r>
    </w:p>
    <w:p w14:paraId="0969BC10" w14:textId="592B3F2D" w:rsidR="00B020BD" w:rsidRPr="00E85457" w:rsidRDefault="00B020BD" w:rsidP="00B020BD">
      <w:pPr>
        <w:spacing w:line="240" w:lineRule="auto"/>
        <w:rPr>
          <w:rFonts w:ascii="Book Antiqua" w:hAnsi="Book Antiqua"/>
          <w:i/>
          <w:iCs/>
          <w:color w:val="000000"/>
        </w:rPr>
      </w:pPr>
      <w:r>
        <w:rPr>
          <w:rFonts w:ascii="Book Antiqua" w:hAnsi="Book Antiqua"/>
          <w:i/>
          <w:iCs/>
          <w:color w:val="000000"/>
        </w:rPr>
        <w:t>“</w:t>
      </w:r>
      <w:r w:rsidRPr="00E85457">
        <w:rPr>
          <w:rFonts w:ascii="Book Antiqua" w:hAnsi="Book Antiqua"/>
          <w:i/>
          <w:iCs/>
          <w:color w:val="000000"/>
        </w:rPr>
        <w:t>La Unidad de Inteligencia de la Información desarrollará durante el primer semestre de 2020 la mejora para extraer los datos de la variable etnia del Sistema de Seguimiento de Casos, con esto la información de los casos de la Defensa Pública se mostrarán dentro de las estadísticas en los reportes del SIGMA.</w:t>
      </w:r>
      <w:r>
        <w:rPr>
          <w:rFonts w:ascii="Book Antiqua" w:hAnsi="Book Antiqua"/>
          <w:i/>
          <w:iCs/>
          <w:color w:val="000000"/>
        </w:rPr>
        <w:t>”</w:t>
      </w:r>
    </w:p>
    <w:p w14:paraId="4A9E1473" w14:textId="548A0EC5" w:rsidR="00403160" w:rsidRPr="003C5978" w:rsidRDefault="00403160" w:rsidP="00067366">
      <w:pPr>
        <w:numPr>
          <w:ilvl w:val="0"/>
          <w:numId w:val="6"/>
        </w:numPr>
        <w:rPr>
          <w:rFonts w:ascii="Book Antiqua" w:hAnsi="Book Antiqua"/>
          <w:b/>
          <w:bCs/>
        </w:rPr>
      </w:pPr>
      <w:r w:rsidRPr="003C5978">
        <w:rPr>
          <w:rFonts w:ascii="Book Antiqua" w:hAnsi="Book Antiqua"/>
          <w:b/>
          <w:bCs/>
        </w:rPr>
        <w:t>Recomendaciones a la Jefatura de la Defensa Pública:</w:t>
      </w:r>
    </w:p>
    <w:p w14:paraId="2D836AED" w14:textId="1247044B" w:rsidR="00403160" w:rsidRPr="003C5978" w:rsidRDefault="00485531" w:rsidP="003C5978">
      <w:pPr>
        <w:spacing w:line="240" w:lineRule="auto"/>
        <w:rPr>
          <w:rFonts w:ascii="Book Antiqua" w:hAnsi="Book Antiqua"/>
        </w:rPr>
      </w:pPr>
      <w:r w:rsidRPr="003C5978">
        <w:rPr>
          <w:rFonts w:ascii="Book Antiqua" w:hAnsi="Book Antiqua"/>
        </w:rPr>
        <w:lastRenderedPageBreak/>
        <w:t>Mediante el oficio JEFDEP-90-2020 (ver anexo</w:t>
      </w:r>
      <w:r w:rsidR="00E921CB" w:rsidRPr="003C5978">
        <w:rPr>
          <w:rFonts w:ascii="Book Antiqua" w:hAnsi="Book Antiqua"/>
        </w:rPr>
        <w:t xml:space="preserve"> 6</w:t>
      </w:r>
      <w:r w:rsidRPr="003C5978">
        <w:rPr>
          <w:rFonts w:ascii="Book Antiqua" w:hAnsi="Book Antiqua"/>
        </w:rPr>
        <w:t>) del 13 de febrero de 2020 la Jefatura de la Defensa Pública remitió el seguimiento que ha realizado, en lo referente a las recomendaciones realizadas en el informe 634-PLA-RH-MI-2019:</w:t>
      </w:r>
    </w:p>
    <w:p w14:paraId="3B150285" w14:textId="3DCB0094" w:rsidR="00485531" w:rsidRPr="00067366" w:rsidRDefault="00485531" w:rsidP="00055CFC">
      <w:pPr>
        <w:spacing w:before="0" w:after="0"/>
        <w:rPr>
          <w:rFonts w:eastAsia="Arial" w:cs="Arial"/>
          <w:i/>
          <w:iCs/>
          <w:sz w:val="22"/>
        </w:rPr>
      </w:pPr>
      <w:r w:rsidRPr="00067366">
        <w:rPr>
          <w:rFonts w:eastAsia="Arial" w:cs="Arial"/>
          <w:i/>
          <w:iCs/>
          <w:sz w:val="22"/>
        </w:rPr>
        <w:t>“(…)</w:t>
      </w:r>
    </w:p>
    <w:p w14:paraId="0A3E95FB" w14:textId="77777777" w:rsidR="00485531" w:rsidRPr="003C5978" w:rsidRDefault="00485531" w:rsidP="00055CFC">
      <w:pPr>
        <w:pStyle w:val="Prrafodelista"/>
        <w:numPr>
          <w:ilvl w:val="1"/>
          <w:numId w:val="15"/>
        </w:numPr>
        <w:spacing w:before="0" w:line="360" w:lineRule="auto"/>
        <w:contextualSpacing/>
        <w:rPr>
          <w:rFonts w:ascii="Book Antiqua" w:hAnsi="Book Antiqua"/>
          <w:b/>
          <w:i/>
          <w:color w:val="000000"/>
          <w:lang w:val="es-CR"/>
        </w:rPr>
      </w:pPr>
      <w:r w:rsidRPr="003C5978">
        <w:rPr>
          <w:rFonts w:ascii="Book Antiqua" w:hAnsi="Book Antiqua"/>
          <w:b/>
          <w:i/>
          <w:color w:val="000000"/>
          <w:lang w:val="es-CR"/>
        </w:rPr>
        <w:t xml:space="preserve">Analizar en </w:t>
      </w:r>
      <w:r w:rsidRPr="003C5978">
        <w:rPr>
          <w:rFonts w:ascii="Book Antiqua" w:hAnsi="Book Antiqua"/>
          <w:b/>
          <w:i/>
          <w:lang w:val="es-CR"/>
        </w:rPr>
        <w:t>un plazo de seis meses, posterior de la entrada de vigencia de la ley 9609 “Código Procesal Agrario” la carga de trabajo de cada plaza de Defensor Agrario, de manera que, de no alcanzar la cuota establecida de los 180 asuntos, se le asigne asuntos de otras jurisdicciones para completar su carga de trabajo</w:t>
      </w:r>
      <w:r w:rsidRPr="003C5978">
        <w:rPr>
          <w:rFonts w:ascii="Book Antiqua" w:hAnsi="Book Antiqua"/>
          <w:b/>
          <w:i/>
          <w:color w:val="000000"/>
          <w:lang w:val="es-CR"/>
        </w:rPr>
        <w:t>.</w:t>
      </w:r>
    </w:p>
    <w:p w14:paraId="1E0C7256" w14:textId="77777777" w:rsidR="00485531" w:rsidRPr="00067366" w:rsidRDefault="00485531" w:rsidP="00055CFC">
      <w:pPr>
        <w:pStyle w:val="Prrafodelista"/>
        <w:spacing w:before="0" w:line="360" w:lineRule="auto"/>
        <w:ind w:left="967"/>
        <w:contextualSpacing/>
        <w:rPr>
          <w:i/>
          <w:color w:val="000000"/>
          <w:sz w:val="22"/>
          <w:szCs w:val="22"/>
          <w:lang w:val="es-CR"/>
        </w:rPr>
      </w:pPr>
    </w:p>
    <w:p w14:paraId="3816D1B7" w14:textId="77777777" w:rsidR="00633AD4" w:rsidRDefault="00485531" w:rsidP="00633AD4">
      <w:pPr>
        <w:pStyle w:val="Textocomentario"/>
        <w:rPr>
          <w:i/>
          <w:color w:val="000000"/>
          <w:sz w:val="22"/>
          <w:szCs w:val="22"/>
          <w:lang w:val="es-CR"/>
        </w:rPr>
      </w:pPr>
      <w:r w:rsidRPr="00067366">
        <w:rPr>
          <w:i/>
          <w:color w:val="000000"/>
          <w:sz w:val="22"/>
          <w:szCs w:val="22"/>
          <w:lang w:val="es-CR"/>
        </w:rPr>
        <w:t>La ley 9609 “Código Procesal Agrario” no ha entrado en vigencia aún. Sin embargo, actualmente las 16 plazas de personas defensoras públicas agrarias tienen un promedio de 158 procesos, con una cantidad mayor de intervinientes.</w:t>
      </w:r>
      <w:r w:rsidR="00F1435A">
        <w:rPr>
          <w:i/>
          <w:color w:val="000000"/>
          <w:sz w:val="22"/>
          <w:szCs w:val="22"/>
          <w:lang w:val="es-CR"/>
        </w:rPr>
        <w:t xml:space="preserve"> </w:t>
      </w:r>
    </w:p>
    <w:p w14:paraId="4424C4A9" w14:textId="77777777" w:rsidR="00633AD4" w:rsidRDefault="00633AD4" w:rsidP="00633AD4">
      <w:pPr>
        <w:pStyle w:val="Textocomentario"/>
        <w:rPr>
          <w:i/>
          <w:color w:val="000000"/>
          <w:sz w:val="22"/>
          <w:szCs w:val="22"/>
          <w:lang w:val="es-CR"/>
        </w:rPr>
      </w:pPr>
    </w:p>
    <w:p w14:paraId="4D48FF5B" w14:textId="2D6EC429" w:rsidR="00633AD4" w:rsidRPr="003C5978" w:rsidRDefault="00633AD4" w:rsidP="003C5978">
      <w:pPr>
        <w:pStyle w:val="Textocomentario"/>
        <w:rPr>
          <w:rFonts w:ascii="Book Antiqua" w:hAnsi="Book Antiqua"/>
          <w:sz w:val="24"/>
          <w:szCs w:val="22"/>
          <w:lang w:val="es-CR"/>
        </w:rPr>
      </w:pPr>
      <w:r w:rsidRPr="003C5978">
        <w:rPr>
          <w:rFonts w:ascii="Book Antiqua" w:hAnsi="Book Antiqua"/>
          <w:sz w:val="24"/>
          <w:szCs w:val="22"/>
          <w:lang w:val="es-CR"/>
        </w:rPr>
        <w:t>La Defensa Pública reporta aproximadamente 2528 expedientes, mientras que los Juzgados Agrarios reportan, al cierre de enero 2020, un total de 6987 expedientes</w:t>
      </w:r>
      <w:r w:rsidR="00810651" w:rsidRPr="003C5978">
        <w:rPr>
          <w:rFonts w:ascii="Book Antiqua" w:hAnsi="Book Antiqua"/>
          <w:sz w:val="24"/>
          <w:szCs w:val="22"/>
          <w:lang w:val="es-CR"/>
        </w:rPr>
        <w:t xml:space="preserve">, lo que da a entender que se </w:t>
      </w:r>
      <w:r w:rsidR="007E3639" w:rsidRPr="003C5978">
        <w:rPr>
          <w:rFonts w:ascii="Book Antiqua" w:hAnsi="Book Antiqua"/>
          <w:sz w:val="24"/>
          <w:szCs w:val="22"/>
          <w:lang w:val="es-CR"/>
        </w:rPr>
        <w:t>mantiene un alto índice de defensa privada.</w:t>
      </w:r>
      <w:r w:rsidRPr="003C5978">
        <w:rPr>
          <w:rFonts w:ascii="Book Antiqua" w:hAnsi="Book Antiqua"/>
          <w:sz w:val="24"/>
          <w:szCs w:val="22"/>
          <w:lang w:val="es-CR"/>
        </w:rPr>
        <w:t xml:space="preserve"> </w:t>
      </w:r>
      <w:r w:rsidRPr="003C5978">
        <w:rPr>
          <w:rFonts w:ascii="Book Antiqua" w:hAnsi="Book Antiqua"/>
          <w:sz w:val="24"/>
          <w:szCs w:val="22"/>
          <w:lang w:val="es-CR"/>
        </w:rPr>
        <w:br/>
      </w:r>
      <w:r w:rsidRPr="003C5978">
        <w:rPr>
          <w:rFonts w:ascii="Book Antiqua" w:hAnsi="Book Antiqua"/>
          <w:sz w:val="24"/>
          <w:szCs w:val="22"/>
          <w:lang w:val="es-CR"/>
        </w:rPr>
        <w:br/>
        <w:t>El promedio de 158 expedientes por Defensor(a) está por debajo de la cuota establecida por el coordinador de la DP, que es de 180.</w:t>
      </w:r>
    </w:p>
    <w:p w14:paraId="18144895" w14:textId="77777777" w:rsidR="00485531" w:rsidRPr="00067366" w:rsidRDefault="00485531" w:rsidP="00055CFC">
      <w:pPr>
        <w:pStyle w:val="Prrafodelista"/>
        <w:spacing w:before="0" w:line="360" w:lineRule="auto"/>
        <w:ind w:left="967"/>
        <w:contextualSpacing/>
        <w:rPr>
          <w:i/>
          <w:color w:val="000000"/>
          <w:sz w:val="22"/>
          <w:szCs w:val="22"/>
          <w:lang w:val="es-CR"/>
        </w:rPr>
      </w:pPr>
    </w:p>
    <w:p w14:paraId="5D314DB9" w14:textId="77777777" w:rsidR="00485531" w:rsidRPr="00067366" w:rsidRDefault="00485531" w:rsidP="00055CFC">
      <w:pPr>
        <w:pStyle w:val="Prrafodelista"/>
        <w:numPr>
          <w:ilvl w:val="1"/>
          <w:numId w:val="15"/>
        </w:numPr>
        <w:spacing w:before="0" w:line="360" w:lineRule="auto"/>
        <w:contextualSpacing/>
        <w:rPr>
          <w:b/>
          <w:i/>
          <w:color w:val="000000"/>
          <w:sz w:val="22"/>
          <w:szCs w:val="22"/>
          <w:lang w:val="es-CR"/>
        </w:rPr>
      </w:pPr>
      <w:r w:rsidRPr="003C5978">
        <w:rPr>
          <w:rFonts w:ascii="Book Antiqua" w:hAnsi="Book Antiqua"/>
          <w:b/>
          <w:i/>
          <w:color w:val="000000"/>
          <w:lang w:val="es-CR"/>
        </w:rPr>
        <w:t>Asignar asuntos de materia Penal, a las plazas de Defensor Público de la Unidad de Pensiones Alimentarias que se encuentren asignadas a las Oficinas de la Defensa Pública de Bribrí y Buenos, esto en caso de que la carga de trabajo no alcance. Considerando que de manera prioritaria se deberá atender los asuntos de Pensión Alimentaria</w:t>
      </w:r>
      <w:r w:rsidRPr="00067366">
        <w:rPr>
          <w:b/>
          <w:i/>
          <w:color w:val="000000"/>
          <w:sz w:val="22"/>
          <w:szCs w:val="22"/>
          <w:lang w:val="es-CR"/>
        </w:rPr>
        <w:t>.</w:t>
      </w:r>
    </w:p>
    <w:p w14:paraId="477FAAFE" w14:textId="77777777" w:rsidR="00485531" w:rsidRPr="00067366" w:rsidRDefault="00485531" w:rsidP="00055CFC">
      <w:pPr>
        <w:pStyle w:val="Prrafodelista"/>
        <w:spacing w:before="0" w:line="360" w:lineRule="auto"/>
        <w:ind w:left="967"/>
        <w:contextualSpacing/>
        <w:rPr>
          <w:i/>
          <w:color w:val="000000"/>
          <w:sz w:val="22"/>
          <w:szCs w:val="22"/>
          <w:lang w:val="es-CR"/>
        </w:rPr>
      </w:pPr>
    </w:p>
    <w:p w14:paraId="07CFA4A0" w14:textId="77777777" w:rsidR="00485531" w:rsidRPr="003C5978" w:rsidRDefault="00485531" w:rsidP="00055CFC">
      <w:pPr>
        <w:pStyle w:val="Prrafodelista"/>
        <w:spacing w:before="0" w:line="360" w:lineRule="auto"/>
        <w:ind w:left="0" w:firstLine="600"/>
        <w:contextualSpacing/>
        <w:rPr>
          <w:rFonts w:ascii="Book Antiqua" w:hAnsi="Book Antiqua"/>
          <w:i/>
          <w:color w:val="000000"/>
          <w:lang w:val="es-CR"/>
        </w:rPr>
      </w:pPr>
      <w:r w:rsidRPr="003C5978">
        <w:rPr>
          <w:rFonts w:ascii="Book Antiqua" w:hAnsi="Book Antiqua"/>
          <w:i/>
          <w:color w:val="000000"/>
          <w:lang w:val="es-CR"/>
        </w:rPr>
        <w:t>No se ha asignado ninguna plaza de pensiones alimentarias en Buenos Aires y Bribri según los términos referidos en este informe.</w:t>
      </w:r>
    </w:p>
    <w:p w14:paraId="43EB3324" w14:textId="77777777" w:rsidR="00485531" w:rsidRPr="00067366" w:rsidRDefault="00485531" w:rsidP="00055CFC">
      <w:pPr>
        <w:pStyle w:val="Prrafodelista"/>
        <w:spacing w:before="0" w:line="360" w:lineRule="auto"/>
        <w:ind w:left="967"/>
        <w:contextualSpacing/>
        <w:rPr>
          <w:i/>
          <w:color w:val="000000"/>
          <w:sz w:val="22"/>
          <w:szCs w:val="22"/>
          <w:lang w:val="es-CR"/>
        </w:rPr>
      </w:pPr>
    </w:p>
    <w:p w14:paraId="3115BB94" w14:textId="77777777" w:rsidR="00485531" w:rsidRPr="003C5978" w:rsidRDefault="00485531" w:rsidP="00055CFC">
      <w:pPr>
        <w:pStyle w:val="Prrafodelista"/>
        <w:numPr>
          <w:ilvl w:val="1"/>
          <w:numId w:val="15"/>
        </w:numPr>
        <w:spacing w:before="0" w:line="360" w:lineRule="auto"/>
        <w:ind w:hanging="367"/>
        <w:contextualSpacing/>
        <w:rPr>
          <w:rFonts w:ascii="Book Antiqua" w:hAnsi="Book Antiqua"/>
          <w:b/>
          <w:i/>
          <w:color w:val="000000"/>
          <w:lang w:val="es-CR"/>
        </w:rPr>
      </w:pPr>
      <w:r w:rsidRPr="003C5978">
        <w:rPr>
          <w:rFonts w:ascii="Book Antiqua" w:hAnsi="Book Antiqua"/>
          <w:b/>
          <w:i/>
          <w:color w:val="000000"/>
          <w:lang w:val="es-CR"/>
        </w:rPr>
        <w:lastRenderedPageBreak/>
        <w:t xml:space="preserve">Comunicar bajo una circular interna de la Dirección de la Defensa Pública a las distintas Oficinas, la importancia de hacer uso y reportar de forma correcta en los cuadros estadísticos la variable de cantidad de personas usuarias de la Defensa Pública que pertenecen a algún grupo indígena, servidor judicial, con ingreso durante cada período; dado a que, los datos remitidos al Subproceso de Estadística de la Dirección de Planificación, son los que se utilizarán como base para futuros estudios que permita mejorar el acceso a la justicia de dicha población. </w:t>
      </w:r>
    </w:p>
    <w:p w14:paraId="29C9EBE4" w14:textId="77777777" w:rsidR="00485531" w:rsidRPr="00067366" w:rsidRDefault="00485531" w:rsidP="00055CFC">
      <w:pPr>
        <w:pStyle w:val="Prrafodelista"/>
        <w:spacing w:before="0" w:line="360" w:lineRule="auto"/>
        <w:ind w:left="967"/>
        <w:contextualSpacing/>
        <w:rPr>
          <w:b/>
          <w:i/>
          <w:color w:val="000000"/>
          <w:sz w:val="22"/>
          <w:szCs w:val="22"/>
          <w:lang w:val="es-CR"/>
        </w:rPr>
      </w:pPr>
    </w:p>
    <w:p w14:paraId="426B5C79" w14:textId="372F610B" w:rsidR="00485531" w:rsidRPr="003C5978" w:rsidRDefault="00485531" w:rsidP="00055CFC">
      <w:pPr>
        <w:pStyle w:val="Prrafodelista"/>
        <w:spacing w:before="0" w:line="360" w:lineRule="auto"/>
        <w:ind w:left="0" w:firstLine="600"/>
        <w:contextualSpacing/>
        <w:rPr>
          <w:rFonts w:ascii="Book Antiqua" w:hAnsi="Book Antiqua"/>
          <w:i/>
          <w:color w:val="000000"/>
          <w:lang w:val="es-CR"/>
        </w:rPr>
      </w:pPr>
      <w:r w:rsidRPr="003C5978">
        <w:rPr>
          <w:rFonts w:ascii="Book Antiqua" w:hAnsi="Book Antiqua"/>
          <w:i/>
          <w:color w:val="000000"/>
          <w:lang w:val="es-CR"/>
        </w:rPr>
        <w:t xml:space="preserve">Desde agosto de 2019 se socializó con todas las Defensas Públicas a nivel </w:t>
      </w:r>
      <w:r w:rsidR="00B97719" w:rsidRPr="003C5978">
        <w:rPr>
          <w:rFonts w:ascii="Book Antiqua" w:hAnsi="Book Antiqua"/>
          <w:i/>
          <w:color w:val="000000"/>
          <w:lang w:val="es-CR"/>
        </w:rPr>
        <w:t>naciona</w:t>
      </w:r>
      <w:r w:rsidR="00B97719">
        <w:rPr>
          <w:rFonts w:ascii="Book Antiqua" w:hAnsi="Book Antiqua"/>
          <w:i/>
          <w:color w:val="000000"/>
          <w:lang w:val="es-CR"/>
        </w:rPr>
        <w:t>l</w:t>
      </w:r>
      <w:r w:rsidR="00B97719" w:rsidRPr="003C5978">
        <w:rPr>
          <w:rFonts w:ascii="Book Antiqua" w:hAnsi="Book Antiqua"/>
          <w:i/>
          <w:color w:val="000000"/>
          <w:lang w:val="es-CR"/>
        </w:rPr>
        <w:t xml:space="preserve"> la</w:t>
      </w:r>
      <w:r w:rsidRPr="003C5978">
        <w:rPr>
          <w:rFonts w:ascii="Book Antiqua" w:hAnsi="Book Antiqua"/>
          <w:i/>
          <w:color w:val="000000"/>
          <w:lang w:val="es-CR"/>
        </w:rPr>
        <w:t xml:space="preserve"> “Fórmula Ley 9593 de Acceso a la Justicia para los Pueblos Indígenas”, a fin de visibilizar los procesos que ingresen con personas indígenas en materias no tradicionales. En el mes de febrero de 2020, se le realizó un adendum que incluye una plantilla para anotar datos como número de expediente, fecha de entrada, estado del proceso, etc. (Se adjunta la fórmula.)</w:t>
      </w:r>
    </w:p>
    <w:p w14:paraId="2BC77536" w14:textId="77777777" w:rsidR="00485531" w:rsidRPr="00067366" w:rsidRDefault="00485531" w:rsidP="00055CFC">
      <w:pPr>
        <w:pStyle w:val="Prrafodelista"/>
        <w:spacing w:before="0" w:line="360" w:lineRule="auto"/>
        <w:ind w:left="360"/>
        <w:contextualSpacing/>
        <w:rPr>
          <w:i/>
          <w:color w:val="000000"/>
          <w:sz w:val="22"/>
          <w:szCs w:val="22"/>
          <w:lang w:val="es-CR"/>
        </w:rPr>
      </w:pPr>
    </w:p>
    <w:p w14:paraId="1DE857A2" w14:textId="77777777" w:rsidR="00485531" w:rsidRPr="003C5978" w:rsidRDefault="00485531" w:rsidP="00055CFC">
      <w:pPr>
        <w:pStyle w:val="Prrafodelista"/>
        <w:numPr>
          <w:ilvl w:val="1"/>
          <w:numId w:val="15"/>
        </w:numPr>
        <w:spacing w:before="0" w:line="360" w:lineRule="auto"/>
        <w:ind w:hanging="367"/>
        <w:contextualSpacing/>
        <w:rPr>
          <w:rFonts w:ascii="Book Antiqua" w:hAnsi="Book Antiqua"/>
          <w:b/>
          <w:i/>
          <w:color w:val="000000"/>
          <w:lang w:val="es-CR"/>
        </w:rPr>
      </w:pPr>
      <w:r w:rsidRPr="003C5978">
        <w:rPr>
          <w:rFonts w:ascii="Book Antiqua" w:hAnsi="Book Antiqua"/>
          <w:b/>
          <w:i/>
          <w:color w:val="000000"/>
          <w:lang w:val="es-CR"/>
        </w:rPr>
        <w:t>Coordinar la respectiva capacitación a las personas defensoras públicas de tal forma que puedan incursionar en otras áreas de servicio, ya que según la ley de control interno se debe dar el mayor aprovechamiento de los recursos y en este caso particular en la distribución de las cargas de trabajo.</w:t>
      </w:r>
    </w:p>
    <w:p w14:paraId="7576B279" w14:textId="77777777" w:rsidR="00485531" w:rsidRPr="00067366" w:rsidRDefault="00485531" w:rsidP="00055CFC">
      <w:pPr>
        <w:pStyle w:val="Prrafodelista"/>
        <w:spacing w:before="0" w:line="360" w:lineRule="auto"/>
        <w:ind w:left="967"/>
        <w:contextualSpacing/>
        <w:rPr>
          <w:i/>
          <w:color w:val="000000"/>
          <w:sz w:val="22"/>
          <w:szCs w:val="22"/>
          <w:lang w:val="es-CR"/>
        </w:rPr>
      </w:pPr>
    </w:p>
    <w:p w14:paraId="65A9B6E1" w14:textId="41A5ABBD" w:rsidR="00485531" w:rsidRPr="003C5978" w:rsidRDefault="008D1B0F" w:rsidP="003C5978">
      <w:pPr>
        <w:pStyle w:val="Prrafodelista"/>
        <w:spacing w:before="0"/>
        <w:ind w:left="0" w:firstLine="357"/>
        <w:contextualSpacing/>
        <w:rPr>
          <w:rFonts w:ascii="Book Antiqua" w:hAnsi="Book Antiqua"/>
          <w:i/>
          <w:color w:val="000000"/>
          <w:sz w:val="22"/>
          <w:szCs w:val="22"/>
          <w:lang w:val="es-CR"/>
        </w:rPr>
      </w:pPr>
      <w:r w:rsidRPr="003C5978">
        <w:rPr>
          <w:rFonts w:ascii="Book Antiqua" w:hAnsi="Book Antiqua"/>
          <w:i/>
          <w:noProof/>
          <w:color w:val="000000"/>
          <w:sz w:val="22"/>
          <w:szCs w:val="22"/>
        </w:rPr>
        <w:drawing>
          <wp:anchor distT="0" distB="0" distL="114300" distR="114300" simplePos="0" relativeHeight="251658240" behindDoc="0" locked="0" layoutInCell="1" allowOverlap="1" wp14:anchorId="431B52A7" wp14:editId="1D3F019E">
            <wp:simplePos x="0" y="0"/>
            <wp:positionH relativeFrom="column">
              <wp:posOffset>-661035</wp:posOffset>
            </wp:positionH>
            <wp:positionV relativeFrom="paragraph">
              <wp:posOffset>513080</wp:posOffset>
            </wp:positionV>
            <wp:extent cx="7148195" cy="1174750"/>
            <wp:effectExtent l="0" t="0" r="0" b="0"/>
            <wp:wrapSquare wrapText="bothSides"/>
            <wp:docPr id="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148195" cy="1174750"/>
                    </a:xfrm>
                    <a:prstGeom prst="rect">
                      <a:avLst/>
                    </a:prstGeom>
                    <a:noFill/>
                  </pic:spPr>
                </pic:pic>
              </a:graphicData>
            </a:graphic>
            <wp14:sizeRelH relativeFrom="page">
              <wp14:pctWidth>0</wp14:pctWidth>
            </wp14:sizeRelH>
            <wp14:sizeRelV relativeFrom="page">
              <wp14:pctHeight>0</wp14:pctHeight>
            </wp14:sizeRelV>
          </wp:anchor>
        </w:drawing>
      </w:r>
      <w:r w:rsidR="03E8C462" w:rsidRPr="2FF0FB19">
        <w:rPr>
          <w:rFonts w:ascii="Book Antiqua" w:hAnsi="Book Antiqua"/>
          <w:i/>
          <w:iCs/>
          <w:color w:val="000000"/>
          <w:sz w:val="22"/>
          <w:szCs w:val="22"/>
          <w:lang w:val="es-CR"/>
        </w:rPr>
        <w:t xml:space="preserve">Según la Unidad de Capacitación de la Defensa Pública en el año 2019 </w:t>
      </w:r>
      <w:r w:rsidR="311AB2DD" w:rsidRPr="2FF0FB19">
        <w:rPr>
          <w:rFonts w:ascii="Book Antiqua" w:hAnsi="Book Antiqua"/>
          <w:i/>
          <w:iCs/>
          <w:color w:val="000000"/>
          <w:sz w:val="22"/>
          <w:szCs w:val="22"/>
          <w:lang w:val="es-CR"/>
        </w:rPr>
        <w:t>se impartieron</w:t>
      </w:r>
      <w:r w:rsidR="03E8C462" w:rsidRPr="2FF0FB19">
        <w:rPr>
          <w:rFonts w:ascii="Book Antiqua" w:hAnsi="Book Antiqua"/>
          <w:i/>
          <w:iCs/>
          <w:color w:val="000000"/>
          <w:sz w:val="22"/>
          <w:szCs w:val="22"/>
          <w:lang w:val="es-CR"/>
        </w:rPr>
        <w:t xml:space="preserve"> las siguientes capacitaciones: “</w:t>
      </w:r>
    </w:p>
    <w:p w14:paraId="5440D2F2" w14:textId="77777777" w:rsidR="003C5978" w:rsidRPr="00067366" w:rsidRDefault="003C5978" w:rsidP="00055CFC">
      <w:pPr>
        <w:pStyle w:val="Prrafodelista"/>
        <w:spacing w:before="0" w:line="360" w:lineRule="auto"/>
        <w:ind w:left="0" w:firstLine="360"/>
        <w:contextualSpacing/>
        <w:rPr>
          <w:i/>
          <w:color w:val="000000"/>
          <w:sz w:val="22"/>
          <w:szCs w:val="22"/>
          <w:lang w:val="es-CR"/>
        </w:rPr>
      </w:pPr>
    </w:p>
    <w:p w14:paraId="3AD9B75F" w14:textId="77777777" w:rsidR="00485531" w:rsidRPr="00067366" w:rsidRDefault="00485531" w:rsidP="00055CFC">
      <w:pPr>
        <w:pStyle w:val="NormalWeb"/>
        <w:spacing w:before="0" w:beforeAutospacing="0" w:after="0" w:afterAutospacing="0" w:line="360" w:lineRule="auto"/>
        <w:rPr>
          <w:rFonts w:ascii="Arial" w:hAnsi="Arial" w:cs="Arial"/>
          <w:i/>
          <w:color w:val="000000"/>
          <w:sz w:val="22"/>
          <w:szCs w:val="22"/>
        </w:rPr>
      </w:pPr>
    </w:p>
    <w:p w14:paraId="4D5C84FD" w14:textId="02237F61" w:rsidR="00485531" w:rsidRPr="003C5978" w:rsidRDefault="00485531" w:rsidP="003C5978">
      <w:pPr>
        <w:pStyle w:val="NormalWeb"/>
        <w:spacing w:before="0" w:beforeAutospacing="0" w:after="0" w:afterAutospacing="0"/>
        <w:ind w:firstLine="357"/>
        <w:rPr>
          <w:rFonts w:ascii="Book Antiqua" w:hAnsi="Book Antiqua" w:cs="Arial"/>
          <w:i/>
          <w:color w:val="201F1E"/>
        </w:rPr>
      </w:pPr>
      <w:r w:rsidRPr="003C5978">
        <w:rPr>
          <w:rFonts w:ascii="Book Antiqua" w:hAnsi="Book Antiqua" w:cs="Arial"/>
          <w:i/>
          <w:color w:val="000000"/>
        </w:rPr>
        <w:lastRenderedPageBreak/>
        <w:t xml:space="preserve">Asimismo, se </w:t>
      </w:r>
      <w:r w:rsidR="00B97719" w:rsidRPr="003C5978">
        <w:rPr>
          <w:rFonts w:ascii="Book Antiqua" w:hAnsi="Book Antiqua" w:cs="Arial"/>
          <w:i/>
          <w:color w:val="000000"/>
        </w:rPr>
        <w:t>impartieron una</w:t>
      </w:r>
      <w:r w:rsidRPr="003C5978">
        <w:rPr>
          <w:rFonts w:ascii="Book Antiqua" w:hAnsi="Book Antiqua" w:cs="Arial"/>
          <w:i/>
          <w:color w:val="000000"/>
        </w:rPr>
        <w:t xml:space="preserve"> </w:t>
      </w:r>
      <w:r w:rsidRPr="003C5978">
        <w:rPr>
          <w:rFonts w:ascii="Book Antiqua" w:hAnsi="Book Antiqua" w:cs="Arial"/>
          <w:b/>
          <w:i/>
          <w:color w:val="000000"/>
        </w:rPr>
        <w:t>s</w:t>
      </w:r>
      <w:r w:rsidRPr="003C5978">
        <w:rPr>
          <w:rFonts w:ascii="Book Antiqua" w:hAnsi="Book Antiqua" w:cs="Arial"/>
          <w:b/>
          <w:bCs/>
          <w:i/>
          <w:color w:val="000000"/>
        </w:rPr>
        <w:t>erie de videoconferencias</w:t>
      </w:r>
      <w:r w:rsidRPr="003C5978">
        <w:rPr>
          <w:rFonts w:ascii="Book Antiqua" w:hAnsi="Book Antiqua" w:cs="Arial"/>
          <w:i/>
          <w:color w:val="000000"/>
        </w:rPr>
        <w:t>, como parte del ciclo 1 y se registró los siguientes datos:</w:t>
      </w:r>
    </w:p>
    <w:p w14:paraId="7166B0B4" w14:textId="77777777" w:rsidR="00485531" w:rsidRPr="00067366" w:rsidRDefault="00485531" w:rsidP="00055CFC">
      <w:pPr>
        <w:pStyle w:val="NormalWeb"/>
        <w:spacing w:before="0" w:beforeAutospacing="0" w:after="0" w:afterAutospacing="0" w:line="360" w:lineRule="auto"/>
        <w:rPr>
          <w:rFonts w:ascii="Arial" w:hAnsi="Arial" w:cs="Arial"/>
          <w:i/>
          <w:color w:val="201F1E"/>
          <w:sz w:val="22"/>
          <w:szCs w:val="22"/>
        </w:rPr>
      </w:pPr>
      <w:r w:rsidRPr="00067366">
        <w:rPr>
          <w:rFonts w:ascii="Arial" w:hAnsi="Arial" w:cs="Arial"/>
          <w:i/>
          <w:color w:val="000000"/>
          <w:sz w:val="22"/>
          <w:szCs w:val="22"/>
        </w:rPr>
        <w:t> </w:t>
      </w:r>
    </w:p>
    <w:p w14:paraId="0B95DE95" w14:textId="77777777" w:rsidR="00485531" w:rsidRPr="003C5978" w:rsidRDefault="00485531" w:rsidP="00055CFC">
      <w:pPr>
        <w:pStyle w:val="NormalWeb"/>
        <w:spacing w:before="0" w:beforeAutospacing="0" w:after="0" w:afterAutospacing="0" w:line="360" w:lineRule="auto"/>
        <w:ind w:left="360"/>
        <w:rPr>
          <w:rFonts w:ascii="Book Antiqua" w:hAnsi="Book Antiqua" w:cs="Arial"/>
          <w:i/>
          <w:color w:val="201F1E"/>
        </w:rPr>
      </w:pPr>
      <w:proofErr w:type="gramStart"/>
      <w:r w:rsidRPr="003C5978">
        <w:rPr>
          <w:rFonts w:ascii="Book Antiqua" w:hAnsi="Book Antiqua" w:cs="Arial"/>
          <w:i/>
          <w:color w:val="000000"/>
        </w:rPr>
        <w:t>Total</w:t>
      </w:r>
      <w:proofErr w:type="gramEnd"/>
      <w:r w:rsidRPr="003C5978">
        <w:rPr>
          <w:rFonts w:ascii="Book Antiqua" w:hAnsi="Book Antiqua" w:cs="Arial"/>
          <w:i/>
          <w:color w:val="000000"/>
        </w:rPr>
        <w:t xml:space="preserve"> de personas participantes: 28</w:t>
      </w:r>
    </w:p>
    <w:p w14:paraId="0F88B0E8" w14:textId="77777777" w:rsidR="00485531" w:rsidRPr="003C5978" w:rsidRDefault="00485531" w:rsidP="00055CFC">
      <w:pPr>
        <w:pStyle w:val="NormalWeb"/>
        <w:spacing w:before="0" w:beforeAutospacing="0" w:after="0" w:afterAutospacing="0" w:line="360" w:lineRule="auto"/>
        <w:ind w:left="360"/>
        <w:rPr>
          <w:rFonts w:ascii="Book Antiqua" w:hAnsi="Book Antiqua" w:cs="Arial"/>
          <w:i/>
          <w:color w:val="201F1E"/>
        </w:rPr>
      </w:pPr>
      <w:r w:rsidRPr="003C5978">
        <w:rPr>
          <w:rFonts w:ascii="Book Antiqua" w:hAnsi="Book Antiqua" w:cs="Arial"/>
          <w:i/>
          <w:color w:val="000000"/>
        </w:rPr>
        <w:t>Mujeres: 21</w:t>
      </w:r>
    </w:p>
    <w:p w14:paraId="09F75F4B" w14:textId="77777777" w:rsidR="00485531" w:rsidRPr="003C5978" w:rsidRDefault="00485531" w:rsidP="00055CFC">
      <w:pPr>
        <w:pStyle w:val="NormalWeb"/>
        <w:spacing w:before="0" w:beforeAutospacing="0" w:after="0" w:afterAutospacing="0" w:line="360" w:lineRule="auto"/>
        <w:ind w:left="360"/>
        <w:rPr>
          <w:rFonts w:ascii="Book Antiqua" w:hAnsi="Book Antiqua" w:cs="Arial"/>
          <w:i/>
          <w:color w:val="201F1E"/>
        </w:rPr>
      </w:pPr>
      <w:r w:rsidRPr="003C5978">
        <w:rPr>
          <w:rFonts w:ascii="Book Antiqua" w:hAnsi="Book Antiqua" w:cs="Arial"/>
          <w:i/>
          <w:color w:val="000000"/>
        </w:rPr>
        <w:t>Hombres:7</w:t>
      </w:r>
    </w:p>
    <w:p w14:paraId="720F7DC2" w14:textId="77777777" w:rsidR="00485531" w:rsidRPr="003C5978" w:rsidRDefault="00485531" w:rsidP="00055CFC">
      <w:pPr>
        <w:pStyle w:val="NormalWeb"/>
        <w:spacing w:before="0" w:beforeAutospacing="0" w:after="0" w:afterAutospacing="0" w:line="360" w:lineRule="auto"/>
        <w:ind w:left="360"/>
        <w:rPr>
          <w:rFonts w:ascii="Book Antiqua" w:hAnsi="Book Antiqua" w:cs="Arial"/>
          <w:i/>
          <w:color w:val="201F1E"/>
        </w:rPr>
      </w:pPr>
      <w:r w:rsidRPr="003C5978">
        <w:rPr>
          <w:rFonts w:ascii="Book Antiqua" w:hAnsi="Book Antiqua" w:cs="Arial"/>
          <w:i/>
          <w:color w:val="000000"/>
        </w:rPr>
        <w:t>Fecha: 27 de marzo</w:t>
      </w:r>
    </w:p>
    <w:p w14:paraId="5758808C" w14:textId="77777777" w:rsidR="00485531" w:rsidRPr="00067366" w:rsidRDefault="00485531" w:rsidP="00055CFC">
      <w:pPr>
        <w:pStyle w:val="NormalWeb"/>
        <w:spacing w:before="0" w:beforeAutospacing="0" w:after="0" w:afterAutospacing="0" w:line="360" w:lineRule="auto"/>
        <w:ind w:left="360"/>
        <w:rPr>
          <w:rFonts w:ascii="Arial" w:hAnsi="Arial" w:cs="Arial"/>
          <w:i/>
          <w:color w:val="201F1E"/>
          <w:sz w:val="22"/>
          <w:szCs w:val="22"/>
        </w:rPr>
      </w:pPr>
      <w:r w:rsidRPr="00067366">
        <w:rPr>
          <w:rFonts w:ascii="Arial" w:hAnsi="Arial" w:cs="Arial"/>
          <w:i/>
          <w:color w:val="000000"/>
          <w:sz w:val="22"/>
          <w:szCs w:val="22"/>
        </w:rPr>
        <w:t> </w:t>
      </w:r>
    </w:p>
    <w:p w14:paraId="79486B79" w14:textId="71413F18" w:rsidR="00485531" w:rsidRPr="003C5978" w:rsidRDefault="00485531" w:rsidP="003C5978">
      <w:pPr>
        <w:pStyle w:val="NormalWeb"/>
        <w:spacing w:before="0" w:beforeAutospacing="0" w:after="0" w:afterAutospacing="0"/>
        <w:ind w:firstLine="357"/>
        <w:rPr>
          <w:rFonts w:ascii="Book Antiqua" w:hAnsi="Book Antiqua" w:cs="Arial"/>
          <w:i/>
          <w:color w:val="201F1E"/>
        </w:rPr>
      </w:pPr>
      <w:r w:rsidRPr="003C5978">
        <w:rPr>
          <w:rFonts w:ascii="Book Antiqua" w:hAnsi="Book Antiqua" w:cs="Arial"/>
          <w:i/>
          <w:color w:val="000000"/>
        </w:rPr>
        <w:t xml:space="preserve">Además, en materia contenciosa tuvimos una capacitación el 21 de marzo de 2019 con don Roberto Montero.  Y una serie de </w:t>
      </w:r>
      <w:r w:rsidR="00B97719" w:rsidRPr="003C5978">
        <w:rPr>
          <w:rFonts w:ascii="Book Antiqua" w:hAnsi="Book Antiqua" w:cs="Arial"/>
          <w:i/>
          <w:color w:val="000000"/>
        </w:rPr>
        <w:t>charlas los</w:t>
      </w:r>
      <w:r w:rsidRPr="003C5978">
        <w:rPr>
          <w:rFonts w:ascii="Book Antiqua" w:hAnsi="Book Antiqua" w:cs="Arial"/>
          <w:i/>
          <w:color w:val="000000"/>
        </w:rPr>
        <w:t xml:space="preserve"> días 15, 22 y 29 de noviembre por parte de </w:t>
      </w:r>
      <w:r w:rsidR="00B97719" w:rsidRPr="003C5978">
        <w:rPr>
          <w:rFonts w:ascii="Book Antiqua" w:hAnsi="Book Antiqua" w:cs="Arial"/>
          <w:i/>
          <w:color w:val="000000"/>
        </w:rPr>
        <w:t>los jueces</w:t>
      </w:r>
      <w:r w:rsidRPr="003C5978">
        <w:rPr>
          <w:rFonts w:ascii="Book Antiqua" w:hAnsi="Book Antiqua" w:cs="Arial"/>
          <w:i/>
          <w:color w:val="000000"/>
        </w:rPr>
        <w:t xml:space="preserve"> contenciosos administrativos.</w:t>
      </w:r>
    </w:p>
    <w:p w14:paraId="6A500162" w14:textId="77777777" w:rsidR="00485531" w:rsidRPr="00067366" w:rsidRDefault="00485531" w:rsidP="00055CFC">
      <w:pPr>
        <w:pStyle w:val="NormalWeb"/>
        <w:spacing w:before="0" w:beforeAutospacing="0" w:after="0" w:afterAutospacing="0" w:line="360" w:lineRule="auto"/>
        <w:ind w:left="360"/>
        <w:rPr>
          <w:rFonts w:ascii="Arial" w:hAnsi="Arial" w:cs="Arial"/>
          <w:i/>
          <w:color w:val="201F1E"/>
          <w:sz w:val="22"/>
          <w:szCs w:val="22"/>
        </w:rPr>
      </w:pPr>
      <w:r w:rsidRPr="00067366">
        <w:rPr>
          <w:rFonts w:ascii="Arial" w:hAnsi="Arial" w:cs="Arial"/>
          <w:i/>
          <w:color w:val="000000"/>
          <w:sz w:val="22"/>
          <w:szCs w:val="22"/>
        </w:rPr>
        <w:t> </w:t>
      </w:r>
    </w:p>
    <w:p w14:paraId="1A51F355" w14:textId="77777777" w:rsidR="00485531" w:rsidRPr="003C5978" w:rsidRDefault="00485531" w:rsidP="00055CFC">
      <w:pPr>
        <w:pStyle w:val="NormalWeb"/>
        <w:spacing w:before="0" w:beforeAutospacing="0" w:after="0" w:afterAutospacing="0" w:line="360" w:lineRule="auto"/>
        <w:ind w:left="360"/>
        <w:rPr>
          <w:rFonts w:ascii="Book Antiqua" w:hAnsi="Book Antiqua" w:cs="Arial"/>
          <w:i/>
          <w:color w:val="201F1E"/>
        </w:rPr>
      </w:pPr>
      <w:r w:rsidRPr="003C5978">
        <w:rPr>
          <w:rFonts w:ascii="Book Antiqua" w:hAnsi="Book Antiqua" w:cs="Arial"/>
          <w:i/>
          <w:color w:val="000000"/>
        </w:rPr>
        <w:t>Actividad formativa: Contencioso administrativo</w:t>
      </w:r>
    </w:p>
    <w:p w14:paraId="54F0B87A" w14:textId="77777777" w:rsidR="00485531" w:rsidRPr="003C5978" w:rsidRDefault="00485531" w:rsidP="00055CFC">
      <w:pPr>
        <w:pStyle w:val="NormalWeb"/>
        <w:spacing w:before="0" w:beforeAutospacing="0" w:after="0" w:afterAutospacing="0" w:line="360" w:lineRule="auto"/>
        <w:ind w:left="360"/>
        <w:rPr>
          <w:rFonts w:ascii="Book Antiqua" w:hAnsi="Book Antiqua" w:cs="Arial"/>
          <w:i/>
          <w:color w:val="201F1E"/>
        </w:rPr>
      </w:pPr>
      <w:r w:rsidRPr="003C5978">
        <w:rPr>
          <w:rFonts w:ascii="Book Antiqua" w:hAnsi="Book Antiqua" w:cs="Arial"/>
          <w:i/>
          <w:color w:val="000000"/>
        </w:rPr>
        <w:t>Fecha: 21 de marzo 2019</w:t>
      </w:r>
    </w:p>
    <w:p w14:paraId="31E20DCB" w14:textId="77777777" w:rsidR="00485531" w:rsidRPr="003C5978" w:rsidRDefault="00485531" w:rsidP="00055CFC">
      <w:pPr>
        <w:pStyle w:val="NormalWeb"/>
        <w:spacing w:before="0" w:beforeAutospacing="0" w:after="0" w:afterAutospacing="0" w:line="360" w:lineRule="auto"/>
        <w:ind w:left="360"/>
        <w:rPr>
          <w:rFonts w:ascii="Book Antiqua" w:hAnsi="Book Antiqua" w:cs="Arial"/>
          <w:i/>
          <w:color w:val="201F1E"/>
        </w:rPr>
      </w:pPr>
      <w:proofErr w:type="gramStart"/>
      <w:r w:rsidRPr="003C5978">
        <w:rPr>
          <w:rFonts w:ascii="Book Antiqua" w:hAnsi="Book Antiqua" w:cs="Arial"/>
          <w:i/>
          <w:color w:val="000000"/>
        </w:rPr>
        <w:t>Total</w:t>
      </w:r>
      <w:proofErr w:type="gramEnd"/>
      <w:r w:rsidRPr="003C5978">
        <w:rPr>
          <w:rFonts w:ascii="Book Antiqua" w:hAnsi="Book Antiqua" w:cs="Arial"/>
          <w:i/>
          <w:color w:val="000000"/>
        </w:rPr>
        <w:t xml:space="preserve"> de personas participantes: 22</w:t>
      </w:r>
    </w:p>
    <w:p w14:paraId="4837E6AF" w14:textId="77777777" w:rsidR="00485531" w:rsidRPr="003C5978" w:rsidRDefault="00485531" w:rsidP="00055CFC">
      <w:pPr>
        <w:pStyle w:val="NormalWeb"/>
        <w:spacing w:before="0" w:beforeAutospacing="0" w:after="0" w:afterAutospacing="0" w:line="360" w:lineRule="auto"/>
        <w:ind w:left="360"/>
        <w:rPr>
          <w:rFonts w:ascii="Book Antiqua" w:hAnsi="Book Antiqua" w:cs="Arial"/>
          <w:i/>
          <w:color w:val="201F1E"/>
        </w:rPr>
      </w:pPr>
      <w:r w:rsidRPr="003C5978">
        <w:rPr>
          <w:rFonts w:ascii="Book Antiqua" w:hAnsi="Book Antiqua" w:cs="Arial"/>
          <w:i/>
          <w:color w:val="000000"/>
        </w:rPr>
        <w:t>Mujeres: 10</w:t>
      </w:r>
    </w:p>
    <w:p w14:paraId="23999B6C" w14:textId="77777777" w:rsidR="00485531" w:rsidRPr="003C5978" w:rsidRDefault="00485531" w:rsidP="00055CFC">
      <w:pPr>
        <w:pStyle w:val="NormalWeb"/>
        <w:spacing w:before="0" w:beforeAutospacing="0" w:after="0" w:afterAutospacing="0" w:line="360" w:lineRule="auto"/>
        <w:ind w:left="360"/>
        <w:rPr>
          <w:rFonts w:ascii="Book Antiqua" w:hAnsi="Book Antiqua" w:cs="Arial"/>
          <w:i/>
          <w:color w:val="201F1E"/>
        </w:rPr>
      </w:pPr>
      <w:r w:rsidRPr="003C5978">
        <w:rPr>
          <w:rFonts w:ascii="Book Antiqua" w:hAnsi="Book Antiqua" w:cs="Arial"/>
          <w:i/>
          <w:color w:val="000000"/>
        </w:rPr>
        <w:t>Hombres: 12</w:t>
      </w:r>
    </w:p>
    <w:p w14:paraId="56EC3B86" w14:textId="77777777" w:rsidR="00485531" w:rsidRPr="003C5978" w:rsidRDefault="00485531" w:rsidP="00055CFC">
      <w:pPr>
        <w:pStyle w:val="NormalWeb"/>
        <w:spacing w:before="0" w:beforeAutospacing="0" w:after="0" w:afterAutospacing="0" w:line="360" w:lineRule="auto"/>
        <w:ind w:left="360"/>
        <w:rPr>
          <w:rFonts w:ascii="Book Antiqua" w:hAnsi="Book Antiqua" w:cs="Arial"/>
          <w:i/>
          <w:color w:val="201F1E"/>
        </w:rPr>
      </w:pPr>
    </w:p>
    <w:p w14:paraId="3FB473D9" w14:textId="77777777" w:rsidR="00485531" w:rsidRPr="003C5978" w:rsidRDefault="00485531" w:rsidP="00055CFC">
      <w:pPr>
        <w:pStyle w:val="NormalWeb"/>
        <w:spacing w:before="0" w:beforeAutospacing="0" w:after="0" w:afterAutospacing="0" w:line="360" w:lineRule="auto"/>
        <w:ind w:left="360"/>
        <w:rPr>
          <w:rFonts w:ascii="Book Antiqua" w:hAnsi="Book Antiqua" w:cs="Arial"/>
          <w:i/>
          <w:color w:val="201F1E"/>
        </w:rPr>
      </w:pPr>
      <w:r w:rsidRPr="003C5978">
        <w:rPr>
          <w:rFonts w:ascii="Book Antiqua" w:hAnsi="Book Antiqua" w:cs="Arial"/>
          <w:i/>
          <w:color w:val="000000"/>
        </w:rPr>
        <w:t>Actividad formativa: Contencioso administrativo</w:t>
      </w:r>
    </w:p>
    <w:p w14:paraId="08CD2274" w14:textId="7FC9DB60" w:rsidR="00485531" w:rsidRPr="003C5978" w:rsidRDefault="00485531" w:rsidP="00055CFC">
      <w:pPr>
        <w:pStyle w:val="NormalWeb"/>
        <w:spacing w:before="0" w:beforeAutospacing="0" w:after="0" w:afterAutospacing="0" w:line="360" w:lineRule="auto"/>
        <w:ind w:left="360"/>
        <w:rPr>
          <w:rFonts w:ascii="Book Antiqua" w:hAnsi="Book Antiqua" w:cs="Arial"/>
          <w:i/>
          <w:color w:val="201F1E"/>
        </w:rPr>
      </w:pPr>
      <w:r w:rsidRPr="003C5978">
        <w:rPr>
          <w:rFonts w:ascii="Book Antiqua" w:hAnsi="Book Antiqua" w:cs="Arial"/>
          <w:i/>
          <w:color w:val="000000"/>
        </w:rPr>
        <w:t xml:space="preserve">Fecha: 15, 22 y 29 de noviembre </w:t>
      </w:r>
      <w:r w:rsidR="00B97719" w:rsidRPr="003C5978">
        <w:rPr>
          <w:rFonts w:ascii="Book Antiqua" w:hAnsi="Book Antiqua" w:cs="Arial"/>
          <w:i/>
          <w:color w:val="000000"/>
        </w:rPr>
        <w:t>de 2019</w:t>
      </w:r>
    </w:p>
    <w:p w14:paraId="40AF6EB8" w14:textId="77777777" w:rsidR="00485531" w:rsidRPr="003C5978" w:rsidRDefault="00485531" w:rsidP="00055CFC">
      <w:pPr>
        <w:pStyle w:val="NormalWeb"/>
        <w:spacing w:before="0" w:beforeAutospacing="0" w:after="0" w:afterAutospacing="0" w:line="360" w:lineRule="auto"/>
        <w:ind w:left="360"/>
        <w:rPr>
          <w:rFonts w:ascii="Book Antiqua" w:hAnsi="Book Antiqua" w:cs="Arial"/>
          <w:i/>
          <w:color w:val="201F1E"/>
        </w:rPr>
      </w:pPr>
      <w:proofErr w:type="gramStart"/>
      <w:r w:rsidRPr="003C5978">
        <w:rPr>
          <w:rFonts w:ascii="Book Antiqua" w:hAnsi="Book Antiqua" w:cs="Arial"/>
          <w:i/>
          <w:color w:val="000000"/>
        </w:rPr>
        <w:t>Total</w:t>
      </w:r>
      <w:proofErr w:type="gramEnd"/>
      <w:r w:rsidRPr="003C5978">
        <w:rPr>
          <w:rFonts w:ascii="Book Antiqua" w:hAnsi="Book Antiqua" w:cs="Arial"/>
          <w:i/>
          <w:color w:val="000000"/>
        </w:rPr>
        <w:t xml:space="preserve"> de personas participantes: 6</w:t>
      </w:r>
    </w:p>
    <w:p w14:paraId="253753A0" w14:textId="77777777" w:rsidR="00485531" w:rsidRPr="003C5978" w:rsidRDefault="00485531" w:rsidP="00055CFC">
      <w:pPr>
        <w:pStyle w:val="NormalWeb"/>
        <w:spacing w:before="0" w:beforeAutospacing="0" w:after="0" w:afterAutospacing="0" w:line="360" w:lineRule="auto"/>
        <w:ind w:left="360"/>
        <w:rPr>
          <w:rFonts w:ascii="Book Antiqua" w:hAnsi="Book Antiqua" w:cs="Arial"/>
          <w:i/>
          <w:color w:val="201F1E"/>
        </w:rPr>
      </w:pPr>
      <w:r w:rsidRPr="003C5978">
        <w:rPr>
          <w:rFonts w:ascii="Book Antiqua" w:hAnsi="Book Antiqua" w:cs="Arial"/>
          <w:i/>
          <w:color w:val="000000"/>
        </w:rPr>
        <w:t>Mujeres: 1</w:t>
      </w:r>
    </w:p>
    <w:p w14:paraId="18BCB3F9" w14:textId="2C0873B0" w:rsidR="00485531" w:rsidRPr="003C5978" w:rsidRDefault="00485531" w:rsidP="00055CFC">
      <w:pPr>
        <w:pStyle w:val="NormalWeb"/>
        <w:spacing w:before="0" w:beforeAutospacing="0" w:after="0" w:afterAutospacing="0" w:line="360" w:lineRule="auto"/>
        <w:ind w:left="360"/>
        <w:rPr>
          <w:rFonts w:ascii="Book Antiqua" w:hAnsi="Book Antiqua" w:cs="Arial"/>
          <w:i/>
          <w:color w:val="000000"/>
        </w:rPr>
      </w:pPr>
      <w:r w:rsidRPr="003C5978">
        <w:rPr>
          <w:rFonts w:ascii="Book Antiqua" w:hAnsi="Book Antiqua" w:cs="Arial"/>
          <w:i/>
          <w:color w:val="000000"/>
        </w:rPr>
        <w:t>Hombres: 5”</w:t>
      </w:r>
    </w:p>
    <w:p w14:paraId="5B4AEE6B" w14:textId="77777777" w:rsidR="008D19FD" w:rsidRPr="003C5978" w:rsidRDefault="008D19FD" w:rsidP="00055CFC">
      <w:pPr>
        <w:pStyle w:val="NormalWeb"/>
        <w:spacing w:before="0" w:beforeAutospacing="0" w:after="0" w:afterAutospacing="0" w:line="360" w:lineRule="auto"/>
        <w:rPr>
          <w:rFonts w:ascii="Book Antiqua" w:hAnsi="Book Antiqua"/>
          <w:i/>
          <w:color w:val="201F1E"/>
        </w:rPr>
      </w:pPr>
    </w:p>
    <w:p w14:paraId="25A9D633" w14:textId="77777777" w:rsidR="00403160" w:rsidRPr="003C5978" w:rsidRDefault="00403160" w:rsidP="00055CFC">
      <w:pPr>
        <w:pStyle w:val="Prrafodelista"/>
        <w:numPr>
          <w:ilvl w:val="0"/>
          <w:numId w:val="4"/>
        </w:numPr>
        <w:spacing w:before="0" w:line="360" w:lineRule="auto"/>
        <w:rPr>
          <w:rFonts w:ascii="Book Antiqua" w:eastAsia="Arial" w:hAnsi="Book Antiqua"/>
        </w:rPr>
      </w:pPr>
      <w:r w:rsidRPr="003C5978">
        <w:rPr>
          <w:rFonts w:ascii="Book Antiqua" w:eastAsia="Arial" w:hAnsi="Book Antiqua"/>
          <w:b/>
          <w:bCs/>
        </w:rPr>
        <w:t>Recomendaciones a la Dirección de Gestión Humana:</w:t>
      </w:r>
    </w:p>
    <w:p w14:paraId="7F8B1CAB" w14:textId="03A94848" w:rsidR="00403160" w:rsidRPr="003C5978" w:rsidRDefault="008D19FD" w:rsidP="003C5978">
      <w:pPr>
        <w:spacing w:line="240" w:lineRule="auto"/>
        <w:rPr>
          <w:rFonts w:ascii="Book Antiqua" w:hAnsi="Book Antiqua"/>
        </w:rPr>
      </w:pPr>
      <w:r w:rsidRPr="003C5978">
        <w:rPr>
          <w:rFonts w:ascii="Book Antiqua" w:hAnsi="Book Antiqua"/>
        </w:rPr>
        <w:t xml:space="preserve">Mediante correo electrónico del 3 de febrero de 2020, se le solicitó a la Dirección de Gestión Humana, información referente al que trabajo que se ha realizado para dar seguimiento a las recomendaciones emitidas por la Dirección de Planificación; sin embargo, al </w:t>
      </w:r>
      <w:r w:rsidR="00B43569" w:rsidRPr="003C5978">
        <w:rPr>
          <w:rFonts w:ascii="Book Antiqua" w:hAnsi="Book Antiqua"/>
        </w:rPr>
        <w:t xml:space="preserve">27 de marzo de 2020 </w:t>
      </w:r>
      <w:r w:rsidRPr="003C5978">
        <w:rPr>
          <w:rFonts w:ascii="Book Antiqua" w:hAnsi="Book Antiqua"/>
        </w:rPr>
        <w:t xml:space="preserve">no se recibió respuesta al respecto, por lo tanto, se considera </w:t>
      </w:r>
      <w:r w:rsidR="00055CFC" w:rsidRPr="003C5978">
        <w:rPr>
          <w:rFonts w:ascii="Book Antiqua" w:hAnsi="Book Antiqua"/>
        </w:rPr>
        <w:t>necesario</w:t>
      </w:r>
      <w:r w:rsidRPr="003C5978">
        <w:rPr>
          <w:rFonts w:ascii="Book Antiqua" w:hAnsi="Book Antiqua"/>
        </w:rPr>
        <w:t xml:space="preserve"> mantener las mismas recomendaciones del informe 634-PLA-RH-MI-2019</w:t>
      </w:r>
      <w:r w:rsidR="00BC76F1" w:rsidRPr="003C5978">
        <w:rPr>
          <w:rFonts w:ascii="Book Antiqua" w:hAnsi="Book Antiqua"/>
        </w:rPr>
        <w:t>:</w:t>
      </w:r>
      <w:r w:rsidR="00410B51" w:rsidRPr="003C5978">
        <w:rPr>
          <w:rFonts w:ascii="Book Antiqua" w:hAnsi="Book Antiqua"/>
        </w:rPr>
        <w:t xml:space="preserve"> </w:t>
      </w:r>
    </w:p>
    <w:p w14:paraId="604D63A3" w14:textId="77777777" w:rsidR="00BC76F1" w:rsidRPr="007C4703" w:rsidRDefault="00BC76F1" w:rsidP="00BC76F1">
      <w:pPr>
        <w:rPr>
          <w:i/>
          <w:iCs/>
        </w:rPr>
      </w:pPr>
      <w:r w:rsidRPr="007C4703">
        <w:rPr>
          <w:i/>
          <w:iCs/>
        </w:rPr>
        <w:lastRenderedPageBreak/>
        <w:t>(…)</w:t>
      </w:r>
    </w:p>
    <w:p w14:paraId="13F45762" w14:textId="77777777" w:rsidR="00BC76F1" w:rsidRPr="003C5978" w:rsidRDefault="00BC76F1" w:rsidP="00BC76F1">
      <w:pPr>
        <w:pStyle w:val="Prrafodelista"/>
        <w:numPr>
          <w:ilvl w:val="1"/>
          <w:numId w:val="29"/>
        </w:numPr>
        <w:spacing w:before="0" w:after="160" w:line="360" w:lineRule="auto"/>
        <w:ind w:hanging="367"/>
        <w:contextualSpacing/>
        <w:rPr>
          <w:rFonts w:ascii="Book Antiqua" w:eastAsia="Calibri" w:hAnsi="Book Antiqua" w:cs="Times New Roman"/>
          <w:i/>
          <w:iCs/>
          <w:szCs w:val="22"/>
          <w:lang w:val="es-CR" w:eastAsia="en-US"/>
        </w:rPr>
      </w:pPr>
      <w:r w:rsidRPr="003C5978">
        <w:rPr>
          <w:rFonts w:ascii="Book Antiqua" w:eastAsia="Calibri" w:hAnsi="Book Antiqua" w:cs="Times New Roman"/>
          <w:i/>
          <w:iCs/>
          <w:szCs w:val="22"/>
          <w:lang w:val="es-CR" w:eastAsia="en-US"/>
        </w:rPr>
        <w:t xml:space="preserve">Realizar la valoración del perfil de la plaza ordinaria de Defensor Público, proveniente de la Secretaría Técnica de Género y de Acceso a la Justicia, en caso de que se apruebe el que asuma las funciones encomendadas en la atención de asuntos de Asuntos Agrarios y Contencioso Administrativo, donde figure como intervinientes personas indígenas y servidores judiciales; además, de la atención de asuntos ordinarios que así disponga la Dirección de la Defensa Pública. </w:t>
      </w:r>
    </w:p>
    <w:p w14:paraId="1FC9050C" w14:textId="77777777" w:rsidR="00BC76F1" w:rsidRPr="003C5978" w:rsidRDefault="00BC76F1" w:rsidP="00BC76F1">
      <w:pPr>
        <w:pStyle w:val="Prrafodelista"/>
        <w:numPr>
          <w:ilvl w:val="1"/>
          <w:numId w:val="29"/>
        </w:numPr>
        <w:spacing w:before="0" w:after="160" w:line="360" w:lineRule="auto"/>
        <w:contextualSpacing/>
        <w:rPr>
          <w:rFonts w:ascii="Book Antiqua" w:eastAsia="Calibri" w:hAnsi="Book Antiqua" w:cs="Times New Roman"/>
          <w:i/>
          <w:iCs/>
          <w:szCs w:val="22"/>
          <w:lang w:val="es-CR" w:eastAsia="en-US"/>
        </w:rPr>
      </w:pPr>
      <w:r w:rsidRPr="003C5978">
        <w:rPr>
          <w:rFonts w:ascii="Book Antiqua" w:eastAsia="Calibri" w:hAnsi="Book Antiqua" w:cs="Times New Roman"/>
          <w:i/>
          <w:iCs/>
          <w:szCs w:val="22"/>
          <w:lang w:val="es-CR" w:eastAsia="en-US"/>
        </w:rPr>
        <w:t xml:space="preserve">Considerar en las condiciones para contratar al nuevo personal las disposiciones </w:t>
      </w:r>
      <w:proofErr w:type="gramStart"/>
      <w:r w:rsidRPr="003C5978">
        <w:rPr>
          <w:rFonts w:ascii="Book Antiqua" w:eastAsia="Calibri" w:hAnsi="Book Antiqua" w:cs="Times New Roman"/>
          <w:i/>
          <w:iCs/>
          <w:szCs w:val="22"/>
          <w:lang w:val="es-CR" w:eastAsia="en-US"/>
        </w:rPr>
        <w:t>de  la</w:t>
      </w:r>
      <w:proofErr w:type="gramEnd"/>
      <w:r w:rsidRPr="003C5978">
        <w:rPr>
          <w:rFonts w:ascii="Book Antiqua" w:eastAsia="Calibri" w:hAnsi="Book Antiqua" w:cs="Times New Roman"/>
          <w:i/>
          <w:iCs/>
          <w:szCs w:val="22"/>
          <w:lang w:val="es-CR" w:eastAsia="en-US"/>
        </w:rPr>
        <w:t xml:space="preserve"> nueva ley aprobada en su artículo 7 que indica: Asistencia letrada gratuita y gratuidad de la justicia. En aquellos procesos judiciales en que una persona indígena requiera asistencia letrada y no pueda cubrir los costos, la administración de justicia proveerá la asistencia de una persona defensora pública especializada en derecho indígena y en la materia de competencia de forma </w:t>
      </w:r>
      <w:proofErr w:type="gramStart"/>
      <w:r w:rsidRPr="003C5978">
        <w:rPr>
          <w:rFonts w:ascii="Book Antiqua" w:eastAsia="Calibri" w:hAnsi="Book Antiqua" w:cs="Times New Roman"/>
          <w:i/>
          <w:iCs/>
          <w:szCs w:val="22"/>
          <w:lang w:val="es-CR" w:eastAsia="en-US"/>
        </w:rPr>
        <w:t>gratuita….</w:t>
      </w:r>
      <w:proofErr w:type="gramEnd"/>
      <w:r w:rsidRPr="003C5978">
        <w:rPr>
          <w:rFonts w:ascii="Book Antiqua" w:eastAsia="Calibri" w:hAnsi="Book Antiqua" w:cs="Times New Roman"/>
          <w:i/>
          <w:iCs/>
          <w:szCs w:val="22"/>
          <w:lang w:val="es-CR" w:eastAsia="en-US"/>
        </w:rPr>
        <w:t>, . Adicionalmente, proponer en los concursos de estas nuevas plazas, que las personas contratadas dispongan del conocimiento de los diferentes idiomas indígenas de tal forma que se pueda brindar un acceso real y más directo a las personas asistidas en estas zonas.</w:t>
      </w:r>
    </w:p>
    <w:p w14:paraId="7DD36AE8" w14:textId="77777777" w:rsidR="00BC76F1" w:rsidRPr="003C5978" w:rsidRDefault="00BC76F1" w:rsidP="00BC76F1">
      <w:pPr>
        <w:pStyle w:val="Prrafodelista"/>
        <w:numPr>
          <w:ilvl w:val="1"/>
          <w:numId w:val="29"/>
        </w:numPr>
        <w:spacing w:before="0" w:after="160" w:line="360" w:lineRule="auto"/>
        <w:contextualSpacing/>
        <w:rPr>
          <w:rFonts w:ascii="Book Antiqua" w:eastAsia="Calibri" w:hAnsi="Book Antiqua" w:cs="Times New Roman"/>
          <w:i/>
          <w:iCs/>
          <w:szCs w:val="22"/>
          <w:lang w:val="es-CR" w:eastAsia="en-US"/>
        </w:rPr>
      </w:pPr>
      <w:r w:rsidRPr="003C5978">
        <w:rPr>
          <w:rFonts w:ascii="Book Antiqua" w:eastAsia="Calibri" w:hAnsi="Book Antiqua" w:cs="Times New Roman"/>
          <w:i/>
          <w:iCs/>
          <w:szCs w:val="22"/>
          <w:lang w:val="es-CR" w:eastAsia="en-US"/>
        </w:rPr>
        <w:t xml:space="preserve">Analizar en los nuevos concursos habilidades blandas como: </w:t>
      </w:r>
    </w:p>
    <w:p w14:paraId="32B94669" w14:textId="77777777" w:rsidR="00BC76F1" w:rsidRPr="003C5978" w:rsidRDefault="00BC76F1" w:rsidP="00BC76F1">
      <w:pPr>
        <w:pStyle w:val="Prrafodelista"/>
        <w:numPr>
          <w:ilvl w:val="0"/>
          <w:numId w:val="28"/>
        </w:numPr>
        <w:spacing w:before="0" w:after="160" w:line="360" w:lineRule="auto"/>
        <w:contextualSpacing/>
        <w:rPr>
          <w:rFonts w:ascii="Book Antiqua" w:eastAsia="Calibri" w:hAnsi="Book Antiqua" w:cs="Times New Roman"/>
          <w:i/>
          <w:iCs/>
          <w:szCs w:val="22"/>
          <w:lang w:val="es-CR" w:eastAsia="en-US"/>
        </w:rPr>
      </w:pPr>
      <w:r w:rsidRPr="003C5978">
        <w:rPr>
          <w:rFonts w:ascii="Book Antiqua" w:eastAsia="Calibri" w:hAnsi="Book Antiqua" w:cs="Times New Roman"/>
          <w:i/>
          <w:iCs/>
          <w:szCs w:val="22"/>
          <w:lang w:val="es-CR" w:eastAsia="en-US"/>
        </w:rPr>
        <w:t>Disposición para realizar las diligencias in situ</w:t>
      </w:r>
    </w:p>
    <w:p w14:paraId="08CEF500" w14:textId="403D3944" w:rsidR="00BC76F1" w:rsidRPr="003C5978" w:rsidRDefault="00BC76F1" w:rsidP="00BC76F1">
      <w:pPr>
        <w:pStyle w:val="Prrafodelista"/>
        <w:numPr>
          <w:ilvl w:val="0"/>
          <w:numId w:val="28"/>
        </w:numPr>
        <w:spacing w:before="0" w:after="160" w:line="360" w:lineRule="auto"/>
        <w:contextualSpacing/>
        <w:rPr>
          <w:rFonts w:ascii="Book Antiqua" w:eastAsia="Calibri" w:hAnsi="Book Antiqua" w:cs="Times New Roman"/>
          <w:i/>
          <w:iCs/>
          <w:szCs w:val="22"/>
          <w:lang w:val="es-CR" w:eastAsia="en-US"/>
        </w:rPr>
      </w:pPr>
      <w:r w:rsidRPr="003C5978">
        <w:rPr>
          <w:rFonts w:ascii="Book Antiqua" w:eastAsia="Calibri" w:hAnsi="Book Antiqua" w:cs="Times New Roman"/>
          <w:i/>
          <w:iCs/>
          <w:szCs w:val="22"/>
          <w:lang w:val="es-CR" w:eastAsia="en-US"/>
        </w:rPr>
        <w:t xml:space="preserve"> Utilizar diferentes medios de transporte (caballo, camión, bote, panga, </w:t>
      </w:r>
      <w:r w:rsidR="00B97719" w:rsidRPr="003C5978">
        <w:rPr>
          <w:rFonts w:ascii="Book Antiqua" w:eastAsia="Calibri" w:hAnsi="Book Antiqua" w:cs="Times New Roman"/>
          <w:i/>
          <w:iCs/>
          <w:szCs w:val="22"/>
          <w:lang w:val="es-CR" w:eastAsia="en-US"/>
        </w:rPr>
        <w:t>etc.</w:t>
      </w:r>
      <w:r w:rsidRPr="003C5978">
        <w:rPr>
          <w:rFonts w:ascii="Book Antiqua" w:eastAsia="Calibri" w:hAnsi="Book Antiqua" w:cs="Times New Roman"/>
          <w:i/>
          <w:iCs/>
          <w:szCs w:val="22"/>
          <w:lang w:val="es-CR" w:eastAsia="en-US"/>
        </w:rPr>
        <w:t>)</w:t>
      </w:r>
    </w:p>
    <w:p w14:paraId="0699C616" w14:textId="363756A3" w:rsidR="00BC76F1" w:rsidRDefault="00BC76F1" w:rsidP="00BC76F1">
      <w:pPr>
        <w:pStyle w:val="Prrafodelista"/>
        <w:numPr>
          <w:ilvl w:val="0"/>
          <w:numId w:val="28"/>
        </w:numPr>
        <w:spacing w:before="0" w:after="160" w:line="360" w:lineRule="auto"/>
        <w:contextualSpacing/>
        <w:rPr>
          <w:rFonts w:ascii="Book Antiqua" w:eastAsia="Calibri" w:hAnsi="Book Antiqua" w:cs="Times New Roman"/>
          <w:i/>
          <w:iCs/>
          <w:szCs w:val="22"/>
          <w:lang w:val="es-CR" w:eastAsia="en-US"/>
        </w:rPr>
      </w:pPr>
      <w:r w:rsidRPr="003C5978">
        <w:rPr>
          <w:rFonts w:ascii="Book Antiqua" w:eastAsia="Calibri" w:hAnsi="Book Antiqua" w:cs="Times New Roman"/>
          <w:i/>
          <w:iCs/>
          <w:szCs w:val="22"/>
          <w:lang w:val="es-CR" w:eastAsia="en-US"/>
        </w:rPr>
        <w:t>Comprender que la condición social y cultural implica procesos cuyo tiempo para invertirles es mayor, pues los canales de comunicación son diversos en los diferentes procesos y según el género.</w:t>
      </w:r>
    </w:p>
    <w:p w14:paraId="0403885B" w14:textId="77777777" w:rsidR="003C5978" w:rsidRPr="003C5978" w:rsidRDefault="003C5978" w:rsidP="003C5978">
      <w:pPr>
        <w:pStyle w:val="Prrafodelista"/>
        <w:spacing w:before="0" w:after="160" w:line="360" w:lineRule="auto"/>
        <w:ind w:left="720"/>
        <w:contextualSpacing/>
        <w:rPr>
          <w:rFonts w:ascii="Book Antiqua" w:eastAsia="Calibri" w:hAnsi="Book Antiqua" w:cs="Times New Roman"/>
          <w:i/>
          <w:iCs/>
          <w:szCs w:val="22"/>
          <w:lang w:val="es-CR" w:eastAsia="en-US"/>
        </w:rPr>
      </w:pPr>
    </w:p>
    <w:p w14:paraId="5450FF9A" w14:textId="6DF6422A" w:rsidR="00BC76F1" w:rsidRPr="003C5978" w:rsidRDefault="00BC76F1" w:rsidP="00BC76F1">
      <w:pPr>
        <w:pStyle w:val="Prrafodelista"/>
        <w:spacing w:before="0" w:after="160" w:line="360" w:lineRule="auto"/>
        <w:ind w:left="0"/>
        <w:contextualSpacing/>
        <w:rPr>
          <w:rFonts w:ascii="Book Antiqua" w:eastAsia="Calibri" w:hAnsi="Book Antiqua" w:cs="Times New Roman"/>
          <w:i/>
          <w:iCs/>
          <w:szCs w:val="22"/>
          <w:lang w:val="es-CR" w:eastAsia="en-US"/>
        </w:rPr>
      </w:pPr>
      <w:r w:rsidRPr="003C5978">
        <w:rPr>
          <w:rFonts w:ascii="Book Antiqua" w:eastAsia="Calibri" w:hAnsi="Book Antiqua" w:cs="Times New Roman"/>
          <w:i/>
          <w:iCs/>
          <w:szCs w:val="22"/>
          <w:lang w:val="es-CR" w:eastAsia="en-US"/>
        </w:rPr>
        <w:t xml:space="preserve">6.11 Analizar en conjunto con la Defensa Pública las condiciones de los concursos en </w:t>
      </w:r>
      <w:r w:rsidR="00B97719" w:rsidRPr="003C5978">
        <w:rPr>
          <w:rFonts w:ascii="Book Antiqua" w:eastAsia="Calibri" w:hAnsi="Book Antiqua" w:cs="Times New Roman"/>
          <w:i/>
          <w:iCs/>
          <w:szCs w:val="22"/>
          <w:lang w:val="es-CR" w:eastAsia="en-US"/>
        </w:rPr>
        <w:t>propiedad de</w:t>
      </w:r>
      <w:r w:rsidRPr="003C5978">
        <w:rPr>
          <w:rFonts w:ascii="Book Antiqua" w:eastAsia="Calibri" w:hAnsi="Book Antiqua" w:cs="Times New Roman"/>
          <w:i/>
          <w:iCs/>
          <w:szCs w:val="22"/>
          <w:lang w:val="es-CR" w:eastAsia="en-US"/>
        </w:rPr>
        <w:t xml:space="preserve"> las plazas que atienden la materia agraria, de tal forma que se amplié su condición para </w:t>
      </w:r>
      <w:r w:rsidR="00B97719" w:rsidRPr="003C5978">
        <w:rPr>
          <w:rFonts w:ascii="Book Antiqua" w:eastAsia="Calibri" w:hAnsi="Book Antiqua" w:cs="Times New Roman"/>
          <w:i/>
          <w:iCs/>
          <w:szCs w:val="22"/>
          <w:lang w:val="es-CR" w:eastAsia="en-US"/>
        </w:rPr>
        <w:t>que las</w:t>
      </w:r>
      <w:r w:rsidRPr="003C5978">
        <w:rPr>
          <w:rFonts w:ascii="Book Antiqua" w:eastAsia="Calibri" w:hAnsi="Book Antiqua" w:cs="Times New Roman"/>
          <w:i/>
          <w:iCs/>
          <w:szCs w:val="22"/>
          <w:lang w:val="es-CR" w:eastAsia="en-US"/>
        </w:rPr>
        <w:t xml:space="preserve"> mismas puedan atender </w:t>
      </w:r>
      <w:r w:rsidR="00B97719" w:rsidRPr="003C5978">
        <w:rPr>
          <w:rFonts w:ascii="Book Antiqua" w:eastAsia="Calibri" w:hAnsi="Book Antiqua" w:cs="Times New Roman"/>
          <w:i/>
          <w:iCs/>
          <w:szCs w:val="22"/>
          <w:lang w:val="es-CR" w:eastAsia="en-US"/>
        </w:rPr>
        <w:t>eventualmente otras</w:t>
      </w:r>
      <w:r w:rsidRPr="003C5978">
        <w:rPr>
          <w:rFonts w:ascii="Book Antiqua" w:eastAsia="Calibri" w:hAnsi="Book Antiqua" w:cs="Times New Roman"/>
          <w:i/>
          <w:iCs/>
          <w:szCs w:val="22"/>
          <w:lang w:val="es-CR" w:eastAsia="en-US"/>
        </w:rPr>
        <w:t xml:space="preserve"> materias, así como trasladarse a las diferentes zonas que disponga la Dirección de la Defensa Pública.”</w:t>
      </w:r>
    </w:p>
    <w:p w14:paraId="07D5F732" w14:textId="3740EE00" w:rsidR="00BC76F1" w:rsidRDefault="00F64547" w:rsidP="00067366">
      <w:pPr>
        <w:rPr>
          <w:rFonts w:ascii="Book Antiqua" w:hAnsi="Book Antiqua"/>
        </w:rPr>
      </w:pPr>
      <w:r w:rsidRPr="00E85457">
        <w:rPr>
          <w:rFonts w:ascii="Book Antiqua" w:hAnsi="Book Antiqua"/>
        </w:rPr>
        <w:lastRenderedPageBreak/>
        <w:t xml:space="preserve">Por otro lado, </w:t>
      </w:r>
      <w:r w:rsidRPr="00F64547">
        <w:rPr>
          <w:rFonts w:ascii="Book Antiqua" w:hAnsi="Book Antiqua"/>
        </w:rPr>
        <w:t xml:space="preserve">el 27 de abril de 2020 se recibió de </w:t>
      </w:r>
      <w:r w:rsidRPr="00E85457">
        <w:rPr>
          <w:rFonts w:ascii="Book Antiqua" w:hAnsi="Book Antiqua"/>
        </w:rPr>
        <w:t>forma extemporánea</w:t>
      </w:r>
      <w:r w:rsidRPr="00F64547">
        <w:rPr>
          <w:rFonts w:ascii="Book Antiqua" w:hAnsi="Book Antiqua"/>
        </w:rPr>
        <w:t xml:space="preserve"> el oficio PJ-DGH-SAP-135-2020 de la Licda. Ma</w:t>
      </w:r>
      <w:r w:rsidRPr="004D5630">
        <w:rPr>
          <w:rFonts w:ascii="Book Antiqua" w:hAnsi="Book Antiqua"/>
        </w:rPr>
        <w:t>ría Gabriela Mora Zamora, Jefa de Sección de Análisis de Puestos</w:t>
      </w:r>
      <w:r>
        <w:rPr>
          <w:rFonts w:ascii="Book Antiqua" w:hAnsi="Book Antiqua"/>
        </w:rPr>
        <w:t>, donde en relación con el trabajo que se realiza a favor del cumplimiento de la Ley 9593, manifiesta lo siguiente:</w:t>
      </w:r>
    </w:p>
    <w:p w14:paraId="6ADCA654" w14:textId="2C23FD40" w:rsidR="00F64547" w:rsidRPr="00E85457" w:rsidRDefault="00F64547" w:rsidP="00067366">
      <w:pPr>
        <w:rPr>
          <w:rFonts w:ascii="Book Antiqua" w:hAnsi="Book Antiqua"/>
          <w:i/>
          <w:iCs/>
        </w:rPr>
      </w:pPr>
      <w:r w:rsidRPr="00E85457">
        <w:rPr>
          <w:rFonts w:ascii="Book Antiqua" w:hAnsi="Book Antiqua"/>
          <w:i/>
          <w:iCs/>
        </w:rPr>
        <w:t>“Por otra parte, se debe informar que  lo relativo a las condiciones que se deben considerar al contratar nuevo personal, producto de la promulgación de la “Ley 9593 de Acceso a la Justicia de los Pueblos Indígenas”, que la Sección de Análisis de Puestos se encuentra trabajando en la elaboración de las descripciones de clases de puestos para los cargos de Defensor Público; por tal razón los aspectos citados en los puntos transcritos se estarán analizando y valorando si técnicamente corresponde incorporarlos en las  descripciones de clases de puestos; aunado a lo anterior, es dable mencionar que nuestra dependencia, está a la espera de que la Defensa Pública indique respecto a los alcances  esta ley en las tareas de los puestos de Defensor Público.”</w:t>
      </w:r>
    </w:p>
    <w:p w14:paraId="2435EC69" w14:textId="1DE955E8" w:rsidR="47A75149" w:rsidRPr="008D2522" w:rsidRDefault="0CCAD37A" w:rsidP="00377565">
      <w:pPr>
        <w:pStyle w:val="Ttulo2"/>
      </w:pPr>
      <w:r w:rsidRPr="008D2522">
        <w:t>Proyecto</w:t>
      </w:r>
      <w:r w:rsidR="604C4F99" w:rsidRPr="008D2522">
        <w:t xml:space="preserve"> </w:t>
      </w:r>
      <w:r w:rsidR="60EFEED5" w:rsidRPr="008D2522">
        <w:t>de Mejora Integral del Proceso Penal</w:t>
      </w:r>
      <w:r w:rsidR="46F3DC4C" w:rsidRPr="008D2522">
        <w:t xml:space="preserve"> en la Defensa Pública</w:t>
      </w:r>
    </w:p>
    <w:p w14:paraId="05977D21" w14:textId="1B55423E" w:rsidR="47A75149" w:rsidRPr="003C5978" w:rsidRDefault="46F3DC4C" w:rsidP="003C5978">
      <w:pPr>
        <w:spacing w:line="240" w:lineRule="auto"/>
        <w:rPr>
          <w:rFonts w:ascii="Book Antiqua" w:hAnsi="Book Antiqua"/>
        </w:rPr>
      </w:pPr>
      <w:r w:rsidRPr="003C5978">
        <w:rPr>
          <w:rFonts w:ascii="Book Antiqua" w:hAnsi="Book Antiqua"/>
        </w:rPr>
        <w:t>La Corte Plena en la sesión 37-12 del 29 de octubre de 2012, artículo VIII, solicitó definir el modelo de gestión de despachos, posteriormente, en la sesión 15-16 del 16 de mayo de 2016, artículo XVII, aprobó el informe 259-66-SAO-2016 de la Auditoría Judicial relacionada al “Estudio Operativo de los Tribunales Penales.”</w:t>
      </w:r>
    </w:p>
    <w:p w14:paraId="589CFAEE" w14:textId="1F4E0528" w:rsidR="47A75149" w:rsidRPr="003C5978" w:rsidRDefault="46F3DC4C" w:rsidP="003C5978">
      <w:pPr>
        <w:spacing w:line="240" w:lineRule="auto"/>
        <w:rPr>
          <w:rFonts w:ascii="Book Antiqua" w:hAnsi="Book Antiqua"/>
        </w:rPr>
      </w:pPr>
      <w:r w:rsidRPr="003C5978">
        <w:rPr>
          <w:rFonts w:ascii="Book Antiqua" w:hAnsi="Book Antiqua"/>
        </w:rPr>
        <w:t>En consecuencia, e</w:t>
      </w:r>
      <w:r w:rsidR="0B0D01F3" w:rsidRPr="003C5978">
        <w:rPr>
          <w:rFonts w:ascii="Book Antiqua" w:hAnsi="Book Antiqua"/>
        </w:rPr>
        <w:t xml:space="preserve">n sesión del Consejo Superior 5-2019, artículo XXII del 23 de enero de 2019, </w:t>
      </w:r>
      <w:r w:rsidR="7BA388D8" w:rsidRPr="003C5978">
        <w:rPr>
          <w:rFonts w:ascii="Book Antiqua" w:hAnsi="Book Antiqua"/>
        </w:rPr>
        <w:t xml:space="preserve">se </w:t>
      </w:r>
      <w:r w:rsidR="321989E5" w:rsidRPr="003C5978">
        <w:rPr>
          <w:rFonts w:ascii="Book Antiqua" w:hAnsi="Book Antiqua"/>
        </w:rPr>
        <w:t xml:space="preserve">tuvo por rendido el informe 1507-PLA-MI-2018, relacionado con el </w:t>
      </w:r>
      <w:r w:rsidR="321989E5" w:rsidRPr="003C5978">
        <w:rPr>
          <w:rFonts w:ascii="Book Antiqua" w:hAnsi="Book Antiqua"/>
          <w:i/>
          <w:iCs/>
        </w:rPr>
        <w:t>“Modelo de Tramitación de la Defensa Pública”</w:t>
      </w:r>
      <w:r w:rsidR="321989E5" w:rsidRPr="003C5978">
        <w:rPr>
          <w:rFonts w:ascii="Book Antiqua" w:hAnsi="Book Antiqua"/>
        </w:rPr>
        <w:t>.</w:t>
      </w:r>
    </w:p>
    <w:p w14:paraId="076F7E40" w14:textId="288CAA3F" w:rsidR="47A75149" w:rsidRPr="003C5978" w:rsidRDefault="321989E5" w:rsidP="003C5978">
      <w:pPr>
        <w:spacing w:line="240" w:lineRule="auto"/>
        <w:rPr>
          <w:rFonts w:ascii="Book Antiqua" w:hAnsi="Book Antiqua"/>
        </w:rPr>
      </w:pPr>
      <w:r w:rsidRPr="003C5978">
        <w:rPr>
          <w:rFonts w:ascii="Book Antiqua" w:hAnsi="Book Antiqua"/>
        </w:rPr>
        <w:t>Este modelo de tramitación establece una serie de parámetros generales de las características de las ofic</w:t>
      </w:r>
      <w:r w:rsidR="41D73235" w:rsidRPr="003C5978">
        <w:rPr>
          <w:rFonts w:ascii="Book Antiqua" w:hAnsi="Book Antiqua"/>
        </w:rPr>
        <w:t xml:space="preserve">inas de la Defensa Pública, con el fin de mejorar los tiempos de respuesta para brindar un </w:t>
      </w:r>
      <w:r w:rsidR="06531C20" w:rsidRPr="003C5978">
        <w:rPr>
          <w:rFonts w:ascii="Book Antiqua" w:hAnsi="Book Antiqua"/>
        </w:rPr>
        <w:t>servicio público de calidad</w:t>
      </w:r>
      <w:r w:rsidR="400B458E" w:rsidRPr="003C5978">
        <w:rPr>
          <w:rFonts w:ascii="Book Antiqua" w:hAnsi="Book Antiqua"/>
        </w:rPr>
        <w:t xml:space="preserve"> e incrementar la cantidad de debates con la participa</w:t>
      </w:r>
      <w:r w:rsidR="17C2FA49" w:rsidRPr="003C5978">
        <w:rPr>
          <w:rFonts w:ascii="Book Antiqua" w:hAnsi="Book Antiqua"/>
        </w:rPr>
        <w:t>ción de los ámbitos auxiliares de justicia</w:t>
      </w:r>
      <w:r w:rsidR="3F772961" w:rsidRPr="003C5978">
        <w:rPr>
          <w:rFonts w:ascii="Book Antiqua" w:hAnsi="Book Antiqua"/>
        </w:rPr>
        <w:t>. La metodología</w:t>
      </w:r>
      <w:r w:rsidR="5E8AA1EE" w:rsidRPr="003C5978">
        <w:rPr>
          <w:rFonts w:ascii="Book Antiqua" w:hAnsi="Book Antiqua"/>
        </w:rPr>
        <w:t xml:space="preserve"> aprobada establece </w:t>
      </w:r>
      <w:r w:rsidR="3F772961" w:rsidRPr="003C5978">
        <w:rPr>
          <w:rFonts w:ascii="Book Antiqua" w:hAnsi="Book Antiqua"/>
        </w:rPr>
        <w:t xml:space="preserve">dentro de la fase de diseño de propuestas de </w:t>
      </w:r>
      <w:r w:rsidR="21547583" w:rsidRPr="003C5978">
        <w:rPr>
          <w:rFonts w:ascii="Book Antiqua" w:hAnsi="Book Antiqua"/>
        </w:rPr>
        <w:t>mejora</w:t>
      </w:r>
      <w:r w:rsidR="4A15CE6B" w:rsidRPr="003C5978">
        <w:rPr>
          <w:rFonts w:ascii="Book Antiqua" w:hAnsi="Book Antiqua"/>
        </w:rPr>
        <w:t>,</w:t>
      </w:r>
      <w:r w:rsidR="3F772961" w:rsidRPr="003C5978">
        <w:rPr>
          <w:rFonts w:ascii="Book Antiqua" w:hAnsi="Book Antiqua"/>
        </w:rPr>
        <w:t xml:space="preserve"> la posibilidad de </w:t>
      </w:r>
      <w:r w:rsidR="49DB1D0D" w:rsidRPr="003C5978">
        <w:rPr>
          <w:rFonts w:ascii="Book Antiqua" w:hAnsi="Book Antiqua"/>
        </w:rPr>
        <w:t>elaborar rediseños de oficinas con el fin de maximizar la utilización de los recursos disponibles.</w:t>
      </w:r>
    </w:p>
    <w:p w14:paraId="783740B4" w14:textId="3D3D76D2" w:rsidR="67916253" w:rsidRPr="003C5978" w:rsidRDefault="67916253" w:rsidP="003C5978">
      <w:pPr>
        <w:spacing w:line="240" w:lineRule="auto"/>
        <w:rPr>
          <w:rFonts w:ascii="Book Antiqua" w:hAnsi="Book Antiqua"/>
        </w:rPr>
      </w:pPr>
      <w:r w:rsidRPr="003C5978">
        <w:rPr>
          <w:rFonts w:ascii="Book Antiqua" w:hAnsi="Book Antiqua"/>
        </w:rPr>
        <w:lastRenderedPageBreak/>
        <w:t xml:space="preserve">En consecuencia, se estima conveniente </w:t>
      </w:r>
      <w:r w:rsidR="485CF990" w:rsidRPr="003C5978">
        <w:rPr>
          <w:rFonts w:ascii="Book Antiqua" w:hAnsi="Book Antiqua"/>
        </w:rPr>
        <w:t xml:space="preserve">que dentro de los alcances del modelo </w:t>
      </w:r>
      <w:r w:rsidR="4D82669D" w:rsidRPr="003C5978">
        <w:rPr>
          <w:rFonts w:ascii="Book Antiqua" w:hAnsi="Book Antiqua"/>
        </w:rPr>
        <w:t xml:space="preserve">y en los casos que técnicamente corresponda, </w:t>
      </w:r>
      <w:r w:rsidR="485CF990" w:rsidRPr="003C5978">
        <w:rPr>
          <w:rFonts w:ascii="Book Antiqua" w:hAnsi="Book Antiqua"/>
        </w:rPr>
        <w:t xml:space="preserve">se </w:t>
      </w:r>
      <w:r w:rsidR="06CF91A2" w:rsidRPr="003C5978">
        <w:rPr>
          <w:rFonts w:ascii="Book Antiqua" w:hAnsi="Book Antiqua"/>
        </w:rPr>
        <w:t xml:space="preserve">tome en consideración </w:t>
      </w:r>
      <w:r w:rsidR="485CF990" w:rsidRPr="003C5978">
        <w:rPr>
          <w:rFonts w:ascii="Book Antiqua" w:hAnsi="Book Antiqua"/>
        </w:rPr>
        <w:t>la posibilidad de movilizar p</w:t>
      </w:r>
      <w:r w:rsidR="1DAE0C09" w:rsidRPr="003C5978">
        <w:rPr>
          <w:rFonts w:ascii="Book Antiqua" w:hAnsi="Book Antiqua"/>
        </w:rPr>
        <w:t>lazas</w:t>
      </w:r>
      <w:r w:rsidR="485CF990" w:rsidRPr="003C5978">
        <w:rPr>
          <w:rFonts w:ascii="Book Antiqua" w:hAnsi="Book Antiqua"/>
        </w:rPr>
        <w:t xml:space="preserve"> de personas defensoras, para solventar las necesidades </w:t>
      </w:r>
      <w:r w:rsidR="6ABFAFD2" w:rsidRPr="003C5978">
        <w:rPr>
          <w:rFonts w:ascii="Book Antiqua" w:hAnsi="Book Antiqua"/>
        </w:rPr>
        <w:t>institucionales d</w:t>
      </w:r>
      <w:r w:rsidR="6E6AA562" w:rsidRPr="003C5978">
        <w:rPr>
          <w:rFonts w:ascii="Book Antiqua" w:hAnsi="Book Antiqua"/>
        </w:rPr>
        <w:t>e</w:t>
      </w:r>
      <w:r w:rsidR="6ABFAFD2" w:rsidRPr="003C5978">
        <w:rPr>
          <w:rFonts w:ascii="Book Antiqua" w:hAnsi="Book Antiqua"/>
        </w:rPr>
        <w:t xml:space="preserve"> atención a personas indígenas, en virtud </w:t>
      </w:r>
      <w:r w:rsidR="06FAD3BA" w:rsidRPr="003C5978">
        <w:rPr>
          <w:rFonts w:ascii="Book Antiqua" w:hAnsi="Book Antiqua"/>
        </w:rPr>
        <w:t>del impacto organizacional y presupuestario en la Defensa Pública, a partir de la promulgación de la Ley 9593 de Acceso a la Justicia de los Pueblos Indígenas.</w:t>
      </w:r>
      <w:r w:rsidR="1C11CB91" w:rsidRPr="003C5978">
        <w:rPr>
          <w:rFonts w:ascii="Book Antiqua" w:hAnsi="Book Antiqua"/>
        </w:rPr>
        <w:t xml:space="preserve"> L</w:t>
      </w:r>
      <w:r w:rsidR="06FAD3BA" w:rsidRPr="003C5978">
        <w:rPr>
          <w:rFonts w:ascii="Book Antiqua" w:hAnsi="Book Antiqua"/>
        </w:rPr>
        <w:t xml:space="preserve">o anterior en el entendido que </w:t>
      </w:r>
      <w:r w:rsidR="1DAF6697" w:rsidRPr="003C5978">
        <w:rPr>
          <w:rFonts w:ascii="Book Antiqua" w:hAnsi="Book Antiqua"/>
        </w:rPr>
        <w:t>una</w:t>
      </w:r>
      <w:r w:rsidR="06FAD3BA" w:rsidRPr="003C5978">
        <w:rPr>
          <w:rFonts w:ascii="Book Antiqua" w:hAnsi="Book Antiqua"/>
        </w:rPr>
        <w:t xml:space="preserve"> posible </w:t>
      </w:r>
      <w:r w:rsidR="6DD7E0B9" w:rsidRPr="003C5978">
        <w:rPr>
          <w:rFonts w:ascii="Book Antiqua" w:hAnsi="Book Antiqua"/>
        </w:rPr>
        <w:t>movilización</w:t>
      </w:r>
      <w:r w:rsidR="66A836DB" w:rsidRPr="003C5978">
        <w:rPr>
          <w:rFonts w:ascii="Book Antiqua" w:hAnsi="Book Antiqua"/>
        </w:rPr>
        <w:t xml:space="preserve"> </w:t>
      </w:r>
      <w:r w:rsidR="52B8FCB5" w:rsidRPr="003C5978">
        <w:rPr>
          <w:rFonts w:ascii="Book Antiqua" w:hAnsi="Book Antiqua"/>
        </w:rPr>
        <w:t xml:space="preserve">de recursos </w:t>
      </w:r>
      <w:r w:rsidR="3CD0311F" w:rsidRPr="003C5978">
        <w:rPr>
          <w:rFonts w:ascii="Book Antiqua" w:hAnsi="Book Antiqua"/>
        </w:rPr>
        <w:t>dependerá meramente de los estudios técnicos realizados</w:t>
      </w:r>
      <w:r w:rsidR="003FAE5C" w:rsidRPr="003C5978">
        <w:rPr>
          <w:rFonts w:ascii="Book Antiqua" w:hAnsi="Book Antiqua"/>
        </w:rPr>
        <w:t xml:space="preserve"> y</w:t>
      </w:r>
      <w:r w:rsidR="2B6559E1" w:rsidRPr="003C5978">
        <w:rPr>
          <w:rFonts w:ascii="Book Antiqua" w:hAnsi="Book Antiqua"/>
        </w:rPr>
        <w:t xml:space="preserve"> de</w:t>
      </w:r>
      <w:r w:rsidR="65474C6F" w:rsidRPr="003C5978">
        <w:rPr>
          <w:rFonts w:ascii="Book Antiqua" w:hAnsi="Book Antiqua"/>
        </w:rPr>
        <w:t xml:space="preserve"> </w:t>
      </w:r>
      <w:r w:rsidR="62158F77" w:rsidRPr="003C5978">
        <w:rPr>
          <w:rFonts w:ascii="Book Antiqua" w:hAnsi="Book Antiqua"/>
        </w:rPr>
        <w:t xml:space="preserve">una priorización según las necesidades </w:t>
      </w:r>
      <w:r w:rsidR="3F951EDC" w:rsidRPr="003C5978">
        <w:rPr>
          <w:rFonts w:ascii="Book Antiqua" w:hAnsi="Book Antiqua"/>
        </w:rPr>
        <w:t xml:space="preserve">institucionales </w:t>
      </w:r>
      <w:r w:rsidR="62158F77" w:rsidRPr="003C5978">
        <w:rPr>
          <w:rFonts w:ascii="Book Antiqua" w:hAnsi="Book Antiqua"/>
        </w:rPr>
        <w:t>previamente detectadas.</w:t>
      </w:r>
    </w:p>
    <w:p w14:paraId="7A0433B9" w14:textId="7FE7F6EF" w:rsidR="00AB71E9" w:rsidRPr="00616A48" w:rsidRDefault="00AB71E9" w:rsidP="00410F64">
      <w:pPr>
        <w:pStyle w:val="Ttulo3"/>
        <w:numPr>
          <w:ilvl w:val="0"/>
          <w:numId w:val="35"/>
        </w:numPr>
      </w:pPr>
      <w:r w:rsidRPr="00616A48">
        <w:t xml:space="preserve">Oficinas de la Defensa Pública abordadas en el Proyecto Modelo Integral del Proceso Penal </w:t>
      </w:r>
    </w:p>
    <w:p w14:paraId="7572C6D5" w14:textId="449A923F" w:rsidR="00AB71E9" w:rsidRPr="003C5978" w:rsidRDefault="005E31AC" w:rsidP="003C5978">
      <w:pPr>
        <w:spacing w:line="240" w:lineRule="auto"/>
        <w:rPr>
          <w:rFonts w:ascii="Book Antiqua" w:hAnsi="Book Antiqua"/>
        </w:rPr>
      </w:pPr>
      <w:r w:rsidRPr="003C5978">
        <w:rPr>
          <w:rFonts w:ascii="Book Antiqua" w:hAnsi="Book Antiqua"/>
        </w:rPr>
        <w:t>D</w:t>
      </w:r>
      <w:r w:rsidR="00CF250F" w:rsidRPr="003C5978">
        <w:rPr>
          <w:rFonts w:ascii="Book Antiqua" w:hAnsi="Book Antiqua"/>
        </w:rPr>
        <w:t xml:space="preserve">esde </w:t>
      </w:r>
      <w:r w:rsidRPr="003C5978">
        <w:rPr>
          <w:rFonts w:ascii="Book Antiqua" w:hAnsi="Book Antiqua"/>
        </w:rPr>
        <w:t xml:space="preserve">el año 2019, la Dirección </w:t>
      </w:r>
      <w:r w:rsidR="00710920" w:rsidRPr="003C5978">
        <w:rPr>
          <w:rFonts w:ascii="Book Antiqua" w:hAnsi="Book Antiqua"/>
        </w:rPr>
        <w:t xml:space="preserve">de Planificación se </w:t>
      </w:r>
      <w:r w:rsidR="00CF250F" w:rsidRPr="003C5978">
        <w:rPr>
          <w:rFonts w:ascii="Book Antiqua" w:hAnsi="Book Antiqua"/>
        </w:rPr>
        <w:t>ha mantenido haciendo ab</w:t>
      </w:r>
      <w:r w:rsidR="00710920" w:rsidRPr="003C5978">
        <w:rPr>
          <w:rFonts w:ascii="Book Antiqua" w:hAnsi="Book Antiqua"/>
        </w:rPr>
        <w:t>ordajes en materia penal en las diferentes oficinas de la Defensa Pública</w:t>
      </w:r>
      <w:r w:rsidR="00CF250F" w:rsidRPr="003C5978">
        <w:rPr>
          <w:rFonts w:ascii="Book Antiqua" w:hAnsi="Book Antiqua"/>
        </w:rPr>
        <w:t xml:space="preserve"> y</w:t>
      </w:r>
      <w:r w:rsidR="00710920" w:rsidRPr="003C5978">
        <w:rPr>
          <w:rFonts w:ascii="Book Antiqua" w:hAnsi="Book Antiqua"/>
        </w:rPr>
        <w:t xml:space="preserve">, según el apartado </w:t>
      </w:r>
      <w:r w:rsidR="00CF250F" w:rsidRPr="003C5978">
        <w:rPr>
          <w:rFonts w:ascii="Book Antiqua" w:hAnsi="Book Antiqua"/>
        </w:rPr>
        <w:t xml:space="preserve">del presente informe denominado </w:t>
      </w:r>
      <w:r w:rsidR="00710920" w:rsidRPr="003C5978">
        <w:rPr>
          <w:rFonts w:ascii="Book Antiqua" w:hAnsi="Book Antiqua"/>
        </w:rPr>
        <w:t xml:space="preserve">“Aspectos demográficos a considerar”, las oficinas abordadas en el proyecto que </w:t>
      </w:r>
      <w:r w:rsidR="00CF250F" w:rsidRPr="003C5978">
        <w:rPr>
          <w:rFonts w:ascii="Book Antiqua" w:hAnsi="Book Antiqua"/>
        </w:rPr>
        <w:t xml:space="preserve">son </w:t>
      </w:r>
      <w:r w:rsidR="00710920" w:rsidRPr="003C5978">
        <w:rPr>
          <w:rFonts w:ascii="Book Antiqua" w:hAnsi="Book Antiqua"/>
        </w:rPr>
        <w:t xml:space="preserve">cercanas a las zonas de mayor cantidad de personas usuarias indígenas son la Defensa Pública de Limón y Bribrí. </w:t>
      </w:r>
    </w:p>
    <w:p w14:paraId="4C699D21" w14:textId="055748DA" w:rsidR="00CF250F" w:rsidRPr="003C5978" w:rsidRDefault="00710920" w:rsidP="003C5978">
      <w:pPr>
        <w:spacing w:line="240" w:lineRule="auto"/>
        <w:rPr>
          <w:rFonts w:ascii="Book Antiqua" w:hAnsi="Book Antiqua"/>
        </w:rPr>
      </w:pPr>
      <w:r w:rsidRPr="003C5978">
        <w:rPr>
          <w:rFonts w:ascii="Book Antiqua" w:hAnsi="Book Antiqua"/>
        </w:rPr>
        <w:t xml:space="preserve">Producto del abordaje de la Defensa Pública se Bribri se </w:t>
      </w:r>
      <w:r w:rsidR="00FF1C99" w:rsidRPr="003C5978">
        <w:rPr>
          <w:rFonts w:ascii="Book Antiqua" w:hAnsi="Book Antiqua"/>
        </w:rPr>
        <w:t>infiere</w:t>
      </w:r>
      <w:r w:rsidRPr="003C5978">
        <w:rPr>
          <w:rFonts w:ascii="Book Antiqua" w:hAnsi="Book Antiqua"/>
        </w:rPr>
        <w:t xml:space="preserve"> que, con base en el análisis estadístico</w:t>
      </w:r>
      <w:r w:rsidR="00FF1C99" w:rsidRPr="003C5978">
        <w:rPr>
          <w:rFonts w:ascii="Book Antiqua" w:hAnsi="Book Antiqua"/>
        </w:rPr>
        <w:t xml:space="preserve">, </w:t>
      </w:r>
      <w:r w:rsidRPr="003C5978">
        <w:rPr>
          <w:rFonts w:ascii="Book Antiqua" w:hAnsi="Book Antiqua"/>
        </w:rPr>
        <w:t xml:space="preserve">la demanda </w:t>
      </w:r>
      <w:r w:rsidR="00FF1C99" w:rsidRPr="003C5978">
        <w:rPr>
          <w:rFonts w:ascii="Book Antiqua" w:hAnsi="Book Antiqua"/>
        </w:rPr>
        <w:t xml:space="preserve">en la cantidad de asuntos nuevos o ingresados </w:t>
      </w:r>
      <w:r w:rsidRPr="003C5978">
        <w:rPr>
          <w:rFonts w:ascii="Book Antiqua" w:hAnsi="Book Antiqua"/>
        </w:rPr>
        <w:t>de la oficina tien</w:t>
      </w:r>
      <w:r w:rsidR="00FF1C99" w:rsidRPr="003C5978">
        <w:rPr>
          <w:rFonts w:ascii="Book Antiqua" w:hAnsi="Book Antiqua"/>
        </w:rPr>
        <w:t>d</w:t>
      </w:r>
      <w:r w:rsidRPr="003C5978">
        <w:rPr>
          <w:rFonts w:ascii="Book Antiqua" w:hAnsi="Book Antiqua"/>
        </w:rPr>
        <w:t xml:space="preserve">e al crecimiento y, </w:t>
      </w:r>
      <w:r w:rsidR="00CF250F" w:rsidRPr="003C5978">
        <w:rPr>
          <w:rFonts w:ascii="Book Antiqua" w:hAnsi="Book Antiqua"/>
        </w:rPr>
        <w:t xml:space="preserve">que </w:t>
      </w:r>
      <w:r w:rsidRPr="003C5978">
        <w:rPr>
          <w:rFonts w:ascii="Book Antiqua" w:hAnsi="Book Antiqua"/>
        </w:rPr>
        <w:t>la carga de trabajo reportada por persona defensora se encuentra por encima de la carga definida en el Modelo de Tramitación de la Defensa Pública; además, de que hay que considerar que el 24% de los asuntos</w:t>
      </w:r>
      <w:r w:rsidR="00FF1C99" w:rsidRPr="003C5978">
        <w:rPr>
          <w:rFonts w:ascii="Book Antiqua" w:hAnsi="Book Antiqua"/>
        </w:rPr>
        <w:t xml:space="preserve"> activos</w:t>
      </w:r>
      <w:r w:rsidRPr="003C5978">
        <w:rPr>
          <w:rFonts w:ascii="Book Antiqua" w:hAnsi="Book Antiqua"/>
        </w:rPr>
        <w:t xml:space="preserve"> </w:t>
      </w:r>
      <w:r w:rsidR="00CF250F" w:rsidRPr="003C5978">
        <w:rPr>
          <w:rFonts w:ascii="Book Antiqua" w:hAnsi="Book Antiqua"/>
        </w:rPr>
        <w:t>en estado en trámite presentan al menos una persona usuaria indígena en calidad de interviniente y por tal, se deben considerar aspectos cualitativos en la atención de esta población para obtener un servicio público de calidad. En consecuencia, se estableció la necesidad de contar con un recurso adicional de Persona Defensora que colabore en materia penal, lo anterior supeditado a las limitaciones presupuestarias.</w:t>
      </w:r>
      <w:r w:rsidR="00FF1C99" w:rsidRPr="003C5978">
        <w:rPr>
          <w:rFonts w:ascii="Book Antiqua" w:hAnsi="Book Antiqua"/>
        </w:rPr>
        <w:t xml:space="preserve"> </w:t>
      </w:r>
    </w:p>
    <w:p w14:paraId="7355AD50" w14:textId="0AE43D4B" w:rsidR="00FF1C99" w:rsidRPr="003C5978" w:rsidRDefault="00CF250F" w:rsidP="003C5978">
      <w:pPr>
        <w:spacing w:line="240" w:lineRule="auto"/>
        <w:rPr>
          <w:rFonts w:ascii="Book Antiqua" w:hAnsi="Book Antiqua"/>
        </w:rPr>
      </w:pPr>
      <w:r w:rsidRPr="003C5978">
        <w:rPr>
          <w:rFonts w:ascii="Book Antiqua" w:hAnsi="Book Antiqua"/>
        </w:rPr>
        <w:t>Aunado a lo anterior, también se realizó el abordaje en la Defensa Pública de Limón</w:t>
      </w:r>
      <w:r w:rsidR="00FF1C99" w:rsidRPr="003C5978">
        <w:rPr>
          <w:rFonts w:ascii="Book Antiqua" w:hAnsi="Book Antiqua"/>
        </w:rPr>
        <w:t xml:space="preserve">, donde se determina, por medio del análisis estadístico, que la demanda en la cantidad de asuntos nuevos </w:t>
      </w:r>
      <w:r w:rsidR="004E6296" w:rsidRPr="003C5978">
        <w:rPr>
          <w:rFonts w:ascii="Book Antiqua" w:hAnsi="Book Antiqua"/>
        </w:rPr>
        <w:t xml:space="preserve">en materia penal ordinaria </w:t>
      </w:r>
      <w:r w:rsidR="00FF1C99" w:rsidRPr="003C5978">
        <w:rPr>
          <w:rFonts w:ascii="Book Antiqua" w:hAnsi="Book Antiqua"/>
        </w:rPr>
        <w:t>se la mantenido aproximadamente constante en el tiempo y, que la carga de trabajo reportada por cada persona defensora en materia penal ordinario se encuentra dentro de los parámetros definidos en el Modelo de Tramitación de la Defensa Pública.</w:t>
      </w:r>
      <w:r w:rsidR="004E6296" w:rsidRPr="003C5978">
        <w:rPr>
          <w:rFonts w:ascii="Book Antiqua" w:hAnsi="Book Antiqua"/>
        </w:rPr>
        <w:t xml:space="preserve"> Adicionalmente, por cargas de trabajo </w:t>
      </w:r>
      <w:r w:rsidR="00524458" w:rsidRPr="003C5978">
        <w:rPr>
          <w:rFonts w:ascii="Book Antiqua" w:hAnsi="Book Antiqua"/>
        </w:rPr>
        <w:t xml:space="preserve">reportadas por </w:t>
      </w:r>
      <w:r w:rsidR="004E6296" w:rsidRPr="003C5978">
        <w:rPr>
          <w:rFonts w:ascii="Book Antiqua" w:hAnsi="Book Antiqua"/>
        </w:rPr>
        <w:t>las Técnicas o Técnicos Jurídicos se considera que</w:t>
      </w:r>
      <w:r w:rsidR="00524458" w:rsidRPr="003C5978">
        <w:rPr>
          <w:rFonts w:ascii="Book Antiqua" w:hAnsi="Book Antiqua"/>
        </w:rPr>
        <w:t xml:space="preserve">, de encontrarse las condiciones idóneas, se podría recalificar una de esas plazas a Defensora o Defensor Público y así, atender las </w:t>
      </w:r>
      <w:r w:rsidR="00524458" w:rsidRPr="003C5978">
        <w:rPr>
          <w:rFonts w:ascii="Book Antiqua" w:hAnsi="Book Antiqua"/>
        </w:rPr>
        <w:lastRenderedPageBreak/>
        <w:t xml:space="preserve">necesidades de la zona. No obstante, esta propuesta está sujeta a las aprobaciones correspondientes. </w:t>
      </w:r>
    </w:p>
    <w:p w14:paraId="09E97DE6" w14:textId="10044B3D" w:rsidR="004E6296" w:rsidRPr="003C5978" w:rsidRDefault="00524458" w:rsidP="003C5978">
      <w:pPr>
        <w:spacing w:line="240" w:lineRule="auto"/>
        <w:rPr>
          <w:rFonts w:ascii="Book Antiqua" w:hAnsi="Book Antiqua"/>
        </w:rPr>
      </w:pPr>
      <w:r w:rsidRPr="003C5978">
        <w:rPr>
          <w:rFonts w:ascii="Book Antiqua" w:hAnsi="Book Antiqua"/>
        </w:rPr>
        <w:t>Además</w:t>
      </w:r>
      <w:r w:rsidR="004E6296" w:rsidRPr="003C5978">
        <w:rPr>
          <w:rFonts w:ascii="Book Antiqua" w:hAnsi="Book Antiqua"/>
        </w:rPr>
        <w:t>, es importante hacer recalcar que, la Dirección de Planificación durante el 2019 realizó el abordaje en las oficinas de la Defensa Pública de Flagrancia del Primer y Segundo circuito Judicial, donde, con base en el análisis de cargas de trabajo y la capacidad del proceso expedito de Flagrancia, se podría eventualmente trasladar recursos de Defensora o Defensor Pública donde se considere exista mayor necesidad del mismo.</w:t>
      </w:r>
      <w:r w:rsidRPr="003C5978">
        <w:rPr>
          <w:rFonts w:ascii="Book Antiqua" w:hAnsi="Book Antiqua"/>
        </w:rPr>
        <w:t xml:space="preserve"> Sin embargo, esta recomendación se encuentra sujeta a la aprobación de los Modelos de Flagrancia, tanto en el Ambiento Auxiliar de Justicia, como en el Ámbito Jurisdiccional. </w:t>
      </w:r>
    </w:p>
    <w:p w14:paraId="298AD533" w14:textId="119FF25F" w:rsidR="00FF1C99" w:rsidRPr="003C5978" w:rsidRDefault="004E6296" w:rsidP="003C5978">
      <w:pPr>
        <w:spacing w:line="240" w:lineRule="auto"/>
        <w:rPr>
          <w:rFonts w:ascii="Book Antiqua" w:hAnsi="Book Antiqua"/>
        </w:rPr>
      </w:pPr>
      <w:r w:rsidRPr="003C5978">
        <w:rPr>
          <w:rFonts w:ascii="Book Antiqua" w:hAnsi="Book Antiqua"/>
        </w:rPr>
        <w:t xml:space="preserve">Por lo anterior, se evidencia que producto de los abordajes de la Dirección de Planificación se han </w:t>
      </w:r>
      <w:r w:rsidR="00524458" w:rsidRPr="003C5978">
        <w:rPr>
          <w:rFonts w:ascii="Book Antiqua" w:hAnsi="Book Antiqua"/>
        </w:rPr>
        <w:t>brindado</w:t>
      </w:r>
      <w:r w:rsidRPr="003C5978">
        <w:rPr>
          <w:rFonts w:ascii="Book Antiqua" w:hAnsi="Book Antiqua"/>
        </w:rPr>
        <w:t xml:space="preserve"> alternativas para solventar las necesidades instituciones</w:t>
      </w:r>
      <w:r w:rsidR="00524458" w:rsidRPr="003C5978">
        <w:rPr>
          <w:rFonts w:ascii="Book Antiqua" w:hAnsi="Book Antiqua"/>
        </w:rPr>
        <w:t>, en</w:t>
      </w:r>
      <w:r w:rsidRPr="003C5978">
        <w:rPr>
          <w:rFonts w:ascii="Book Antiqua" w:hAnsi="Book Antiqua"/>
        </w:rPr>
        <w:t xml:space="preserve"> las zonas del país que más lo requier</w:t>
      </w:r>
      <w:r w:rsidR="00524458" w:rsidRPr="003C5978">
        <w:rPr>
          <w:rFonts w:ascii="Book Antiqua" w:hAnsi="Book Antiqua"/>
        </w:rPr>
        <w:t>e</w:t>
      </w:r>
      <w:r w:rsidRPr="003C5978">
        <w:rPr>
          <w:rFonts w:ascii="Book Antiqua" w:hAnsi="Book Antiqua"/>
        </w:rPr>
        <w:t>n. Sin embargo, estas alternativas de solución se encuentra</w:t>
      </w:r>
      <w:r w:rsidR="00524458" w:rsidRPr="003C5978">
        <w:rPr>
          <w:rFonts w:ascii="Book Antiqua" w:hAnsi="Book Antiqua"/>
        </w:rPr>
        <w:t>n</w:t>
      </w:r>
      <w:r w:rsidRPr="003C5978">
        <w:rPr>
          <w:rFonts w:ascii="Book Antiqua" w:hAnsi="Book Antiqua"/>
        </w:rPr>
        <w:t xml:space="preserve"> sujetas a la aprobación de los informes respectivos y actualmente son objeto de seguimiento. </w:t>
      </w:r>
    </w:p>
    <w:p w14:paraId="3946EFDD" w14:textId="09A66E55" w:rsidR="00710920" w:rsidRDefault="00710920" w:rsidP="00067366"/>
    <w:p w14:paraId="6DBF907A" w14:textId="77777777" w:rsidR="00C252B7" w:rsidRDefault="00C252B7" w:rsidP="00C252B7"/>
    <w:p w14:paraId="28DCF9C3" w14:textId="77777777" w:rsidR="51B5DEC9" w:rsidRPr="00067366" w:rsidRDefault="51B5DEC9" w:rsidP="003C5978">
      <w:pPr>
        <w:pStyle w:val="Ttulo1"/>
      </w:pPr>
      <w:r w:rsidRPr="00067366">
        <w:t>Contenido presupuestario</w:t>
      </w:r>
    </w:p>
    <w:p w14:paraId="32E941B3" w14:textId="6BBD70AE" w:rsidR="51B5DEC9" w:rsidRPr="003C5978" w:rsidRDefault="51B5DEC9" w:rsidP="003C5978">
      <w:pPr>
        <w:spacing w:line="240" w:lineRule="auto"/>
        <w:rPr>
          <w:rFonts w:ascii="Book Antiqua" w:hAnsi="Book Antiqua"/>
        </w:rPr>
      </w:pPr>
      <w:r w:rsidRPr="003C5978">
        <w:rPr>
          <w:rFonts w:ascii="Book Antiqua" w:hAnsi="Book Antiqua"/>
        </w:rPr>
        <w:t xml:space="preserve">En el siguiente cuadro, se detalla el costo estimado de las dos plazas extraordinarias de Defensor Público, las cuales asumirán como parte de la carga de trabajo ordinaria la atención de los asuntos de Pensión Alimentaria donde figure como parte actora o demanda una o más personas indígenas. Además, se estima el costo estimado del mobiliario y equipo a asignar a las plazas en mención. </w:t>
      </w:r>
    </w:p>
    <w:p w14:paraId="7F244EDD" w14:textId="230182F4" w:rsidR="00E57630" w:rsidRPr="008D2522" w:rsidRDefault="00E57630" w:rsidP="00055CFC">
      <w:pPr>
        <w:pStyle w:val="Descripcin"/>
        <w:keepNext/>
        <w:spacing w:before="0" w:after="0"/>
        <w:jc w:val="center"/>
        <w:rPr>
          <w:rFonts w:cs="Arial"/>
          <w:sz w:val="24"/>
          <w:szCs w:val="24"/>
        </w:rPr>
      </w:pPr>
      <w:r w:rsidRPr="008D2522">
        <w:rPr>
          <w:rFonts w:cs="Arial"/>
          <w:sz w:val="24"/>
          <w:szCs w:val="24"/>
        </w:rPr>
        <w:t xml:space="preserve">Tabla </w:t>
      </w:r>
      <w:r w:rsidRPr="008D2522">
        <w:rPr>
          <w:rFonts w:cs="Arial"/>
          <w:sz w:val="24"/>
          <w:szCs w:val="24"/>
        </w:rPr>
        <w:fldChar w:fldCharType="begin"/>
      </w:r>
      <w:r w:rsidRPr="008D2522">
        <w:rPr>
          <w:rFonts w:cs="Arial"/>
          <w:sz w:val="24"/>
          <w:szCs w:val="24"/>
        </w:rPr>
        <w:instrText xml:space="preserve"> SEQ Tabla \* ARABIC </w:instrText>
      </w:r>
      <w:r w:rsidRPr="008D2522">
        <w:rPr>
          <w:rFonts w:cs="Arial"/>
          <w:sz w:val="24"/>
          <w:szCs w:val="24"/>
        </w:rPr>
        <w:fldChar w:fldCharType="separate"/>
      </w:r>
      <w:r w:rsidR="005B5D07">
        <w:rPr>
          <w:rFonts w:cs="Arial"/>
          <w:noProof/>
          <w:sz w:val="24"/>
          <w:szCs w:val="24"/>
        </w:rPr>
        <w:t>9</w:t>
      </w:r>
      <w:r w:rsidRPr="008D2522">
        <w:rPr>
          <w:rFonts w:cs="Arial"/>
          <w:sz w:val="24"/>
          <w:szCs w:val="24"/>
        </w:rPr>
        <w:fldChar w:fldCharType="end"/>
      </w:r>
      <w:r w:rsidRPr="008D2522">
        <w:rPr>
          <w:rFonts w:cs="Arial"/>
          <w:sz w:val="24"/>
          <w:szCs w:val="24"/>
        </w:rPr>
        <w:t xml:space="preserve"> </w:t>
      </w:r>
      <w:r w:rsidRPr="008D2522">
        <w:rPr>
          <w:rFonts w:eastAsia="Arial" w:cs="Arial"/>
          <w:sz w:val="24"/>
          <w:szCs w:val="24"/>
        </w:rPr>
        <w:t>Estimación del costo estimado para el 2021, dos plazas extraordinarias de Defensor Público que atienden materia Pensión</w:t>
      </w:r>
      <w:r w:rsidR="00067366">
        <w:rPr>
          <w:rFonts w:eastAsia="Arial" w:cs="Arial"/>
          <w:sz w:val="24"/>
          <w:szCs w:val="24"/>
        </w:rPr>
        <w:t xml:space="preserve"> </w:t>
      </w:r>
      <w:r w:rsidRPr="008D2522">
        <w:rPr>
          <w:rFonts w:eastAsia="Arial" w:cs="Arial"/>
          <w:sz w:val="24"/>
          <w:szCs w:val="24"/>
        </w:rPr>
        <w:t>Alimentaria.</w:t>
      </w:r>
    </w:p>
    <w:tbl>
      <w:tblPr>
        <w:tblW w:w="5148" w:type="pct"/>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4A0" w:firstRow="1" w:lastRow="0" w:firstColumn="1" w:lastColumn="0" w:noHBand="0" w:noVBand="1"/>
      </w:tblPr>
      <w:tblGrid>
        <w:gridCol w:w="1195"/>
        <w:gridCol w:w="1051"/>
        <w:gridCol w:w="991"/>
        <w:gridCol w:w="1309"/>
        <w:gridCol w:w="1571"/>
        <w:gridCol w:w="1045"/>
        <w:gridCol w:w="1927"/>
      </w:tblGrid>
      <w:tr w:rsidR="00E57630" w:rsidRPr="008D2522" w14:paraId="52DBFF84" w14:textId="77777777" w:rsidTr="428D63EB">
        <w:trPr>
          <w:trHeight w:val="407"/>
        </w:trPr>
        <w:tc>
          <w:tcPr>
            <w:tcW w:w="658" w:type="pct"/>
            <w:shd w:val="clear" w:color="auto" w:fill="1F3864" w:themeFill="accent1" w:themeFillShade="80"/>
            <w:vAlign w:val="center"/>
          </w:tcPr>
          <w:p w14:paraId="41C3DD19" w14:textId="0C2309C3" w:rsidR="00E57630" w:rsidRPr="008D2522" w:rsidRDefault="00E57630" w:rsidP="00055CFC">
            <w:pPr>
              <w:spacing w:before="0" w:after="0"/>
              <w:jc w:val="center"/>
              <w:rPr>
                <w:rFonts w:eastAsia="Arial" w:cs="Arial"/>
                <w:b/>
                <w:bCs/>
                <w:sz w:val="22"/>
                <w:lang w:eastAsia="es-CR"/>
              </w:rPr>
            </w:pPr>
            <w:r w:rsidRPr="008D2522">
              <w:rPr>
                <w:rFonts w:eastAsia="Arial" w:cs="Arial"/>
                <w:b/>
                <w:bCs/>
                <w:sz w:val="22"/>
                <w:lang w:eastAsia="es-CR"/>
              </w:rPr>
              <w:t>Despacho</w:t>
            </w:r>
          </w:p>
        </w:tc>
        <w:tc>
          <w:tcPr>
            <w:tcW w:w="578" w:type="pct"/>
            <w:shd w:val="clear" w:color="auto" w:fill="1F3864" w:themeFill="accent1" w:themeFillShade="80"/>
            <w:vAlign w:val="center"/>
          </w:tcPr>
          <w:p w14:paraId="62A53429" w14:textId="77777777" w:rsidR="00E57630" w:rsidRPr="008D2522" w:rsidRDefault="00E57630" w:rsidP="00055CFC">
            <w:pPr>
              <w:spacing w:before="0" w:after="0"/>
              <w:jc w:val="center"/>
              <w:rPr>
                <w:rFonts w:eastAsia="Arial" w:cs="Arial"/>
                <w:b/>
                <w:bCs/>
                <w:sz w:val="22"/>
                <w:lang w:eastAsia="es-CR"/>
              </w:rPr>
            </w:pPr>
            <w:r w:rsidRPr="008D2522">
              <w:rPr>
                <w:rFonts w:eastAsia="Arial" w:cs="Arial"/>
                <w:b/>
                <w:bCs/>
                <w:sz w:val="22"/>
                <w:lang w:eastAsia="es-CR"/>
              </w:rPr>
              <w:t>Cantidad</w:t>
            </w:r>
          </w:p>
        </w:tc>
        <w:tc>
          <w:tcPr>
            <w:tcW w:w="545" w:type="pct"/>
            <w:shd w:val="clear" w:color="auto" w:fill="1F3864" w:themeFill="accent1" w:themeFillShade="80"/>
            <w:vAlign w:val="center"/>
          </w:tcPr>
          <w:p w14:paraId="62EEEEF9" w14:textId="77777777" w:rsidR="00E57630" w:rsidRPr="008D2522" w:rsidRDefault="00E57630" w:rsidP="00055CFC">
            <w:pPr>
              <w:spacing w:before="0" w:after="0"/>
              <w:jc w:val="center"/>
              <w:rPr>
                <w:rFonts w:eastAsia="Arial" w:cs="Arial"/>
                <w:b/>
                <w:bCs/>
                <w:sz w:val="22"/>
                <w:lang w:eastAsia="es-CR"/>
              </w:rPr>
            </w:pPr>
            <w:r w:rsidRPr="008D2522">
              <w:rPr>
                <w:rFonts w:eastAsia="Arial" w:cs="Arial"/>
                <w:b/>
                <w:bCs/>
                <w:sz w:val="22"/>
                <w:lang w:eastAsia="es-CR"/>
              </w:rPr>
              <w:t>Tipo de plaza</w:t>
            </w:r>
          </w:p>
        </w:tc>
        <w:tc>
          <w:tcPr>
            <w:tcW w:w="720" w:type="pct"/>
            <w:shd w:val="clear" w:color="auto" w:fill="1F3864" w:themeFill="accent1" w:themeFillShade="80"/>
            <w:vAlign w:val="center"/>
          </w:tcPr>
          <w:p w14:paraId="6CD749A5" w14:textId="77777777" w:rsidR="00E57630" w:rsidRPr="008D2522" w:rsidRDefault="00E57630" w:rsidP="00055CFC">
            <w:pPr>
              <w:spacing w:before="0" w:after="0"/>
              <w:jc w:val="center"/>
              <w:rPr>
                <w:rFonts w:eastAsia="Arial" w:cs="Arial"/>
                <w:b/>
                <w:bCs/>
                <w:sz w:val="22"/>
                <w:lang w:eastAsia="es-CR"/>
              </w:rPr>
            </w:pPr>
            <w:r w:rsidRPr="008D2522">
              <w:rPr>
                <w:rFonts w:eastAsia="Arial" w:cs="Arial"/>
                <w:b/>
                <w:bCs/>
                <w:sz w:val="22"/>
                <w:lang w:eastAsia="es-CR"/>
              </w:rPr>
              <w:t>Condición actual</w:t>
            </w:r>
          </w:p>
        </w:tc>
        <w:tc>
          <w:tcPr>
            <w:tcW w:w="864" w:type="pct"/>
            <w:shd w:val="clear" w:color="auto" w:fill="1F3864" w:themeFill="accent1" w:themeFillShade="80"/>
            <w:vAlign w:val="center"/>
          </w:tcPr>
          <w:p w14:paraId="0CDB4246" w14:textId="69AD3743" w:rsidR="00E57630" w:rsidRPr="008D2522" w:rsidRDefault="00E57630" w:rsidP="00055CFC">
            <w:pPr>
              <w:spacing w:before="0" w:after="0"/>
              <w:jc w:val="center"/>
              <w:rPr>
                <w:rFonts w:eastAsia="Arial" w:cs="Arial"/>
                <w:b/>
                <w:bCs/>
                <w:sz w:val="22"/>
                <w:lang w:eastAsia="es-CR"/>
              </w:rPr>
            </w:pPr>
            <w:r w:rsidRPr="008D2522">
              <w:rPr>
                <w:rFonts w:eastAsia="Arial" w:cs="Arial"/>
                <w:b/>
                <w:bCs/>
                <w:sz w:val="22"/>
                <w:lang w:eastAsia="es-CR"/>
              </w:rPr>
              <w:t>Recomen-dación</w:t>
            </w:r>
          </w:p>
        </w:tc>
        <w:tc>
          <w:tcPr>
            <w:tcW w:w="575" w:type="pct"/>
            <w:shd w:val="clear" w:color="auto" w:fill="1F3864" w:themeFill="accent1" w:themeFillShade="80"/>
            <w:vAlign w:val="center"/>
          </w:tcPr>
          <w:p w14:paraId="6A908ECC" w14:textId="77777777" w:rsidR="00E57630" w:rsidRPr="008D2522" w:rsidRDefault="00E57630" w:rsidP="00055CFC">
            <w:pPr>
              <w:spacing w:before="0" w:after="0"/>
              <w:jc w:val="center"/>
              <w:rPr>
                <w:rFonts w:eastAsia="Arial" w:cs="Arial"/>
                <w:b/>
                <w:bCs/>
                <w:sz w:val="22"/>
                <w:lang w:eastAsia="es-CR"/>
              </w:rPr>
            </w:pPr>
            <w:r w:rsidRPr="008D2522">
              <w:rPr>
                <w:rFonts w:eastAsia="Arial" w:cs="Arial"/>
                <w:b/>
                <w:bCs/>
                <w:sz w:val="22"/>
                <w:lang w:eastAsia="es-CR"/>
              </w:rPr>
              <w:t>Período</w:t>
            </w:r>
          </w:p>
        </w:tc>
        <w:tc>
          <w:tcPr>
            <w:tcW w:w="1061" w:type="pct"/>
            <w:shd w:val="clear" w:color="auto" w:fill="1F3864" w:themeFill="accent1" w:themeFillShade="80"/>
            <w:vAlign w:val="center"/>
          </w:tcPr>
          <w:p w14:paraId="621EEB8D" w14:textId="77777777" w:rsidR="00E57630" w:rsidRPr="008D2522" w:rsidRDefault="00E57630" w:rsidP="00055CFC">
            <w:pPr>
              <w:spacing w:before="0" w:after="0"/>
              <w:jc w:val="center"/>
              <w:rPr>
                <w:rFonts w:eastAsia="Arial" w:cs="Arial"/>
                <w:b/>
                <w:bCs/>
                <w:sz w:val="22"/>
                <w:lang w:eastAsia="es-CR"/>
              </w:rPr>
            </w:pPr>
            <w:r w:rsidRPr="008D2522">
              <w:rPr>
                <w:rFonts w:eastAsia="Arial" w:cs="Arial"/>
                <w:b/>
                <w:bCs/>
                <w:sz w:val="22"/>
                <w:lang w:eastAsia="es-CR"/>
              </w:rPr>
              <w:t>Costo Estimado</w:t>
            </w:r>
          </w:p>
        </w:tc>
      </w:tr>
      <w:tr w:rsidR="00E57630" w:rsidRPr="008D2522" w14:paraId="3491A869" w14:textId="77777777" w:rsidTr="00067366">
        <w:trPr>
          <w:trHeight w:val="203"/>
        </w:trPr>
        <w:tc>
          <w:tcPr>
            <w:tcW w:w="658" w:type="pct"/>
            <w:shd w:val="clear" w:color="auto" w:fill="auto"/>
            <w:vAlign w:val="center"/>
          </w:tcPr>
          <w:p w14:paraId="15255ABE" w14:textId="2C2D8D15" w:rsidR="00E57630" w:rsidRPr="008D2522" w:rsidRDefault="00E57630" w:rsidP="00067366">
            <w:pPr>
              <w:spacing w:before="0" w:after="0" w:line="240" w:lineRule="auto"/>
              <w:jc w:val="center"/>
              <w:rPr>
                <w:rFonts w:eastAsia="Arial" w:cs="Arial"/>
                <w:sz w:val="22"/>
                <w:lang w:eastAsia="es-CR"/>
              </w:rPr>
            </w:pPr>
            <w:r w:rsidRPr="008D2522">
              <w:rPr>
                <w:rFonts w:eastAsia="Arial" w:cs="Arial"/>
                <w:sz w:val="22"/>
                <w:lang w:eastAsia="es-CR"/>
              </w:rPr>
              <w:t xml:space="preserve">Unidad de Pensión </w:t>
            </w:r>
            <w:r w:rsidRPr="008D2522">
              <w:rPr>
                <w:rFonts w:eastAsia="Arial" w:cs="Arial"/>
                <w:sz w:val="22"/>
                <w:lang w:eastAsia="es-CR"/>
              </w:rPr>
              <w:lastRenderedPageBreak/>
              <w:t>Alimentaria de la Dirección de la Defensa Pública</w:t>
            </w:r>
          </w:p>
        </w:tc>
        <w:tc>
          <w:tcPr>
            <w:tcW w:w="578" w:type="pct"/>
            <w:shd w:val="clear" w:color="auto" w:fill="auto"/>
            <w:vAlign w:val="center"/>
          </w:tcPr>
          <w:p w14:paraId="2EF86F11" w14:textId="77777777" w:rsidR="00E57630" w:rsidRPr="008D2522" w:rsidRDefault="00E57630" w:rsidP="00067366">
            <w:pPr>
              <w:spacing w:before="0" w:after="0" w:line="240" w:lineRule="auto"/>
              <w:jc w:val="center"/>
              <w:rPr>
                <w:rFonts w:eastAsia="Arial" w:cs="Arial"/>
                <w:sz w:val="22"/>
                <w:lang w:eastAsia="es-CR"/>
              </w:rPr>
            </w:pPr>
            <w:r w:rsidRPr="008D2522">
              <w:rPr>
                <w:rFonts w:eastAsia="Arial" w:cs="Arial"/>
                <w:sz w:val="22"/>
                <w:lang w:eastAsia="es-CR"/>
              </w:rPr>
              <w:lastRenderedPageBreak/>
              <w:t>2</w:t>
            </w:r>
          </w:p>
        </w:tc>
        <w:tc>
          <w:tcPr>
            <w:tcW w:w="545" w:type="pct"/>
            <w:shd w:val="clear" w:color="auto" w:fill="auto"/>
            <w:vAlign w:val="center"/>
          </w:tcPr>
          <w:p w14:paraId="1818FDBC" w14:textId="77777777" w:rsidR="00E57630" w:rsidRPr="008D2522" w:rsidRDefault="00E57630" w:rsidP="00067366">
            <w:pPr>
              <w:spacing w:before="0" w:after="0" w:line="240" w:lineRule="auto"/>
              <w:jc w:val="center"/>
              <w:rPr>
                <w:rFonts w:eastAsia="Arial" w:cs="Arial"/>
                <w:sz w:val="22"/>
                <w:lang w:eastAsia="es-CR"/>
              </w:rPr>
            </w:pPr>
            <w:r w:rsidRPr="008D2522">
              <w:rPr>
                <w:rFonts w:eastAsia="Arial" w:cs="Arial"/>
                <w:sz w:val="22"/>
                <w:lang w:eastAsia="es-CR"/>
              </w:rPr>
              <w:t>Defensor Público</w:t>
            </w:r>
          </w:p>
        </w:tc>
        <w:tc>
          <w:tcPr>
            <w:tcW w:w="720" w:type="pct"/>
            <w:shd w:val="clear" w:color="auto" w:fill="auto"/>
            <w:vAlign w:val="center"/>
          </w:tcPr>
          <w:p w14:paraId="7530BA83" w14:textId="77777777" w:rsidR="00E57630" w:rsidRPr="008D2522" w:rsidRDefault="00E57630" w:rsidP="00067366">
            <w:pPr>
              <w:spacing w:before="0" w:after="0" w:line="240" w:lineRule="auto"/>
              <w:jc w:val="center"/>
              <w:rPr>
                <w:rFonts w:eastAsia="Arial" w:cs="Arial"/>
                <w:sz w:val="22"/>
                <w:lang w:eastAsia="es-CR"/>
              </w:rPr>
            </w:pPr>
            <w:r w:rsidRPr="008D2522">
              <w:rPr>
                <w:rFonts w:eastAsia="Arial" w:cs="Arial"/>
                <w:sz w:val="22"/>
                <w:lang w:eastAsia="es-CR"/>
              </w:rPr>
              <w:t>-</w:t>
            </w:r>
          </w:p>
        </w:tc>
        <w:tc>
          <w:tcPr>
            <w:tcW w:w="864" w:type="pct"/>
            <w:shd w:val="clear" w:color="auto" w:fill="auto"/>
            <w:vAlign w:val="center"/>
          </w:tcPr>
          <w:p w14:paraId="4971609E" w14:textId="77777777" w:rsidR="00E57630" w:rsidRPr="008D2522" w:rsidRDefault="00E57630" w:rsidP="00067366">
            <w:pPr>
              <w:spacing w:before="0" w:after="0" w:line="240" w:lineRule="auto"/>
              <w:jc w:val="center"/>
              <w:rPr>
                <w:rFonts w:eastAsia="Arial" w:cs="Arial"/>
                <w:sz w:val="22"/>
                <w:lang w:eastAsia="es-CR"/>
              </w:rPr>
            </w:pPr>
            <w:r w:rsidRPr="008D2522">
              <w:rPr>
                <w:rFonts w:eastAsia="Arial" w:cs="Arial"/>
                <w:sz w:val="22"/>
                <w:lang w:eastAsia="es-CR"/>
              </w:rPr>
              <w:t>Extraordinaria</w:t>
            </w:r>
          </w:p>
        </w:tc>
        <w:tc>
          <w:tcPr>
            <w:tcW w:w="575" w:type="pct"/>
            <w:shd w:val="clear" w:color="auto" w:fill="auto"/>
            <w:vAlign w:val="center"/>
          </w:tcPr>
          <w:p w14:paraId="5BD34747" w14:textId="77777777" w:rsidR="00E57630" w:rsidRPr="008D2522" w:rsidRDefault="00E57630" w:rsidP="00067366">
            <w:pPr>
              <w:spacing w:before="0" w:after="0" w:line="240" w:lineRule="auto"/>
              <w:jc w:val="center"/>
              <w:rPr>
                <w:rFonts w:eastAsia="Arial" w:cs="Arial"/>
                <w:sz w:val="22"/>
                <w:lang w:eastAsia="es-CR"/>
              </w:rPr>
            </w:pPr>
            <w:r w:rsidRPr="008D2522">
              <w:rPr>
                <w:rFonts w:eastAsia="Arial" w:cs="Arial"/>
                <w:sz w:val="22"/>
                <w:lang w:eastAsia="es-CR"/>
              </w:rPr>
              <w:t>12 meses</w:t>
            </w:r>
          </w:p>
        </w:tc>
        <w:tc>
          <w:tcPr>
            <w:tcW w:w="1061" w:type="pct"/>
            <w:shd w:val="clear" w:color="auto" w:fill="auto"/>
            <w:vAlign w:val="center"/>
          </w:tcPr>
          <w:p w14:paraId="62F3E467" w14:textId="55D0CCFF" w:rsidR="00E57630" w:rsidRPr="008D2522" w:rsidRDefault="00E57630" w:rsidP="00067366">
            <w:pPr>
              <w:spacing w:before="0" w:after="0" w:line="240" w:lineRule="auto"/>
              <w:jc w:val="center"/>
              <w:rPr>
                <w:rFonts w:eastAsia="Arial" w:cs="Arial"/>
                <w:sz w:val="22"/>
                <w:lang w:eastAsia="es-CR"/>
              </w:rPr>
            </w:pPr>
            <w:r w:rsidRPr="008D2522">
              <w:rPr>
                <w:rFonts w:eastAsia="Arial" w:cs="Arial"/>
                <w:sz w:val="22"/>
                <w:lang w:eastAsia="es-CR"/>
              </w:rPr>
              <w:t>₡105.734.000</w:t>
            </w:r>
          </w:p>
        </w:tc>
      </w:tr>
      <w:tr w:rsidR="0AA38E64" w:rsidRPr="00067366" w14:paraId="6314BAD7" w14:textId="77777777" w:rsidTr="428D63EB">
        <w:trPr>
          <w:trHeight w:val="203"/>
        </w:trPr>
        <w:tc>
          <w:tcPr>
            <w:tcW w:w="3939" w:type="pct"/>
            <w:gridSpan w:val="6"/>
            <w:shd w:val="clear" w:color="auto" w:fill="D9D9D9" w:themeFill="background1" w:themeFillShade="D9"/>
            <w:vAlign w:val="center"/>
          </w:tcPr>
          <w:p w14:paraId="7DFA31A5" w14:textId="77777777" w:rsidR="006D04FF" w:rsidRPr="00067366" w:rsidRDefault="006D04FF" w:rsidP="00055CFC">
            <w:pPr>
              <w:spacing w:before="0" w:after="0"/>
              <w:jc w:val="center"/>
              <w:rPr>
                <w:rFonts w:cs="Arial"/>
                <w:sz w:val="22"/>
              </w:rPr>
            </w:pPr>
          </w:p>
        </w:tc>
        <w:tc>
          <w:tcPr>
            <w:tcW w:w="1061" w:type="pct"/>
            <w:shd w:val="clear" w:color="auto" w:fill="D9D9D9" w:themeFill="background1" w:themeFillShade="D9"/>
            <w:vAlign w:val="center"/>
          </w:tcPr>
          <w:p w14:paraId="19B7DA81" w14:textId="59A0A64E" w:rsidR="0AA38E64" w:rsidRPr="00067366" w:rsidRDefault="0AA38E64" w:rsidP="00055CFC">
            <w:pPr>
              <w:spacing w:before="0" w:after="0"/>
              <w:jc w:val="center"/>
              <w:rPr>
                <w:rFonts w:eastAsia="Arial" w:cs="Arial"/>
                <w:sz w:val="22"/>
                <w:lang w:eastAsia="es-CR"/>
              </w:rPr>
            </w:pPr>
            <w:r w:rsidRPr="00067366">
              <w:rPr>
                <w:rFonts w:eastAsia="Arial" w:cs="Arial"/>
                <w:sz w:val="22"/>
                <w:lang w:eastAsia="es-CR"/>
              </w:rPr>
              <w:t>₡</w:t>
            </w:r>
            <w:r w:rsidR="1D48E8AD" w:rsidRPr="00067366">
              <w:rPr>
                <w:rFonts w:eastAsia="Arial" w:cs="Arial"/>
                <w:sz w:val="22"/>
                <w:lang w:eastAsia="es-CR"/>
              </w:rPr>
              <w:t>3</w:t>
            </w:r>
            <w:r w:rsidRPr="00067366">
              <w:rPr>
                <w:rFonts w:eastAsia="Arial" w:cs="Arial"/>
                <w:sz w:val="22"/>
                <w:lang w:eastAsia="es-CR"/>
              </w:rPr>
              <w:t>.</w:t>
            </w:r>
            <w:r w:rsidR="7424115F" w:rsidRPr="00067366">
              <w:rPr>
                <w:rFonts w:eastAsia="Arial" w:cs="Arial"/>
                <w:sz w:val="22"/>
                <w:lang w:eastAsia="es-CR"/>
              </w:rPr>
              <w:t>356</w:t>
            </w:r>
            <w:r w:rsidRPr="00067366">
              <w:rPr>
                <w:rFonts w:eastAsia="Arial" w:cs="Arial"/>
                <w:sz w:val="22"/>
                <w:lang w:eastAsia="es-CR"/>
              </w:rPr>
              <w:t>.</w:t>
            </w:r>
            <w:r w:rsidR="1667FA0E" w:rsidRPr="00067366">
              <w:rPr>
                <w:rFonts w:eastAsia="Arial" w:cs="Arial"/>
                <w:sz w:val="22"/>
                <w:lang w:eastAsia="es-CR"/>
              </w:rPr>
              <w:t>545,00</w:t>
            </w:r>
          </w:p>
        </w:tc>
      </w:tr>
      <w:tr w:rsidR="0AA38E64" w:rsidRPr="00067366" w14:paraId="0F78DD77" w14:textId="77777777" w:rsidTr="428D63EB">
        <w:trPr>
          <w:trHeight w:val="203"/>
        </w:trPr>
        <w:tc>
          <w:tcPr>
            <w:tcW w:w="3939" w:type="pct"/>
            <w:gridSpan w:val="6"/>
            <w:shd w:val="clear" w:color="auto" w:fill="D9D9D9" w:themeFill="background1" w:themeFillShade="D9"/>
            <w:vAlign w:val="center"/>
          </w:tcPr>
          <w:p w14:paraId="366092ED" w14:textId="77777777" w:rsidR="006D04FF" w:rsidRPr="00067366" w:rsidRDefault="006D04FF" w:rsidP="00055CFC">
            <w:pPr>
              <w:spacing w:before="0" w:after="0"/>
              <w:jc w:val="center"/>
              <w:rPr>
                <w:rFonts w:cs="Arial"/>
                <w:sz w:val="22"/>
              </w:rPr>
            </w:pPr>
          </w:p>
        </w:tc>
        <w:tc>
          <w:tcPr>
            <w:tcW w:w="1061" w:type="pct"/>
            <w:shd w:val="clear" w:color="auto" w:fill="D9D9D9" w:themeFill="background1" w:themeFillShade="D9"/>
            <w:vAlign w:val="center"/>
          </w:tcPr>
          <w:p w14:paraId="06367C86" w14:textId="74850DB6" w:rsidR="0AA38E64" w:rsidRPr="00067366" w:rsidRDefault="0AA38E64" w:rsidP="00055CFC">
            <w:pPr>
              <w:spacing w:before="0" w:after="0"/>
              <w:jc w:val="center"/>
              <w:rPr>
                <w:rFonts w:eastAsia="Arial" w:cs="Arial"/>
                <w:b/>
                <w:bCs/>
                <w:sz w:val="22"/>
                <w:lang w:eastAsia="es-CR"/>
              </w:rPr>
            </w:pPr>
            <w:r w:rsidRPr="00067366">
              <w:rPr>
                <w:rFonts w:eastAsia="Arial" w:cs="Arial"/>
                <w:b/>
                <w:bCs/>
                <w:sz w:val="22"/>
                <w:lang w:eastAsia="es-CR"/>
              </w:rPr>
              <w:t>₡1</w:t>
            </w:r>
            <w:r w:rsidR="1676AD6F" w:rsidRPr="00067366">
              <w:rPr>
                <w:rFonts w:eastAsia="Arial" w:cs="Arial"/>
                <w:b/>
                <w:bCs/>
                <w:sz w:val="22"/>
                <w:lang w:eastAsia="es-CR"/>
              </w:rPr>
              <w:t>09</w:t>
            </w:r>
            <w:r w:rsidRPr="00067366">
              <w:rPr>
                <w:rFonts w:eastAsia="Arial" w:cs="Arial"/>
                <w:b/>
                <w:bCs/>
                <w:sz w:val="22"/>
                <w:lang w:eastAsia="es-CR"/>
              </w:rPr>
              <w:t>.</w:t>
            </w:r>
            <w:r w:rsidR="6EA2DA11" w:rsidRPr="00067366">
              <w:rPr>
                <w:rFonts w:eastAsia="Arial" w:cs="Arial"/>
                <w:b/>
                <w:bCs/>
                <w:sz w:val="22"/>
                <w:lang w:eastAsia="es-CR"/>
              </w:rPr>
              <w:t>090</w:t>
            </w:r>
            <w:r w:rsidRPr="00067366">
              <w:rPr>
                <w:rFonts w:eastAsia="Arial" w:cs="Arial"/>
                <w:b/>
                <w:bCs/>
                <w:sz w:val="22"/>
                <w:lang w:eastAsia="es-CR"/>
              </w:rPr>
              <w:t>.</w:t>
            </w:r>
            <w:r w:rsidR="22A36A97" w:rsidRPr="00067366">
              <w:rPr>
                <w:rFonts w:eastAsia="Arial" w:cs="Arial"/>
                <w:b/>
                <w:bCs/>
                <w:sz w:val="22"/>
                <w:lang w:eastAsia="es-CR"/>
              </w:rPr>
              <w:t>545,00</w:t>
            </w:r>
          </w:p>
        </w:tc>
      </w:tr>
    </w:tbl>
    <w:p w14:paraId="10951642" w14:textId="6DF11423" w:rsidR="51B5DEC9" w:rsidRPr="008D2522" w:rsidRDefault="51B5DEC9" w:rsidP="00067366">
      <w:pPr>
        <w:spacing w:before="0" w:after="0"/>
        <w:ind w:right="1031"/>
        <w:rPr>
          <w:rFonts w:eastAsia="Arial" w:cs="Arial"/>
          <w:i/>
          <w:iCs/>
          <w:sz w:val="18"/>
          <w:szCs w:val="18"/>
        </w:rPr>
      </w:pPr>
      <w:r w:rsidRPr="008D2522">
        <w:rPr>
          <w:rFonts w:eastAsia="Arial" w:cs="Arial"/>
          <w:b/>
          <w:bCs/>
          <w:sz w:val="18"/>
          <w:szCs w:val="18"/>
        </w:rPr>
        <w:t>Nota (1):</w:t>
      </w:r>
      <w:r w:rsidRPr="008D2522">
        <w:rPr>
          <w:rFonts w:eastAsia="Arial" w:cs="Arial"/>
          <w:i/>
          <w:iCs/>
          <w:sz w:val="18"/>
          <w:szCs w:val="18"/>
        </w:rPr>
        <w:t xml:space="preserve"> Costo promedio por puesto de Defensor Público, para el 202</w:t>
      </w:r>
      <w:r w:rsidR="38B7003B" w:rsidRPr="008D2522">
        <w:rPr>
          <w:rFonts w:eastAsia="Arial" w:cs="Arial"/>
          <w:i/>
          <w:iCs/>
          <w:sz w:val="18"/>
          <w:szCs w:val="18"/>
        </w:rPr>
        <w:t>1</w:t>
      </w:r>
      <w:r w:rsidRPr="008D2522">
        <w:rPr>
          <w:rFonts w:eastAsia="Arial" w:cs="Arial"/>
          <w:i/>
          <w:iCs/>
          <w:sz w:val="18"/>
          <w:szCs w:val="18"/>
        </w:rPr>
        <w:t xml:space="preserve"> es de ₡5</w:t>
      </w:r>
      <w:r w:rsidR="478F30AA" w:rsidRPr="008D2522">
        <w:rPr>
          <w:rFonts w:eastAsia="Arial" w:cs="Arial"/>
          <w:i/>
          <w:iCs/>
          <w:sz w:val="18"/>
          <w:szCs w:val="18"/>
        </w:rPr>
        <w:t>2</w:t>
      </w:r>
      <w:r w:rsidRPr="008D2522">
        <w:rPr>
          <w:rFonts w:eastAsia="Arial" w:cs="Arial"/>
          <w:i/>
          <w:iCs/>
          <w:sz w:val="18"/>
          <w:szCs w:val="18"/>
        </w:rPr>
        <w:t>.</w:t>
      </w:r>
      <w:r w:rsidR="5D24EF34" w:rsidRPr="008D2522">
        <w:rPr>
          <w:rFonts w:eastAsia="Arial" w:cs="Arial"/>
          <w:i/>
          <w:iCs/>
          <w:sz w:val="18"/>
          <w:szCs w:val="18"/>
        </w:rPr>
        <w:t>867</w:t>
      </w:r>
      <w:r w:rsidRPr="008D2522">
        <w:rPr>
          <w:rFonts w:eastAsia="Arial" w:cs="Arial"/>
          <w:i/>
          <w:iCs/>
          <w:sz w:val="18"/>
          <w:szCs w:val="18"/>
        </w:rPr>
        <w:t>.000</w:t>
      </w:r>
    </w:p>
    <w:p w14:paraId="4DFDFB38" w14:textId="0EFDD418" w:rsidR="51B5DEC9" w:rsidRPr="008D2522" w:rsidRDefault="51B5DEC9" w:rsidP="00067366">
      <w:pPr>
        <w:spacing w:before="0" w:after="0"/>
        <w:ind w:right="1031"/>
        <w:rPr>
          <w:rFonts w:eastAsia="Arial" w:cs="Arial"/>
          <w:i/>
          <w:iCs/>
          <w:sz w:val="18"/>
          <w:szCs w:val="18"/>
        </w:rPr>
      </w:pPr>
      <w:r w:rsidRPr="008D2522">
        <w:rPr>
          <w:rFonts w:eastAsia="Arial" w:cs="Arial"/>
          <w:b/>
          <w:bCs/>
          <w:sz w:val="18"/>
          <w:szCs w:val="18"/>
        </w:rPr>
        <w:t>Nota (2):</w:t>
      </w:r>
      <w:r w:rsidRPr="008D2522">
        <w:rPr>
          <w:rFonts w:eastAsia="Arial" w:cs="Arial"/>
          <w:i/>
          <w:iCs/>
          <w:sz w:val="18"/>
          <w:szCs w:val="18"/>
        </w:rPr>
        <w:t xml:space="preserve"> Costo total de gasto variable por cada plaza Profesional (Defensor Público), para el 202</w:t>
      </w:r>
      <w:r w:rsidR="16F5BA7F" w:rsidRPr="008D2522">
        <w:rPr>
          <w:rFonts w:eastAsia="Arial" w:cs="Arial"/>
          <w:i/>
          <w:iCs/>
          <w:sz w:val="18"/>
          <w:szCs w:val="18"/>
        </w:rPr>
        <w:t>1</w:t>
      </w:r>
      <w:r w:rsidRPr="008D2522">
        <w:rPr>
          <w:rFonts w:eastAsia="Arial" w:cs="Arial"/>
          <w:i/>
          <w:iCs/>
          <w:sz w:val="18"/>
          <w:szCs w:val="18"/>
        </w:rPr>
        <w:t xml:space="preserve"> es de ₡1.</w:t>
      </w:r>
      <w:r w:rsidR="3127CD9E" w:rsidRPr="008D2522">
        <w:rPr>
          <w:rFonts w:eastAsia="Arial" w:cs="Arial"/>
          <w:i/>
          <w:iCs/>
          <w:sz w:val="18"/>
          <w:szCs w:val="18"/>
        </w:rPr>
        <w:t>678</w:t>
      </w:r>
      <w:r w:rsidRPr="008D2522">
        <w:rPr>
          <w:rFonts w:eastAsia="Arial" w:cs="Arial"/>
          <w:i/>
          <w:iCs/>
          <w:sz w:val="18"/>
          <w:szCs w:val="18"/>
        </w:rPr>
        <w:t>.</w:t>
      </w:r>
      <w:r w:rsidR="027DFB3F" w:rsidRPr="008D2522">
        <w:rPr>
          <w:rFonts w:eastAsia="Arial" w:cs="Arial"/>
          <w:i/>
          <w:iCs/>
          <w:sz w:val="18"/>
          <w:szCs w:val="18"/>
        </w:rPr>
        <w:t>273</w:t>
      </w:r>
    </w:p>
    <w:p w14:paraId="39973989" w14:textId="77777777" w:rsidR="51B5DEC9" w:rsidRPr="008D2522" w:rsidRDefault="51B5DEC9" w:rsidP="00067366">
      <w:pPr>
        <w:spacing w:before="0" w:after="0"/>
        <w:ind w:right="1031"/>
        <w:rPr>
          <w:rFonts w:eastAsia="Arial" w:cs="Arial"/>
          <w:sz w:val="28"/>
          <w:szCs w:val="24"/>
        </w:rPr>
      </w:pPr>
      <w:r w:rsidRPr="008D2522">
        <w:rPr>
          <w:rFonts w:eastAsia="Arial" w:cs="Arial"/>
          <w:b/>
          <w:bCs/>
          <w:sz w:val="18"/>
          <w:szCs w:val="18"/>
        </w:rPr>
        <w:t>Fuente:</w:t>
      </w:r>
      <w:r w:rsidRPr="008D2522">
        <w:rPr>
          <w:rFonts w:eastAsia="Arial" w:cs="Arial"/>
          <w:sz w:val="18"/>
          <w:szCs w:val="18"/>
        </w:rPr>
        <w:t xml:space="preserve"> Modernización Institucional, con datos suministrados del Subproceso de Formulación de Presupuesto y Portafolio de Proyectos de la Dirección de Planificación</w:t>
      </w:r>
    </w:p>
    <w:p w14:paraId="078619A1" w14:textId="37AA5E71" w:rsidR="51B5DEC9" w:rsidRPr="003C5978" w:rsidRDefault="51B5DEC9" w:rsidP="003C5978">
      <w:pPr>
        <w:spacing w:line="240" w:lineRule="auto"/>
        <w:rPr>
          <w:rFonts w:ascii="Book Antiqua" w:hAnsi="Book Antiqua"/>
        </w:rPr>
      </w:pPr>
      <w:r w:rsidRPr="003C5978">
        <w:rPr>
          <w:rFonts w:ascii="Book Antiqua" w:hAnsi="Book Antiqua"/>
        </w:rPr>
        <w:t>En relación a los recursos que se requieren para completar la cobertura a nivel nacional de la materia de pensiones se ratifica la necesidad, sin embargo, esta deberá constar como parte de la extensión del servicio en pensiones y no en el impacto de este estudio que nos ocupa.</w:t>
      </w:r>
    </w:p>
    <w:p w14:paraId="1DF5F509" w14:textId="77777777" w:rsidR="00C170B2" w:rsidRDefault="00C170B2" w:rsidP="00067366"/>
    <w:p w14:paraId="74DB214A" w14:textId="211C0A0D" w:rsidR="0AA38E64" w:rsidRPr="003C5978" w:rsidRDefault="2FAC18FD" w:rsidP="003C5978">
      <w:pPr>
        <w:pStyle w:val="Ttulo1"/>
      </w:pPr>
      <w:r w:rsidRPr="003C5978">
        <w:t>Elementos resolutivos</w:t>
      </w:r>
      <w:r w:rsidR="006E34EC" w:rsidRPr="003C5978">
        <w:rPr>
          <w:lang w:val="es-CR"/>
        </w:rPr>
        <w:t xml:space="preserve"> </w:t>
      </w:r>
    </w:p>
    <w:p w14:paraId="4DD49627" w14:textId="207FD739" w:rsidR="3A37D1B4" w:rsidRPr="003C5978" w:rsidRDefault="3A37D1B4" w:rsidP="003C5978">
      <w:pPr>
        <w:numPr>
          <w:ilvl w:val="0"/>
          <w:numId w:val="6"/>
        </w:numPr>
        <w:spacing w:line="240" w:lineRule="auto"/>
        <w:rPr>
          <w:rFonts w:ascii="Book Antiqua" w:hAnsi="Book Antiqua"/>
        </w:rPr>
      </w:pPr>
      <w:r w:rsidRPr="003C5978">
        <w:rPr>
          <w:rFonts w:ascii="Book Antiqua" w:hAnsi="Book Antiqua"/>
        </w:rPr>
        <w:t xml:space="preserve">Según los datos demográficos, </w:t>
      </w:r>
      <w:r w:rsidR="6C6E6C9B" w:rsidRPr="003C5978">
        <w:rPr>
          <w:rFonts w:ascii="Book Antiqua" w:hAnsi="Book Antiqua"/>
        </w:rPr>
        <w:t xml:space="preserve">la </w:t>
      </w:r>
      <w:r w:rsidRPr="003C5978">
        <w:rPr>
          <w:rFonts w:ascii="Book Antiqua" w:hAnsi="Book Antiqua"/>
        </w:rPr>
        <w:t>competencia</w:t>
      </w:r>
      <w:r w:rsidR="63EB8015" w:rsidRPr="003C5978">
        <w:rPr>
          <w:rFonts w:ascii="Book Antiqua" w:hAnsi="Book Antiqua"/>
        </w:rPr>
        <w:t xml:space="preserve"> territorial</w:t>
      </w:r>
      <w:r w:rsidRPr="003C5978">
        <w:rPr>
          <w:rFonts w:ascii="Book Antiqua" w:hAnsi="Book Antiqua"/>
        </w:rPr>
        <w:t xml:space="preserve">, </w:t>
      </w:r>
      <w:r w:rsidR="46EE7855" w:rsidRPr="003C5978">
        <w:rPr>
          <w:rFonts w:ascii="Book Antiqua" w:hAnsi="Book Antiqua"/>
        </w:rPr>
        <w:t xml:space="preserve">los </w:t>
      </w:r>
      <w:r w:rsidR="1F4F0BD6" w:rsidRPr="003C5978">
        <w:rPr>
          <w:rFonts w:ascii="Book Antiqua" w:hAnsi="Book Antiqua"/>
        </w:rPr>
        <w:t>asuntos en trámite</w:t>
      </w:r>
      <w:r w:rsidR="3A09B603" w:rsidRPr="003C5978">
        <w:rPr>
          <w:rFonts w:ascii="Book Antiqua" w:hAnsi="Book Antiqua"/>
        </w:rPr>
        <w:t xml:space="preserve"> y asuntos ingresados</w:t>
      </w:r>
      <w:r w:rsidR="2181E670" w:rsidRPr="003C5978">
        <w:rPr>
          <w:rFonts w:ascii="Book Antiqua" w:hAnsi="Book Antiqua"/>
        </w:rPr>
        <w:t xml:space="preserve"> </w:t>
      </w:r>
      <w:r w:rsidR="0061649E" w:rsidRPr="003C5978">
        <w:rPr>
          <w:rFonts w:ascii="Book Antiqua" w:hAnsi="Book Antiqua"/>
        </w:rPr>
        <w:t xml:space="preserve">y terminados </w:t>
      </w:r>
      <w:r w:rsidR="2181E670" w:rsidRPr="003C5978">
        <w:rPr>
          <w:rFonts w:ascii="Book Antiqua" w:hAnsi="Book Antiqua"/>
        </w:rPr>
        <w:t>por materia</w:t>
      </w:r>
      <w:r w:rsidR="3A09B603" w:rsidRPr="003C5978">
        <w:rPr>
          <w:rFonts w:ascii="Book Antiqua" w:hAnsi="Book Antiqua"/>
        </w:rPr>
        <w:t xml:space="preserve">, </w:t>
      </w:r>
      <w:r w:rsidR="7E510D45" w:rsidRPr="003C5978">
        <w:rPr>
          <w:rFonts w:ascii="Book Antiqua" w:hAnsi="Book Antiqua"/>
        </w:rPr>
        <w:t xml:space="preserve">se </w:t>
      </w:r>
      <w:r w:rsidR="3C28E7CF" w:rsidRPr="003C5978">
        <w:rPr>
          <w:rFonts w:ascii="Book Antiqua" w:hAnsi="Book Antiqua"/>
        </w:rPr>
        <w:t>determinó que</w:t>
      </w:r>
      <w:r w:rsidR="0061649E" w:rsidRPr="003C5978">
        <w:rPr>
          <w:rFonts w:ascii="Book Antiqua" w:hAnsi="Book Antiqua"/>
        </w:rPr>
        <w:t>, en razón del análisis de las cargas de trabajo de las diferentes oficinas de</w:t>
      </w:r>
      <w:r w:rsidR="00F52577" w:rsidRPr="003C5978">
        <w:rPr>
          <w:rFonts w:ascii="Book Antiqua" w:hAnsi="Book Antiqua"/>
        </w:rPr>
        <w:t xml:space="preserve"> </w:t>
      </w:r>
      <w:r w:rsidR="3C28E7CF" w:rsidRPr="003C5978">
        <w:rPr>
          <w:rFonts w:ascii="Book Antiqua" w:hAnsi="Book Antiqua"/>
        </w:rPr>
        <w:t xml:space="preserve">la </w:t>
      </w:r>
      <w:r w:rsidR="0061649E" w:rsidRPr="003C5978">
        <w:rPr>
          <w:rFonts w:ascii="Book Antiqua" w:hAnsi="Book Antiqua"/>
        </w:rPr>
        <w:t>D</w:t>
      </w:r>
      <w:r w:rsidR="3C28E7CF" w:rsidRPr="003C5978">
        <w:rPr>
          <w:rFonts w:ascii="Book Antiqua" w:hAnsi="Book Antiqua"/>
        </w:rPr>
        <w:t xml:space="preserve">efensa </w:t>
      </w:r>
      <w:r w:rsidR="0061649E" w:rsidRPr="003C5978">
        <w:rPr>
          <w:rFonts w:ascii="Book Antiqua" w:hAnsi="Book Antiqua"/>
        </w:rPr>
        <w:t xml:space="preserve">Pública que tramitan asuntos con personas usuarias indígenas, </w:t>
      </w:r>
      <w:r w:rsidR="56082DA7" w:rsidRPr="003C5978">
        <w:rPr>
          <w:rFonts w:ascii="Book Antiqua" w:hAnsi="Book Antiqua"/>
        </w:rPr>
        <w:t xml:space="preserve">se deben </w:t>
      </w:r>
      <w:r w:rsidR="0061649E" w:rsidRPr="003C5978">
        <w:rPr>
          <w:rFonts w:ascii="Book Antiqua" w:hAnsi="Book Antiqua"/>
        </w:rPr>
        <w:t xml:space="preserve">reforzar de manera prioritaria </w:t>
      </w:r>
      <w:r w:rsidR="3C28E7CF" w:rsidRPr="003C5978">
        <w:rPr>
          <w:rFonts w:ascii="Book Antiqua" w:hAnsi="Book Antiqua"/>
        </w:rPr>
        <w:t xml:space="preserve">las </w:t>
      </w:r>
      <w:r w:rsidR="0B26A863" w:rsidRPr="003C5978">
        <w:rPr>
          <w:rFonts w:ascii="Book Antiqua" w:hAnsi="Book Antiqua"/>
        </w:rPr>
        <w:t xml:space="preserve">oficinas </w:t>
      </w:r>
      <w:r w:rsidR="3C28E7CF" w:rsidRPr="003C5978">
        <w:rPr>
          <w:rFonts w:ascii="Book Antiqua" w:hAnsi="Book Antiqua"/>
        </w:rPr>
        <w:t>de Br</w:t>
      </w:r>
      <w:r w:rsidR="74A00404" w:rsidRPr="003C5978">
        <w:rPr>
          <w:rFonts w:ascii="Book Antiqua" w:hAnsi="Book Antiqua"/>
        </w:rPr>
        <w:t>ibri y Buenos Aires, específicamente en la materia pensi</w:t>
      </w:r>
      <w:r w:rsidR="040E17D6" w:rsidRPr="003C5978">
        <w:rPr>
          <w:rFonts w:ascii="Book Antiqua" w:hAnsi="Book Antiqua"/>
        </w:rPr>
        <w:t>ón</w:t>
      </w:r>
      <w:r w:rsidR="74A00404" w:rsidRPr="003C5978">
        <w:rPr>
          <w:rFonts w:ascii="Book Antiqua" w:hAnsi="Book Antiqua"/>
        </w:rPr>
        <w:t xml:space="preserve"> alimentaria.</w:t>
      </w:r>
      <w:r w:rsidR="34864A4A" w:rsidRPr="003C5978">
        <w:rPr>
          <w:rFonts w:ascii="Book Antiqua" w:hAnsi="Book Antiqua"/>
        </w:rPr>
        <w:t xml:space="preserve"> </w:t>
      </w:r>
      <w:r w:rsidR="41A3213D" w:rsidRPr="003C5978">
        <w:rPr>
          <w:rFonts w:ascii="Book Antiqua" w:hAnsi="Book Antiqua"/>
        </w:rPr>
        <w:t xml:space="preserve">Es importante ratificar que, </w:t>
      </w:r>
      <w:r w:rsidR="0061649E" w:rsidRPr="003C5978">
        <w:rPr>
          <w:rFonts w:ascii="Book Antiqua" w:hAnsi="Book Antiqua"/>
        </w:rPr>
        <w:t>con base en el criterio de la Dirección de Planificación en el informe 634-PLA-RH-MI-2019 del análisis presupuestario del 2020 a partir de la promulgación de la Ley 9593 de Acceso a la Justicia de Pueblos Indígenas, se identifica</w:t>
      </w:r>
      <w:r w:rsidR="6891826E" w:rsidRPr="003C5978">
        <w:rPr>
          <w:rFonts w:ascii="Book Antiqua" w:hAnsi="Book Antiqua"/>
        </w:rPr>
        <w:t xml:space="preserve"> la necesidad </w:t>
      </w:r>
      <w:r w:rsidR="2088000A" w:rsidRPr="003C5978">
        <w:rPr>
          <w:rFonts w:ascii="Book Antiqua" w:hAnsi="Book Antiqua"/>
        </w:rPr>
        <w:t xml:space="preserve">de recurso defensor </w:t>
      </w:r>
      <w:r w:rsidR="6891826E" w:rsidRPr="003C5978">
        <w:rPr>
          <w:rFonts w:ascii="Book Antiqua" w:hAnsi="Book Antiqua"/>
        </w:rPr>
        <w:t xml:space="preserve">en </w:t>
      </w:r>
      <w:r w:rsidR="00EC1BC6" w:rsidRPr="003C5978">
        <w:rPr>
          <w:rFonts w:ascii="Book Antiqua" w:hAnsi="Book Antiqua"/>
        </w:rPr>
        <w:t xml:space="preserve">estas </w:t>
      </w:r>
      <w:r w:rsidR="6891826E" w:rsidRPr="003C5978">
        <w:rPr>
          <w:rFonts w:ascii="Book Antiqua" w:hAnsi="Book Antiqua"/>
        </w:rPr>
        <w:t>dos oficinas</w:t>
      </w:r>
      <w:r w:rsidR="0061649E" w:rsidRPr="003C5978">
        <w:rPr>
          <w:rFonts w:ascii="Book Antiqua" w:hAnsi="Book Antiqua"/>
        </w:rPr>
        <w:t xml:space="preserve"> y</w:t>
      </w:r>
      <w:r w:rsidR="6891826E" w:rsidRPr="003C5978">
        <w:rPr>
          <w:rFonts w:ascii="Book Antiqua" w:hAnsi="Book Antiqua"/>
        </w:rPr>
        <w:t xml:space="preserve">, </w:t>
      </w:r>
      <w:r w:rsidR="3F51A9F7" w:rsidRPr="003C5978">
        <w:rPr>
          <w:rFonts w:ascii="Book Antiqua" w:hAnsi="Book Antiqua"/>
        </w:rPr>
        <w:t>continúa</w:t>
      </w:r>
      <w:r w:rsidR="0AE7A60A" w:rsidRPr="003C5978">
        <w:rPr>
          <w:rFonts w:ascii="Book Antiqua" w:hAnsi="Book Antiqua"/>
        </w:rPr>
        <w:t xml:space="preserve"> siendo </w:t>
      </w:r>
      <w:r w:rsidR="0061649E" w:rsidRPr="003C5978">
        <w:rPr>
          <w:rFonts w:ascii="Book Antiqua" w:hAnsi="Book Antiqua"/>
        </w:rPr>
        <w:t>la necesidad para el periodo presupuestario 2021</w:t>
      </w:r>
      <w:r w:rsidR="3E126B16" w:rsidRPr="003C5978">
        <w:rPr>
          <w:rFonts w:ascii="Book Antiqua" w:hAnsi="Book Antiqua"/>
        </w:rPr>
        <w:t>.</w:t>
      </w:r>
    </w:p>
    <w:p w14:paraId="63705A3B" w14:textId="7F102C6A" w:rsidR="00DF67BD" w:rsidRPr="003C5978" w:rsidRDefault="00DF67BD" w:rsidP="003C5978">
      <w:pPr>
        <w:spacing w:line="240" w:lineRule="auto"/>
        <w:ind w:left="720"/>
        <w:rPr>
          <w:rFonts w:ascii="Book Antiqua" w:hAnsi="Book Antiqua"/>
        </w:rPr>
      </w:pPr>
      <w:r w:rsidRPr="003C5978">
        <w:rPr>
          <w:rFonts w:ascii="Book Antiqua" w:hAnsi="Book Antiqua"/>
        </w:rPr>
        <w:t xml:space="preserve">Lo anterior sustentado en que para el 2018 el </w:t>
      </w:r>
      <w:r w:rsidR="00CB0C2C" w:rsidRPr="003C5978">
        <w:rPr>
          <w:rFonts w:ascii="Book Antiqua" w:hAnsi="Book Antiqua"/>
        </w:rPr>
        <w:t xml:space="preserve">85% del </w:t>
      </w:r>
      <w:r w:rsidRPr="003C5978">
        <w:rPr>
          <w:rFonts w:ascii="Book Antiqua" w:hAnsi="Book Antiqua"/>
        </w:rPr>
        <w:t xml:space="preserve">circulante activo en Pensiones Alimentarias </w:t>
      </w:r>
      <w:r w:rsidR="00CB0C2C" w:rsidRPr="003C5978">
        <w:rPr>
          <w:rFonts w:ascii="Book Antiqua" w:hAnsi="Book Antiqua"/>
        </w:rPr>
        <w:t xml:space="preserve">con interviniente indígena se encontraba en </w:t>
      </w:r>
      <w:r w:rsidR="001E039D" w:rsidRPr="003C5978">
        <w:rPr>
          <w:rFonts w:ascii="Book Antiqua" w:hAnsi="Book Antiqua"/>
        </w:rPr>
        <w:t xml:space="preserve">las oficinas de </w:t>
      </w:r>
      <w:r w:rsidR="00CB0C2C" w:rsidRPr="003C5978">
        <w:rPr>
          <w:rFonts w:ascii="Book Antiqua" w:hAnsi="Book Antiqua"/>
        </w:rPr>
        <w:t xml:space="preserve">Bribri y Buenos Aires, y para el tercer trimestre del 2019 este dato corresponde a un 70% distribuido en 36% para Bribri y 34% para Buenos Aires, </w:t>
      </w:r>
      <w:r w:rsidR="001E039D" w:rsidRPr="003C5978">
        <w:rPr>
          <w:rFonts w:ascii="Book Antiqua" w:hAnsi="Book Antiqua"/>
        </w:rPr>
        <w:t xml:space="preserve">mostrando que si bien es cierto el porcentaje disminuyó contra el año </w:t>
      </w:r>
      <w:r w:rsidR="001E039D" w:rsidRPr="003C5978">
        <w:rPr>
          <w:rFonts w:ascii="Book Antiqua" w:hAnsi="Book Antiqua"/>
        </w:rPr>
        <w:lastRenderedPageBreak/>
        <w:t>anterior, la tendencia es la misma; ya que, el restante 30% del circulante se diluye entre 15 oficinas.</w:t>
      </w:r>
    </w:p>
    <w:p w14:paraId="4D9DD7F2" w14:textId="044A8FE2" w:rsidR="5A6C46CA" w:rsidRPr="003C5978" w:rsidRDefault="5A6C46CA" w:rsidP="003C5978">
      <w:pPr>
        <w:numPr>
          <w:ilvl w:val="0"/>
          <w:numId w:val="6"/>
        </w:numPr>
        <w:spacing w:line="240" w:lineRule="auto"/>
        <w:rPr>
          <w:rFonts w:ascii="Book Antiqua" w:hAnsi="Book Antiqua"/>
        </w:rPr>
      </w:pPr>
      <w:r w:rsidRPr="003C5978">
        <w:rPr>
          <w:rFonts w:ascii="Book Antiqua" w:hAnsi="Book Antiqua"/>
        </w:rPr>
        <w:t>En lo referente a la atención de materia Agrari</w:t>
      </w:r>
      <w:r w:rsidR="1A30C0BE" w:rsidRPr="003C5978">
        <w:rPr>
          <w:rFonts w:ascii="Book Antiqua" w:hAnsi="Book Antiqua"/>
        </w:rPr>
        <w:t>a y</w:t>
      </w:r>
      <w:r w:rsidRPr="003C5978">
        <w:rPr>
          <w:rFonts w:ascii="Book Antiqua" w:hAnsi="Book Antiqua"/>
        </w:rPr>
        <w:t xml:space="preserve"> Contencios</w:t>
      </w:r>
      <w:r w:rsidR="0472F022" w:rsidRPr="003C5978">
        <w:rPr>
          <w:rFonts w:ascii="Book Antiqua" w:hAnsi="Book Antiqua"/>
        </w:rPr>
        <w:t>a</w:t>
      </w:r>
      <w:r w:rsidRPr="003C5978">
        <w:rPr>
          <w:rFonts w:ascii="Book Antiqua" w:hAnsi="Book Antiqua"/>
        </w:rPr>
        <w:t xml:space="preserve"> Administrativ</w:t>
      </w:r>
      <w:r w:rsidR="546FCA31" w:rsidRPr="003C5978">
        <w:rPr>
          <w:rFonts w:ascii="Book Antiqua" w:hAnsi="Book Antiqua"/>
        </w:rPr>
        <w:t>a, e</w:t>
      </w:r>
      <w:r w:rsidR="3B1B9DE4" w:rsidRPr="003C5978">
        <w:rPr>
          <w:rFonts w:ascii="Book Antiqua" w:hAnsi="Book Antiqua"/>
        </w:rPr>
        <w:t xml:space="preserve">l Consejo Superior en la sesión extraordinaria 44-19 (Presupuesto 2020) artículo II, del 16 de mayo de 2019 acordó </w:t>
      </w:r>
      <w:r w:rsidR="23BFEC05" w:rsidRPr="003C5978">
        <w:rPr>
          <w:rFonts w:ascii="Book Antiqua" w:hAnsi="Book Antiqua"/>
        </w:rPr>
        <w:t xml:space="preserve">que a partir del </w:t>
      </w:r>
      <w:r w:rsidR="66DE2DC1" w:rsidRPr="003C5978">
        <w:rPr>
          <w:rFonts w:ascii="Book Antiqua" w:hAnsi="Book Antiqua"/>
        </w:rPr>
        <w:t xml:space="preserve">año </w:t>
      </w:r>
      <w:r w:rsidR="23BFEC05" w:rsidRPr="003C5978">
        <w:rPr>
          <w:rFonts w:ascii="Book Antiqua" w:hAnsi="Book Antiqua"/>
        </w:rPr>
        <w:t xml:space="preserve">2020 las siete plazas </w:t>
      </w:r>
      <w:r w:rsidR="187A532E" w:rsidRPr="003C5978">
        <w:rPr>
          <w:rFonts w:ascii="Book Antiqua" w:hAnsi="Book Antiqua"/>
        </w:rPr>
        <w:t xml:space="preserve">de recurso </w:t>
      </w:r>
      <w:r w:rsidR="23BFEC05" w:rsidRPr="003C5978">
        <w:rPr>
          <w:rFonts w:ascii="Book Antiqua" w:hAnsi="Book Antiqua"/>
        </w:rPr>
        <w:t xml:space="preserve">defensor que se encontraban </w:t>
      </w:r>
      <w:r w:rsidR="757D0C45" w:rsidRPr="003C5978">
        <w:rPr>
          <w:rFonts w:ascii="Book Antiqua" w:hAnsi="Book Antiqua"/>
        </w:rPr>
        <w:t>extraordinarias</w:t>
      </w:r>
      <w:r w:rsidR="23BFEC05" w:rsidRPr="003C5978">
        <w:rPr>
          <w:rFonts w:ascii="Book Antiqua" w:hAnsi="Book Antiqua"/>
        </w:rPr>
        <w:t xml:space="preserve"> para la atención de materia agraria, pasar</w:t>
      </w:r>
      <w:r w:rsidR="008D2522" w:rsidRPr="003C5978">
        <w:rPr>
          <w:rFonts w:ascii="Book Antiqua" w:hAnsi="Book Antiqua"/>
        </w:rPr>
        <w:t>o</w:t>
      </w:r>
      <w:r w:rsidR="23BFEC05" w:rsidRPr="003C5978">
        <w:rPr>
          <w:rFonts w:ascii="Book Antiqua" w:hAnsi="Book Antiqua"/>
        </w:rPr>
        <w:t xml:space="preserve">n a </w:t>
      </w:r>
      <w:r w:rsidR="1EC60AA0" w:rsidRPr="003C5978">
        <w:rPr>
          <w:rFonts w:ascii="Book Antiqua" w:hAnsi="Book Antiqua"/>
        </w:rPr>
        <w:t>condición</w:t>
      </w:r>
      <w:r w:rsidR="23BFEC05" w:rsidRPr="003C5978">
        <w:rPr>
          <w:rFonts w:ascii="Book Antiqua" w:hAnsi="Book Antiqua"/>
        </w:rPr>
        <w:t xml:space="preserve"> ordinarias</w:t>
      </w:r>
      <w:r w:rsidR="3B1B9DE4" w:rsidRPr="003C5978">
        <w:rPr>
          <w:rFonts w:ascii="Book Antiqua" w:hAnsi="Book Antiqua"/>
        </w:rPr>
        <w:t>;</w:t>
      </w:r>
      <w:r w:rsidR="624B4EE4" w:rsidRPr="003C5978">
        <w:rPr>
          <w:rFonts w:ascii="Book Antiqua" w:hAnsi="Book Antiqua"/>
        </w:rPr>
        <w:t xml:space="preserve"> asumiendo</w:t>
      </w:r>
      <w:r w:rsidR="3B1B9DE4" w:rsidRPr="003C5978">
        <w:rPr>
          <w:rFonts w:ascii="Book Antiqua" w:hAnsi="Book Antiqua"/>
        </w:rPr>
        <w:t xml:space="preserve"> la defensa técnica de aquellos asuntos Contenciosos Administrativos donde figure como parte actora o demandada una o más personas indígenas.</w:t>
      </w:r>
      <w:r w:rsidR="48548392" w:rsidRPr="003C5978">
        <w:rPr>
          <w:rFonts w:ascii="Book Antiqua" w:hAnsi="Book Antiqua"/>
        </w:rPr>
        <w:t xml:space="preserve"> </w:t>
      </w:r>
      <w:r w:rsidR="00EC1BC6" w:rsidRPr="003C5978">
        <w:rPr>
          <w:rFonts w:ascii="Book Antiqua" w:hAnsi="Book Antiqua"/>
        </w:rPr>
        <w:t xml:space="preserve">Aunado a lo anterior, en el análisis de cargas de trabajo del presente informe se determina que, el circulante de las plazas de Defensora o Defensor Público en materia Agraria a nivel nacional se encuentra en 115 procesos o expedientes, estando este promedio nacional 65 asuntos por debajo de la cuota establecida por la </w:t>
      </w:r>
      <w:r w:rsidR="00575AA5" w:rsidRPr="003C5978">
        <w:rPr>
          <w:rFonts w:ascii="Book Antiqua" w:hAnsi="Book Antiqua"/>
        </w:rPr>
        <w:t>Coordinación</w:t>
      </w:r>
      <w:r w:rsidR="00EC1BC6" w:rsidRPr="003C5978">
        <w:rPr>
          <w:rFonts w:ascii="Book Antiqua" w:hAnsi="Book Antiqua"/>
        </w:rPr>
        <w:t xml:space="preserve"> </w:t>
      </w:r>
      <w:r w:rsidR="00575AA5" w:rsidRPr="003C5978">
        <w:rPr>
          <w:rFonts w:ascii="Book Antiqua" w:hAnsi="Book Antiqua"/>
        </w:rPr>
        <w:t>en</w:t>
      </w:r>
      <w:r w:rsidR="00EC1BC6" w:rsidRPr="003C5978">
        <w:rPr>
          <w:rFonts w:ascii="Book Antiqua" w:hAnsi="Book Antiqua"/>
        </w:rPr>
        <w:t xml:space="preserve"> Materia Agraria de la Defens</w:t>
      </w:r>
      <w:r w:rsidR="00575AA5" w:rsidRPr="003C5978">
        <w:rPr>
          <w:rFonts w:ascii="Book Antiqua" w:hAnsi="Book Antiqua"/>
        </w:rPr>
        <w:t>a</w:t>
      </w:r>
      <w:r w:rsidR="00EC1BC6" w:rsidRPr="003C5978">
        <w:rPr>
          <w:rFonts w:ascii="Book Antiqua" w:hAnsi="Book Antiqua"/>
        </w:rPr>
        <w:t xml:space="preserve"> Pública</w:t>
      </w:r>
      <w:r w:rsidR="00575AA5" w:rsidRPr="003C5978">
        <w:rPr>
          <w:rFonts w:ascii="Book Antiqua" w:hAnsi="Book Antiqua"/>
        </w:rPr>
        <w:t xml:space="preserve">, lo equivalente a un </w:t>
      </w:r>
      <w:r w:rsidR="00EC1BC6" w:rsidRPr="003C5978">
        <w:rPr>
          <w:rFonts w:ascii="Book Antiqua" w:hAnsi="Book Antiqua"/>
        </w:rPr>
        <w:t>36%</w:t>
      </w:r>
      <w:r w:rsidR="00EA6EE7" w:rsidRPr="003C5978">
        <w:rPr>
          <w:rFonts w:ascii="Book Antiqua" w:hAnsi="Book Antiqua"/>
        </w:rPr>
        <w:t xml:space="preserve"> menos</w:t>
      </w:r>
      <w:r w:rsidR="00575AA5" w:rsidRPr="003C5978">
        <w:rPr>
          <w:rFonts w:ascii="Book Antiqua" w:hAnsi="Book Antiqua"/>
        </w:rPr>
        <w:t>; debido a que la cuota e</w:t>
      </w:r>
      <w:r w:rsidR="00EC1BC6" w:rsidRPr="003C5978">
        <w:rPr>
          <w:rFonts w:ascii="Book Antiqua" w:hAnsi="Book Antiqua"/>
        </w:rPr>
        <w:t>stablecida de 180 asuntos de circulante</w:t>
      </w:r>
      <w:r w:rsidR="00EA6EE7" w:rsidRPr="003C5978">
        <w:rPr>
          <w:rFonts w:ascii="Book Antiqua" w:hAnsi="Book Antiqua"/>
        </w:rPr>
        <w:t xml:space="preserve"> por persona defensora</w:t>
      </w:r>
      <w:r w:rsidR="00575AA5" w:rsidRPr="003C5978">
        <w:rPr>
          <w:rFonts w:ascii="Book Antiqua" w:hAnsi="Book Antiqua"/>
        </w:rPr>
        <w:t>. Por lo anterior y por la competencia de estas plazas, se considera que continúan manteniendo la capacidad para dentro de su carga de trabajo ordinaria asuman aquellos asuntos en Materia Contenciosa Administrativa, donde figure como parte actora o demandada una o más personas usuarias indígenas. Importante aclarar que, e</w:t>
      </w:r>
      <w:r w:rsidR="48548392" w:rsidRPr="003C5978">
        <w:rPr>
          <w:rFonts w:ascii="Book Antiqua" w:hAnsi="Book Antiqua"/>
        </w:rPr>
        <w:t>n el caso de aquellas plazas, donde la carga de trabajo no alcance la cuota establecida, se le asignará</w:t>
      </w:r>
      <w:r w:rsidR="00575AA5" w:rsidRPr="003C5978">
        <w:rPr>
          <w:rFonts w:ascii="Book Antiqua" w:hAnsi="Book Antiqua"/>
        </w:rPr>
        <w:t>n</w:t>
      </w:r>
      <w:r w:rsidR="48548392" w:rsidRPr="003C5978">
        <w:rPr>
          <w:rFonts w:ascii="Book Antiqua" w:hAnsi="Book Antiqua"/>
        </w:rPr>
        <w:t xml:space="preserve"> asuntos de otras jurisdicciones para completar su carga de trabajo.</w:t>
      </w:r>
    </w:p>
    <w:p w14:paraId="70581D55" w14:textId="50D0AE35" w:rsidR="00EA6EE7" w:rsidRPr="003C5978" w:rsidRDefault="00EA6EE7" w:rsidP="003C5978">
      <w:pPr>
        <w:numPr>
          <w:ilvl w:val="0"/>
          <w:numId w:val="6"/>
        </w:numPr>
        <w:spacing w:line="240" w:lineRule="auto"/>
        <w:rPr>
          <w:rFonts w:ascii="Book Antiqua" w:hAnsi="Book Antiqua"/>
        </w:rPr>
      </w:pPr>
      <w:r w:rsidRPr="003C5978">
        <w:rPr>
          <w:rFonts w:ascii="Book Antiqua" w:hAnsi="Book Antiqua"/>
        </w:rPr>
        <w:t xml:space="preserve">A pesar de que, en consulta al personal del Tribunal Contencioso Administrativo y Civil de Hacienda, aún no se cuente con el identificador de personas servidoras judiciales en calidad de intervinientes dentro de las bases de datos, lo cual resulta que materialmente sea imposible la proyección de la demanda del servicio profesional para ejercer la defensa técnica en los casos que lo ameriten; se considera que estos procesos o asuntos pueden ser asumidos por las Defensoras y Defensores Públicos que asumen los asuntos Contenciosos Administrativos donde intervienen personas usuarias </w:t>
      </w:r>
      <w:r w:rsidR="00895FFB" w:rsidRPr="003C5978">
        <w:rPr>
          <w:rFonts w:ascii="Book Antiqua" w:hAnsi="Book Antiqua"/>
        </w:rPr>
        <w:t>indígenas</w:t>
      </w:r>
      <w:r w:rsidRPr="003C5978">
        <w:rPr>
          <w:rFonts w:ascii="Book Antiqua" w:hAnsi="Book Antiqua"/>
        </w:rPr>
        <w:t xml:space="preserve">, de manera que </w:t>
      </w:r>
      <w:r w:rsidR="00895FFB" w:rsidRPr="003C5978">
        <w:rPr>
          <w:rFonts w:ascii="Book Antiqua" w:hAnsi="Book Antiqua"/>
        </w:rPr>
        <w:t>los asuntos con servidores judiciales en calidad de intervinientes contribuyan para completar la carga de trabajo establecida para este personal defensor.</w:t>
      </w:r>
    </w:p>
    <w:p w14:paraId="4D241287" w14:textId="48B330C0" w:rsidR="007A6AA2" w:rsidRPr="003C5978" w:rsidRDefault="007A6AA2" w:rsidP="003C5978">
      <w:pPr>
        <w:numPr>
          <w:ilvl w:val="0"/>
          <w:numId w:val="6"/>
        </w:numPr>
        <w:spacing w:line="240" w:lineRule="auto"/>
        <w:rPr>
          <w:rFonts w:ascii="Book Antiqua" w:hAnsi="Book Antiqua"/>
        </w:rPr>
      </w:pPr>
      <w:r w:rsidRPr="003C5978">
        <w:rPr>
          <w:rFonts w:ascii="Book Antiqua" w:hAnsi="Book Antiqua"/>
        </w:rPr>
        <w:t xml:space="preserve">Resultado del análisis estadístico de los asuntos en materia de Pensiones Alimentarias donde se tiene en calidad de interviniente una persona indígena se concluye que, el 81% de la carga de trabajo a nivel nacional se concentra en las Defensas Públicas de Bribri, Buenos Aires, Pérez Zeledón y Limón, </w:t>
      </w:r>
      <w:r w:rsidRPr="003C5978">
        <w:rPr>
          <w:rFonts w:ascii="Book Antiqua" w:hAnsi="Book Antiqua"/>
        </w:rPr>
        <w:lastRenderedPageBreak/>
        <w:t xml:space="preserve">recordando que las últimas dos oficinas brindan apoyo a las dos primeras, donde se encuentra la mayor concentración de asuntos en esta materia. En razón de lo anterior y, tomando en consideración factores cualitativos </w:t>
      </w:r>
      <w:r w:rsidR="0073164D" w:rsidRPr="003C5978">
        <w:rPr>
          <w:rFonts w:ascii="Book Antiqua" w:hAnsi="Book Antiqua"/>
        </w:rPr>
        <w:t xml:space="preserve">que permitan brindar un acceso a la justicia efectivo y de atención diferenciada a la población indígena de nuestro país se reitera la necesidad de la incorporación de dos plazas de Defensora o Defensor Público (una en cada oficina), para la atención de asuntos de Pensión Alimentaria dónde figure como parte actora o demandada una persona indígena. </w:t>
      </w:r>
    </w:p>
    <w:p w14:paraId="2FB374C6" w14:textId="15CC0117" w:rsidR="00F10C0B" w:rsidRPr="004B3537" w:rsidRDefault="621655D2" w:rsidP="004B3537">
      <w:pPr>
        <w:numPr>
          <w:ilvl w:val="0"/>
          <w:numId w:val="6"/>
        </w:numPr>
        <w:spacing w:line="240" w:lineRule="auto"/>
        <w:rPr>
          <w:rFonts w:ascii="Book Antiqua" w:hAnsi="Book Antiqua"/>
        </w:rPr>
      </w:pPr>
      <w:r w:rsidRPr="2FF0FB19">
        <w:rPr>
          <w:rFonts w:ascii="Book Antiqua" w:hAnsi="Book Antiqua"/>
        </w:rPr>
        <w:t>E</w:t>
      </w:r>
      <w:r w:rsidR="0A587E9D" w:rsidRPr="2FF0FB19">
        <w:rPr>
          <w:rFonts w:ascii="Book Antiqua" w:hAnsi="Book Antiqua"/>
        </w:rPr>
        <w:t xml:space="preserve">l </w:t>
      </w:r>
      <w:r w:rsidR="31BEA420" w:rsidRPr="2FF0FB19">
        <w:rPr>
          <w:rFonts w:ascii="Book Antiqua" w:hAnsi="Book Antiqua"/>
        </w:rPr>
        <w:t xml:space="preserve">proyecto de </w:t>
      </w:r>
      <w:r w:rsidR="0A587E9D" w:rsidRPr="2FF0FB19">
        <w:rPr>
          <w:rFonts w:ascii="Book Antiqua" w:hAnsi="Book Antiqua"/>
        </w:rPr>
        <w:t>mejora de mejora integral del proceso penal</w:t>
      </w:r>
      <w:r w:rsidR="25516550" w:rsidRPr="2FF0FB19">
        <w:rPr>
          <w:rFonts w:ascii="Book Antiqua" w:hAnsi="Book Antiqua"/>
        </w:rPr>
        <w:t xml:space="preserve"> </w:t>
      </w:r>
      <w:r w:rsidR="36F2B733" w:rsidRPr="2FF0FB19">
        <w:rPr>
          <w:rFonts w:ascii="Book Antiqua" w:hAnsi="Book Antiqua"/>
        </w:rPr>
        <w:t xml:space="preserve">en las defensas públicas </w:t>
      </w:r>
      <w:r w:rsidR="181B3FDE" w:rsidRPr="2FF0FB19">
        <w:rPr>
          <w:rFonts w:ascii="Book Antiqua" w:hAnsi="Book Antiqua"/>
        </w:rPr>
        <w:t>tiene</w:t>
      </w:r>
      <w:r w:rsidR="25516550" w:rsidRPr="2FF0FB19">
        <w:rPr>
          <w:rFonts w:ascii="Book Antiqua" w:hAnsi="Book Antiqua"/>
        </w:rPr>
        <w:t xml:space="preserve"> la posibilidad de realizar movilizaciones de personal</w:t>
      </w:r>
      <w:r w:rsidR="7FDDBB98" w:rsidRPr="2FF0FB19">
        <w:rPr>
          <w:rFonts w:ascii="Book Antiqua" w:hAnsi="Book Antiqua"/>
        </w:rPr>
        <w:t xml:space="preserve"> cuando</w:t>
      </w:r>
      <w:r w:rsidR="25516550" w:rsidRPr="2FF0FB19">
        <w:rPr>
          <w:rFonts w:ascii="Book Antiqua" w:hAnsi="Book Antiqua"/>
        </w:rPr>
        <w:t xml:space="preserve"> </w:t>
      </w:r>
      <w:r w:rsidR="74CFC2AC" w:rsidRPr="2FF0FB19">
        <w:rPr>
          <w:rFonts w:ascii="Book Antiqua" w:hAnsi="Book Antiqua"/>
        </w:rPr>
        <w:t xml:space="preserve">es </w:t>
      </w:r>
      <w:r w:rsidR="7692F1E5" w:rsidRPr="2FF0FB19">
        <w:rPr>
          <w:rFonts w:ascii="Book Antiqua" w:hAnsi="Book Antiqua"/>
        </w:rPr>
        <w:t>técnicamente viable</w:t>
      </w:r>
      <w:r w:rsidR="6043C9C8" w:rsidRPr="2FF0FB19">
        <w:rPr>
          <w:rFonts w:ascii="Book Antiqua" w:hAnsi="Book Antiqua"/>
        </w:rPr>
        <w:t xml:space="preserve">; por lo tanto, </w:t>
      </w:r>
      <w:r w:rsidR="636571C1" w:rsidRPr="2FF0FB19">
        <w:rPr>
          <w:rFonts w:ascii="Book Antiqua" w:hAnsi="Book Antiqua"/>
        </w:rPr>
        <w:t>según las prioridades institucionales</w:t>
      </w:r>
      <w:r w:rsidR="4B509A5E" w:rsidRPr="2FF0FB19">
        <w:rPr>
          <w:rFonts w:ascii="Book Antiqua" w:hAnsi="Book Antiqua"/>
        </w:rPr>
        <w:t>, se deberá considerar</w:t>
      </w:r>
      <w:r w:rsidR="49D3B8BD" w:rsidRPr="2FF0FB19">
        <w:rPr>
          <w:rFonts w:ascii="Book Antiqua" w:hAnsi="Book Antiqua"/>
        </w:rPr>
        <w:t xml:space="preserve"> </w:t>
      </w:r>
      <w:r w:rsidR="4B509A5E" w:rsidRPr="2FF0FB19">
        <w:rPr>
          <w:rFonts w:ascii="Book Antiqua" w:hAnsi="Book Antiqua"/>
        </w:rPr>
        <w:t xml:space="preserve">el cumplimiento de la ley </w:t>
      </w:r>
      <w:r w:rsidR="2594B935" w:rsidRPr="2FF0FB19">
        <w:rPr>
          <w:rFonts w:ascii="Book Antiqua" w:hAnsi="Book Antiqua"/>
        </w:rPr>
        <w:t>959</w:t>
      </w:r>
      <w:r w:rsidR="4B509A5E" w:rsidRPr="2FF0FB19">
        <w:rPr>
          <w:rFonts w:ascii="Book Antiqua" w:hAnsi="Book Antiqua"/>
        </w:rPr>
        <w:t xml:space="preserve">3 de </w:t>
      </w:r>
      <w:r w:rsidR="30517BF0" w:rsidRPr="2FF0FB19">
        <w:rPr>
          <w:rFonts w:ascii="Book Antiqua" w:hAnsi="Book Antiqua"/>
        </w:rPr>
        <w:t>A</w:t>
      </w:r>
      <w:r w:rsidR="4B509A5E" w:rsidRPr="2FF0FB19">
        <w:rPr>
          <w:rFonts w:ascii="Book Antiqua" w:hAnsi="Book Antiqua"/>
        </w:rPr>
        <w:t xml:space="preserve">cceso a la </w:t>
      </w:r>
      <w:r w:rsidR="30517BF0" w:rsidRPr="2FF0FB19">
        <w:rPr>
          <w:rFonts w:ascii="Book Antiqua" w:hAnsi="Book Antiqua"/>
        </w:rPr>
        <w:t>Ju</w:t>
      </w:r>
      <w:r w:rsidR="4B509A5E" w:rsidRPr="2FF0FB19">
        <w:rPr>
          <w:rFonts w:ascii="Book Antiqua" w:hAnsi="Book Antiqua"/>
        </w:rPr>
        <w:t>sticia</w:t>
      </w:r>
      <w:r w:rsidR="767302A0" w:rsidRPr="2FF0FB19">
        <w:rPr>
          <w:rFonts w:ascii="Book Antiqua" w:hAnsi="Book Antiqua"/>
        </w:rPr>
        <w:t xml:space="preserve"> </w:t>
      </w:r>
      <w:r w:rsidR="7B3B7739" w:rsidRPr="2FF0FB19">
        <w:rPr>
          <w:rFonts w:ascii="Book Antiqua" w:hAnsi="Book Antiqua"/>
        </w:rPr>
        <w:t xml:space="preserve">a </w:t>
      </w:r>
      <w:r w:rsidR="30517BF0" w:rsidRPr="2FF0FB19">
        <w:rPr>
          <w:rFonts w:ascii="Book Antiqua" w:hAnsi="Book Antiqua"/>
        </w:rPr>
        <w:t>la población indígena.</w:t>
      </w:r>
    </w:p>
    <w:p w14:paraId="201AE479" w14:textId="143D4C13" w:rsidR="030928AD" w:rsidRDefault="030928AD" w:rsidP="2FF0FB19">
      <w:pPr>
        <w:numPr>
          <w:ilvl w:val="0"/>
          <w:numId w:val="6"/>
        </w:numPr>
        <w:spacing w:line="240" w:lineRule="auto"/>
        <w:rPr>
          <w:rFonts w:ascii="Book Antiqua" w:eastAsia="Book Antiqua" w:hAnsi="Book Antiqua" w:cs="Book Antiqua"/>
          <w:szCs w:val="24"/>
        </w:rPr>
      </w:pPr>
      <w:r w:rsidRPr="2FF0FB19">
        <w:rPr>
          <w:rFonts w:ascii="Book Antiqua" w:hAnsi="Book Antiqua"/>
        </w:rPr>
        <w:t>En virtud de las observaciones realizadas por la Dirección de Tecnología de Información en los oficios 662-DTI-2020 y 0712-DTI-2020</w:t>
      </w:r>
      <w:r w:rsidR="66B9A3BF" w:rsidRPr="2FF0FB19">
        <w:rPr>
          <w:rFonts w:ascii="Book Antiqua" w:hAnsi="Book Antiqua"/>
        </w:rPr>
        <w:t xml:space="preserve"> en lo referente a la implantación del Sistema de Seguimiento de Casos </w:t>
      </w:r>
      <w:r w:rsidR="66B9A3BF" w:rsidRPr="2FF0FB19">
        <w:rPr>
          <w:rFonts w:ascii="Book Antiqua" w:eastAsia="Book Antiqua" w:hAnsi="Book Antiqua" w:cs="Book Antiqua"/>
          <w:color w:val="000000" w:themeColor="text1"/>
          <w:sz w:val="22"/>
        </w:rPr>
        <w:t>se deberá esperar la validación del funcionamiento del sistema para las Unidades Agrarias y de Pensiones Alimentarias, para posteriormente continuar con las implantaciones, lo anterior supeditado a la capacidad operativa de la Unidad encargada en la Dirección de Tecnología de Información y el profesional en informática asignado a la Defensa Pública.</w:t>
      </w:r>
    </w:p>
    <w:p w14:paraId="6AE55E72" w14:textId="4B1A60CA" w:rsidR="5236F5DA" w:rsidRDefault="5236F5DA" w:rsidP="2FF0FB19">
      <w:pPr>
        <w:numPr>
          <w:ilvl w:val="0"/>
          <w:numId w:val="6"/>
        </w:numPr>
        <w:spacing w:line="240" w:lineRule="auto"/>
        <w:rPr>
          <w:rFonts w:ascii="Book Antiqua" w:eastAsia="Book Antiqua" w:hAnsi="Book Antiqua" w:cs="Book Antiqua"/>
          <w:color w:val="000000" w:themeColor="text1"/>
          <w:sz w:val="22"/>
        </w:rPr>
      </w:pPr>
      <w:r w:rsidRPr="2FF0FB19">
        <w:rPr>
          <w:rFonts w:ascii="Book Antiqua" w:eastAsia="Book Antiqua" w:hAnsi="Book Antiqua" w:cs="Book Antiqua"/>
          <w:color w:val="000000" w:themeColor="text1"/>
          <w:sz w:val="22"/>
        </w:rPr>
        <w:t>El informe</w:t>
      </w:r>
      <w:r w:rsidR="0FDAA221" w:rsidRPr="2FF0FB19">
        <w:rPr>
          <w:rFonts w:ascii="Book Antiqua" w:eastAsia="Book Antiqua" w:hAnsi="Book Antiqua" w:cs="Book Antiqua"/>
          <w:color w:val="000000" w:themeColor="text1"/>
          <w:sz w:val="22"/>
        </w:rPr>
        <w:t xml:space="preserve"> 507_PLA-RH-MI-2020 y la incorporación de dos plazas al presupuesto</w:t>
      </w:r>
      <w:r w:rsidR="66CA2187" w:rsidRPr="2FF0FB19">
        <w:rPr>
          <w:rFonts w:ascii="Book Antiqua" w:eastAsia="Book Antiqua" w:hAnsi="Book Antiqua" w:cs="Book Antiqua"/>
          <w:color w:val="000000" w:themeColor="text1"/>
          <w:sz w:val="22"/>
        </w:rPr>
        <w:t>; as</w:t>
      </w:r>
      <w:r w:rsidR="11E0293E" w:rsidRPr="2FF0FB19">
        <w:rPr>
          <w:rFonts w:ascii="Book Antiqua" w:eastAsia="Book Antiqua" w:hAnsi="Book Antiqua" w:cs="Book Antiqua"/>
          <w:color w:val="000000" w:themeColor="text1"/>
          <w:sz w:val="22"/>
        </w:rPr>
        <w:t>í</w:t>
      </w:r>
      <w:r w:rsidR="66CA2187" w:rsidRPr="2FF0FB19">
        <w:rPr>
          <w:rFonts w:ascii="Book Antiqua" w:eastAsia="Book Antiqua" w:hAnsi="Book Antiqua" w:cs="Book Antiqua"/>
          <w:color w:val="000000" w:themeColor="text1"/>
          <w:sz w:val="22"/>
        </w:rPr>
        <w:t xml:space="preserve"> como los oficios 553-PLA-RH-MI-2020 y </w:t>
      </w:r>
      <w:r w:rsidR="7248B5A5" w:rsidRPr="2FF0FB19">
        <w:rPr>
          <w:rFonts w:ascii="Book Antiqua" w:eastAsia="Book Antiqua" w:hAnsi="Book Antiqua" w:cs="Book Antiqua"/>
          <w:color w:val="000000" w:themeColor="text1"/>
          <w:sz w:val="22"/>
        </w:rPr>
        <w:t>659-PLA-RH-MI-2020 donde se atienden observaciones de las partes, fueron</w:t>
      </w:r>
      <w:r w:rsidR="0FDAA221" w:rsidRPr="2FF0FB19">
        <w:rPr>
          <w:rFonts w:ascii="Book Antiqua" w:eastAsia="Book Antiqua" w:hAnsi="Book Antiqua" w:cs="Book Antiqua"/>
          <w:color w:val="000000" w:themeColor="text1"/>
          <w:sz w:val="22"/>
        </w:rPr>
        <w:t xml:space="preserve"> aprobado</w:t>
      </w:r>
      <w:r w:rsidR="5D36E887" w:rsidRPr="2FF0FB19">
        <w:rPr>
          <w:rFonts w:ascii="Book Antiqua" w:eastAsia="Book Antiqua" w:hAnsi="Book Antiqua" w:cs="Book Antiqua"/>
          <w:color w:val="000000" w:themeColor="text1"/>
          <w:sz w:val="22"/>
        </w:rPr>
        <w:t>s</w:t>
      </w:r>
      <w:r w:rsidR="0FDAA221" w:rsidRPr="2FF0FB19">
        <w:rPr>
          <w:rFonts w:ascii="Book Antiqua" w:eastAsia="Book Antiqua" w:hAnsi="Book Antiqua" w:cs="Book Antiqua"/>
          <w:color w:val="000000" w:themeColor="text1"/>
          <w:sz w:val="22"/>
        </w:rPr>
        <w:t xml:space="preserve"> por e</w:t>
      </w:r>
      <w:r w:rsidR="0C7004D6" w:rsidRPr="2FF0FB19">
        <w:rPr>
          <w:rFonts w:ascii="Book Antiqua" w:eastAsia="Book Antiqua" w:hAnsi="Book Antiqua" w:cs="Book Antiqua"/>
          <w:color w:val="000000" w:themeColor="text1"/>
          <w:sz w:val="22"/>
        </w:rPr>
        <w:t>l Consejo Superior en sesión extraordinaria 38-2020 (Presupuesto 2021), celebrada el 17 de abril del año en curso, artículo XXI</w:t>
      </w:r>
      <w:r w:rsidR="47EC0F20" w:rsidRPr="2FF0FB19">
        <w:rPr>
          <w:rFonts w:ascii="Book Antiqua" w:eastAsia="Book Antiqua" w:hAnsi="Book Antiqua" w:cs="Book Antiqua"/>
          <w:color w:val="000000" w:themeColor="text1"/>
          <w:sz w:val="22"/>
        </w:rPr>
        <w:t>.</w:t>
      </w:r>
    </w:p>
    <w:p w14:paraId="1DD0EB5B" w14:textId="1AE6829A" w:rsidR="6BF75F48" w:rsidRDefault="6BF75F48" w:rsidP="2FF0FB19">
      <w:pPr>
        <w:numPr>
          <w:ilvl w:val="0"/>
          <w:numId w:val="6"/>
        </w:numPr>
        <w:spacing w:line="240" w:lineRule="auto"/>
        <w:rPr>
          <w:color w:val="000000" w:themeColor="text1"/>
          <w:sz w:val="22"/>
        </w:rPr>
      </w:pPr>
      <w:r w:rsidRPr="2FF0FB19">
        <w:rPr>
          <w:rFonts w:ascii="Book Antiqua" w:eastAsia="Book Antiqua" w:hAnsi="Book Antiqua" w:cs="Book Antiqua"/>
          <w:color w:val="000000" w:themeColor="text1"/>
          <w:sz w:val="22"/>
        </w:rPr>
        <w:t>Posteriormente, en sesión extraordinaria del Consejo Superior 45-2020 del 8 de mayo de 2020, artículo XXII fueron conocidos los oficios 659-PLA-RH-MI-2020 y 660-PLA-RH-MI-2020 donde se atendieron las observaciones planteadas por la Comisión de Acceso a la Justicia y por la Sección de Análisis de Puestos de la Dirección de Gestión Humana; en el mismo se dispuso por el Consejo Superior aprobar ambos oficios de la Dirección de Planificación y sus recomendaciones.</w:t>
      </w:r>
    </w:p>
    <w:p w14:paraId="59FBFA13" w14:textId="1150FC97" w:rsidR="49C00EA6" w:rsidRDefault="49C00EA6" w:rsidP="2FF0FB19">
      <w:pPr>
        <w:numPr>
          <w:ilvl w:val="0"/>
          <w:numId w:val="6"/>
        </w:numPr>
        <w:spacing w:line="240" w:lineRule="auto"/>
        <w:rPr>
          <w:color w:val="000000" w:themeColor="text1"/>
          <w:sz w:val="22"/>
        </w:rPr>
      </w:pPr>
      <w:r w:rsidRPr="2FF0FB19">
        <w:rPr>
          <w:rFonts w:ascii="Book Antiqua" w:eastAsia="Book Antiqua" w:hAnsi="Book Antiqua" w:cs="Book Antiqua"/>
          <w:color w:val="000000" w:themeColor="text1"/>
          <w:sz w:val="22"/>
        </w:rPr>
        <w:t>Finalmente, en sesión extraordinaria del Consejo Superior 48-2020 del 14 de mayo en los artículos VII y X</w:t>
      </w:r>
      <w:r w:rsidR="0C467773" w:rsidRPr="2FF0FB19">
        <w:rPr>
          <w:rFonts w:ascii="Book Antiqua" w:eastAsia="Book Antiqua" w:hAnsi="Book Antiqua" w:cs="Book Antiqua"/>
          <w:color w:val="000000" w:themeColor="text1"/>
          <w:sz w:val="22"/>
        </w:rPr>
        <w:t>,</w:t>
      </w:r>
      <w:r w:rsidRPr="2FF0FB19">
        <w:rPr>
          <w:rFonts w:ascii="Book Antiqua" w:eastAsia="Book Antiqua" w:hAnsi="Book Antiqua" w:cs="Book Antiqua"/>
          <w:color w:val="000000" w:themeColor="text1"/>
          <w:sz w:val="22"/>
        </w:rPr>
        <w:t xml:space="preserve"> </w:t>
      </w:r>
      <w:r w:rsidR="7AEFEC5A" w:rsidRPr="2FF0FB19">
        <w:rPr>
          <w:rFonts w:ascii="Book Antiqua" w:eastAsia="Book Antiqua" w:hAnsi="Book Antiqua" w:cs="Book Antiqua"/>
          <w:color w:val="000000" w:themeColor="text1"/>
          <w:sz w:val="22"/>
        </w:rPr>
        <w:t>se dispone mantener lo aprobado por el Consejo Superior en la sesión 38-2020 del 17 de abril de</w:t>
      </w:r>
      <w:r w:rsidR="3E591F23" w:rsidRPr="2FF0FB19">
        <w:rPr>
          <w:rFonts w:ascii="Book Antiqua" w:eastAsia="Book Antiqua" w:hAnsi="Book Antiqua" w:cs="Book Antiqua"/>
          <w:color w:val="000000" w:themeColor="text1"/>
          <w:sz w:val="22"/>
        </w:rPr>
        <w:t xml:space="preserve"> </w:t>
      </w:r>
      <w:r w:rsidR="7AEFEC5A" w:rsidRPr="2FF0FB19">
        <w:rPr>
          <w:rFonts w:ascii="Book Antiqua" w:eastAsia="Book Antiqua" w:hAnsi="Book Antiqua" w:cs="Book Antiqua"/>
          <w:color w:val="000000" w:themeColor="text1"/>
          <w:sz w:val="22"/>
        </w:rPr>
        <w:t xml:space="preserve">2020 artículo XXI, </w:t>
      </w:r>
      <w:r w:rsidR="53FD581F" w:rsidRPr="2FF0FB19">
        <w:rPr>
          <w:rFonts w:ascii="Book Antiqua" w:eastAsia="Book Antiqua" w:hAnsi="Book Antiqua" w:cs="Book Antiqua"/>
          <w:color w:val="000000" w:themeColor="text1"/>
          <w:sz w:val="22"/>
        </w:rPr>
        <w:t xml:space="preserve">y se aprueban los </w:t>
      </w:r>
      <w:r w:rsidRPr="2FF0FB19">
        <w:rPr>
          <w:rFonts w:ascii="Book Antiqua" w:eastAsia="Book Antiqua" w:hAnsi="Book Antiqua" w:cs="Book Antiqua"/>
          <w:color w:val="000000" w:themeColor="text1"/>
          <w:sz w:val="22"/>
        </w:rPr>
        <w:t>oficios 661-PLA-RH-MI-2020 referente a las reconsideraciones planteadas por la Dirección de Tecnología de Información y el oficio 692-PLA-RH-MI-2020 en respuesta las reconsideraciones presentadas por la Jefatura de la Defensa Pública.</w:t>
      </w:r>
    </w:p>
    <w:p w14:paraId="013ACD30" w14:textId="77777777" w:rsidR="002214BE" w:rsidRDefault="002214BE" w:rsidP="00F249A1"/>
    <w:p w14:paraId="78868C48" w14:textId="281B6FA5" w:rsidR="1022EF5B" w:rsidRPr="008D2522" w:rsidRDefault="1022EF5B" w:rsidP="003C5978">
      <w:pPr>
        <w:pStyle w:val="Ttulo1"/>
      </w:pPr>
      <w:r w:rsidRPr="008D2522">
        <w:t>Recomendaciones</w:t>
      </w:r>
    </w:p>
    <w:p w14:paraId="514E07D1" w14:textId="7C536FC4" w:rsidR="001D7BEB" w:rsidRDefault="001D7BEB" w:rsidP="00410F64">
      <w:pPr>
        <w:pStyle w:val="Ttulo3"/>
        <w:numPr>
          <w:ilvl w:val="0"/>
          <w:numId w:val="10"/>
        </w:numPr>
      </w:pPr>
      <w:r>
        <w:t>A Corte Plena</w:t>
      </w:r>
    </w:p>
    <w:p w14:paraId="66F3C153" w14:textId="53712ABE" w:rsidR="4037A065" w:rsidRPr="00067366" w:rsidRDefault="4037A065" w:rsidP="00377565">
      <w:pPr>
        <w:pStyle w:val="Ttulo2"/>
      </w:pPr>
      <w:r w:rsidRPr="00067366">
        <w:t xml:space="preserve">Escenarios para suplir las necesidades </w:t>
      </w:r>
      <w:r w:rsidR="6D2ACD37" w:rsidRPr="00067366">
        <w:t>de personal defensor</w:t>
      </w:r>
    </w:p>
    <w:p w14:paraId="58C55510" w14:textId="067979DD" w:rsidR="17A1FB1F" w:rsidRPr="003C5978" w:rsidRDefault="17A1FB1F" w:rsidP="003C5978">
      <w:pPr>
        <w:spacing w:line="240" w:lineRule="auto"/>
        <w:rPr>
          <w:rFonts w:ascii="Book Antiqua" w:hAnsi="Book Antiqua"/>
        </w:rPr>
      </w:pPr>
      <w:r w:rsidRPr="003C5978">
        <w:rPr>
          <w:rFonts w:ascii="Book Antiqua" w:hAnsi="Book Antiqua"/>
        </w:rPr>
        <w:t xml:space="preserve">En razón </w:t>
      </w:r>
      <w:r w:rsidR="216AE8FF" w:rsidRPr="003C5978">
        <w:rPr>
          <w:rFonts w:ascii="Book Antiqua" w:hAnsi="Book Antiqua"/>
        </w:rPr>
        <w:t>de</w:t>
      </w:r>
      <w:r w:rsidRPr="003C5978">
        <w:rPr>
          <w:rFonts w:ascii="Book Antiqua" w:hAnsi="Book Antiqua"/>
        </w:rPr>
        <w:t xml:space="preserve"> las limitaciones presupuestarias</w:t>
      </w:r>
      <w:r w:rsidR="2A4EFAE2" w:rsidRPr="003C5978">
        <w:rPr>
          <w:rFonts w:ascii="Book Antiqua" w:hAnsi="Book Antiqua"/>
        </w:rPr>
        <w:t xml:space="preserve">, mencionadas en </w:t>
      </w:r>
      <w:r w:rsidR="6A037701" w:rsidRPr="003C5978">
        <w:rPr>
          <w:rFonts w:ascii="Book Antiqua" w:hAnsi="Book Antiqua"/>
        </w:rPr>
        <w:t xml:space="preserve">el apartado de </w:t>
      </w:r>
      <w:r w:rsidR="2A4EFAE2" w:rsidRPr="003C5978">
        <w:rPr>
          <w:rFonts w:ascii="Book Antiqua" w:hAnsi="Book Antiqua"/>
        </w:rPr>
        <w:t xml:space="preserve">antecedentes del presente informe, </w:t>
      </w:r>
      <w:r w:rsidR="009621DA" w:rsidRPr="003C5978">
        <w:rPr>
          <w:rFonts w:ascii="Book Antiqua" w:hAnsi="Book Antiqua"/>
        </w:rPr>
        <w:t>se plantean dos escenarios para el cumplimiento de la</w:t>
      </w:r>
      <w:r w:rsidR="1A10D69D" w:rsidRPr="003C5978">
        <w:rPr>
          <w:rFonts w:ascii="Book Antiqua" w:hAnsi="Book Antiqua"/>
        </w:rPr>
        <w:t xml:space="preserve"> necesidad de personal para el efectivo acceso a la justicia a las personas usuarias indígenas</w:t>
      </w:r>
      <w:r w:rsidR="1D9666F7" w:rsidRPr="003C5978">
        <w:rPr>
          <w:rFonts w:ascii="Book Antiqua" w:hAnsi="Book Antiqua"/>
        </w:rPr>
        <w:t>.</w:t>
      </w:r>
    </w:p>
    <w:p w14:paraId="454D3646" w14:textId="5809D7FD" w:rsidR="1D9666F7" w:rsidRPr="008D2522" w:rsidRDefault="1D9666F7" w:rsidP="00410F64">
      <w:pPr>
        <w:pStyle w:val="Ttulo3"/>
        <w:numPr>
          <w:ilvl w:val="0"/>
          <w:numId w:val="9"/>
        </w:numPr>
      </w:pPr>
      <w:r w:rsidRPr="008D2522">
        <w:t xml:space="preserve">Escenario 1: </w:t>
      </w:r>
      <w:r w:rsidR="28967BA0" w:rsidRPr="008D2522">
        <w:t>Inclusión de plazas dentro del presupuesto 2021</w:t>
      </w:r>
    </w:p>
    <w:p w14:paraId="158B1E7F" w14:textId="2B041739" w:rsidR="00067366" w:rsidRPr="003C5978" w:rsidRDefault="28967BA0" w:rsidP="003C5978">
      <w:pPr>
        <w:spacing w:line="240" w:lineRule="auto"/>
        <w:rPr>
          <w:rFonts w:ascii="Book Antiqua" w:hAnsi="Book Antiqua"/>
        </w:rPr>
      </w:pPr>
      <w:r w:rsidRPr="003C5978">
        <w:rPr>
          <w:rFonts w:ascii="Book Antiqua" w:hAnsi="Book Antiqua"/>
        </w:rPr>
        <w:t xml:space="preserve">Incluir dentro del presupuesto 2021, dos plazas de Defensora o Defensor Público para la atención de asuntos de Pensión Alimentaria, con el fin de dar </w:t>
      </w:r>
      <w:r w:rsidR="23C5BFFE" w:rsidRPr="003C5978">
        <w:rPr>
          <w:rFonts w:ascii="Book Antiqua" w:hAnsi="Book Antiqua"/>
        </w:rPr>
        <w:t>sostenibilidad</w:t>
      </w:r>
      <w:r w:rsidRPr="003C5978">
        <w:rPr>
          <w:rFonts w:ascii="Book Antiqua" w:hAnsi="Book Antiqua"/>
        </w:rPr>
        <w:t xml:space="preserve"> al plan de trabajo </w:t>
      </w:r>
      <w:r w:rsidR="22EA7EC5" w:rsidRPr="003C5978">
        <w:rPr>
          <w:rFonts w:ascii="Book Antiqua" w:hAnsi="Book Antiqua"/>
        </w:rPr>
        <w:t>propuesto</w:t>
      </w:r>
      <w:r w:rsidR="07C3AFA3" w:rsidRPr="003C5978">
        <w:rPr>
          <w:rFonts w:ascii="Book Antiqua" w:hAnsi="Book Antiqua"/>
        </w:rPr>
        <w:t xml:space="preserve"> en este informe; dado a que, al reforzar la estructura del recurso humano de la Defensa Pública de Bribri y la Defensa Pública de Buenos Aires, se estaría en la capacidad para asum</w:t>
      </w:r>
      <w:r w:rsidR="1B1CDCB4" w:rsidRPr="003C5978">
        <w:rPr>
          <w:rFonts w:ascii="Book Antiqua" w:hAnsi="Book Antiqua"/>
        </w:rPr>
        <w:t xml:space="preserve">ir la </w:t>
      </w:r>
      <w:r w:rsidR="56584638" w:rsidRPr="003C5978">
        <w:rPr>
          <w:rFonts w:ascii="Book Antiqua" w:hAnsi="Book Antiqua"/>
        </w:rPr>
        <w:t>atención</w:t>
      </w:r>
      <w:r w:rsidR="1B1CDCB4" w:rsidRPr="003C5978">
        <w:rPr>
          <w:rFonts w:ascii="Book Antiqua" w:hAnsi="Book Antiqua"/>
        </w:rPr>
        <w:t xml:space="preserve"> </w:t>
      </w:r>
      <w:r w:rsidR="072182CB" w:rsidRPr="003C5978">
        <w:rPr>
          <w:rFonts w:ascii="Book Antiqua" w:hAnsi="Book Antiqua"/>
        </w:rPr>
        <w:t>ordinaria</w:t>
      </w:r>
      <w:r w:rsidR="1B1CDCB4" w:rsidRPr="003C5978">
        <w:rPr>
          <w:rFonts w:ascii="Book Antiqua" w:hAnsi="Book Antiqua"/>
        </w:rPr>
        <w:t xml:space="preserve"> de asuntos donde figure como parte actora o demanda una o más personas usuarias indígenas.</w:t>
      </w:r>
    </w:p>
    <w:p w14:paraId="4F1B0620" w14:textId="77777777" w:rsidR="28967BA0" w:rsidRPr="003C5978" w:rsidRDefault="00067366" w:rsidP="003C5978">
      <w:pPr>
        <w:spacing w:line="240" w:lineRule="auto"/>
        <w:rPr>
          <w:rFonts w:ascii="Book Antiqua" w:hAnsi="Book Antiqua"/>
        </w:rPr>
      </w:pPr>
      <w:r w:rsidRPr="003C5978">
        <w:rPr>
          <w:rFonts w:ascii="Book Antiqua" w:hAnsi="Book Antiqua"/>
        </w:rPr>
        <w:br w:type="page"/>
      </w:r>
    </w:p>
    <w:p w14:paraId="136FF431" w14:textId="7CBFD551" w:rsidR="00E57630" w:rsidRPr="008D2522" w:rsidRDefault="00E57630" w:rsidP="00055CFC">
      <w:pPr>
        <w:pStyle w:val="Descripcin"/>
        <w:keepNext/>
        <w:spacing w:before="0" w:after="0"/>
        <w:jc w:val="center"/>
        <w:rPr>
          <w:rFonts w:cs="Arial"/>
          <w:sz w:val="24"/>
          <w:szCs w:val="24"/>
        </w:rPr>
      </w:pPr>
      <w:r w:rsidRPr="008D2522">
        <w:rPr>
          <w:rFonts w:cs="Arial"/>
          <w:sz w:val="24"/>
          <w:szCs w:val="24"/>
        </w:rPr>
        <w:lastRenderedPageBreak/>
        <w:t xml:space="preserve">Tabla </w:t>
      </w:r>
      <w:r w:rsidRPr="008D2522">
        <w:rPr>
          <w:rFonts w:cs="Arial"/>
          <w:sz w:val="24"/>
          <w:szCs w:val="24"/>
        </w:rPr>
        <w:fldChar w:fldCharType="begin"/>
      </w:r>
      <w:r w:rsidRPr="008D2522">
        <w:rPr>
          <w:rFonts w:cs="Arial"/>
          <w:sz w:val="24"/>
          <w:szCs w:val="24"/>
        </w:rPr>
        <w:instrText xml:space="preserve"> SEQ Tabla \* ARABIC </w:instrText>
      </w:r>
      <w:r w:rsidRPr="008D2522">
        <w:rPr>
          <w:rFonts w:cs="Arial"/>
          <w:sz w:val="24"/>
          <w:szCs w:val="24"/>
        </w:rPr>
        <w:fldChar w:fldCharType="separate"/>
      </w:r>
      <w:r w:rsidR="005B5D07">
        <w:rPr>
          <w:rFonts w:cs="Arial"/>
          <w:noProof/>
          <w:sz w:val="24"/>
          <w:szCs w:val="24"/>
        </w:rPr>
        <w:t>10</w:t>
      </w:r>
      <w:r w:rsidRPr="008D2522">
        <w:rPr>
          <w:rFonts w:cs="Arial"/>
          <w:sz w:val="24"/>
          <w:szCs w:val="24"/>
        </w:rPr>
        <w:fldChar w:fldCharType="end"/>
      </w:r>
      <w:r w:rsidRPr="008D2522">
        <w:rPr>
          <w:rFonts w:cs="Arial"/>
          <w:sz w:val="24"/>
          <w:szCs w:val="24"/>
        </w:rPr>
        <w:t xml:space="preserve"> </w:t>
      </w:r>
      <w:r w:rsidRPr="008D2522">
        <w:rPr>
          <w:rFonts w:eastAsia="Arial" w:cs="Arial"/>
          <w:sz w:val="24"/>
          <w:szCs w:val="24"/>
        </w:rPr>
        <w:t>Estimación del costo estimado para el 2021, dos plazas extraordinarias de Defensor Público que atienden materia Pensión Alimentaria.</w:t>
      </w:r>
    </w:p>
    <w:tbl>
      <w:tblPr>
        <w:tblW w:w="5226" w:type="pct"/>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4A0" w:firstRow="1" w:lastRow="0" w:firstColumn="1" w:lastColumn="0" w:noHBand="0" w:noVBand="1"/>
      </w:tblPr>
      <w:tblGrid>
        <w:gridCol w:w="1197"/>
        <w:gridCol w:w="1050"/>
        <w:gridCol w:w="991"/>
        <w:gridCol w:w="1308"/>
        <w:gridCol w:w="1570"/>
        <w:gridCol w:w="1044"/>
        <w:gridCol w:w="2067"/>
      </w:tblGrid>
      <w:tr w:rsidR="00E57630" w:rsidRPr="008D2522" w14:paraId="77F81CC5" w14:textId="77777777" w:rsidTr="00067366">
        <w:trPr>
          <w:trHeight w:val="407"/>
        </w:trPr>
        <w:tc>
          <w:tcPr>
            <w:tcW w:w="648" w:type="pct"/>
            <w:shd w:val="clear" w:color="auto" w:fill="1F3864"/>
            <w:vAlign w:val="center"/>
          </w:tcPr>
          <w:p w14:paraId="48F7BA71" w14:textId="77777777" w:rsidR="00E57630" w:rsidRPr="008D2522" w:rsidRDefault="00E57630" w:rsidP="00055CFC">
            <w:pPr>
              <w:spacing w:before="0" w:after="0"/>
              <w:jc w:val="center"/>
              <w:rPr>
                <w:rFonts w:eastAsia="Arial" w:cs="Arial"/>
                <w:b/>
                <w:bCs/>
                <w:sz w:val="22"/>
                <w:lang w:eastAsia="es-CR"/>
              </w:rPr>
            </w:pPr>
            <w:r w:rsidRPr="008D2522">
              <w:rPr>
                <w:rFonts w:eastAsia="Arial" w:cs="Arial"/>
                <w:b/>
                <w:bCs/>
                <w:sz w:val="22"/>
                <w:lang w:eastAsia="es-CR"/>
              </w:rPr>
              <w:t>Despacho</w:t>
            </w:r>
          </w:p>
        </w:tc>
        <w:tc>
          <w:tcPr>
            <w:tcW w:w="569" w:type="pct"/>
            <w:shd w:val="clear" w:color="auto" w:fill="1F3864"/>
            <w:vAlign w:val="center"/>
          </w:tcPr>
          <w:p w14:paraId="62B85532" w14:textId="77777777" w:rsidR="00E57630" w:rsidRPr="008D2522" w:rsidRDefault="00E57630" w:rsidP="00055CFC">
            <w:pPr>
              <w:spacing w:before="0" w:after="0"/>
              <w:jc w:val="center"/>
              <w:rPr>
                <w:rFonts w:eastAsia="Arial" w:cs="Arial"/>
                <w:b/>
                <w:bCs/>
                <w:sz w:val="22"/>
                <w:lang w:eastAsia="es-CR"/>
              </w:rPr>
            </w:pPr>
            <w:r w:rsidRPr="008D2522">
              <w:rPr>
                <w:rFonts w:eastAsia="Arial" w:cs="Arial"/>
                <w:b/>
                <w:bCs/>
                <w:sz w:val="22"/>
                <w:lang w:eastAsia="es-CR"/>
              </w:rPr>
              <w:t>Cantidad</w:t>
            </w:r>
          </w:p>
        </w:tc>
        <w:tc>
          <w:tcPr>
            <w:tcW w:w="537" w:type="pct"/>
            <w:shd w:val="clear" w:color="auto" w:fill="1F3864"/>
            <w:vAlign w:val="center"/>
          </w:tcPr>
          <w:p w14:paraId="54A93854" w14:textId="77777777" w:rsidR="00E57630" w:rsidRPr="008D2522" w:rsidRDefault="00E57630" w:rsidP="00055CFC">
            <w:pPr>
              <w:spacing w:before="0" w:after="0"/>
              <w:jc w:val="center"/>
              <w:rPr>
                <w:rFonts w:eastAsia="Arial" w:cs="Arial"/>
                <w:b/>
                <w:bCs/>
                <w:sz w:val="22"/>
                <w:lang w:eastAsia="es-CR"/>
              </w:rPr>
            </w:pPr>
            <w:r w:rsidRPr="008D2522">
              <w:rPr>
                <w:rFonts w:eastAsia="Arial" w:cs="Arial"/>
                <w:b/>
                <w:bCs/>
                <w:sz w:val="22"/>
                <w:lang w:eastAsia="es-CR"/>
              </w:rPr>
              <w:t>Tipo de plaza</w:t>
            </w:r>
          </w:p>
        </w:tc>
        <w:tc>
          <w:tcPr>
            <w:tcW w:w="709" w:type="pct"/>
            <w:shd w:val="clear" w:color="auto" w:fill="1F3864"/>
            <w:vAlign w:val="center"/>
          </w:tcPr>
          <w:p w14:paraId="7AE2CE32" w14:textId="77777777" w:rsidR="00E57630" w:rsidRPr="008D2522" w:rsidRDefault="00E57630" w:rsidP="00055CFC">
            <w:pPr>
              <w:spacing w:before="0" w:after="0"/>
              <w:jc w:val="center"/>
              <w:rPr>
                <w:rFonts w:eastAsia="Arial" w:cs="Arial"/>
                <w:b/>
                <w:bCs/>
                <w:sz w:val="22"/>
                <w:lang w:eastAsia="es-CR"/>
              </w:rPr>
            </w:pPr>
            <w:r w:rsidRPr="008D2522">
              <w:rPr>
                <w:rFonts w:eastAsia="Arial" w:cs="Arial"/>
                <w:b/>
                <w:bCs/>
                <w:sz w:val="22"/>
                <w:lang w:eastAsia="es-CR"/>
              </w:rPr>
              <w:t>Condición actual</w:t>
            </w:r>
          </w:p>
        </w:tc>
        <w:tc>
          <w:tcPr>
            <w:tcW w:w="851" w:type="pct"/>
            <w:shd w:val="clear" w:color="auto" w:fill="1F3864"/>
            <w:vAlign w:val="center"/>
          </w:tcPr>
          <w:p w14:paraId="6A0D52A4" w14:textId="77777777" w:rsidR="00E57630" w:rsidRPr="008D2522" w:rsidRDefault="00E57630" w:rsidP="00055CFC">
            <w:pPr>
              <w:spacing w:before="0" w:after="0"/>
              <w:jc w:val="center"/>
              <w:rPr>
                <w:rFonts w:eastAsia="Arial" w:cs="Arial"/>
                <w:b/>
                <w:bCs/>
                <w:sz w:val="22"/>
                <w:lang w:eastAsia="es-CR"/>
              </w:rPr>
            </w:pPr>
            <w:r w:rsidRPr="008D2522">
              <w:rPr>
                <w:rFonts w:eastAsia="Arial" w:cs="Arial"/>
                <w:b/>
                <w:bCs/>
                <w:sz w:val="22"/>
                <w:lang w:eastAsia="es-CR"/>
              </w:rPr>
              <w:t>Recomen-dación</w:t>
            </w:r>
          </w:p>
        </w:tc>
        <w:tc>
          <w:tcPr>
            <w:tcW w:w="566" w:type="pct"/>
            <w:shd w:val="clear" w:color="auto" w:fill="1F3864"/>
            <w:vAlign w:val="center"/>
          </w:tcPr>
          <w:p w14:paraId="1C284ECC" w14:textId="77777777" w:rsidR="00E57630" w:rsidRPr="008D2522" w:rsidRDefault="00E57630" w:rsidP="00055CFC">
            <w:pPr>
              <w:spacing w:before="0" w:after="0"/>
              <w:jc w:val="center"/>
              <w:rPr>
                <w:rFonts w:eastAsia="Arial" w:cs="Arial"/>
                <w:b/>
                <w:bCs/>
                <w:sz w:val="22"/>
                <w:lang w:eastAsia="es-CR"/>
              </w:rPr>
            </w:pPr>
            <w:r w:rsidRPr="008D2522">
              <w:rPr>
                <w:rFonts w:eastAsia="Arial" w:cs="Arial"/>
                <w:b/>
                <w:bCs/>
                <w:sz w:val="22"/>
                <w:lang w:eastAsia="es-CR"/>
              </w:rPr>
              <w:t>Período</w:t>
            </w:r>
          </w:p>
        </w:tc>
        <w:tc>
          <w:tcPr>
            <w:tcW w:w="1121" w:type="pct"/>
            <w:shd w:val="clear" w:color="auto" w:fill="1F3864"/>
            <w:vAlign w:val="center"/>
          </w:tcPr>
          <w:p w14:paraId="5163AD31" w14:textId="77777777" w:rsidR="00E57630" w:rsidRPr="008D2522" w:rsidRDefault="00E57630" w:rsidP="00055CFC">
            <w:pPr>
              <w:spacing w:before="0" w:after="0"/>
              <w:jc w:val="center"/>
              <w:rPr>
                <w:rFonts w:eastAsia="Arial" w:cs="Arial"/>
                <w:b/>
                <w:bCs/>
                <w:sz w:val="22"/>
                <w:lang w:eastAsia="es-CR"/>
              </w:rPr>
            </w:pPr>
            <w:r w:rsidRPr="008D2522">
              <w:rPr>
                <w:rFonts w:eastAsia="Arial" w:cs="Arial"/>
                <w:b/>
                <w:bCs/>
                <w:sz w:val="22"/>
                <w:lang w:eastAsia="es-CR"/>
              </w:rPr>
              <w:t>Costo Estimado</w:t>
            </w:r>
          </w:p>
        </w:tc>
      </w:tr>
      <w:tr w:rsidR="00E57630" w:rsidRPr="008D2522" w14:paraId="40D910CA" w14:textId="77777777" w:rsidTr="00067366">
        <w:trPr>
          <w:trHeight w:val="203"/>
        </w:trPr>
        <w:tc>
          <w:tcPr>
            <w:tcW w:w="648" w:type="pct"/>
            <w:shd w:val="clear" w:color="auto" w:fill="auto"/>
            <w:vAlign w:val="center"/>
          </w:tcPr>
          <w:p w14:paraId="0474A7F5" w14:textId="77777777" w:rsidR="00E57630" w:rsidRPr="008D2522" w:rsidRDefault="00E57630" w:rsidP="00067366">
            <w:pPr>
              <w:spacing w:before="0" w:after="0" w:line="240" w:lineRule="auto"/>
              <w:jc w:val="center"/>
              <w:rPr>
                <w:rFonts w:eastAsia="Arial" w:cs="Arial"/>
                <w:sz w:val="22"/>
                <w:lang w:eastAsia="es-CR"/>
              </w:rPr>
            </w:pPr>
            <w:r w:rsidRPr="008D2522">
              <w:rPr>
                <w:rFonts w:eastAsia="Arial" w:cs="Arial"/>
                <w:sz w:val="22"/>
                <w:lang w:eastAsia="es-CR"/>
              </w:rPr>
              <w:t>Unidad de Pensión Alimentaria de la Dirección de la Defensa Pública</w:t>
            </w:r>
          </w:p>
        </w:tc>
        <w:tc>
          <w:tcPr>
            <w:tcW w:w="569" w:type="pct"/>
            <w:shd w:val="clear" w:color="auto" w:fill="auto"/>
            <w:vAlign w:val="center"/>
          </w:tcPr>
          <w:p w14:paraId="0A5C152F" w14:textId="77777777" w:rsidR="00E57630" w:rsidRPr="008D2522" w:rsidRDefault="00E57630" w:rsidP="00067366">
            <w:pPr>
              <w:spacing w:before="0" w:after="0" w:line="240" w:lineRule="auto"/>
              <w:jc w:val="center"/>
              <w:rPr>
                <w:rFonts w:eastAsia="Arial" w:cs="Arial"/>
                <w:sz w:val="22"/>
                <w:lang w:eastAsia="es-CR"/>
              </w:rPr>
            </w:pPr>
            <w:r w:rsidRPr="008D2522">
              <w:rPr>
                <w:rFonts w:eastAsia="Arial" w:cs="Arial"/>
                <w:sz w:val="22"/>
                <w:lang w:eastAsia="es-CR"/>
              </w:rPr>
              <w:t>2</w:t>
            </w:r>
          </w:p>
        </w:tc>
        <w:tc>
          <w:tcPr>
            <w:tcW w:w="537" w:type="pct"/>
            <w:shd w:val="clear" w:color="auto" w:fill="auto"/>
            <w:vAlign w:val="center"/>
          </w:tcPr>
          <w:p w14:paraId="09A561E0" w14:textId="77777777" w:rsidR="00E57630" w:rsidRPr="008D2522" w:rsidRDefault="00E57630" w:rsidP="00067366">
            <w:pPr>
              <w:spacing w:before="0" w:after="0" w:line="240" w:lineRule="auto"/>
              <w:jc w:val="center"/>
              <w:rPr>
                <w:rFonts w:eastAsia="Arial" w:cs="Arial"/>
                <w:sz w:val="22"/>
                <w:lang w:eastAsia="es-CR"/>
              </w:rPr>
            </w:pPr>
            <w:r w:rsidRPr="008D2522">
              <w:rPr>
                <w:rFonts w:eastAsia="Arial" w:cs="Arial"/>
                <w:sz w:val="22"/>
                <w:lang w:eastAsia="es-CR"/>
              </w:rPr>
              <w:t>Defensor Público</w:t>
            </w:r>
          </w:p>
        </w:tc>
        <w:tc>
          <w:tcPr>
            <w:tcW w:w="709" w:type="pct"/>
            <w:shd w:val="clear" w:color="auto" w:fill="auto"/>
            <w:vAlign w:val="center"/>
          </w:tcPr>
          <w:p w14:paraId="28A891E3" w14:textId="77777777" w:rsidR="00E57630" w:rsidRPr="008D2522" w:rsidRDefault="00E57630" w:rsidP="00067366">
            <w:pPr>
              <w:spacing w:before="0" w:after="0" w:line="240" w:lineRule="auto"/>
              <w:jc w:val="center"/>
              <w:rPr>
                <w:rFonts w:eastAsia="Arial" w:cs="Arial"/>
                <w:sz w:val="22"/>
                <w:lang w:eastAsia="es-CR"/>
              </w:rPr>
            </w:pPr>
            <w:r w:rsidRPr="008D2522">
              <w:rPr>
                <w:rFonts w:eastAsia="Arial" w:cs="Arial"/>
                <w:sz w:val="22"/>
                <w:lang w:eastAsia="es-CR"/>
              </w:rPr>
              <w:t>-</w:t>
            </w:r>
          </w:p>
        </w:tc>
        <w:tc>
          <w:tcPr>
            <w:tcW w:w="851" w:type="pct"/>
            <w:shd w:val="clear" w:color="auto" w:fill="auto"/>
            <w:vAlign w:val="center"/>
          </w:tcPr>
          <w:p w14:paraId="65F17E30" w14:textId="77777777" w:rsidR="00E57630" w:rsidRPr="008D2522" w:rsidRDefault="00E57630" w:rsidP="00067366">
            <w:pPr>
              <w:spacing w:before="0" w:after="0" w:line="240" w:lineRule="auto"/>
              <w:jc w:val="center"/>
              <w:rPr>
                <w:rFonts w:eastAsia="Arial" w:cs="Arial"/>
                <w:sz w:val="22"/>
                <w:lang w:eastAsia="es-CR"/>
              </w:rPr>
            </w:pPr>
            <w:r w:rsidRPr="008D2522">
              <w:rPr>
                <w:rFonts w:eastAsia="Arial" w:cs="Arial"/>
                <w:sz w:val="22"/>
                <w:lang w:eastAsia="es-CR"/>
              </w:rPr>
              <w:t>Extraordinaria</w:t>
            </w:r>
          </w:p>
        </w:tc>
        <w:tc>
          <w:tcPr>
            <w:tcW w:w="566" w:type="pct"/>
            <w:shd w:val="clear" w:color="auto" w:fill="auto"/>
            <w:vAlign w:val="center"/>
          </w:tcPr>
          <w:p w14:paraId="7C82F7A3" w14:textId="77777777" w:rsidR="00E57630" w:rsidRPr="008D2522" w:rsidRDefault="00E57630" w:rsidP="00067366">
            <w:pPr>
              <w:spacing w:before="0" w:after="0" w:line="240" w:lineRule="auto"/>
              <w:jc w:val="center"/>
              <w:rPr>
                <w:rFonts w:eastAsia="Arial" w:cs="Arial"/>
                <w:sz w:val="22"/>
                <w:lang w:eastAsia="es-CR"/>
              </w:rPr>
            </w:pPr>
            <w:r w:rsidRPr="008D2522">
              <w:rPr>
                <w:rFonts w:eastAsia="Arial" w:cs="Arial"/>
                <w:sz w:val="22"/>
                <w:lang w:eastAsia="es-CR"/>
              </w:rPr>
              <w:t>12 meses</w:t>
            </w:r>
          </w:p>
        </w:tc>
        <w:tc>
          <w:tcPr>
            <w:tcW w:w="1121" w:type="pct"/>
            <w:shd w:val="clear" w:color="auto" w:fill="auto"/>
            <w:vAlign w:val="center"/>
          </w:tcPr>
          <w:p w14:paraId="47632040" w14:textId="77777777" w:rsidR="00E57630" w:rsidRPr="008D2522" w:rsidRDefault="00E57630" w:rsidP="00067366">
            <w:pPr>
              <w:spacing w:before="0" w:after="0" w:line="240" w:lineRule="auto"/>
              <w:jc w:val="center"/>
              <w:rPr>
                <w:rFonts w:eastAsia="Arial" w:cs="Arial"/>
                <w:sz w:val="22"/>
                <w:lang w:eastAsia="es-CR"/>
              </w:rPr>
            </w:pPr>
            <w:r w:rsidRPr="008D2522">
              <w:rPr>
                <w:rFonts w:eastAsia="Arial" w:cs="Arial"/>
                <w:sz w:val="22"/>
                <w:lang w:eastAsia="es-CR"/>
              </w:rPr>
              <w:t>₡105.734.000</w:t>
            </w:r>
          </w:p>
        </w:tc>
      </w:tr>
      <w:tr w:rsidR="00E57630" w:rsidRPr="008D2522" w14:paraId="4C88483D" w14:textId="77777777" w:rsidTr="00067366">
        <w:trPr>
          <w:trHeight w:val="203"/>
        </w:trPr>
        <w:tc>
          <w:tcPr>
            <w:tcW w:w="3879" w:type="pct"/>
            <w:gridSpan w:val="6"/>
            <w:shd w:val="clear" w:color="auto" w:fill="D9D9D9"/>
            <w:vAlign w:val="center"/>
          </w:tcPr>
          <w:p w14:paraId="6265F18B" w14:textId="77777777" w:rsidR="00E57630" w:rsidRPr="008D2522" w:rsidRDefault="00E57630" w:rsidP="00055CFC">
            <w:pPr>
              <w:spacing w:before="0" w:after="0"/>
              <w:jc w:val="center"/>
              <w:rPr>
                <w:rFonts w:cs="Arial"/>
                <w:szCs w:val="24"/>
              </w:rPr>
            </w:pPr>
          </w:p>
        </w:tc>
        <w:tc>
          <w:tcPr>
            <w:tcW w:w="1121" w:type="pct"/>
            <w:shd w:val="clear" w:color="auto" w:fill="D9D9D9"/>
            <w:vAlign w:val="center"/>
          </w:tcPr>
          <w:p w14:paraId="7BF04B5E" w14:textId="77777777" w:rsidR="00E57630" w:rsidRPr="008D2522" w:rsidRDefault="00E57630" w:rsidP="00055CFC">
            <w:pPr>
              <w:spacing w:before="0" w:after="0"/>
              <w:jc w:val="center"/>
              <w:rPr>
                <w:rFonts w:eastAsia="Arial" w:cs="Arial"/>
                <w:szCs w:val="24"/>
                <w:lang w:eastAsia="es-CR"/>
              </w:rPr>
            </w:pPr>
            <w:r w:rsidRPr="008D2522">
              <w:rPr>
                <w:rFonts w:eastAsia="Arial" w:cs="Arial"/>
                <w:szCs w:val="24"/>
                <w:lang w:eastAsia="es-CR"/>
              </w:rPr>
              <w:t>₡3.356.545,00</w:t>
            </w:r>
          </w:p>
        </w:tc>
      </w:tr>
      <w:tr w:rsidR="00E57630" w:rsidRPr="008D2522" w14:paraId="278862E0" w14:textId="77777777" w:rsidTr="00067366">
        <w:trPr>
          <w:trHeight w:val="203"/>
        </w:trPr>
        <w:tc>
          <w:tcPr>
            <w:tcW w:w="3879" w:type="pct"/>
            <w:gridSpan w:val="6"/>
            <w:shd w:val="clear" w:color="auto" w:fill="D9D9D9"/>
            <w:vAlign w:val="center"/>
          </w:tcPr>
          <w:p w14:paraId="23482600" w14:textId="77777777" w:rsidR="00E57630" w:rsidRPr="008D2522" w:rsidRDefault="00E57630" w:rsidP="00055CFC">
            <w:pPr>
              <w:spacing w:before="0" w:after="0"/>
              <w:jc w:val="center"/>
              <w:rPr>
                <w:rFonts w:cs="Arial"/>
                <w:szCs w:val="24"/>
              </w:rPr>
            </w:pPr>
          </w:p>
        </w:tc>
        <w:tc>
          <w:tcPr>
            <w:tcW w:w="1121" w:type="pct"/>
            <w:shd w:val="clear" w:color="auto" w:fill="D9D9D9"/>
            <w:vAlign w:val="center"/>
          </w:tcPr>
          <w:p w14:paraId="21E69FAD" w14:textId="77777777" w:rsidR="00E57630" w:rsidRPr="008D2522" w:rsidRDefault="00E57630" w:rsidP="00055CFC">
            <w:pPr>
              <w:spacing w:before="0" w:after="0"/>
              <w:jc w:val="center"/>
              <w:rPr>
                <w:rFonts w:eastAsia="Arial" w:cs="Arial"/>
                <w:b/>
                <w:bCs/>
                <w:szCs w:val="24"/>
                <w:lang w:eastAsia="es-CR"/>
              </w:rPr>
            </w:pPr>
            <w:r w:rsidRPr="008D2522">
              <w:rPr>
                <w:rFonts w:eastAsia="Arial" w:cs="Arial"/>
                <w:b/>
                <w:bCs/>
                <w:szCs w:val="24"/>
                <w:lang w:eastAsia="es-CR"/>
              </w:rPr>
              <w:t>₡109.090.545,00</w:t>
            </w:r>
          </w:p>
        </w:tc>
      </w:tr>
    </w:tbl>
    <w:p w14:paraId="3645F99A" w14:textId="77777777" w:rsidR="00E57630" w:rsidRPr="008D2522" w:rsidRDefault="00E57630" w:rsidP="00055CFC">
      <w:pPr>
        <w:spacing w:before="0" w:after="0"/>
        <w:ind w:left="904" w:right="1031"/>
        <w:rPr>
          <w:rFonts w:eastAsia="Arial" w:cs="Arial"/>
          <w:i/>
          <w:iCs/>
          <w:sz w:val="18"/>
          <w:szCs w:val="18"/>
        </w:rPr>
      </w:pPr>
      <w:r w:rsidRPr="008D2522">
        <w:rPr>
          <w:rFonts w:eastAsia="Arial" w:cs="Arial"/>
          <w:b/>
          <w:bCs/>
          <w:sz w:val="18"/>
          <w:szCs w:val="18"/>
        </w:rPr>
        <w:t>Nota (1):</w:t>
      </w:r>
      <w:r w:rsidRPr="008D2522">
        <w:rPr>
          <w:rFonts w:eastAsia="Arial" w:cs="Arial"/>
          <w:i/>
          <w:iCs/>
          <w:sz w:val="18"/>
          <w:szCs w:val="18"/>
        </w:rPr>
        <w:t xml:space="preserve"> Costo promedio por puesto de Defensor Público, para el 2021 es de ₡52.867.000</w:t>
      </w:r>
    </w:p>
    <w:p w14:paraId="358554B3" w14:textId="77777777" w:rsidR="00E57630" w:rsidRPr="008D2522" w:rsidRDefault="00E57630" w:rsidP="00055CFC">
      <w:pPr>
        <w:spacing w:before="0" w:after="0"/>
        <w:ind w:left="904" w:right="1031"/>
        <w:rPr>
          <w:rFonts w:eastAsia="Arial" w:cs="Arial"/>
          <w:i/>
          <w:iCs/>
          <w:sz w:val="18"/>
          <w:szCs w:val="18"/>
        </w:rPr>
      </w:pPr>
      <w:r w:rsidRPr="008D2522">
        <w:rPr>
          <w:rFonts w:eastAsia="Arial" w:cs="Arial"/>
          <w:b/>
          <w:bCs/>
          <w:sz w:val="18"/>
          <w:szCs w:val="18"/>
        </w:rPr>
        <w:t>Nota (2):</w:t>
      </w:r>
      <w:r w:rsidRPr="008D2522">
        <w:rPr>
          <w:rFonts w:eastAsia="Arial" w:cs="Arial"/>
          <w:i/>
          <w:iCs/>
          <w:sz w:val="18"/>
          <w:szCs w:val="18"/>
        </w:rPr>
        <w:t xml:space="preserve"> Costo total de gasto variable por cada plaza Profesional (Defensor Público), para el 2021 es de ₡1.678.273</w:t>
      </w:r>
    </w:p>
    <w:p w14:paraId="570F2301" w14:textId="77777777" w:rsidR="00E57630" w:rsidRPr="008D2522" w:rsidRDefault="00E57630" w:rsidP="00055CFC">
      <w:pPr>
        <w:spacing w:before="0" w:after="0"/>
        <w:ind w:left="904" w:right="1031"/>
        <w:rPr>
          <w:rFonts w:eastAsia="Arial" w:cs="Arial"/>
          <w:sz w:val="28"/>
          <w:szCs w:val="24"/>
        </w:rPr>
      </w:pPr>
      <w:r w:rsidRPr="008D2522">
        <w:rPr>
          <w:rFonts w:eastAsia="Arial" w:cs="Arial"/>
          <w:b/>
          <w:bCs/>
          <w:sz w:val="18"/>
          <w:szCs w:val="18"/>
        </w:rPr>
        <w:t>Fuente:</w:t>
      </w:r>
      <w:r w:rsidRPr="008D2522">
        <w:rPr>
          <w:rFonts w:eastAsia="Arial" w:cs="Arial"/>
          <w:sz w:val="18"/>
          <w:szCs w:val="18"/>
        </w:rPr>
        <w:t xml:space="preserve"> Modernización Institucional, con datos suministrados del Subproceso de Formulación de Presupuesto y Portafolio de Proyectos de la Dirección de Planificación</w:t>
      </w:r>
    </w:p>
    <w:p w14:paraId="069AF287" w14:textId="68EA15D7" w:rsidR="1D9666F7" w:rsidRPr="008D2522" w:rsidRDefault="1D9666F7" w:rsidP="00410F64">
      <w:pPr>
        <w:pStyle w:val="Ttulo3"/>
        <w:numPr>
          <w:ilvl w:val="0"/>
          <w:numId w:val="9"/>
        </w:numPr>
      </w:pPr>
      <w:r w:rsidRPr="008D2522">
        <w:t>Escenario 2: Reubicación de personal defensor</w:t>
      </w:r>
    </w:p>
    <w:p w14:paraId="27B91106" w14:textId="2D956DC9" w:rsidR="5450DD72" w:rsidRPr="003C5978" w:rsidRDefault="5450DD72" w:rsidP="003C5978">
      <w:pPr>
        <w:spacing w:line="240" w:lineRule="auto"/>
        <w:rPr>
          <w:rFonts w:ascii="Book Antiqua" w:hAnsi="Book Antiqua"/>
        </w:rPr>
      </w:pPr>
      <w:r w:rsidRPr="003C5978">
        <w:rPr>
          <w:rFonts w:ascii="Book Antiqua" w:hAnsi="Book Antiqua"/>
        </w:rPr>
        <w:t>Como se menciona en el presente informe, la Dirección de Planificación se encuentra desarroll</w:t>
      </w:r>
      <w:r w:rsidR="5E760652" w:rsidRPr="003C5978">
        <w:rPr>
          <w:rFonts w:ascii="Book Antiqua" w:hAnsi="Book Antiqua"/>
        </w:rPr>
        <w:t>and</w:t>
      </w:r>
      <w:r w:rsidRPr="003C5978">
        <w:rPr>
          <w:rFonts w:ascii="Book Antiqua" w:hAnsi="Book Antiqua"/>
        </w:rPr>
        <w:t xml:space="preserve">o el </w:t>
      </w:r>
      <w:r w:rsidR="1D47B0D2" w:rsidRPr="003C5978">
        <w:rPr>
          <w:rFonts w:ascii="Book Antiqua" w:hAnsi="Book Antiqua"/>
        </w:rPr>
        <w:t>P</w:t>
      </w:r>
      <w:r w:rsidRPr="003C5978">
        <w:rPr>
          <w:rFonts w:ascii="Book Antiqua" w:hAnsi="Book Antiqua"/>
        </w:rPr>
        <w:t>royecto “Mejora Integral del Proceso P</w:t>
      </w:r>
      <w:r w:rsidR="025DA6C4" w:rsidRPr="003C5978">
        <w:rPr>
          <w:rFonts w:ascii="Book Antiqua" w:hAnsi="Book Antiqua"/>
        </w:rPr>
        <w:t>enal”</w:t>
      </w:r>
      <w:r w:rsidR="6213C40D" w:rsidRPr="003C5978">
        <w:rPr>
          <w:rFonts w:ascii="Book Antiqua" w:hAnsi="Book Antiqua"/>
        </w:rPr>
        <w:t xml:space="preserve">, donde se </w:t>
      </w:r>
      <w:r w:rsidR="0CA0BB1A" w:rsidRPr="003C5978">
        <w:rPr>
          <w:rFonts w:ascii="Book Antiqua" w:hAnsi="Book Antiqua"/>
        </w:rPr>
        <w:t xml:space="preserve">considera que, en los casos en que el criterio de este ente técnico lo indique, se </w:t>
      </w:r>
      <w:r w:rsidR="008D2522" w:rsidRPr="003C5978">
        <w:rPr>
          <w:rFonts w:ascii="Book Antiqua" w:hAnsi="Book Antiqua"/>
        </w:rPr>
        <w:t>podrá plantear</w:t>
      </w:r>
      <w:r w:rsidR="0CA0BB1A" w:rsidRPr="003C5978">
        <w:rPr>
          <w:rFonts w:ascii="Book Antiqua" w:hAnsi="Book Antiqua"/>
        </w:rPr>
        <w:t xml:space="preserve"> la posibilidad de movilizar plazas de Def</w:t>
      </w:r>
      <w:r w:rsidR="0D529BB6" w:rsidRPr="003C5978">
        <w:rPr>
          <w:rFonts w:ascii="Book Antiqua" w:hAnsi="Book Antiqua"/>
        </w:rPr>
        <w:t>ensora o Defensor Público, con el propósito de suplir la necesidad de personal para la atención de personas usuarias indígenas en la Defe</w:t>
      </w:r>
      <w:r w:rsidR="783551A0" w:rsidRPr="003C5978">
        <w:rPr>
          <w:rFonts w:ascii="Book Antiqua" w:hAnsi="Book Antiqua"/>
        </w:rPr>
        <w:t>n</w:t>
      </w:r>
      <w:r w:rsidR="0D529BB6" w:rsidRPr="003C5978">
        <w:rPr>
          <w:rFonts w:ascii="Book Antiqua" w:hAnsi="Book Antiqua"/>
        </w:rPr>
        <w:t xml:space="preserve">sa </w:t>
      </w:r>
      <w:r w:rsidR="49A346D8" w:rsidRPr="003C5978">
        <w:rPr>
          <w:rFonts w:ascii="Book Antiqua" w:hAnsi="Book Antiqua"/>
        </w:rPr>
        <w:t>Pública</w:t>
      </w:r>
      <w:r w:rsidR="0D529BB6" w:rsidRPr="003C5978">
        <w:rPr>
          <w:rFonts w:ascii="Book Antiqua" w:hAnsi="Book Antiqua"/>
        </w:rPr>
        <w:t xml:space="preserve"> de Bribri y Buenos Aires</w:t>
      </w:r>
      <w:r w:rsidR="7235E09C" w:rsidRPr="003C5978">
        <w:rPr>
          <w:rFonts w:ascii="Book Antiqua" w:hAnsi="Book Antiqua"/>
        </w:rPr>
        <w:t>, a partir de la promulgación de la Ley 9593 de Acceso a la Justicia de los Pueblos Indígenas. Lo anterior en el entendido que una posible movilización de recursos dependerá meramente de los estudios técnicos realizados y de una priorización según las necesidades institucionales previamente detectadas.</w:t>
      </w:r>
    </w:p>
    <w:p w14:paraId="106DCB4B" w14:textId="0FCF518B" w:rsidR="7235E09C" w:rsidRDefault="7235E09C" w:rsidP="003C5978">
      <w:pPr>
        <w:spacing w:line="240" w:lineRule="auto"/>
        <w:rPr>
          <w:rFonts w:ascii="Book Antiqua" w:hAnsi="Book Antiqua"/>
        </w:rPr>
      </w:pPr>
      <w:r w:rsidRPr="003C5978">
        <w:rPr>
          <w:rFonts w:ascii="Book Antiqua" w:hAnsi="Book Antiqua"/>
        </w:rPr>
        <w:t xml:space="preserve">Importante aclarar que, si bien </w:t>
      </w:r>
      <w:r w:rsidR="252CDC00" w:rsidRPr="003C5978">
        <w:rPr>
          <w:rFonts w:ascii="Book Antiqua" w:hAnsi="Book Antiqua"/>
        </w:rPr>
        <w:t xml:space="preserve">este escenario </w:t>
      </w:r>
      <w:r w:rsidRPr="003C5978">
        <w:rPr>
          <w:rFonts w:ascii="Book Antiqua" w:hAnsi="Book Antiqua"/>
        </w:rPr>
        <w:t xml:space="preserve">no tiene impacto </w:t>
      </w:r>
      <w:r w:rsidR="6551BCA9" w:rsidRPr="003C5978">
        <w:rPr>
          <w:rFonts w:ascii="Book Antiqua" w:hAnsi="Book Antiqua"/>
        </w:rPr>
        <w:t xml:space="preserve">directo en el presupuesto de la institución, se dependerá del cronograma del Proyecto “Mejora </w:t>
      </w:r>
      <w:r w:rsidR="6551BCA9" w:rsidRPr="003C5978">
        <w:rPr>
          <w:rFonts w:ascii="Book Antiqua" w:hAnsi="Book Antiqua"/>
        </w:rPr>
        <w:lastRenderedPageBreak/>
        <w:t>Integral del Proceso Penal”</w:t>
      </w:r>
      <w:r w:rsidR="464BA4B6" w:rsidRPr="003C5978">
        <w:rPr>
          <w:rFonts w:ascii="Book Antiqua" w:hAnsi="Book Antiqua"/>
        </w:rPr>
        <w:t xml:space="preserve"> y,</w:t>
      </w:r>
      <w:r w:rsidR="2DCA3932" w:rsidRPr="003C5978">
        <w:rPr>
          <w:rFonts w:ascii="Book Antiqua" w:hAnsi="Book Antiqua"/>
        </w:rPr>
        <w:t xml:space="preserve"> por ende, se imposibilita </w:t>
      </w:r>
      <w:r w:rsidR="6551BCA9" w:rsidRPr="003C5978">
        <w:rPr>
          <w:rFonts w:ascii="Book Antiqua" w:hAnsi="Book Antiqua"/>
        </w:rPr>
        <w:t xml:space="preserve">determinar </w:t>
      </w:r>
      <w:r w:rsidR="126EEAA7" w:rsidRPr="003C5978">
        <w:rPr>
          <w:rFonts w:ascii="Book Antiqua" w:hAnsi="Book Antiqua"/>
        </w:rPr>
        <w:t xml:space="preserve">el momento en que se podrá </w:t>
      </w:r>
      <w:r w:rsidR="236DDB70" w:rsidRPr="003C5978">
        <w:rPr>
          <w:rFonts w:ascii="Book Antiqua" w:hAnsi="Book Antiqua"/>
        </w:rPr>
        <w:t xml:space="preserve">suplir las necesidades detectadas en el presente informe. </w:t>
      </w:r>
    </w:p>
    <w:p w14:paraId="1F77ECF5" w14:textId="56CA33F7" w:rsidR="00410F64" w:rsidRDefault="00410F64" w:rsidP="003C5978">
      <w:pPr>
        <w:spacing w:line="240" w:lineRule="auto"/>
        <w:rPr>
          <w:rFonts w:ascii="Book Antiqua" w:hAnsi="Book Antiqua"/>
        </w:rPr>
      </w:pPr>
    </w:p>
    <w:p w14:paraId="26387714" w14:textId="77777777" w:rsidR="00410F64" w:rsidRPr="003C5978" w:rsidRDefault="00410F64" w:rsidP="003C5978">
      <w:pPr>
        <w:spacing w:line="240" w:lineRule="auto"/>
        <w:rPr>
          <w:rFonts w:ascii="Book Antiqua" w:hAnsi="Book Antiqua"/>
        </w:rPr>
      </w:pPr>
    </w:p>
    <w:p w14:paraId="032F5A5D" w14:textId="3758FDAC" w:rsidR="121284D0" w:rsidRDefault="121284D0" w:rsidP="00410F64">
      <w:pPr>
        <w:pStyle w:val="Ttulo2"/>
      </w:pPr>
      <w:r w:rsidRPr="003C5978">
        <w:t>Recomendaciones generales</w:t>
      </w:r>
    </w:p>
    <w:p w14:paraId="2DDACCB7" w14:textId="5CB564D6" w:rsidR="00A91412" w:rsidRDefault="00A91412" w:rsidP="00410F64">
      <w:pPr>
        <w:pStyle w:val="Ttulo3"/>
        <w:numPr>
          <w:ilvl w:val="0"/>
          <w:numId w:val="46"/>
        </w:numPr>
      </w:pPr>
      <w:r>
        <w:t>Al Consejo Superior</w:t>
      </w:r>
    </w:p>
    <w:p w14:paraId="35EA4F9E" w14:textId="60FAD7D0" w:rsidR="00A91412" w:rsidRDefault="7A334D0A" w:rsidP="2FF0FB19">
      <w:pPr>
        <w:pStyle w:val="Prrafodelista"/>
        <w:numPr>
          <w:ilvl w:val="0"/>
          <w:numId w:val="39"/>
        </w:numPr>
        <w:rPr>
          <w:rFonts w:ascii="Book Antiqua" w:eastAsia="Calibri" w:hAnsi="Book Antiqua" w:cs="Times New Roman"/>
          <w:lang w:val="es-CR" w:eastAsia="en-US"/>
        </w:rPr>
      </w:pPr>
      <w:r w:rsidRPr="2FF0FB19">
        <w:rPr>
          <w:rFonts w:ascii="Book Antiqua" w:eastAsia="Calibri" w:hAnsi="Book Antiqua" w:cs="Times New Roman"/>
          <w:lang w:val="es-CR" w:eastAsia="en-US"/>
        </w:rPr>
        <w:t>Según recomendación dada por la Comisión de Acce</w:t>
      </w:r>
      <w:r w:rsidR="5842C786" w:rsidRPr="2FF0FB19">
        <w:rPr>
          <w:rFonts w:ascii="Book Antiqua" w:eastAsia="Calibri" w:hAnsi="Book Antiqua" w:cs="Times New Roman"/>
          <w:lang w:val="es-CR" w:eastAsia="en-US"/>
        </w:rPr>
        <w:t xml:space="preserve">so a la </w:t>
      </w:r>
      <w:r w:rsidR="3C485806" w:rsidRPr="2FF0FB19">
        <w:rPr>
          <w:rFonts w:ascii="Book Antiqua" w:eastAsia="Calibri" w:hAnsi="Book Antiqua" w:cs="Times New Roman"/>
          <w:lang w:val="es-CR" w:eastAsia="en-US"/>
        </w:rPr>
        <w:t>Justicia</w:t>
      </w:r>
      <w:r w:rsidR="5842C786" w:rsidRPr="2FF0FB19">
        <w:rPr>
          <w:rFonts w:ascii="Book Antiqua" w:eastAsia="Calibri" w:hAnsi="Book Antiqua" w:cs="Times New Roman"/>
          <w:lang w:val="es-CR" w:eastAsia="en-US"/>
        </w:rPr>
        <w:t>, v</w:t>
      </w:r>
      <w:r w:rsidR="2AE29FF0" w:rsidRPr="2FF0FB19">
        <w:rPr>
          <w:rFonts w:ascii="Book Antiqua" w:eastAsia="Calibri" w:hAnsi="Book Antiqua" w:cs="Times New Roman"/>
          <w:lang w:val="es-CR" w:eastAsia="en-US"/>
        </w:rPr>
        <w:t xml:space="preserve">alorar </w:t>
      </w:r>
      <w:r w:rsidR="0B550256" w:rsidRPr="2FF0FB19">
        <w:rPr>
          <w:rFonts w:ascii="Book Antiqua" w:eastAsia="Calibri" w:hAnsi="Book Antiqua" w:cs="Times New Roman"/>
          <w:lang w:val="es-CR" w:eastAsia="en-US"/>
        </w:rPr>
        <w:t xml:space="preserve">la posibilidad de </w:t>
      </w:r>
      <w:r w:rsidR="2AE29FF0" w:rsidRPr="2FF0FB19">
        <w:rPr>
          <w:rFonts w:ascii="Book Antiqua" w:eastAsia="Calibri" w:hAnsi="Book Antiqua" w:cs="Times New Roman"/>
          <w:lang w:val="es-CR" w:eastAsia="en-US"/>
        </w:rPr>
        <w:t>d</w:t>
      </w:r>
      <w:r w:rsidR="264EC2C3" w:rsidRPr="00E85457">
        <w:rPr>
          <w:rFonts w:ascii="Book Antiqua" w:eastAsia="Calibri" w:hAnsi="Book Antiqua" w:cs="Times New Roman"/>
          <w:lang w:val="es-CR" w:eastAsia="en-US"/>
        </w:rPr>
        <w:t>eclarar obligatoria la participación de las personas servidoras judiciales en las capacitaciones sobre Derecho Indígena, ampliar a sensibilización, atención y acceso a la justicia de pueblos indígenas en cumplimiento de la Ley de Acceso a la Justicia de Pueblos Indígenas, especialmente quienes tengan competencia material y territorial para conocer de procesos judiciales vinculados con el pueblo indígena Teribe y Bribri de Salitre y la Circular 188-19 de Corte Plena</w:t>
      </w:r>
    </w:p>
    <w:p w14:paraId="17394E65" w14:textId="30CC5BA2" w:rsidR="00D8090E" w:rsidRDefault="00D8090E" w:rsidP="00D8090E">
      <w:pPr>
        <w:pStyle w:val="Prrafodelista"/>
        <w:ind w:left="720"/>
        <w:rPr>
          <w:rFonts w:ascii="Book Antiqua" w:eastAsia="Calibri" w:hAnsi="Book Antiqua" w:cs="Times New Roman"/>
          <w:szCs w:val="22"/>
          <w:lang w:val="es-CR" w:eastAsia="en-US"/>
        </w:rPr>
      </w:pPr>
      <w:r w:rsidRPr="00E85457">
        <w:rPr>
          <w:rFonts w:ascii="Book Antiqua" w:eastAsia="Calibri" w:hAnsi="Book Antiqua" w:cs="Times New Roman"/>
          <w:szCs w:val="22"/>
          <w:lang w:val="es-CR" w:eastAsia="en-US"/>
        </w:rPr>
        <w:t xml:space="preserve">Sin embargo, con el fin de contar con un criterio legal, </w:t>
      </w:r>
      <w:r>
        <w:rPr>
          <w:rFonts w:ascii="Book Antiqua" w:eastAsia="Calibri" w:hAnsi="Book Antiqua" w:cs="Times New Roman"/>
          <w:szCs w:val="22"/>
          <w:lang w:val="es-CR" w:eastAsia="en-US"/>
        </w:rPr>
        <w:t xml:space="preserve">esta recomendación </w:t>
      </w:r>
      <w:r w:rsidR="008C7C44">
        <w:rPr>
          <w:rFonts w:ascii="Book Antiqua" w:eastAsia="Calibri" w:hAnsi="Book Antiqua" w:cs="Times New Roman"/>
          <w:szCs w:val="22"/>
          <w:lang w:val="es-CR" w:eastAsia="en-US"/>
        </w:rPr>
        <w:t>podrá ser</w:t>
      </w:r>
      <w:r w:rsidRPr="00E85457">
        <w:rPr>
          <w:rFonts w:ascii="Book Antiqua" w:eastAsia="Calibri" w:hAnsi="Book Antiqua" w:cs="Times New Roman"/>
          <w:szCs w:val="22"/>
          <w:lang w:val="es-CR" w:eastAsia="en-US"/>
        </w:rPr>
        <w:t xml:space="preserve"> remitida</w:t>
      </w:r>
      <w:r w:rsidR="008C7C44">
        <w:rPr>
          <w:rFonts w:ascii="Book Antiqua" w:eastAsia="Calibri" w:hAnsi="Book Antiqua" w:cs="Times New Roman"/>
          <w:szCs w:val="22"/>
          <w:lang w:val="es-CR" w:eastAsia="en-US"/>
        </w:rPr>
        <w:t xml:space="preserve"> previamente</w:t>
      </w:r>
      <w:r w:rsidRPr="00E85457">
        <w:rPr>
          <w:rFonts w:ascii="Book Antiqua" w:eastAsia="Calibri" w:hAnsi="Book Antiqua" w:cs="Times New Roman"/>
          <w:szCs w:val="22"/>
          <w:lang w:val="es-CR" w:eastAsia="en-US"/>
        </w:rPr>
        <w:t xml:space="preserve"> a la Dirección Jurídica para su análisis, con el fin de que emita su valoración jurídica respecto a la obligatoriedad</w:t>
      </w:r>
    </w:p>
    <w:p w14:paraId="49E668C1" w14:textId="10952C24" w:rsidR="00DF51BD" w:rsidRDefault="1BDDA734" w:rsidP="00DF51BD">
      <w:pPr>
        <w:pStyle w:val="Prrafodelista"/>
        <w:numPr>
          <w:ilvl w:val="0"/>
          <w:numId w:val="39"/>
        </w:numPr>
        <w:rPr>
          <w:rFonts w:ascii="Book Antiqua" w:eastAsia="Calibri" w:hAnsi="Book Antiqua"/>
        </w:rPr>
      </w:pPr>
      <w:r w:rsidRPr="2FF0FB19">
        <w:rPr>
          <w:rFonts w:ascii="Book Antiqua" w:eastAsia="Calibri" w:hAnsi="Book Antiqua"/>
        </w:rPr>
        <w:t>Según recomendación de la Comisión de Acceso a la Justicia, r</w:t>
      </w:r>
      <w:r w:rsidR="33EDB2B3" w:rsidRPr="2FF0FB19">
        <w:rPr>
          <w:rFonts w:ascii="Book Antiqua" w:eastAsia="Calibri" w:hAnsi="Book Antiqua"/>
        </w:rPr>
        <w:t xml:space="preserve">eiterar la Circular 188-19 de la </w:t>
      </w:r>
      <w:proofErr w:type="gramStart"/>
      <w:r w:rsidR="33EDB2B3" w:rsidRPr="2FF0FB19">
        <w:rPr>
          <w:rFonts w:ascii="Book Antiqua" w:eastAsia="Calibri" w:hAnsi="Book Antiqua"/>
        </w:rPr>
        <w:t>Secretaria</w:t>
      </w:r>
      <w:proofErr w:type="gramEnd"/>
      <w:r w:rsidR="33EDB2B3" w:rsidRPr="2FF0FB19">
        <w:rPr>
          <w:rFonts w:ascii="Book Antiqua" w:eastAsia="Calibri" w:hAnsi="Book Antiqua"/>
        </w:rPr>
        <w:t xml:space="preserve"> de la Corte del 17 de octubre de 2019 denominada “</w:t>
      </w:r>
      <w:r w:rsidR="33EDB2B3" w:rsidRPr="00E85457">
        <w:rPr>
          <w:rFonts w:ascii="Book Antiqua" w:eastAsia="Calibri" w:hAnsi="Book Antiqua"/>
          <w:i/>
          <w:iCs/>
        </w:rPr>
        <w:t xml:space="preserve">Sobre los 21 ejes de acción, recomendados por la Comisión de Acceso a la Justicia, con ocasión del cumplimiento de las Medidas Cautelares </w:t>
      </w:r>
      <w:proofErr w:type="spellStart"/>
      <w:r w:rsidR="33EDB2B3" w:rsidRPr="00E85457">
        <w:rPr>
          <w:rFonts w:ascii="Book Antiqua" w:eastAsia="Calibri" w:hAnsi="Book Antiqua"/>
          <w:i/>
          <w:iCs/>
        </w:rPr>
        <w:t>N°</w:t>
      </w:r>
      <w:proofErr w:type="spellEnd"/>
      <w:r w:rsidR="33EDB2B3" w:rsidRPr="00E85457">
        <w:rPr>
          <w:rFonts w:ascii="Book Antiqua" w:eastAsia="Calibri" w:hAnsi="Book Antiqua"/>
          <w:i/>
          <w:iCs/>
        </w:rPr>
        <w:t xml:space="preserve"> 321-12 del 30 de abril de 2015, establecidas por la Comisión Interamericana de Derechos Humanos (CIDH) contra Costa Rica</w:t>
      </w:r>
      <w:r w:rsidR="33EDB2B3" w:rsidRPr="2FF0FB19">
        <w:rPr>
          <w:rFonts w:ascii="Book Antiqua" w:eastAsia="Calibri" w:hAnsi="Book Antiqua"/>
        </w:rPr>
        <w:t>.”</w:t>
      </w:r>
    </w:p>
    <w:p w14:paraId="5F3AB0B1" w14:textId="0D15923D" w:rsidR="008F2679" w:rsidRPr="00E85457" w:rsidRDefault="7BAFE193" w:rsidP="00E85457">
      <w:pPr>
        <w:pStyle w:val="Prrafodelista"/>
        <w:numPr>
          <w:ilvl w:val="0"/>
          <w:numId w:val="39"/>
        </w:numPr>
        <w:rPr>
          <w:rFonts w:eastAsia="Book Antiqua" w:cs="Book Antiqua"/>
        </w:rPr>
      </w:pPr>
      <w:r w:rsidRPr="2FF0FB19">
        <w:rPr>
          <w:rFonts w:ascii="Book Antiqua" w:eastAsia="Calibri" w:hAnsi="Book Antiqua"/>
        </w:rPr>
        <w:t>A raíz de las manifestaciones emitidas por la Dirección de Tecnología de Información en el</w:t>
      </w:r>
      <w:r w:rsidR="1C05F9D9" w:rsidRPr="2FF0FB19">
        <w:rPr>
          <w:rFonts w:ascii="Book Antiqua" w:eastAsia="Calibri" w:hAnsi="Book Antiqua"/>
        </w:rPr>
        <w:t xml:space="preserve"> oficio </w:t>
      </w:r>
      <w:r w:rsidR="1C05F9D9" w:rsidRPr="2FF0FB19">
        <w:rPr>
          <w:rFonts w:ascii="Book Antiqua" w:eastAsia="Book Antiqua" w:hAnsi="Book Antiqua" w:cs="Book Antiqua"/>
          <w:sz w:val="22"/>
          <w:szCs w:val="22"/>
        </w:rPr>
        <w:t>779-DTI-2020 del 29 de abril de 2020, se solicita</w:t>
      </w:r>
      <w:r w:rsidR="1C05F9D9" w:rsidRPr="2FF0FB19">
        <w:rPr>
          <w:rFonts w:ascii="Book Antiqua" w:eastAsia="Calibri" w:hAnsi="Book Antiqua"/>
        </w:rPr>
        <w:t xml:space="preserve"> e</w:t>
      </w:r>
      <w:r w:rsidR="7AEC01F7" w:rsidRPr="2FF0FB19">
        <w:rPr>
          <w:rFonts w:ascii="Book Antiqua" w:eastAsia="Calibri" w:hAnsi="Book Antiqua"/>
        </w:rPr>
        <w:t>mitir</w:t>
      </w:r>
      <w:r w:rsidR="1A044C83" w:rsidRPr="2FF0FB19">
        <w:rPr>
          <w:rFonts w:ascii="Book Antiqua" w:eastAsia="Calibri" w:hAnsi="Book Antiqua"/>
        </w:rPr>
        <w:t xml:space="preserve"> una circular </w:t>
      </w:r>
      <w:r w:rsidR="7AEC01F7" w:rsidRPr="2FF0FB19">
        <w:rPr>
          <w:rFonts w:ascii="Book Antiqua" w:eastAsia="Calibri" w:hAnsi="Book Antiqua"/>
        </w:rPr>
        <w:t xml:space="preserve">reiterando a todo el personal judicial </w:t>
      </w:r>
      <w:r w:rsidR="1A044C83" w:rsidRPr="2FF0FB19">
        <w:rPr>
          <w:rFonts w:ascii="Book Antiqua" w:eastAsia="Calibri" w:hAnsi="Book Antiqua"/>
        </w:rPr>
        <w:t xml:space="preserve">la importancia de la adecuada utilización de los sistemas </w:t>
      </w:r>
      <w:r w:rsidR="7AEC01F7" w:rsidRPr="2FF0FB19">
        <w:rPr>
          <w:rFonts w:ascii="Book Antiqua" w:eastAsia="Calibri" w:hAnsi="Book Antiqua"/>
        </w:rPr>
        <w:t>judiciales (entiéndase Gestión, Escritorio Virtual, Seguimiento de Casos, entre otros)</w:t>
      </w:r>
      <w:r w:rsidR="13A4EB69" w:rsidRPr="2FF0FB19">
        <w:rPr>
          <w:rFonts w:ascii="Book Antiqua" w:eastAsia="Calibri" w:hAnsi="Book Antiqua"/>
        </w:rPr>
        <w:t xml:space="preserve"> y el registro </w:t>
      </w:r>
      <w:r w:rsidR="70A0E227" w:rsidRPr="2FF0FB19">
        <w:rPr>
          <w:rFonts w:ascii="Book Antiqua" w:eastAsia="Calibri" w:hAnsi="Book Antiqua"/>
        </w:rPr>
        <w:t>correct</w:t>
      </w:r>
      <w:r w:rsidR="13A4EB69" w:rsidRPr="2FF0FB19">
        <w:rPr>
          <w:rFonts w:ascii="Book Antiqua" w:eastAsia="Calibri" w:hAnsi="Book Antiqua"/>
        </w:rPr>
        <w:t>o de las variables de poblaciones vulnerables</w:t>
      </w:r>
      <w:r w:rsidR="7AEC01F7" w:rsidRPr="2FF0FB19">
        <w:rPr>
          <w:rFonts w:ascii="Book Antiqua" w:eastAsia="Calibri" w:hAnsi="Book Antiqua"/>
        </w:rPr>
        <w:t xml:space="preserve">, </w:t>
      </w:r>
      <w:r w:rsidR="1A044C83" w:rsidRPr="2FF0FB19">
        <w:rPr>
          <w:rFonts w:ascii="Book Antiqua" w:eastAsia="Calibri" w:hAnsi="Book Antiqua"/>
        </w:rPr>
        <w:t xml:space="preserve">de tal forma que la información pueda ser utilizada para consulta e insumo para la </w:t>
      </w:r>
      <w:r w:rsidR="70A0E227" w:rsidRPr="2FF0FB19">
        <w:rPr>
          <w:rFonts w:ascii="Book Antiqua" w:eastAsia="Calibri" w:hAnsi="Book Antiqua"/>
        </w:rPr>
        <w:t>toma decisiones institucionales</w:t>
      </w:r>
      <w:r w:rsidR="1A044C83" w:rsidRPr="2FF0FB19">
        <w:rPr>
          <w:rFonts w:ascii="Book Antiqua" w:eastAsia="Calibri" w:hAnsi="Book Antiqua"/>
        </w:rPr>
        <w:t xml:space="preserve">.  </w:t>
      </w:r>
    </w:p>
    <w:p w14:paraId="6064EC4F" w14:textId="34E41A89" w:rsidR="1022EF5B" w:rsidRPr="008D2522" w:rsidRDefault="7B881119" w:rsidP="00410F64">
      <w:pPr>
        <w:pStyle w:val="Ttulo3"/>
        <w:numPr>
          <w:ilvl w:val="0"/>
          <w:numId w:val="10"/>
        </w:numPr>
      </w:pPr>
      <w:r>
        <w:lastRenderedPageBreak/>
        <w:t>A</w:t>
      </w:r>
      <w:r w:rsidR="3DFF5CAE">
        <w:t xml:space="preserve"> la Jefatura de la Defensa Pública</w:t>
      </w:r>
    </w:p>
    <w:p w14:paraId="20953F67" w14:textId="51009318" w:rsidR="5BE08B4A" w:rsidRPr="003C5978" w:rsidRDefault="5BE08B4A" w:rsidP="003C5978">
      <w:pPr>
        <w:numPr>
          <w:ilvl w:val="0"/>
          <w:numId w:val="17"/>
        </w:numPr>
        <w:spacing w:line="240" w:lineRule="auto"/>
        <w:ind w:left="714" w:hanging="357"/>
        <w:rPr>
          <w:rFonts w:ascii="Book Antiqua" w:hAnsi="Book Antiqua"/>
          <w:color w:val="000000"/>
        </w:rPr>
      </w:pPr>
      <w:r w:rsidRPr="003C5978">
        <w:rPr>
          <w:rFonts w:ascii="Book Antiqua" w:hAnsi="Book Antiqua"/>
        </w:rPr>
        <w:t>Analizar en un plazo de seis meses, posterior de la entrada de vigencia de la ley 9609 “Código Procesal Agrario” la carga de trabajo de cada plaza de Defensor Agrario, de manera que, de no alcanzar la cuota establecida de los 180 asuntos, se le asigne asuntos de otras jurisdicciones para completar su carga de trabajo.</w:t>
      </w:r>
    </w:p>
    <w:p w14:paraId="35F33EC4" w14:textId="6245F001" w:rsidR="5BE08B4A" w:rsidRPr="003C5978" w:rsidRDefault="00D71F6C" w:rsidP="003C5978">
      <w:pPr>
        <w:numPr>
          <w:ilvl w:val="0"/>
          <w:numId w:val="17"/>
        </w:numPr>
        <w:spacing w:line="240" w:lineRule="auto"/>
        <w:ind w:left="714" w:hanging="357"/>
        <w:rPr>
          <w:rFonts w:ascii="Book Antiqua" w:hAnsi="Book Antiqua"/>
          <w:color w:val="000000"/>
        </w:rPr>
      </w:pPr>
      <w:r w:rsidRPr="003C5978">
        <w:rPr>
          <w:rFonts w:ascii="Book Antiqua" w:hAnsi="Book Antiqua"/>
        </w:rPr>
        <w:t xml:space="preserve">En caso de que se asignen las plazas nuevas a la Defensa Pública por parte de </w:t>
      </w:r>
      <w:r w:rsidR="00275A01" w:rsidRPr="003C5978">
        <w:rPr>
          <w:rFonts w:ascii="Book Antiqua" w:hAnsi="Book Antiqua"/>
        </w:rPr>
        <w:t>la Asamblea Legislativa, a</w:t>
      </w:r>
      <w:r w:rsidR="5BE08B4A" w:rsidRPr="003C5978">
        <w:rPr>
          <w:rFonts w:ascii="Book Antiqua" w:hAnsi="Book Antiqua"/>
        </w:rPr>
        <w:t>signar</w:t>
      </w:r>
      <w:r w:rsidR="00275A01" w:rsidRPr="003C5978">
        <w:rPr>
          <w:rFonts w:ascii="Book Antiqua" w:hAnsi="Book Antiqua"/>
        </w:rPr>
        <w:t xml:space="preserve"> </w:t>
      </w:r>
      <w:r w:rsidR="009539A5" w:rsidRPr="003C5978">
        <w:rPr>
          <w:rFonts w:ascii="Book Antiqua" w:hAnsi="Book Antiqua"/>
        </w:rPr>
        <w:t>complementariamente asuntos</w:t>
      </w:r>
      <w:r w:rsidR="5BE08B4A" w:rsidRPr="003C5978">
        <w:rPr>
          <w:rFonts w:ascii="Book Antiqua" w:hAnsi="Book Antiqua"/>
        </w:rPr>
        <w:t xml:space="preserve"> de materia Penal, a las plazas de Defensor Público de la Unidad de Pensión Alimentaria que se encuentren asignadas a las Oficinas de la Defensa Pública de Bribrí y Buenos</w:t>
      </w:r>
      <w:r w:rsidR="0D977982" w:rsidRPr="003C5978">
        <w:rPr>
          <w:rFonts w:ascii="Book Antiqua" w:hAnsi="Book Antiqua"/>
        </w:rPr>
        <w:t xml:space="preserve"> Aires</w:t>
      </w:r>
      <w:r w:rsidR="5BE08B4A" w:rsidRPr="003C5978">
        <w:rPr>
          <w:rFonts w:ascii="Book Antiqua" w:hAnsi="Book Antiqua"/>
        </w:rPr>
        <w:t xml:space="preserve">, </w:t>
      </w:r>
      <w:r w:rsidR="00E4550E" w:rsidRPr="003C5978">
        <w:rPr>
          <w:rFonts w:ascii="Book Antiqua" w:hAnsi="Book Antiqua"/>
        </w:rPr>
        <w:t>para completar las cargas de trabajo.</w:t>
      </w:r>
      <w:r w:rsidR="5BE08B4A" w:rsidRPr="003C5978">
        <w:rPr>
          <w:rFonts w:ascii="Book Antiqua" w:hAnsi="Book Antiqua"/>
        </w:rPr>
        <w:t xml:space="preserve"> Considerando que de manera prioritaria se deberá atender los asuntos de Pensión Alimentaria.</w:t>
      </w:r>
    </w:p>
    <w:p w14:paraId="623530F5" w14:textId="0FBF850D" w:rsidR="5BE08B4A" w:rsidRPr="003C5978" w:rsidRDefault="79BE1D34" w:rsidP="003C5978">
      <w:pPr>
        <w:numPr>
          <w:ilvl w:val="0"/>
          <w:numId w:val="17"/>
        </w:numPr>
        <w:spacing w:line="240" w:lineRule="auto"/>
        <w:ind w:left="714" w:hanging="357"/>
        <w:rPr>
          <w:rFonts w:ascii="Book Antiqua" w:hAnsi="Book Antiqua"/>
          <w:color w:val="000000"/>
        </w:rPr>
      </w:pPr>
      <w:r w:rsidRPr="003C5978">
        <w:rPr>
          <w:rFonts w:ascii="Book Antiqua" w:hAnsi="Book Antiqua"/>
        </w:rPr>
        <w:t xml:space="preserve">Reiterar la </w:t>
      </w:r>
      <w:r w:rsidR="5BE08B4A" w:rsidRPr="003C5978">
        <w:rPr>
          <w:rFonts w:ascii="Book Antiqua" w:hAnsi="Book Antiqua"/>
        </w:rPr>
        <w:t xml:space="preserve">circular interna de la Dirección de la Defensa Pública, </w:t>
      </w:r>
      <w:r w:rsidR="217D7ECE" w:rsidRPr="003C5978">
        <w:rPr>
          <w:rFonts w:ascii="Book Antiqua" w:hAnsi="Book Antiqua"/>
        </w:rPr>
        <w:t xml:space="preserve">acerca de </w:t>
      </w:r>
      <w:r w:rsidR="5BE08B4A" w:rsidRPr="003C5978">
        <w:rPr>
          <w:rFonts w:ascii="Book Antiqua" w:hAnsi="Book Antiqua"/>
        </w:rPr>
        <w:t xml:space="preserve">la importancia de hacer uso y reportar de forma correcta en los cuadros estadísticos la variable de cantidad de personas usuarias de la Defensa Pública que pertenecen a algún grupo indígena, servidor judicial, con ingreso durante cada período; dado a que, los datos remitidos al Subproceso de Estadística de la Dirección de Planificación, son los que se utilizarán como base para futuros estudios que permita mejorar el acceso a la justicia de dicha población. </w:t>
      </w:r>
    </w:p>
    <w:p w14:paraId="1E0C6147" w14:textId="2FFF7C66" w:rsidR="5BE08B4A" w:rsidRDefault="5BE08B4A" w:rsidP="003C5978">
      <w:pPr>
        <w:numPr>
          <w:ilvl w:val="0"/>
          <w:numId w:val="17"/>
        </w:numPr>
        <w:spacing w:line="240" w:lineRule="auto"/>
        <w:ind w:left="714" w:hanging="357"/>
        <w:rPr>
          <w:rFonts w:ascii="Book Antiqua" w:hAnsi="Book Antiqua"/>
        </w:rPr>
      </w:pPr>
      <w:r w:rsidRPr="003C5978">
        <w:rPr>
          <w:rFonts w:ascii="Book Antiqua" w:hAnsi="Book Antiqua"/>
        </w:rPr>
        <w:t>C</w:t>
      </w:r>
      <w:r w:rsidR="04E9D911" w:rsidRPr="003C5978">
        <w:rPr>
          <w:rFonts w:ascii="Book Antiqua" w:hAnsi="Book Antiqua"/>
        </w:rPr>
        <w:t xml:space="preserve">ontinuar con las capacitaciones </w:t>
      </w:r>
      <w:r w:rsidRPr="003C5978">
        <w:rPr>
          <w:rFonts w:ascii="Book Antiqua" w:hAnsi="Book Antiqua"/>
        </w:rPr>
        <w:t>a las personas defensoras</w:t>
      </w:r>
      <w:r w:rsidR="45AE5163" w:rsidRPr="003C5978">
        <w:rPr>
          <w:rFonts w:ascii="Book Antiqua" w:hAnsi="Book Antiqua"/>
        </w:rPr>
        <w:t xml:space="preserve"> </w:t>
      </w:r>
      <w:r w:rsidRPr="003C5978">
        <w:rPr>
          <w:rFonts w:ascii="Book Antiqua" w:hAnsi="Book Antiqua"/>
        </w:rPr>
        <w:t>públicas</w:t>
      </w:r>
      <w:r w:rsidR="7D29BD82" w:rsidRPr="003C5978">
        <w:rPr>
          <w:rFonts w:ascii="Book Antiqua" w:hAnsi="Book Antiqua"/>
        </w:rPr>
        <w:t xml:space="preserve"> que manifiesten la necesidad,</w:t>
      </w:r>
      <w:r w:rsidRPr="003C5978">
        <w:rPr>
          <w:rFonts w:ascii="Book Antiqua" w:hAnsi="Book Antiqua"/>
        </w:rPr>
        <w:t xml:space="preserve"> de tal forma que puedan incursionar en otras áreas de servicio, ya que según la ley de control interno se debe dar el mayor aprovechamiento de los recursos y en este caso particular en la distribución de las cargas de trabajo.</w:t>
      </w:r>
    </w:p>
    <w:p w14:paraId="77543449" w14:textId="77777777" w:rsidR="004478B6" w:rsidRPr="003C5978" w:rsidRDefault="004478B6" w:rsidP="00E85457">
      <w:pPr>
        <w:spacing w:line="240" w:lineRule="auto"/>
        <w:ind w:left="714"/>
        <w:rPr>
          <w:rFonts w:ascii="Book Antiqua" w:hAnsi="Book Antiqua"/>
        </w:rPr>
      </w:pPr>
    </w:p>
    <w:p w14:paraId="7DB97509" w14:textId="3ADC958A" w:rsidR="5BE08B4A" w:rsidRPr="008D2522" w:rsidRDefault="5BE08B4A" w:rsidP="00410F64">
      <w:pPr>
        <w:pStyle w:val="Ttulo3"/>
      </w:pPr>
      <w:r w:rsidRPr="008D2522">
        <w:t xml:space="preserve"> A la Dirección de Gestión Humana</w:t>
      </w:r>
    </w:p>
    <w:p w14:paraId="2BA7356D" w14:textId="230A56EE" w:rsidR="00EA5183" w:rsidRPr="00B97719" w:rsidRDefault="00EA5183" w:rsidP="00B97719">
      <w:pPr>
        <w:spacing w:line="240" w:lineRule="auto"/>
        <w:rPr>
          <w:rFonts w:ascii="Book Antiqua" w:hAnsi="Book Antiqua"/>
        </w:rPr>
      </w:pPr>
      <w:r w:rsidRPr="00B97719">
        <w:rPr>
          <w:rFonts w:ascii="Book Antiqua" w:hAnsi="Book Antiqua"/>
        </w:rPr>
        <w:t>Se mantienen las recomendaciones realizadas en el informe 634-PLA-</w:t>
      </w:r>
      <w:r w:rsidR="008D2522" w:rsidRPr="00B97719">
        <w:rPr>
          <w:rFonts w:ascii="Book Antiqua" w:hAnsi="Book Antiqua"/>
        </w:rPr>
        <w:t>RH-MI-2019:</w:t>
      </w:r>
    </w:p>
    <w:p w14:paraId="5901E314" w14:textId="052ABE17" w:rsidR="5BE08B4A" w:rsidRPr="00B97719" w:rsidRDefault="5BE08B4A" w:rsidP="00B97719">
      <w:pPr>
        <w:numPr>
          <w:ilvl w:val="0"/>
          <w:numId w:val="19"/>
        </w:numPr>
        <w:spacing w:line="240" w:lineRule="auto"/>
        <w:rPr>
          <w:rFonts w:ascii="Book Antiqua" w:hAnsi="Book Antiqua"/>
          <w:color w:val="000000"/>
        </w:rPr>
      </w:pPr>
      <w:r w:rsidRPr="00B97719">
        <w:rPr>
          <w:rFonts w:ascii="Book Antiqua" w:eastAsia="Arial" w:hAnsi="Book Antiqua"/>
          <w:color w:val="000000"/>
        </w:rPr>
        <w:t xml:space="preserve">Considerar en las condiciones para contratar al nuevo personal las disposiciones de la nueva ley aprobada en su artículo 7 que indica: </w:t>
      </w:r>
      <w:r w:rsidR="1322C5A0" w:rsidRPr="00B97719">
        <w:rPr>
          <w:rFonts w:ascii="Book Antiqua" w:eastAsia="Arial" w:hAnsi="Book Antiqua"/>
          <w:color w:val="000000"/>
        </w:rPr>
        <w:t xml:space="preserve">“(…) </w:t>
      </w:r>
      <w:r w:rsidRPr="00B97719">
        <w:rPr>
          <w:rFonts w:ascii="Book Antiqua" w:eastAsia="Arial" w:hAnsi="Book Antiqua"/>
          <w:i/>
          <w:iCs/>
        </w:rPr>
        <w:t xml:space="preserve">Asistencia letrada gratuita y gratuidad de la justicia. En aquellos procesos judiciales en que una persona indígena requiera asistencia letrada y no pueda cubrir los costos, la administración de justicia </w:t>
      </w:r>
      <w:r w:rsidRPr="00B97719">
        <w:rPr>
          <w:rFonts w:ascii="Book Antiqua" w:eastAsia="Arial" w:hAnsi="Book Antiqua"/>
          <w:b/>
          <w:bCs/>
          <w:i/>
          <w:iCs/>
          <w:u w:val="single"/>
        </w:rPr>
        <w:t xml:space="preserve">proveerá la asistencia de una persona defensora </w:t>
      </w:r>
      <w:r w:rsidRPr="00B97719">
        <w:rPr>
          <w:rFonts w:ascii="Book Antiqua" w:eastAsia="Arial" w:hAnsi="Book Antiqua"/>
          <w:b/>
          <w:bCs/>
          <w:i/>
          <w:iCs/>
          <w:u w:val="single"/>
        </w:rPr>
        <w:lastRenderedPageBreak/>
        <w:t>pública especializada en derecho indígena y en la materia de competencia de forma gratuita</w:t>
      </w:r>
      <w:r w:rsidR="1BB347EB" w:rsidRPr="00B97719">
        <w:rPr>
          <w:rFonts w:ascii="Book Antiqua" w:eastAsia="Arial" w:hAnsi="Book Antiqua"/>
          <w:b/>
          <w:bCs/>
          <w:i/>
          <w:iCs/>
          <w:u w:val="single"/>
        </w:rPr>
        <w:t xml:space="preserve"> (…)</w:t>
      </w:r>
      <w:r w:rsidR="1BB347EB" w:rsidRPr="00B97719">
        <w:rPr>
          <w:rFonts w:ascii="Book Antiqua" w:eastAsia="Arial" w:hAnsi="Book Antiqua"/>
          <w:i/>
          <w:iCs/>
          <w:u w:val="single"/>
        </w:rPr>
        <w:t>”</w:t>
      </w:r>
      <w:r w:rsidRPr="00B97719">
        <w:rPr>
          <w:rFonts w:ascii="Book Antiqua" w:eastAsia="Arial" w:hAnsi="Book Antiqua"/>
          <w:b/>
          <w:bCs/>
          <w:i/>
          <w:iCs/>
          <w:u w:val="single"/>
        </w:rPr>
        <w:t>.</w:t>
      </w:r>
      <w:r w:rsidRPr="00B97719">
        <w:rPr>
          <w:rFonts w:ascii="Book Antiqua" w:eastAsia="Arial" w:hAnsi="Book Antiqua"/>
          <w:color w:val="000000"/>
        </w:rPr>
        <w:t xml:space="preserve"> Adicionalmente, proponer en los concursos de estas nuevas plazas, que las personas contratadas dispongan del conocimiento de los diferentes idiomas indígenas de tal forma que se pueda brindar un acceso real y más directo a las personas asistidas en estas zonas.</w:t>
      </w:r>
    </w:p>
    <w:p w14:paraId="36C92F87" w14:textId="77777777" w:rsidR="5BE08B4A" w:rsidRPr="00B97719" w:rsidRDefault="5BE08B4A" w:rsidP="00067366">
      <w:pPr>
        <w:numPr>
          <w:ilvl w:val="0"/>
          <w:numId w:val="19"/>
        </w:numPr>
        <w:rPr>
          <w:rFonts w:ascii="Book Antiqua" w:hAnsi="Book Antiqua"/>
          <w:color w:val="000000"/>
        </w:rPr>
      </w:pPr>
      <w:r w:rsidRPr="00B97719">
        <w:rPr>
          <w:rFonts w:ascii="Book Antiqua" w:hAnsi="Book Antiqua"/>
        </w:rPr>
        <w:t xml:space="preserve">Analizar en los nuevos concursos habilidades blandas como: </w:t>
      </w:r>
    </w:p>
    <w:p w14:paraId="1275E22D" w14:textId="77777777" w:rsidR="5BE08B4A" w:rsidRPr="00B97719" w:rsidRDefault="5BE08B4A" w:rsidP="00067366">
      <w:pPr>
        <w:numPr>
          <w:ilvl w:val="0"/>
          <w:numId w:val="20"/>
        </w:numPr>
        <w:rPr>
          <w:rFonts w:ascii="Book Antiqua" w:eastAsia="Arial" w:hAnsi="Book Antiqua"/>
          <w:sz w:val="22"/>
        </w:rPr>
      </w:pPr>
      <w:r w:rsidRPr="00B97719">
        <w:rPr>
          <w:rFonts w:ascii="Book Antiqua" w:hAnsi="Book Antiqua"/>
        </w:rPr>
        <w:t>Disposición para realizar las diligencias in situ</w:t>
      </w:r>
    </w:p>
    <w:p w14:paraId="72F16A53" w14:textId="378C4E30" w:rsidR="5BE08B4A" w:rsidRPr="00B97719" w:rsidRDefault="5BE08B4A" w:rsidP="00067366">
      <w:pPr>
        <w:numPr>
          <w:ilvl w:val="0"/>
          <w:numId w:val="20"/>
        </w:numPr>
        <w:rPr>
          <w:rFonts w:ascii="Book Antiqua" w:eastAsia="Arial" w:hAnsi="Book Antiqua"/>
          <w:sz w:val="22"/>
        </w:rPr>
      </w:pPr>
      <w:r w:rsidRPr="00B97719">
        <w:rPr>
          <w:rFonts w:ascii="Book Antiqua" w:hAnsi="Book Antiqua"/>
        </w:rPr>
        <w:t xml:space="preserve">Utilizar diferentes medios de transporte (caballo, camión, bote, panga, </w:t>
      </w:r>
      <w:r w:rsidR="00B97719" w:rsidRPr="00B97719">
        <w:rPr>
          <w:rFonts w:ascii="Book Antiqua" w:hAnsi="Book Antiqua"/>
        </w:rPr>
        <w:t>etc.</w:t>
      </w:r>
      <w:r w:rsidRPr="00B97719">
        <w:rPr>
          <w:rFonts w:ascii="Book Antiqua" w:hAnsi="Book Antiqua"/>
        </w:rPr>
        <w:t>)</w:t>
      </w:r>
    </w:p>
    <w:p w14:paraId="0FC78393" w14:textId="77777777" w:rsidR="5BE08B4A" w:rsidRPr="00B97719" w:rsidRDefault="5BE08B4A" w:rsidP="00067366">
      <w:pPr>
        <w:numPr>
          <w:ilvl w:val="0"/>
          <w:numId w:val="20"/>
        </w:numPr>
        <w:rPr>
          <w:rFonts w:ascii="Book Antiqua" w:eastAsia="Arial" w:hAnsi="Book Antiqua"/>
          <w:sz w:val="22"/>
        </w:rPr>
      </w:pPr>
      <w:r w:rsidRPr="00B97719">
        <w:rPr>
          <w:rFonts w:ascii="Book Antiqua" w:hAnsi="Book Antiqua"/>
        </w:rPr>
        <w:t>Comprender que la condición social y cultural implica procesos cuyo tiempo para invertirles es mayor, pues los canales de comunicación son diversos en los diferentes procesos y según el género.</w:t>
      </w:r>
    </w:p>
    <w:p w14:paraId="5BCB4B23" w14:textId="47EA938C" w:rsidR="5BE08B4A" w:rsidRDefault="5BE08B4A" w:rsidP="00B97719">
      <w:pPr>
        <w:numPr>
          <w:ilvl w:val="0"/>
          <w:numId w:val="19"/>
        </w:numPr>
        <w:spacing w:line="240" w:lineRule="auto"/>
        <w:ind w:left="714" w:hanging="357"/>
        <w:rPr>
          <w:rFonts w:ascii="Book Antiqua" w:hAnsi="Book Antiqua"/>
        </w:rPr>
      </w:pPr>
      <w:r w:rsidRPr="00B97719">
        <w:rPr>
          <w:rFonts w:ascii="Book Antiqua" w:hAnsi="Book Antiqua"/>
        </w:rPr>
        <w:t>Analizar en conjunto con la Defensa Pública las condiciones de los concursos en propiedad de las plazas que atienden la materia agraria, de tal forma que se amplié su condición para que las mismas puedan atender eventualmente otras materias, así como trasladarse a las diferentes zonas que disponga la Dirección de la Defensa Pública.</w:t>
      </w:r>
    </w:p>
    <w:p w14:paraId="0D2B3C00" w14:textId="40C93FBF" w:rsidR="00A91412" w:rsidRDefault="3F3C4B0E" w:rsidP="2FF0FB19">
      <w:pPr>
        <w:numPr>
          <w:ilvl w:val="0"/>
          <w:numId w:val="19"/>
        </w:numPr>
        <w:spacing w:line="240" w:lineRule="auto"/>
        <w:ind w:left="714" w:hanging="357"/>
        <w:rPr>
          <w:rFonts w:ascii="Book Antiqua" w:eastAsia="Book Antiqua" w:hAnsi="Book Antiqua" w:cs="Book Antiqua"/>
          <w:szCs w:val="24"/>
        </w:rPr>
      </w:pPr>
      <w:r w:rsidRPr="2FF0FB19">
        <w:rPr>
          <w:rFonts w:ascii="Book Antiqua" w:hAnsi="Book Antiqua"/>
        </w:rPr>
        <w:t xml:space="preserve">A raíz de las observaciones emitidas en el oficio </w:t>
      </w:r>
      <w:r w:rsidR="19BC17F5" w:rsidRPr="2FF0FB19">
        <w:rPr>
          <w:rFonts w:ascii="Book Antiqua" w:hAnsi="Book Antiqua"/>
        </w:rPr>
        <w:t>CACC-116-2020 de la Comisión de Acceso a la Justic</w:t>
      </w:r>
      <w:r w:rsidR="24C9342A" w:rsidRPr="2FF0FB19">
        <w:rPr>
          <w:rFonts w:ascii="Book Antiqua" w:hAnsi="Book Antiqua"/>
        </w:rPr>
        <w:t>ia</w:t>
      </w:r>
      <w:r w:rsidR="19BC17F5" w:rsidRPr="2FF0FB19">
        <w:rPr>
          <w:rFonts w:ascii="Book Antiqua" w:hAnsi="Book Antiqua"/>
        </w:rPr>
        <w:t xml:space="preserve">, </w:t>
      </w:r>
      <w:r w:rsidR="7124DAF2" w:rsidRPr="2FF0FB19">
        <w:rPr>
          <w:rFonts w:ascii="Book Antiqua" w:hAnsi="Book Antiqua"/>
        </w:rPr>
        <w:t xml:space="preserve">se solicita </w:t>
      </w:r>
      <w:r w:rsidR="19BC17F5" w:rsidRPr="2FF0FB19">
        <w:rPr>
          <w:rFonts w:ascii="Book Antiqua" w:hAnsi="Book Antiqua"/>
        </w:rPr>
        <w:t>val</w:t>
      </w:r>
      <w:r w:rsidR="264EC2C3" w:rsidRPr="00E85457">
        <w:rPr>
          <w:rFonts w:ascii="Book Antiqua" w:hAnsi="Book Antiqua"/>
        </w:rPr>
        <w:t xml:space="preserve">orar </w:t>
      </w:r>
      <w:r w:rsidR="264EC2C3" w:rsidRPr="2FF0FB19">
        <w:rPr>
          <w:rFonts w:ascii="Book Antiqua" w:hAnsi="Book Antiqua"/>
        </w:rPr>
        <w:t xml:space="preserve">la posibilidad de </w:t>
      </w:r>
      <w:r w:rsidR="264EC2C3" w:rsidRPr="00E85457">
        <w:rPr>
          <w:rFonts w:ascii="Book Antiqua" w:hAnsi="Book Antiqua"/>
        </w:rPr>
        <w:t>promover dentro de los concursos de la judicatura las capacitaciones referentes a la atención y acceso a la justicia de los pueblos indígenas.</w:t>
      </w:r>
    </w:p>
    <w:p w14:paraId="5C204588" w14:textId="5388F44F" w:rsidR="00410F64" w:rsidRDefault="4AFF3974" w:rsidP="2FF0FB19">
      <w:pPr>
        <w:numPr>
          <w:ilvl w:val="0"/>
          <w:numId w:val="19"/>
        </w:numPr>
        <w:spacing w:line="240" w:lineRule="auto"/>
        <w:ind w:left="714" w:hanging="357"/>
        <w:rPr>
          <w:rFonts w:ascii="Book Antiqua" w:hAnsi="Book Antiqua"/>
        </w:rPr>
      </w:pPr>
      <w:r w:rsidRPr="2FF0FB19">
        <w:rPr>
          <w:rFonts w:ascii="Book Antiqua" w:hAnsi="Book Antiqua"/>
        </w:rPr>
        <w:t>A raíz de las observaciones emitidas en el oficio CACC-116-2020 de la Comisión de Acceso a la Justicia, se solicita a</w:t>
      </w:r>
      <w:r w:rsidR="76DC93C4" w:rsidRPr="2FF0FB19">
        <w:rPr>
          <w:rFonts w:ascii="Book Antiqua" w:hAnsi="Book Antiqua"/>
        </w:rPr>
        <w:t>nalizar</w:t>
      </w:r>
      <w:r w:rsidR="015C69E0" w:rsidRPr="2FF0FB19">
        <w:rPr>
          <w:rFonts w:ascii="Book Antiqua" w:hAnsi="Book Antiqua"/>
        </w:rPr>
        <w:t xml:space="preserve"> </w:t>
      </w:r>
      <w:r w:rsidR="76DC93C4" w:rsidRPr="2FF0FB19">
        <w:rPr>
          <w:rFonts w:ascii="Book Antiqua" w:hAnsi="Book Antiqua"/>
        </w:rPr>
        <w:t>la posibilidad de</w:t>
      </w:r>
      <w:r w:rsidR="015C69E0" w:rsidRPr="2FF0FB19">
        <w:rPr>
          <w:rFonts w:ascii="Book Antiqua" w:hAnsi="Book Antiqua"/>
        </w:rPr>
        <w:t xml:space="preserve"> </w:t>
      </w:r>
      <w:r w:rsidR="76DC93C4" w:rsidRPr="2FF0FB19">
        <w:rPr>
          <w:rFonts w:ascii="Book Antiqua" w:hAnsi="Book Antiqua"/>
        </w:rPr>
        <w:t>incluir</w:t>
      </w:r>
      <w:r w:rsidR="015C69E0" w:rsidRPr="2FF0FB19">
        <w:rPr>
          <w:rFonts w:ascii="Book Antiqua" w:hAnsi="Book Antiqua"/>
        </w:rPr>
        <w:t xml:space="preserve"> </w:t>
      </w:r>
      <w:r w:rsidR="76DC93C4" w:rsidRPr="2FF0FB19">
        <w:rPr>
          <w:rFonts w:ascii="Book Antiqua" w:hAnsi="Book Antiqua"/>
        </w:rPr>
        <w:t xml:space="preserve">la variable de capacitación en Derecho Indígena </w:t>
      </w:r>
      <w:r w:rsidR="015C69E0" w:rsidRPr="2FF0FB19">
        <w:rPr>
          <w:rFonts w:ascii="Book Antiqua" w:hAnsi="Book Antiqua"/>
        </w:rPr>
        <w:t>en los indicadores de evaluación de desempeño y los procesos de reclutamiento, ya sea para nombramientos o ascensos en puestos vinculados con el conocimiento de procesos asociados a personas indígenas</w:t>
      </w:r>
      <w:r w:rsidR="76DC93C4" w:rsidRPr="2FF0FB19">
        <w:rPr>
          <w:rFonts w:ascii="Book Antiqua" w:hAnsi="Book Antiqua"/>
        </w:rPr>
        <w:t>.</w:t>
      </w:r>
    </w:p>
    <w:p w14:paraId="48115E94" w14:textId="77777777" w:rsidR="00410F64" w:rsidRDefault="00410F64">
      <w:pPr>
        <w:spacing w:before="0" w:after="0" w:line="240" w:lineRule="auto"/>
        <w:jc w:val="left"/>
        <w:rPr>
          <w:rFonts w:ascii="Book Antiqua" w:hAnsi="Book Antiqua"/>
        </w:rPr>
      </w:pPr>
      <w:r>
        <w:rPr>
          <w:rFonts w:ascii="Book Antiqua" w:hAnsi="Book Antiqua"/>
        </w:rPr>
        <w:br w:type="page"/>
      </w:r>
    </w:p>
    <w:p w14:paraId="0F8D6F0B" w14:textId="32345330" w:rsidR="5BE08B4A" w:rsidRPr="008D2522" w:rsidRDefault="5BE08B4A" w:rsidP="00410F64">
      <w:pPr>
        <w:pStyle w:val="Ttulo3"/>
      </w:pPr>
      <w:r>
        <w:lastRenderedPageBreak/>
        <w:t>A la Dirección de Tecnología de la Información</w:t>
      </w:r>
    </w:p>
    <w:p w14:paraId="22FFFC28" w14:textId="2CA1BBB1" w:rsidR="6F15CD09" w:rsidRDefault="79C025DD" w:rsidP="2FF0FB19">
      <w:pPr>
        <w:numPr>
          <w:ilvl w:val="0"/>
          <w:numId w:val="19"/>
        </w:numPr>
        <w:spacing w:line="240" w:lineRule="auto"/>
        <w:rPr>
          <w:rFonts w:ascii="Book Antiqua" w:eastAsia="Book Antiqua" w:hAnsi="Book Antiqua" w:cs="Book Antiqua"/>
          <w:color w:val="000000" w:themeColor="text1"/>
          <w:sz w:val="22"/>
        </w:rPr>
      </w:pPr>
      <w:r w:rsidRPr="00410F64">
        <w:rPr>
          <w:rFonts w:ascii="Book Antiqua" w:hAnsi="Book Antiqua"/>
        </w:rPr>
        <w:t>S</w:t>
      </w:r>
      <w:r w:rsidRPr="00410F64">
        <w:rPr>
          <w:rFonts w:ascii="Book Antiqua" w:eastAsia="Book Antiqua" w:hAnsi="Book Antiqua" w:cs="Book Antiqua"/>
          <w:sz w:val="22"/>
        </w:rPr>
        <w:t>egún</w:t>
      </w:r>
      <w:r w:rsidRPr="2FF0FB19">
        <w:rPr>
          <w:rFonts w:ascii="Book Antiqua" w:eastAsia="Book Antiqua" w:hAnsi="Book Antiqua" w:cs="Book Antiqua"/>
          <w:color w:val="000000" w:themeColor="text1"/>
          <w:sz w:val="22"/>
        </w:rPr>
        <w:t xml:space="preserve"> lo manifestado en el oficio 662-DTI-2020 de la Dirección de Tecnología de Información, l</w:t>
      </w:r>
      <w:r w:rsidR="49CA58D2" w:rsidRPr="2FF0FB19">
        <w:rPr>
          <w:rFonts w:ascii="Book Antiqua" w:eastAsia="Book Antiqua" w:hAnsi="Book Antiqua" w:cs="Book Antiqua"/>
          <w:color w:val="000000" w:themeColor="text1"/>
          <w:sz w:val="22"/>
        </w:rPr>
        <w:t>a</w:t>
      </w:r>
      <w:r w:rsidR="29927D88" w:rsidRPr="2FF0FB19">
        <w:rPr>
          <w:rFonts w:ascii="Book Antiqua" w:eastAsia="Book Antiqua" w:hAnsi="Book Antiqua" w:cs="Book Antiqua"/>
          <w:color w:val="000000" w:themeColor="text1"/>
          <w:sz w:val="22"/>
        </w:rPr>
        <w:t xml:space="preserve"> Unidad de Inteligencia de la Información desarrollará durante el primer semestre de 2020</w:t>
      </w:r>
      <w:r w:rsidR="43992ECE" w:rsidRPr="2FF0FB19">
        <w:rPr>
          <w:rFonts w:ascii="Book Antiqua" w:eastAsia="Book Antiqua" w:hAnsi="Book Antiqua" w:cs="Book Antiqua"/>
          <w:color w:val="000000" w:themeColor="text1"/>
          <w:sz w:val="22"/>
        </w:rPr>
        <w:t xml:space="preserve"> desarrollará</w:t>
      </w:r>
      <w:r w:rsidR="29927D88" w:rsidRPr="2FF0FB19">
        <w:rPr>
          <w:rFonts w:ascii="Book Antiqua" w:eastAsia="Book Antiqua" w:hAnsi="Book Antiqua" w:cs="Book Antiqua"/>
          <w:color w:val="000000" w:themeColor="text1"/>
          <w:sz w:val="22"/>
        </w:rPr>
        <w:t xml:space="preserve"> la mejora para extraer los datos de la variable etnia del Sistema de Seguimiento de Casos, con esto la información de los casos de la Defensa Pública se mostrarán dentro de las estadísticas en los reportes del SIGMA</w:t>
      </w:r>
      <w:r w:rsidR="514CD912" w:rsidRPr="2FF0FB19">
        <w:rPr>
          <w:rFonts w:ascii="Book Antiqua" w:eastAsia="Book Antiqua" w:hAnsi="Book Antiqua" w:cs="Book Antiqua"/>
          <w:color w:val="000000" w:themeColor="text1"/>
          <w:sz w:val="22"/>
        </w:rPr>
        <w:t>.</w:t>
      </w:r>
    </w:p>
    <w:p w14:paraId="410CC171" w14:textId="0EF2E4DE" w:rsidR="5BE08B4A" w:rsidRPr="00B97719" w:rsidRDefault="19C2183A" w:rsidP="00B97719">
      <w:pPr>
        <w:numPr>
          <w:ilvl w:val="0"/>
          <w:numId w:val="19"/>
        </w:numPr>
        <w:spacing w:line="240" w:lineRule="auto"/>
        <w:rPr>
          <w:rFonts w:ascii="Book Antiqua" w:hAnsi="Book Antiqua"/>
          <w:color w:val="000000"/>
        </w:rPr>
      </w:pPr>
      <w:r w:rsidRPr="2FF0FB19">
        <w:rPr>
          <w:rFonts w:ascii="Book Antiqua" w:hAnsi="Book Antiqua"/>
        </w:rPr>
        <w:t>Se mantiene la recomendación realizada en el informe 634-PLA-RH-MI-2019:</w:t>
      </w:r>
      <w:r w:rsidR="5BE08B4A" w:rsidRPr="00B97719">
        <w:rPr>
          <w:rFonts w:ascii="Book Antiqua" w:hAnsi="Book Antiqua"/>
        </w:rPr>
        <w:t xml:space="preserve">Coordinar lo relacionado con la implantación y capacitación del Sistema de Seguimientos de Casos (SSC) y SIGMA en las Oficinas de la Defensa Pública que atiendan materia Agraria, con fin de obtener datos estadísticos para futuros estudios. </w:t>
      </w:r>
    </w:p>
    <w:p w14:paraId="6F5D5CAF" w14:textId="49CCB63B" w:rsidR="00911B79" w:rsidRDefault="00911B79" w:rsidP="00410F64">
      <w:pPr>
        <w:pStyle w:val="Ttulo3"/>
      </w:pPr>
      <w:r>
        <w:t>A la Escuela Judicial</w:t>
      </w:r>
    </w:p>
    <w:p w14:paraId="4D77E1A1" w14:textId="79CFCA4F" w:rsidR="000B1EC3" w:rsidRPr="00F16BB8" w:rsidRDefault="5D29FF57" w:rsidP="2FF0FB19">
      <w:pPr>
        <w:rPr>
          <w:rFonts w:ascii="Book Antiqua" w:hAnsi="Book Antiqua"/>
        </w:rPr>
      </w:pPr>
      <w:r w:rsidRPr="00E85457">
        <w:rPr>
          <w:rFonts w:ascii="Book Antiqua" w:hAnsi="Book Antiqua"/>
          <w:szCs w:val="24"/>
        </w:rPr>
        <w:t xml:space="preserve">Según </w:t>
      </w:r>
      <w:r w:rsidR="73E29DD7" w:rsidRPr="2FF0FB19">
        <w:rPr>
          <w:rFonts w:ascii="Book Antiqua" w:hAnsi="Book Antiqua"/>
          <w:szCs w:val="24"/>
        </w:rPr>
        <w:t xml:space="preserve">las </w:t>
      </w:r>
      <w:r w:rsidRPr="00E85457">
        <w:rPr>
          <w:rFonts w:ascii="Book Antiqua" w:hAnsi="Book Antiqua"/>
          <w:szCs w:val="24"/>
        </w:rPr>
        <w:t xml:space="preserve">observaciones emitidas en el oficio </w:t>
      </w:r>
      <w:r w:rsidR="22CAEBFC" w:rsidRPr="00E85457">
        <w:rPr>
          <w:rFonts w:ascii="Book Antiqua" w:hAnsi="Book Antiqua"/>
          <w:szCs w:val="24"/>
        </w:rPr>
        <w:t xml:space="preserve">CACC-116-2020 </w:t>
      </w:r>
      <w:r w:rsidR="22CAEBFC" w:rsidRPr="2FF0FB19">
        <w:rPr>
          <w:rFonts w:ascii="Book Antiqua" w:hAnsi="Book Antiqua"/>
          <w:szCs w:val="24"/>
        </w:rPr>
        <w:t>del 1</w:t>
      </w:r>
      <w:r w:rsidR="778B1971" w:rsidRPr="2FF0FB19">
        <w:rPr>
          <w:rFonts w:ascii="Book Antiqua" w:hAnsi="Book Antiqua"/>
          <w:szCs w:val="24"/>
        </w:rPr>
        <w:t>4</w:t>
      </w:r>
      <w:r w:rsidR="22CAEBFC" w:rsidRPr="2FF0FB19">
        <w:rPr>
          <w:rFonts w:ascii="Book Antiqua" w:hAnsi="Book Antiqua"/>
          <w:szCs w:val="24"/>
        </w:rPr>
        <w:t xml:space="preserve"> abril </w:t>
      </w:r>
      <w:r w:rsidR="22CAEBFC" w:rsidRPr="00E85457">
        <w:rPr>
          <w:rFonts w:ascii="Book Antiqua" w:hAnsi="Book Antiqua"/>
          <w:szCs w:val="24"/>
        </w:rPr>
        <w:t>de</w:t>
      </w:r>
      <w:r w:rsidR="22CAEBFC" w:rsidRPr="2FF0FB19">
        <w:rPr>
          <w:rFonts w:ascii="Book Antiqua" w:hAnsi="Book Antiqua"/>
          <w:szCs w:val="24"/>
        </w:rPr>
        <w:t xml:space="preserve"> </w:t>
      </w:r>
      <w:r w:rsidR="22CAEBFC" w:rsidRPr="00E85457">
        <w:rPr>
          <w:rFonts w:ascii="Book Antiqua" w:hAnsi="Book Antiqua"/>
          <w:szCs w:val="24"/>
        </w:rPr>
        <w:t>l</w:t>
      </w:r>
      <w:r w:rsidR="22CAEBFC" w:rsidRPr="2FF0FB19">
        <w:rPr>
          <w:rFonts w:ascii="Book Antiqua" w:hAnsi="Book Antiqua"/>
          <w:szCs w:val="24"/>
        </w:rPr>
        <w:t>a</w:t>
      </w:r>
      <w:r w:rsidR="22CAEBFC" w:rsidRPr="00E85457">
        <w:rPr>
          <w:rFonts w:ascii="Book Antiqua" w:hAnsi="Book Antiqua"/>
          <w:szCs w:val="24"/>
        </w:rPr>
        <w:t xml:space="preserve"> Comisión de Acceso a la Justicia</w:t>
      </w:r>
      <w:r w:rsidR="778FFFBC" w:rsidRPr="2FF0FB19">
        <w:rPr>
          <w:rFonts w:ascii="Book Antiqua" w:hAnsi="Book Antiqua"/>
          <w:szCs w:val="24"/>
        </w:rPr>
        <w:t>, se incorporan las siguientes recomendaciones.</w:t>
      </w:r>
      <w:r w:rsidR="22CAEBFC" w:rsidRPr="00E85457">
        <w:rPr>
          <w:rFonts w:ascii="Book Antiqua" w:hAnsi="Book Antiqua"/>
          <w:szCs w:val="24"/>
        </w:rPr>
        <w:t xml:space="preserve"> </w:t>
      </w:r>
    </w:p>
    <w:p w14:paraId="4E15FBA0" w14:textId="36628793" w:rsidR="00BA1D5C" w:rsidRDefault="5AAA2C87" w:rsidP="70583F31">
      <w:pPr>
        <w:pStyle w:val="Prrafodelista"/>
        <w:numPr>
          <w:ilvl w:val="0"/>
          <w:numId w:val="37"/>
        </w:numPr>
        <w:rPr>
          <w:rFonts w:ascii="Book Antiqua" w:eastAsia="Calibri" w:hAnsi="Book Antiqua" w:cs="Times New Roman"/>
          <w:lang w:val="es-CR" w:eastAsia="en-US"/>
        </w:rPr>
      </w:pPr>
      <w:r w:rsidRPr="70583F31">
        <w:rPr>
          <w:rFonts w:ascii="Book Antiqua" w:eastAsia="Calibri" w:hAnsi="Book Antiqua" w:cs="Times New Roman"/>
          <w:lang w:val="es-CR" w:eastAsia="en-US"/>
        </w:rPr>
        <w:t>P</w:t>
      </w:r>
      <w:r w:rsidR="00BA1D5C" w:rsidRPr="00E85457">
        <w:rPr>
          <w:rFonts w:ascii="Book Antiqua" w:eastAsia="Calibri" w:hAnsi="Book Antiqua" w:cs="Times New Roman"/>
          <w:lang w:val="es-CR" w:eastAsia="en-US"/>
        </w:rPr>
        <w:t>riorizar el fortalecimiento de las competencias de los equipos de trabajo que están a cargo de procesos penales vinculados en las poblaciones indígenas.</w:t>
      </w:r>
    </w:p>
    <w:p w14:paraId="0EC1B6D3" w14:textId="2660707E" w:rsidR="00251A3F" w:rsidRDefault="00251A3F" w:rsidP="00BA1D5C">
      <w:pPr>
        <w:pStyle w:val="Prrafodelista"/>
        <w:numPr>
          <w:ilvl w:val="0"/>
          <w:numId w:val="37"/>
        </w:numPr>
        <w:rPr>
          <w:rFonts w:ascii="Book Antiqua" w:eastAsia="Calibri" w:hAnsi="Book Antiqua" w:cs="Times New Roman"/>
          <w:szCs w:val="22"/>
          <w:lang w:val="es-CR" w:eastAsia="en-US"/>
        </w:rPr>
      </w:pPr>
      <w:r>
        <w:rPr>
          <w:rFonts w:ascii="Book Antiqua" w:eastAsia="Calibri" w:hAnsi="Book Antiqua" w:cs="Times New Roman"/>
          <w:szCs w:val="22"/>
          <w:lang w:val="es-CR" w:eastAsia="en-US"/>
        </w:rPr>
        <w:t>F</w:t>
      </w:r>
      <w:r w:rsidRPr="00251A3F">
        <w:rPr>
          <w:rFonts w:ascii="Book Antiqua" w:eastAsia="Calibri" w:hAnsi="Book Antiqua" w:cs="Times New Roman"/>
          <w:szCs w:val="22"/>
          <w:lang w:val="es-CR" w:eastAsia="en-US"/>
        </w:rPr>
        <w:t>oment</w:t>
      </w:r>
      <w:r>
        <w:rPr>
          <w:rFonts w:ascii="Book Antiqua" w:eastAsia="Calibri" w:hAnsi="Book Antiqua" w:cs="Times New Roman"/>
          <w:szCs w:val="22"/>
          <w:lang w:val="es-CR" w:eastAsia="en-US"/>
        </w:rPr>
        <w:t>ar</w:t>
      </w:r>
      <w:r w:rsidRPr="00251A3F">
        <w:rPr>
          <w:rFonts w:ascii="Book Antiqua" w:eastAsia="Calibri" w:hAnsi="Book Antiqua" w:cs="Times New Roman"/>
          <w:szCs w:val="22"/>
          <w:lang w:val="es-CR" w:eastAsia="en-US"/>
        </w:rPr>
        <w:t xml:space="preserve"> la capacitación virtual, compartiendo espacios virtuales y presenciales, maximizando tiempos de desplazamientos, recursos económicos, y viáticos, entre otros.</w:t>
      </w:r>
    </w:p>
    <w:p w14:paraId="0E4553F6" w14:textId="25B14041" w:rsidR="00251A3F" w:rsidRDefault="00251A3F" w:rsidP="00BA1D5C">
      <w:pPr>
        <w:pStyle w:val="Prrafodelista"/>
        <w:numPr>
          <w:ilvl w:val="0"/>
          <w:numId w:val="37"/>
        </w:numPr>
        <w:rPr>
          <w:rFonts w:ascii="Book Antiqua" w:eastAsia="Calibri" w:hAnsi="Book Antiqua" w:cs="Times New Roman"/>
          <w:szCs w:val="22"/>
          <w:lang w:val="es-CR" w:eastAsia="en-US"/>
        </w:rPr>
      </w:pPr>
      <w:r>
        <w:rPr>
          <w:rFonts w:ascii="Book Antiqua" w:eastAsia="Calibri" w:hAnsi="Book Antiqua" w:cs="Times New Roman"/>
          <w:szCs w:val="22"/>
          <w:lang w:val="es-CR" w:eastAsia="en-US"/>
        </w:rPr>
        <w:t>Verificar que</w:t>
      </w:r>
      <w:r w:rsidRPr="00251A3F">
        <w:rPr>
          <w:rFonts w:ascii="Book Antiqua" w:eastAsia="Calibri" w:hAnsi="Book Antiqua" w:cs="Times New Roman"/>
          <w:szCs w:val="22"/>
          <w:lang w:val="es-CR" w:eastAsia="en-US"/>
        </w:rPr>
        <w:t xml:space="preserve"> los contenidos de los diseños de las capacitaciones en Derecho Indígena, se incluya al menos: </w:t>
      </w:r>
    </w:p>
    <w:p w14:paraId="281E2150" w14:textId="0CF43E17" w:rsidR="00251A3F" w:rsidRDefault="00251A3F" w:rsidP="00251A3F">
      <w:pPr>
        <w:pStyle w:val="Prrafodelista"/>
        <w:ind w:left="720"/>
        <w:rPr>
          <w:rFonts w:ascii="Book Antiqua" w:eastAsia="Calibri" w:hAnsi="Book Antiqua" w:cs="Times New Roman"/>
          <w:szCs w:val="22"/>
          <w:lang w:val="es-CR" w:eastAsia="en-US"/>
        </w:rPr>
      </w:pPr>
      <w:r w:rsidRPr="00251A3F">
        <w:rPr>
          <w:rFonts w:ascii="Book Antiqua" w:eastAsia="Calibri" w:hAnsi="Book Antiqua" w:cs="Times New Roman"/>
          <w:szCs w:val="22"/>
          <w:lang w:val="es-CR" w:eastAsia="en-US"/>
        </w:rPr>
        <w:t xml:space="preserve">a) Normativa internacional referida a los derechos de las personas indígenas, entre ellos, el Convenio relativo a la protección e integración de las poblaciones indígenas y de otras poblaciones tribales y </w:t>
      </w:r>
      <w:proofErr w:type="spellStart"/>
      <w:r w:rsidRPr="00251A3F">
        <w:rPr>
          <w:rFonts w:ascii="Book Antiqua" w:eastAsia="Calibri" w:hAnsi="Book Antiqua" w:cs="Times New Roman"/>
          <w:szCs w:val="22"/>
          <w:lang w:val="es-CR" w:eastAsia="en-US"/>
        </w:rPr>
        <w:t>semitribales</w:t>
      </w:r>
      <w:proofErr w:type="spellEnd"/>
      <w:r w:rsidRPr="00251A3F">
        <w:rPr>
          <w:rFonts w:ascii="Book Antiqua" w:eastAsia="Calibri" w:hAnsi="Book Antiqua" w:cs="Times New Roman"/>
          <w:szCs w:val="22"/>
          <w:lang w:val="es-CR" w:eastAsia="en-US"/>
        </w:rPr>
        <w:t xml:space="preserve"> en los países 1957 (Convenio 107 OIT), Convenio sobre Pueblos Indígenas y Tribales 1989 (Convenio 169 OIT), Declaración de las Naciones Unidas sobre los derechos de los Pueblos Indígenas 2007, Declaración Americana sobre Derechos de los Pueblos Indígenas OEA 2016</w:t>
      </w:r>
      <w:r>
        <w:rPr>
          <w:rFonts w:ascii="Book Antiqua" w:eastAsia="Calibri" w:hAnsi="Book Antiqua" w:cs="Times New Roman"/>
          <w:szCs w:val="22"/>
          <w:lang w:val="es-CR" w:eastAsia="en-US"/>
        </w:rPr>
        <w:t>.</w:t>
      </w:r>
    </w:p>
    <w:p w14:paraId="0E872C1C" w14:textId="77777777" w:rsidR="00251A3F" w:rsidRDefault="00251A3F" w:rsidP="00251A3F">
      <w:pPr>
        <w:pStyle w:val="Prrafodelista"/>
        <w:ind w:left="720"/>
        <w:rPr>
          <w:rFonts w:ascii="Book Antiqua" w:eastAsia="Calibri" w:hAnsi="Book Antiqua" w:cs="Times New Roman"/>
          <w:szCs w:val="22"/>
          <w:lang w:val="es-CR" w:eastAsia="en-US"/>
        </w:rPr>
      </w:pPr>
      <w:r w:rsidRPr="00251A3F">
        <w:rPr>
          <w:rFonts w:ascii="Book Antiqua" w:eastAsia="Calibri" w:hAnsi="Book Antiqua" w:cs="Times New Roman"/>
          <w:szCs w:val="22"/>
          <w:lang w:val="es-CR" w:eastAsia="en-US"/>
        </w:rPr>
        <w:t>b) Jurisprudencia de la Corte Interamericana de Derechos Humanos vinculada con pueblos Indígenas incluyendo la Opinión Consultiva 23-2017</w:t>
      </w:r>
      <w:r>
        <w:rPr>
          <w:rFonts w:ascii="Book Antiqua" w:eastAsia="Calibri" w:hAnsi="Book Antiqua" w:cs="Times New Roman"/>
          <w:szCs w:val="22"/>
          <w:lang w:val="es-CR" w:eastAsia="en-US"/>
        </w:rPr>
        <w:t>.</w:t>
      </w:r>
    </w:p>
    <w:p w14:paraId="63BE9BC4" w14:textId="77777777" w:rsidR="00251A3F" w:rsidRDefault="00251A3F" w:rsidP="00251A3F">
      <w:pPr>
        <w:pStyle w:val="Prrafodelista"/>
        <w:ind w:left="720"/>
        <w:rPr>
          <w:rFonts w:ascii="Book Antiqua" w:eastAsia="Calibri" w:hAnsi="Book Antiqua" w:cs="Times New Roman"/>
          <w:szCs w:val="22"/>
          <w:lang w:val="es-CR" w:eastAsia="en-US"/>
        </w:rPr>
      </w:pPr>
      <w:r w:rsidRPr="00251A3F">
        <w:rPr>
          <w:rFonts w:ascii="Book Antiqua" w:eastAsia="Calibri" w:hAnsi="Book Antiqua" w:cs="Times New Roman"/>
          <w:szCs w:val="22"/>
          <w:lang w:val="es-CR" w:eastAsia="en-US"/>
        </w:rPr>
        <w:lastRenderedPageBreak/>
        <w:t xml:space="preserve"> c) Constitución Política, Ley Indígena, Ley de Acceso a la Justicia de los Pueblos Indígenas, entre otras</w:t>
      </w:r>
      <w:r>
        <w:rPr>
          <w:rFonts w:ascii="Book Antiqua" w:eastAsia="Calibri" w:hAnsi="Book Antiqua" w:cs="Times New Roman"/>
          <w:szCs w:val="22"/>
          <w:lang w:val="es-CR" w:eastAsia="en-US"/>
        </w:rPr>
        <w:t>.</w:t>
      </w:r>
    </w:p>
    <w:p w14:paraId="5CD8A0A1" w14:textId="77777777" w:rsidR="00251A3F" w:rsidRDefault="00251A3F" w:rsidP="00251A3F">
      <w:pPr>
        <w:pStyle w:val="Prrafodelista"/>
        <w:ind w:left="720"/>
        <w:rPr>
          <w:rFonts w:ascii="Book Antiqua" w:eastAsia="Calibri" w:hAnsi="Book Antiqua" w:cs="Times New Roman"/>
          <w:szCs w:val="22"/>
          <w:lang w:val="es-CR" w:eastAsia="en-US"/>
        </w:rPr>
      </w:pPr>
      <w:r w:rsidRPr="00251A3F">
        <w:rPr>
          <w:rFonts w:ascii="Book Antiqua" w:eastAsia="Calibri" w:hAnsi="Book Antiqua" w:cs="Times New Roman"/>
          <w:szCs w:val="22"/>
          <w:lang w:val="es-CR" w:eastAsia="en-US"/>
        </w:rPr>
        <w:t>d) Jurisprudencia de las Salas de Casación y de la Sala Constitucional de la Corte Suprema de Justicia; d) Lineamientos y circulares de Corte Plena y del Consejo Superior vinculados con las reglas para los procesos en los que estén involucradas personas indígenas</w:t>
      </w:r>
      <w:r>
        <w:rPr>
          <w:rFonts w:ascii="Book Antiqua" w:eastAsia="Calibri" w:hAnsi="Book Antiqua" w:cs="Times New Roman"/>
          <w:szCs w:val="22"/>
          <w:lang w:val="es-CR" w:eastAsia="en-US"/>
        </w:rPr>
        <w:t>.</w:t>
      </w:r>
    </w:p>
    <w:p w14:paraId="5CC85C67" w14:textId="276BE7BC" w:rsidR="00251A3F" w:rsidRPr="00E85457" w:rsidRDefault="00251A3F" w:rsidP="00E85457">
      <w:pPr>
        <w:pStyle w:val="Prrafodelista"/>
        <w:ind w:left="720"/>
        <w:rPr>
          <w:rFonts w:eastAsia="Calibri" w:cs="Times New Roman"/>
          <w:szCs w:val="22"/>
        </w:rPr>
      </w:pPr>
      <w:r>
        <w:rPr>
          <w:rFonts w:ascii="Book Antiqua" w:eastAsia="Calibri" w:hAnsi="Book Antiqua" w:cs="Times New Roman"/>
          <w:szCs w:val="22"/>
          <w:lang w:val="es-CR" w:eastAsia="en-US"/>
        </w:rPr>
        <w:t>A</w:t>
      </w:r>
      <w:r w:rsidRPr="00251A3F">
        <w:rPr>
          <w:rFonts w:ascii="Book Antiqua" w:eastAsia="Calibri" w:hAnsi="Book Antiqua" w:cs="Times New Roman"/>
          <w:szCs w:val="22"/>
          <w:lang w:val="es-CR" w:eastAsia="en-US"/>
        </w:rPr>
        <w:t>demás, los alcances y distinción entre el sistema monista y el pluralismo jurídico. Incluyendo, el establecimiento de un modelo de control y seguimiento a fin de medir el impacto de esas capacitaciones en el fortalecimiento de las competencias de las personas servidoras judiciales que asistan y su concreción en las resoluciones –incluyendo las sentencias- que emitan en los procesos propios de su competencia, con absoluto respeto al principio de independencia judicial y los principios de Bangalore sobre la conducta judicial, entre otros.</w:t>
      </w:r>
    </w:p>
    <w:p w14:paraId="717147EA" w14:textId="46FBB757" w:rsidR="00787FCF" w:rsidRDefault="00787FCF" w:rsidP="00410F64">
      <w:pPr>
        <w:pStyle w:val="Ttulo3"/>
      </w:pPr>
      <w:r>
        <w:t xml:space="preserve">Al </w:t>
      </w:r>
      <w:r w:rsidRPr="00787FCF">
        <w:t>Centro de Apoyo, Coordinación y Mejoramiento de la Función Jurisdiccional</w:t>
      </w:r>
    </w:p>
    <w:p w14:paraId="58B961D7" w14:textId="71D6A11D" w:rsidR="00787FCF" w:rsidRDefault="4DE57D73" w:rsidP="2FF0FB19">
      <w:pPr>
        <w:pStyle w:val="Prrafodelista"/>
        <w:numPr>
          <w:ilvl w:val="0"/>
          <w:numId w:val="40"/>
        </w:numPr>
        <w:rPr>
          <w:rFonts w:ascii="Book Antiqua" w:eastAsia="Book Antiqua" w:hAnsi="Book Antiqua" w:cs="Book Antiqua"/>
          <w:lang w:val="es-CR" w:eastAsia="en-US"/>
        </w:rPr>
      </w:pPr>
      <w:r w:rsidRPr="2FF0FB19">
        <w:rPr>
          <w:rFonts w:ascii="Book Antiqua" w:eastAsia="Calibri" w:hAnsi="Book Antiqua" w:cs="Times New Roman"/>
          <w:lang w:val="es-CR" w:eastAsia="en-US"/>
        </w:rPr>
        <w:t>Según recomendación de la Comisión de Acceso a la Justicia, d</w:t>
      </w:r>
      <w:r w:rsidR="12A295B4" w:rsidRPr="00E85457">
        <w:rPr>
          <w:rFonts w:ascii="Book Antiqua" w:eastAsia="Calibri" w:hAnsi="Book Antiqua" w:cs="Times New Roman"/>
          <w:lang w:val="es-CR" w:eastAsia="en-US"/>
        </w:rPr>
        <w:t xml:space="preserve">ivulgar en conjunto con el Departamento de Prensa y Comunicación la </w:t>
      </w:r>
      <w:r w:rsidR="12A295B4" w:rsidRPr="2FF0FB19">
        <w:rPr>
          <w:rFonts w:ascii="Book Antiqua" w:eastAsia="Calibri" w:hAnsi="Book Antiqua" w:cs="Times New Roman"/>
          <w:lang w:val="es-CR" w:eastAsia="en-US"/>
        </w:rPr>
        <w:t>C</w:t>
      </w:r>
      <w:r w:rsidR="12A295B4" w:rsidRPr="00E85457">
        <w:rPr>
          <w:rFonts w:ascii="Book Antiqua" w:eastAsia="Calibri" w:hAnsi="Book Antiqua" w:cs="Times New Roman"/>
          <w:lang w:val="es-CR" w:eastAsia="en-US"/>
        </w:rPr>
        <w:t xml:space="preserve">ircular 188-2019 de la Secretaría de la Corte referente a los 20 ejes de acción, recomendados por la Comisión de Acceso a la Justicia, con ocasión del cumplimiento de las Medidas Cautelares </w:t>
      </w:r>
      <w:proofErr w:type="spellStart"/>
      <w:r w:rsidR="12A295B4" w:rsidRPr="00E85457">
        <w:rPr>
          <w:rFonts w:ascii="Book Antiqua" w:eastAsia="Calibri" w:hAnsi="Book Antiqua" w:cs="Times New Roman"/>
          <w:lang w:val="es-CR" w:eastAsia="en-US"/>
        </w:rPr>
        <w:t>N°</w:t>
      </w:r>
      <w:proofErr w:type="spellEnd"/>
      <w:r w:rsidR="12A295B4" w:rsidRPr="00E85457">
        <w:rPr>
          <w:rFonts w:ascii="Book Antiqua" w:eastAsia="Calibri" w:hAnsi="Book Antiqua" w:cs="Times New Roman"/>
          <w:lang w:val="es-CR" w:eastAsia="en-US"/>
        </w:rPr>
        <w:t xml:space="preserve"> 321-12 del 30 de abril de 2015, establecidas por la Comisión Interamericana de Derechos Humanos (CIDH) contra Costa Rica. Principalmente a lo establecido en los ejes 6 y 7.</w:t>
      </w:r>
    </w:p>
    <w:p w14:paraId="6CEA4000" w14:textId="0E7DAA6F" w:rsidR="00810C93" w:rsidRPr="00E85457" w:rsidRDefault="00810C93" w:rsidP="00E85457">
      <w:pPr>
        <w:pStyle w:val="Prrafodelista"/>
        <w:ind w:left="720"/>
        <w:rPr>
          <w:rFonts w:eastAsia="Calibri" w:cs="Times New Roman"/>
          <w:szCs w:val="22"/>
        </w:rPr>
      </w:pPr>
      <w:r>
        <w:rPr>
          <w:rFonts w:ascii="Book Antiqua" w:eastAsia="Calibri" w:hAnsi="Book Antiqua" w:cs="Times New Roman"/>
          <w:szCs w:val="22"/>
          <w:lang w:val="es-CR" w:eastAsia="en-US"/>
        </w:rPr>
        <w:t>Asimismo, se podrá solicitar colaboración a las Administraciones Regionales involucradas para obtener un mayor impacto en el personal judicial de cada zona.</w:t>
      </w:r>
    </w:p>
    <w:p w14:paraId="25D2BA84" w14:textId="26AA61A9" w:rsidR="00BA1D5C" w:rsidRDefault="00BA1D5C" w:rsidP="00410F64">
      <w:pPr>
        <w:pStyle w:val="Ttulo3"/>
      </w:pPr>
      <w:r>
        <w:t xml:space="preserve">A </w:t>
      </w:r>
      <w:r w:rsidRPr="00BA1D5C">
        <w:t>la Dirección Nacional de Justicia Restaurativa y al Centro de Conciliación del Poder Judicial</w:t>
      </w:r>
    </w:p>
    <w:p w14:paraId="76921962" w14:textId="68245B38" w:rsidR="00BA1D5C" w:rsidRPr="00E85457" w:rsidRDefault="2AAB0220" w:rsidP="00E85457">
      <w:pPr>
        <w:pStyle w:val="Prrafodelista"/>
        <w:numPr>
          <w:ilvl w:val="0"/>
          <w:numId w:val="37"/>
        </w:numPr>
        <w:rPr>
          <w:rFonts w:eastAsia="Book Antiqua" w:cs="Book Antiqua"/>
        </w:rPr>
      </w:pPr>
      <w:r w:rsidRPr="2FF0FB19">
        <w:rPr>
          <w:rFonts w:ascii="Book Antiqua" w:eastAsia="Calibri" w:hAnsi="Book Antiqua" w:cs="Times New Roman"/>
          <w:lang w:val="es-CR" w:eastAsia="en-US"/>
        </w:rPr>
        <w:t>Según recomendación de la Comisión de Acceso a la Justicia</w:t>
      </w:r>
      <w:r w:rsidR="5F300B00" w:rsidRPr="2FF0FB19">
        <w:rPr>
          <w:rFonts w:ascii="Book Antiqua" w:eastAsia="Calibri" w:hAnsi="Book Antiqua" w:cs="Times New Roman"/>
          <w:lang w:val="es-CR" w:eastAsia="en-US"/>
        </w:rPr>
        <w:t xml:space="preserve"> </w:t>
      </w:r>
      <w:r w:rsidR="5F300B00" w:rsidRPr="2FF0FB19">
        <w:rPr>
          <w:rFonts w:ascii="Book Antiqua" w:eastAsia="Calibri" w:hAnsi="Book Antiqua" w:cs="Times New Roman"/>
          <w:lang w:eastAsia="en-US"/>
        </w:rPr>
        <w:t>en el oficio CACC-116-2020 del 14 abril</w:t>
      </w:r>
      <w:r w:rsidRPr="2FF0FB19">
        <w:rPr>
          <w:rFonts w:ascii="Book Antiqua" w:eastAsia="Calibri" w:hAnsi="Book Antiqua" w:cs="Times New Roman"/>
          <w:lang w:val="es-CR" w:eastAsia="en-US"/>
        </w:rPr>
        <w:t>, c</w:t>
      </w:r>
      <w:r w:rsidR="6D6F7C38" w:rsidRPr="00E85457">
        <w:rPr>
          <w:rFonts w:ascii="Book Antiqua" w:eastAsia="Calibri" w:hAnsi="Book Antiqua" w:cs="Times New Roman"/>
          <w:lang w:val="es-CR" w:eastAsia="en-US"/>
        </w:rPr>
        <w:t>ontinuar con la atención de los procesos indígenas, coadyuvando en la búsqueda de soluciones legalmente posibles y con pertinencia cultural, en cumplimiento del mandato que les confiere la Ley de Acceso a la Justicia de Pueblos Indígenas de Costa Rica.</w:t>
      </w:r>
    </w:p>
    <w:p w14:paraId="408BEFC0" w14:textId="4EDB6F07" w:rsidR="00BA1D5C" w:rsidRDefault="00BA1D5C" w:rsidP="00410F64">
      <w:pPr>
        <w:pStyle w:val="Ttulo3"/>
      </w:pPr>
      <w:r>
        <w:lastRenderedPageBreak/>
        <w:t>A</w:t>
      </w:r>
      <w:r w:rsidRPr="00BA1D5C">
        <w:t>l</w:t>
      </w:r>
      <w:r>
        <w:t xml:space="preserve"> Ministerio Público</w:t>
      </w:r>
    </w:p>
    <w:p w14:paraId="24E9F77C" w14:textId="5015BEF5" w:rsidR="00BA1D5C" w:rsidRPr="00E85457" w:rsidRDefault="153DA5F5" w:rsidP="00E85457">
      <w:pPr>
        <w:pStyle w:val="Prrafodelista"/>
        <w:numPr>
          <w:ilvl w:val="0"/>
          <w:numId w:val="37"/>
        </w:numPr>
        <w:rPr>
          <w:rFonts w:eastAsia="Book Antiqua" w:cs="Book Antiqua"/>
        </w:rPr>
      </w:pPr>
      <w:r w:rsidRPr="2FF0FB19">
        <w:rPr>
          <w:rFonts w:ascii="Book Antiqua" w:eastAsia="Calibri" w:hAnsi="Book Antiqua" w:cs="Times New Roman"/>
          <w:lang w:val="es-CR" w:eastAsia="en-US"/>
        </w:rPr>
        <w:t>Según recomendación de la Comisión de Acceso a la Justicia</w:t>
      </w:r>
      <w:r w:rsidR="54DA730B" w:rsidRPr="2FF0FB19">
        <w:rPr>
          <w:rFonts w:ascii="Book Antiqua" w:eastAsia="Calibri" w:hAnsi="Book Antiqua" w:cs="Times New Roman"/>
          <w:lang w:val="es-CR" w:eastAsia="en-US"/>
        </w:rPr>
        <w:t xml:space="preserve"> </w:t>
      </w:r>
      <w:r w:rsidR="54DA730B" w:rsidRPr="2FF0FB19">
        <w:rPr>
          <w:rFonts w:ascii="Book Antiqua" w:eastAsia="Calibri" w:hAnsi="Book Antiqua" w:cs="Times New Roman"/>
          <w:lang w:eastAsia="en-US"/>
        </w:rPr>
        <w:t>en el oficio CACC-116-2020 del 14 abril</w:t>
      </w:r>
      <w:r w:rsidRPr="2FF0FB19">
        <w:rPr>
          <w:rFonts w:ascii="Book Antiqua" w:eastAsia="Calibri" w:hAnsi="Book Antiqua" w:cs="Times New Roman"/>
          <w:lang w:val="es-CR" w:eastAsia="en-US"/>
        </w:rPr>
        <w:t>, v</w:t>
      </w:r>
      <w:r w:rsidR="1ECD818D" w:rsidRPr="00E85457">
        <w:rPr>
          <w:rFonts w:ascii="Book Antiqua" w:eastAsia="Calibri" w:hAnsi="Book Antiqua" w:cs="Times New Roman"/>
          <w:lang w:val="es-CR" w:eastAsia="en-US"/>
        </w:rPr>
        <w:t>alorar la solicitud de establecer un protocolo diferenciado para la atención de personas indígenas en la Oficina de Protección de Víctimas y Testigos, en el entendido que se deberá garantizar la vida y la integridad de las personas; respetando la pertenencia cultural de esas personas en las medidas que se planteen.</w:t>
      </w:r>
    </w:p>
    <w:p w14:paraId="324A7E56" w14:textId="23AB39DA" w:rsidR="00F85C95" w:rsidRDefault="00F85C95" w:rsidP="00410F64">
      <w:pPr>
        <w:pStyle w:val="Ttulo3"/>
      </w:pPr>
      <w:r>
        <w:t>A la Unidad de Acceso a la Justicia</w:t>
      </w:r>
    </w:p>
    <w:p w14:paraId="02CA9F4C" w14:textId="4E05965D" w:rsidR="00F85C95" w:rsidRPr="00E85457" w:rsidRDefault="0221B645" w:rsidP="2FF0FB19">
      <w:pPr>
        <w:pStyle w:val="Prrafodelista"/>
        <w:numPr>
          <w:ilvl w:val="0"/>
          <w:numId w:val="37"/>
        </w:numPr>
        <w:rPr>
          <w:rFonts w:ascii="Book Antiqua" w:eastAsia="Book Antiqua" w:hAnsi="Book Antiqua" w:cs="Book Antiqua"/>
          <w:lang w:val="es-CR" w:eastAsia="en-US"/>
        </w:rPr>
      </w:pPr>
      <w:r w:rsidRPr="2FF0FB19">
        <w:rPr>
          <w:rFonts w:ascii="Book Antiqua" w:eastAsia="Calibri" w:hAnsi="Book Antiqua" w:cs="Times New Roman"/>
          <w:lang w:val="es-CR" w:eastAsia="en-US"/>
        </w:rPr>
        <w:t>Según recomendación de la Comisión de Acceso a la Justicia</w:t>
      </w:r>
      <w:r w:rsidR="7D214901" w:rsidRPr="2FF0FB19">
        <w:rPr>
          <w:rFonts w:ascii="Book Antiqua" w:eastAsia="Calibri" w:hAnsi="Book Antiqua" w:cs="Times New Roman"/>
          <w:lang w:val="es-CR" w:eastAsia="en-US"/>
        </w:rPr>
        <w:t xml:space="preserve"> </w:t>
      </w:r>
      <w:r w:rsidR="7D214901" w:rsidRPr="2FF0FB19">
        <w:rPr>
          <w:rFonts w:ascii="Book Antiqua" w:eastAsia="Calibri" w:hAnsi="Book Antiqua" w:cs="Times New Roman"/>
          <w:lang w:eastAsia="en-US"/>
        </w:rPr>
        <w:t>en el oficio CACC-116-2020 del 14 abril</w:t>
      </w:r>
      <w:r w:rsidRPr="2FF0FB19">
        <w:rPr>
          <w:rFonts w:ascii="Book Antiqua" w:eastAsia="Calibri" w:hAnsi="Book Antiqua" w:cs="Times New Roman"/>
          <w:lang w:val="es-CR" w:eastAsia="en-US"/>
        </w:rPr>
        <w:t>, e</w:t>
      </w:r>
      <w:r w:rsidR="1ECD818D" w:rsidRPr="00E85457">
        <w:rPr>
          <w:rFonts w:ascii="Book Antiqua" w:eastAsia="Calibri" w:hAnsi="Book Antiqua" w:cs="Times New Roman"/>
          <w:lang w:val="es-CR" w:eastAsia="en-US"/>
        </w:rPr>
        <w:t>laborar y remitir a los diferentes ámbitos involucrados un formato o plantilla que contenga todas las variables de interés en lo referente a asuntos indígenas.</w:t>
      </w:r>
    </w:p>
    <w:p w14:paraId="6EABDB90" w14:textId="3CF64AD1" w:rsidR="00F85C95" w:rsidRPr="00E85457" w:rsidRDefault="00F85C95" w:rsidP="00E85457">
      <w:pPr>
        <w:pStyle w:val="Prrafodelista"/>
        <w:ind w:left="720"/>
        <w:rPr>
          <w:rFonts w:ascii="Book Antiqua" w:eastAsia="Calibri" w:hAnsi="Book Antiqua" w:cs="Times New Roman"/>
          <w:szCs w:val="22"/>
          <w:lang w:val="es-CR" w:eastAsia="en-US"/>
        </w:rPr>
      </w:pPr>
      <w:r w:rsidRPr="00E85457">
        <w:rPr>
          <w:rFonts w:ascii="Book Antiqua" w:eastAsia="Calibri" w:hAnsi="Book Antiqua" w:cs="Times New Roman"/>
          <w:szCs w:val="22"/>
          <w:lang w:val="es-CR" w:eastAsia="en-US"/>
        </w:rPr>
        <w:t xml:space="preserve">Posteriormente, los insumos recabados deberán ser consolidados y será la misma Unidad de Acceso a la Justicia quien elabore un informe con los resultados más relevantes y de interés institucional para la toma de decisiones </w:t>
      </w:r>
      <w:r w:rsidR="00093B96" w:rsidRPr="00093B96">
        <w:rPr>
          <w:rFonts w:ascii="Book Antiqua" w:eastAsia="Calibri" w:hAnsi="Book Antiqua" w:cs="Times New Roman"/>
          <w:szCs w:val="22"/>
          <w:lang w:val="es-CR" w:eastAsia="en-US"/>
        </w:rPr>
        <w:t>en relación con</w:t>
      </w:r>
      <w:r w:rsidRPr="00E85457">
        <w:rPr>
          <w:rFonts w:ascii="Book Antiqua" w:eastAsia="Calibri" w:hAnsi="Book Antiqua" w:cs="Times New Roman"/>
          <w:szCs w:val="22"/>
          <w:lang w:val="es-CR" w:eastAsia="en-US"/>
        </w:rPr>
        <w:t xml:space="preserve"> la temática indígena.</w:t>
      </w:r>
    </w:p>
    <w:p w14:paraId="52130F35" w14:textId="77777777" w:rsidR="00F85C95" w:rsidRPr="00E85457" w:rsidRDefault="00F85C95" w:rsidP="00E85457">
      <w:pPr>
        <w:pStyle w:val="Prrafodelista"/>
        <w:ind w:left="720"/>
        <w:rPr>
          <w:rFonts w:ascii="Book Antiqua" w:eastAsia="Calibri" w:hAnsi="Book Antiqua" w:cs="Times New Roman"/>
          <w:szCs w:val="22"/>
          <w:lang w:val="es-CR" w:eastAsia="en-US"/>
        </w:rPr>
      </w:pPr>
      <w:r w:rsidRPr="00E85457">
        <w:rPr>
          <w:rFonts w:ascii="Book Antiqua" w:eastAsia="Calibri" w:hAnsi="Book Antiqua" w:cs="Times New Roman"/>
          <w:szCs w:val="22"/>
          <w:lang w:val="es-CR" w:eastAsia="en-US"/>
        </w:rPr>
        <w:t xml:space="preserve">Este informe deberá ser presentado ante el Consejo Superior con una periodicidad al menos semestral. </w:t>
      </w:r>
    </w:p>
    <w:p w14:paraId="4C03A038" w14:textId="1F15B436" w:rsidR="00251A3F" w:rsidRDefault="00251A3F" w:rsidP="00410F64">
      <w:pPr>
        <w:pStyle w:val="Ttulo3"/>
      </w:pPr>
      <w:r>
        <w:t>A la Dirección Jurídica</w:t>
      </w:r>
    </w:p>
    <w:p w14:paraId="3D1F3C92" w14:textId="5DDDBA33" w:rsidR="00860B67" w:rsidRDefault="00860B67" w:rsidP="00251A3F">
      <w:pPr>
        <w:pStyle w:val="Prrafodelista"/>
        <w:numPr>
          <w:ilvl w:val="0"/>
          <w:numId w:val="37"/>
        </w:numPr>
        <w:rPr>
          <w:rFonts w:ascii="Book Antiqua" w:eastAsia="Calibri" w:hAnsi="Book Antiqua" w:cs="Times New Roman"/>
          <w:szCs w:val="22"/>
          <w:lang w:val="es-CR" w:eastAsia="en-US"/>
        </w:rPr>
      </w:pPr>
      <w:r>
        <w:rPr>
          <w:rFonts w:ascii="Book Antiqua" w:eastAsia="Calibri" w:hAnsi="Book Antiqua" w:cs="Times New Roman"/>
          <w:szCs w:val="22"/>
          <w:lang w:val="es-CR" w:eastAsia="en-US"/>
        </w:rPr>
        <w:t xml:space="preserve">Emitir </w:t>
      </w:r>
      <w:r w:rsidR="00D65FD6">
        <w:rPr>
          <w:rFonts w:ascii="Book Antiqua" w:eastAsia="Calibri" w:hAnsi="Book Antiqua" w:cs="Times New Roman"/>
          <w:szCs w:val="22"/>
          <w:lang w:val="es-CR" w:eastAsia="en-US"/>
        </w:rPr>
        <w:t>un</w:t>
      </w:r>
      <w:r>
        <w:rPr>
          <w:rFonts w:ascii="Book Antiqua" w:eastAsia="Calibri" w:hAnsi="Book Antiqua" w:cs="Times New Roman"/>
          <w:szCs w:val="22"/>
          <w:lang w:val="es-CR" w:eastAsia="en-US"/>
        </w:rPr>
        <w:t xml:space="preserve"> criterio jurídico sobre lo manifestado </w:t>
      </w:r>
      <w:r w:rsidR="00D65FD6">
        <w:rPr>
          <w:rFonts w:ascii="Book Antiqua" w:eastAsia="Calibri" w:hAnsi="Book Antiqua" w:cs="Times New Roman"/>
          <w:szCs w:val="22"/>
          <w:lang w:val="es-CR" w:eastAsia="en-US"/>
        </w:rPr>
        <w:t xml:space="preserve">en el oficio </w:t>
      </w:r>
      <w:r w:rsidR="00D65FD6" w:rsidRPr="00860B67">
        <w:rPr>
          <w:rFonts w:ascii="Book Antiqua" w:eastAsia="Calibri" w:hAnsi="Book Antiqua" w:cs="Times New Roman"/>
          <w:szCs w:val="22"/>
          <w:lang w:val="es-CR" w:eastAsia="en-US"/>
        </w:rPr>
        <w:t>JEFDP-3</w:t>
      </w:r>
      <w:r w:rsidR="00D65FD6">
        <w:rPr>
          <w:rFonts w:ascii="Book Antiqua" w:eastAsia="Calibri" w:hAnsi="Book Antiqua" w:cs="Times New Roman"/>
          <w:szCs w:val="22"/>
          <w:lang w:val="es-CR" w:eastAsia="en-US"/>
        </w:rPr>
        <w:t>65</w:t>
      </w:r>
      <w:r w:rsidR="00D65FD6" w:rsidRPr="00860B67">
        <w:rPr>
          <w:rFonts w:ascii="Book Antiqua" w:eastAsia="Calibri" w:hAnsi="Book Antiqua" w:cs="Times New Roman"/>
          <w:szCs w:val="22"/>
          <w:lang w:val="es-CR" w:eastAsia="en-US"/>
        </w:rPr>
        <w:t>-2020</w:t>
      </w:r>
      <w:r w:rsidR="00D65FD6">
        <w:rPr>
          <w:rFonts w:ascii="Book Antiqua" w:eastAsia="Calibri" w:hAnsi="Book Antiqua" w:cs="Times New Roman"/>
          <w:szCs w:val="22"/>
          <w:lang w:val="es-CR" w:eastAsia="en-US"/>
        </w:rPr>
        <w:t xml:space="preserve"> de la </w:t>
      </w:r>
      <w:r>
        <w:rPr>
          <w:rFonts w:ascii="Book Antiqua" w:eastAsia="Calibri" w:hAnsi="Book Antiqua" w:cs="Times New Roman"/>
          <w:szCs w:val="22"/>
          <w:lang w:val="es-CR" w:eastAsia="en-US"/>
        </w:rPr>
        <w:t>Jefa</w:t>
      </w:r>
      <w:r w:rsidR="00D65FD6">
        <w:rPr>
          <w:rFonts w:ascii="Book Antiqua" w:eastAsia="Calibri" w:hAnsi="Book Antiqua" w:cs="Times New Roman"/>
          <w:szCs w:val="22"/>
          <w:lang w:val="es-CR" w:eastAsia="en-US"/>
        </w:rPr>
        <w:t>tura</w:t>
      </w:r>
      <w:r>
        <w:rPr>
          <w:rFonts w:ascii="Book Antiqua" w:eastAsia="Calibri" w:hAnsi="Book Antiqua" w:cs="Times New Roman"/>
          <w:szCs w:val="22"/>
          <w:lang w:val="es-CR" w:eastAsia="en-US"/>
        </w:rPr>
        <w:t xml:space="preserve"> de la Defensa Pública, que indica: </w:t>
      </w:r>
    </w:p>
    <w:p w14:paraId="14B2F0DF" w14:textId="5DD37992" w:rsidR="00D65FD6" w:rsidRPr="00E85457" w:rsidRDefault="00D65FD6" w:rsidP="00D65FD6">
      <w:pPr>
        <w:pStyle w:val="Prrafodelista"/>
        <w:ind w:left="720"/>
        <w:rPr>
          <w:rFonts w:ascii="Book Antiqua" w:eastAsia="Calibri" w:hAnsi="Book Antiqua" w:cs="Times New Roman"/>
          <w:i/>
          <w:iCs/>
          <w:szCs w:val="22"/>
          <w:lang w:val="es-CR" w:eastAsia="en-US"/>
        </w:rPr>
      </w:pPr>
      <w:r w:rsidRPr="00D65FD6">
        <w:rPr>
          <w:rFonts w:ascii="Book Antiqua" w:eastAsia="Calibri" w:hAnsi="Book Antiqua" w:cs="Times New Roman"/>
          <w:szCs w:val="22"/>
          <w:lang w:val="es-CR" w:eastAsia="en-US"/>
        </w:rPr>
        <w:t>(...)"</w:t>
      </w:r>
      <w:r w:rsidRPr="00E85457">
        <w:rPr>
          <w:rFonts w:ascii="Book Antiqua" w:eastAsia="Calibri" w:hAnsi="Book Antiqua" w:cs="Times New Roman"/>
          <w:i/>
          <w:iCs/>
          <w:szCs w:val="22"/>
          <w:lang w:val="es-CR" w:eastAsia="en-US"/>
        </w:rPr>
        <w:t xml:space="preserve">se establece por Principio de Legalidad que quien brinda la asistencia letrada debe cumplir dos requisitos: </w:t>
      </w:r>
    </w:p>
    <w:p w14:paraId="3EC685CC" w14:textId="77777777" w:rsidR="00D65FD6" w:rsidRPr="00E85457" w:rsidRDefault="00D65FD6" w:rsidP="00D65FD6">
      <w:pPr>
        <w:pStyle w:val="Prrafodelista"/>
        <w:ind w:left="720"/>
        <w:rPr>
          <w:rFonts w:ascii="Book Antiqua" w:eastAsia="Calibri" w:hAnsi="Book Antiqua" w:cs="Times New Roman"/>
          <w:i/>
          <w:iCs/>
          <w:szCs w:val="22"/>
          <w:lang w:val="es-CR" w:eastAsia="en-US"/>
        </w:rPr>
      </w:pPr>
      <w:r w:rsidRPr="00E85457">
        <w:rPr>
          <w:rFonts w:ascii="Book Antiqua" w:eastAsia="Calibri" w:hAnsi="Book Antiqua" w:cs="Times New Roman"/>
          <w:i/>
          <w:iCs/>
          <w:szCs w:val="22"/>
          <w:lang w:val="es-CR" w:eastAsia="en-US"/>
        </w:rPr>
        <w:t xml:space="preserve">1) especializada en derecho indígena. </w:t>
      </w:r>
    </w:p>
    <w:p w14:paraId="024FD7CA" w14:textId="77777777" w:rsidR="00D65FD6" w:rsidRPr="00E85457" w:rsidRDefault="00D65FD6" w:rsidP="00D65FD6">
      <w:pPr>
        <w:pStyle w:val="Prrafodelista"/>
        <w:ind w:left="720"/>
        <w:rPr>
          <w:rFonts w:ascii="Book Antiqua" w:eastAsia="Calibri" w:hAnsi="Book Antiqua" w:cs="Times New Roman"/>
          <w:i/>
          <w:iCs/>
          <w:szCs w:val="22"/>
          <w:lang w:val="es-CR" w:eastAsia="en-US"/>
        </w:rPr>
      </w:pPr>
      <w:r w:rsidRPr="00E85457">
        <w:rPr>
          <w:rFonts w:ascii="Book Antiqua" w:eastAsia="Calibri" w:hAnsi="Book Antiqua" w:cs="Times New Roman"/>
          <w:i/>
          <w:iCs/>
          <w:szCs w:val="22"/>
          <w:lang w:val="es-CR" w:eastAsia="en-US"/>
        </w:rPr>
        <w:t xml:space="preserve">2) especializada en la materia de competencia. </w:t>
      </w:r>
    </w:p>
    <w:p w14:paraId="180CD166" w14:textId="037DEDB3" w:rsidR="00860B67" w:rsidRPr="00D65FD6" w:rsidRDefault="368E5585" w:rsidP="00E85457">
      <w:pPr>
        <w:pStyle w:val="Prrafodelista"/>
        <w:ind w:left="720"/>
        <w:rPr>
          <w:rFonts w:eastAsia="Calibri" w:cs="Times New Roman"/>
          <w:i/>
          <w:iCs/>
        </w:rPr>
      </w:pPr>
      <w:r w:rsidRPr="00E85457">
        <w:rPr>
          <w:rFonts w:ascii="Book Antiqua" w:eastAsia="Calibri" w:hAnsi="Book Antiqua" w:cs="Times New Roman"/>
          <w:i/>
          <w:iCs/>
          <w:lang w:val="es-CR" w:eastAsia="en-US"/>
        </w:rPr>
        <w:t xml:space="preserve">Situación que a la fecha no opera, pues las personas defensoras públicas no tienen una especialidad en derecho indígena, aún y cuando se trata de generar capacitaciones; además se plantea la necesidad de la especialidad en la materia de atención a la persona indígena. Eso nos lleva a considerar que las personas defensoras públicas no deberían de asesorar materias por recargo, que implica otras especialidades, ni que pensiones deba atender penal, o violencia doméstica, ya que justamente por el Principio de </w:t>
      </w:r>
      <w:r w:rsidRPr="00E85457">
        <w:rPr>
          <w:rFonts w:ascii="Book Antiqua" w:eastAsia="Calibri" w:hAnsi="Book Antiqua" w:cs="Times New Roman"/>
          <w:i/>
          <w:iCs/>
          <w:lang w:val="es-CR" w:eastAsia="en-US"/>
        </w:rPr>
        <w:lastRenderedPageBreak/>
        <w:t>Legalidad se requiere la especialización a partir de la condición de la persona usuaria y del tipo de proceso judicial que se asesore."</w:t>
      </w:r>
    </w:p>
    <w:p w14:paraId="13E9728D" w14:textId="10186029" w:rsidR="1B5381DB" w:rsidRPr="00E85457" w:rsidRDefault="1B5381DB" w:rsidP="2FF0FB19">
      <w:pPr>
        <w:pStyle w:val="Prrafodelista"/>
        <w:ind w:left="720"/>
        <w:rPr>
          <w:rFonts w:ascii="Book Antiqua" w:eastAsia="Calibri" w:hAnsi="Book Antiqua" w:cs="Times New Roman"/>
          <w:lang w:val="es-CR" w:eastAsia="en-US"/>
        </w:rPr>
      </w:pPr>
      <w:r w:rsidRPr="2FF0FB19">
        <w:rPr>
          <w:rFonts w:ascii="Book Antiqua" w:eastAsia="Calibri" w:hAnsi="Book Antiqua" w:cs="Times New Roman"/>
          <w:lang w:val="es-CR" w:eastAsia="en-US"/>
        </w:rPr>
        <w:t xml:space="preserve">Lo anterior debido a las recomendaciones </w:t>
      </w:r>
      <w:r w:rsidR="52795920" w:rsidRPr="2FF0FB19">
        <w:rPr>
          <w:rFonts w:ascii="Book Antiqua" w:eastAsia="Calibri" w:hAnsi="Book Antiqua" w:cs="Times New Roman"/>
          <w:lang w:val="es-CR" w:eastAsia="en-US"/>
        </w:rPr>
        <w:t xml:space="preserve">emitidas por la Dirección de Planificación en el presente informe, </w:t>
      </w:r>
      <w:r w:rsidRPr="2FF0FB19">
        <w:rPr>
          <w:rFonts w:ascii="Book Antiqua" w:eastAsia="Calibri" w:hAnsi="Book Antiqua" w:cs="Times New Roman"/>
          <w:lang w:val="es-CR" w:eastAsia="en-US"/>
        </w:rPr>
        <w:t>para la optimización de recursos de la Defensa Pública</w:t>
      </w:r>
      <w:r w:rsidR="4A93FA2D" w:rsidRPr="2FF0FB19">
        <w:rPr>
          <w:rFonts w:ascii="Book Antiqua" w:eastAsia="Calibri" w:hAnsi="Book Antiqua" w:cs="Times New Roman"/>
          <w:lang w:val="es-CR" w:eastAsia="en-US"/>
        </w:rPr>
        <w:t>, tomando en consideración la equidad de las cargas de trabajo</w:t>
      </w:r>
      <w:r w:rsidR="330C9BF5" w:rsidRPr="2FF0FB19">
        <w:rPr>
          <w:rFonts w:ascii="Book Antiqua" w:eastAsia="Calibri" w:hAnsi="Book Antiqua" w:cs="Times New Roman"/>
          <w:lang w:val="es-CR" w:eastAsia="en-US"/>
        </w:rPr>
        <w:t xml:space="preserve"> entre las personas defensoras</w:t>
      </w:r>
      <w:r w:rsidR="4A93FA2D" w:rsidRPr="2FF0FB19">
        <w:rPr>
          <w:rFonts w:ascii="Book Antiqua" w:eastAsia="Calibri" w:hAnsi="Book Antiqua" w:cs="Times New Roman"/>
          <w:lang w:val="es-CR" w:eastAsia="en-US"/>
        </w:rPr>
        <w:t xml:space="preserve"> y las limitaciones presupuestarias de la institución</w:t>
      </w:r>
      <w:r w:rsidR="406D1DBA" w:rsidRPr="2FF0FB19">
        <w:rPr>
          <w:rFonts w:ascii="Book Antiqua" w:eastAsia="Calibri" w:hAnsi="Book Antiqua" w:cs="Times New Roman"/>
          <w:lang w:val="es-CR" w:eastAsia="en-US"/>
        </w:rPr>
        <w:t>.</w:t>
      </w:r>
    </w:p>
    <w:p w14:paraId="404059BF" w14:textId="20966E3B" w:rsidR="1ECD818D" w:rsidRDefault="1ECD818D" w:rsidP="00410F64">
      <w:pPr>
        <w:pStyle w:val="Ttulo3"/>
      </w:pPr>
      <w:r>
        <w:t>A la Dirección Ejecutiva</w:t>
      </w:r>
    </w:p>
    <w:p w14:paraId="1A5D97A1" w14:textId="1E750C2B" w:rsidR="1606CB00" w:rsidRDefault="1606CB00" w:rsidP="2FF0FB19">
      <w:pPr>
        <w:rPr>
          <w:rFonts w:ascii="Book Antiqua" w:hAnsi="Book Antiqua"/>
          <w:szCs w:val="24"/>
        </w:rPr>
      </w:pPr>
      <w:r w:rsidRPr="2FF0FB19">
        <w:rPr>
          <w:rFonts w:ascii="Book Antiqua" w:hAnsi="Book Antiqua"/>
          <w:szCs w:val="24"/>
        </w:rPr>
        <w:t>Según las observaciones emitidas en el oficio CACC-116-2020 del 14 abril de la Comisión de Acceso a la Justicia, se incorporan las siguientes recomendaciones:</w:t>
      </w:r>
    </w:p>
    <w:p w14:paraId="700D041F" w14:textId="3754064C" w:rsidR="00F85C95" w:rsidRDefault="1606CB00" w:rsidP="2FF0FB19">
      <w:pPr>
        <w:pStyle w:val="Prrafodelista"/>
        <w:numPr>
          <w:ilvl w:val="0"/>
          <w:numId w:val="37"/>
        </w:numPr>
        <w:rPr>
          <w:rFonts w:ascii="Book Antiqua" w:eastAsia="Book Antiqua" w:hAnsi="Book Antiqua" w:cs="Book Antiqua"/>
          <w:lang w:val="es-CR" w:eastAsia="en-US"/>
        </w:rPr>
      </w:pPr>
      <w:r w:rsidRPr="2FF0FB19">
        <w:rPr>
          <w:rFonts w:ascii="Book Antiqua" w:eastAsia="Calibri" w:hAnsi="Book Antiqua" w:cs="Times New Roman"/>
          <w:lang w:val="es-CR" w:eastAsia="en-US"/>
        </w:rPr>
        <w:t>B</w:t>
      </w:r>
      <w:r w:rsidR="1ECD818D" w:rsidRPr="00E85457">
        <w:rPr>
          <w:rFonts w:ascii="Book Antiqua" w:eastAsia="Calibri" w:hAnsi="Book Antiqua" w:cs="Times New Roman"/>
          <w:lang w:val="es-CR" w:eastAsia="en-US"/>
        </w:rPr>
        <w:t>uscar nuevas prácticas que incentiven a la incorporación de más personas indígenas en las listas de personas traductoras, para ello podrá elaborar compañas en coordinación con el Departamento de Prensa y Comunicación; o bien, otros métodos que considere procedentes y de alto impacto.</w:t>
      </w:r>
    </w:p>
    <w:p w14:paraId="191E0AB4" w14:textId="4FA1199B" w:rsidR="00093B96" w:rsidRPr="00E85457" w:rsidRDefault="00093B96" w:rsidP="00E85457">
      <w:pPr>
        <w:pStyle w:val="Prrafodelista"/>
        <w:numPr>
          <w:ilvl w:val="0"/>
          <w:numId w:val="37"/>
        </w:numPr>
        <w:rPr>
          <w:rFonts w:eastAsia="Calibri" w:cs="Times New Roman"/>
          <w:szCs w:val="22"/>
        </w:rPr>
      </w:pPr>
      <w:r>
        <w:rPr>
          <w:rFonts w:ascii="Book Antiqua" w:eastAsia="Calibri" w:hAnsi="Book Antiqua" w:cs="Times New Roman"/>
          <w:szCs w:val="22"/>
          <w:lang w:val="es-CR" w:eastAsia="en-US"/>
        </w:rPr>
        <w:t>Solicitar a todas las Administraciones Regionales del país t</w:t>
      </w:r>
      <w:r w:rsidRPr="006A7612">
        <w:rPr>
          <w:rFonts w:ascii="Book Antiqua" w:eastAsia="Calibri" w:hAnsi="Book Antiqua" w:cs="Times New Roman"/>
          <w:szCs w:val="22"/>
          <w:lang w:val="es-CR" w:eastAsia="en-US"/>
        </w:rPr>
        <w:t>omar las medidas necesarias para que el pago a las personas traductoras e intérpretes</w:t>
      </w:r>
      <w:r>
        <w:rPr>
          <w:rFonts w:ascii="Book Antiqua" w:eastAsia="Calibri" w:hAnsi="Book Antiqua" w:cs="Times New Roman"/>
          <w:szCs w:val="22"/>
          <w:lang w:val="es-CR" w:eastAsia="en-US"/>
        </w:rPr>
        <w:t xml:space="preserve"> (principalmente indígenas)</w:t>
      </w:r>
      <w:r w:rsidRPr="006A7612">
        <w:rPr>
          <w:rFonts w:ascii="Book Antiqua" w:eastAsia="Calibri" w:hAnsi="Book Antiqua" w:cs="Times New Roman"/>
          <w:szCs w:val="22"/>
          <w:lang w:val="es-CR" w:eastAsia="en-US"/>
        </w:rPr>
        <w:t xml:space="preserve"> se realice de manera oportuna y cumpliendo con todos los requerimientos legales y políticas institucionales, para poder seguir contando con este apoyo.</w:t>
      </w:r>
    </w:p>
    <w:p w14:paraId="30CE69BD" w14:textId="6210C7CD" w:rsidR="00093B96" w:rsidRDefault="62151B1B" w:rsidP="00410F64">
      <w:pPr>
        <w:pStyle w:val="Ttulo3"/>
      </w:pPr>
      <w:r>
        <w:t>Al Despacho de la Presidencia, la Subcomisión de Acceso a la Justicia y la Dirección Ejecutiva</w:t>
      </w:r>
    </w:p>
    <w:p w14:paraId="160CB6E4" w14:textId="31CBB43F" w:rsidR="00093B96" w:rsidRPr="00E85457" w:rsidRDefault="0E1BED75" w:rsidP="00E85457">
      <w:pPr>
        <w:pStyle w:val="Prrafodelista"/>
        <w:numPr>
          <w:ilvl w:val="0"/>
          <w:numId w:val="38"/>
        </w:numPr>
        <w:rPr>
          <w:rFonts w:eastAsia="Book Antiqua" w:cs="Book Antiqua"/>
        </w:rPr>
      </w:pPr>
      <w:r w:rsidRPr="2FF0FB19">
        <w:rPr>
          <w:rFonts w:ascii="Book Antiqua" w:eastAsia="Calibri" w:hAnsi="Book Antiqua" w:cs="Times New Roman"/>
          <w:lang w:val="es-CR" w:eastAsia="en-US"/>
        </w:rPr>
        <w:t>Según recomendación de la Comisión de Acceso a la Justicia</w:t>
      </w:r>
      <w:r w:rsidR="0035BD83" w:rsidRPr="2FF0FB19">
        <w:rPr>
          <w:rFonts w:ascii="Book Antiqua" w:eastAsia="Calibri" w:hAnsi="Book Antiqua" w:cs="Times New Roman"/>
          <w:lang w:val="es-CR" w:eastAsia="en-US"/>
        </w:rPr>
        <w:t xml:space="preserve"> </w:t>
      </w:r>
      <w:r w:rsidR="0035BD83" w:rsidRPr="2FF0FB19">
        <w:rPr>
          <w:rFonts w:ascii="Book Antiqua" w:eastAsia="Calibri" w:hAnsi="Book Antiqua" w:cs="Times New Roman"/>
          <w:lang w:eastAsia="en-US"/>
        </w:rPr>
        <w:t>en el oficio CACC-116-2020 del 14 abril</w:t>
      </w:r>
      <w:r w:rsidRPr="2FF0FB19">
        <w:rPr>
          <w:rFonts w:ascii="Book Antiqua" w:eastAsia="Calibri" w:hAnsi="Book Antiqua" w:cs="Times New Roman"/>
          <w:lang w:val="es-CR" w:eastAsia="en-US"/>
        </w:rPr>
        <w:t xml:space="preserve">, se insta a </w:t>
      </w:r>
      <w:r w:rsidR="1DF567B6" w:rsidRPr="2FF0FB19">
        <w:rPr>
          <w:rFonts w:ascii="Book Antiqua" w:eastAsia="Calibri" w:hAnsi="Book Antiqua" w:cs="Times New Roman"/>
          <w:lang w:val="es-CR" w:eastAsia="en-US"/>
        </w:rPr>
        <w:t>c</w:t>
      </w:r>
      <w:r w:rsidR="62151B1B" w:rsidRPr="00E85457">
        <w:rPr>
          <w:rFonts w:ascii="Book Antiqua" w:eastAsia="Calibri" w:hAnsi="Book Antiqua" w:cs="Times New Roman"/>
          <w:lang w:val="es-CR" w:eastAsia="en-US"/>
        </w:rPr>
        <w:t xml:space="preserve">ontinuar uniendo esfuerzos para el establecimiento de un convenio interinstitucional </w:t>
      </w:r>
      <w:r w:rsidR="3EC5C16F" w:rsidRPr="2FF0FB19">
        <w:rPr>
          <w:rFonts w:ascii="Book Antiqua" w:eastAsia="Calibri" w:hAnsi="Book Antiqua" w:cs="Times New Roman"/>
          <w:lang w:val="es-CR" w:eastAsia="en-US"/>
        </w:rPr>
        <w:t xml:space="preserve">con </w:t>
      </w:r>
      <w:r w:rsidR="62151B1B" w:rsidRPr="00E85457">
        <w:rPr>
          <w:rFonts w:ascii="Book Antiqua" w:eastAsia="Calibri" w:hAnsi="Book Antiqua" w:cs="Times New Roman"/>
          <w:lang w:val="es-CR" w:eastAsia="en-US"/>
        </w:rPr>
        <w:t>la Escuela de Antropología de la Universidad de Costa Rica</w:t>
      </w:r>
      <w:r w:rsidR="62151B1B" w:rsidRPr="2FF0FB19">
        <w:rPr>
          <w:rFonts w:ascii="Book Antiqua" w:eastAsia="Calibri" w:hAnsi="Book Antiqua" w:cs="Times New Roman"/>
          <w:lang w:val="es-CR" w:eastAsia="en-US"/>
        </w:rPr>
        <w:t>, en cumplimiento de la Ley de Acceso a la Justicia de Pueblos Indígenas de Costa Rica, para que coadyuven con los peritajes culturales necesarios para la atención de los procesos judiciales.</w:t>
      </w:r>
    </w:p>
    <w:p w14:paraId="3E060953" w14:textId="6CDB36B3" w:rsidR="5BE08B4A" w:rsidRPr="008D2522" w:rsidRDefault="20DAE953" w:rsidP="00410F64">
      <w:pPr>
        <w:pStyle w:val="Ttulo3"/>
      </w:pPr>
      <w:r>
        <w:t>A la Dirección de la Planificación</w:t>
      </w:r>
    </w:p>
    <w:p w14:paraId="0219C16D" w14:textId="77777777" w:rsidR="008D2522" w:rsidRPr="00B97719" w:rsidRDefault="008D2522" w:rsidP="00067366">
      <w:pPr>
        <w:rPr>
          <w:rFonts w:ascii="Book Antiqua" w:hAnsi="Book Antiqua"/>
        </w:rPr>
      </w:pPr>
      <w:r w:rsidRPr="00B97719">
        <w:rPr>
          <w:rFonts w:ascii="Book Antiqua" w:hAnsi="Book Antiqua"/>
        </w:rPr>
        <w:t>Se mantienen las recomendaciones realizadas en el informe 634-PLA-RH-MI-2019:</w:t>
      </w:r>
    </w:p>
    <w:p w14:paraId="37A2C77B" w14:textId="47656161" w:rsidR="5BE08B4A" w:rsidRDefault="008D2522" w:rsidP="00B97719">
      <w:pPr>
        <w:spacing w:line="240" w:lineRule="auto"/>
        <w:rPr>
          <w:rFonts w:ascii="Book Antiqua" w:hAnsi="Book Antiqua"/>
        </w:rPr>
      </w:pPr>
      <w:r w:rsidRPr="00B97719">
        <w:rPr>
          <w:rFonts w:ascii="Book Antiqua" w:hAnsi="Book Antiqua"/>
        </w:rPr>
        <w:lastRenderedPageBreak/>
        <w:t>U</w:t>
      </w:r>
      <w:r w:rsidR="5BE08B4A" w:rsidRPr="00B97719">
        <w:rPr>
          <w:rFonts w:ascii="Book Antiqua" w:hAnsi="Book Antiqua"/>
        </w:rPr>
        <w:t xml:space="preserve">na vez que se cuente con la mejora en los sistemas informáticos, que el Subproceso de Estadística de la Dirección de Planificación, </w:t>
      </w:r>
      <w:r w:rsidR="40FBAA89" w:rsidRPr="00B97719">
        <w:rPr>
          <w:rFonts w:ascii="Book Antiqua" w:hAnsi="Book Antiqua"/>
        </w:rPr>
        <w:t xml:space="preserve">verifique contar con </w:t>
      </w:r>
      <w:r w:rsidR="5BE08B4A" w:rsidRPr="00B97719">
        <w:rPr>
          <w:rFonts w:ascii="Book Antiqua" w:hAnsi="Book Antiqua"/>
        </w:rPr>
        <w:t>la fórmula estadística de todas las materias</w:t>
      </w:r>
      <w:r w:rsidR="3A783C36" w:rsidRPr="00B97719">
        <w:rPr>
          <w:rFonts w:ascii="Book Antiqua" w:hAnsi="Book Antiqua"/>
        </w:rPr>
        <w:t xml:space="preserve"> para determinar </w:t>
      </w:r>
      <w:r w:rsidR="5BE08B4A" w:rsidRPr="00B97719">
        <w:rPr>
          <w:rFonts w:ascii="Book Antiqua" w:hAnsi="Book Antiqua"/>
        </w:rPr>
        <w:t>la cantidad de expedientes donde figure una persona indígena, así como servidores judiciales, con el fin de contar con el insumo para futuros estudios que permitan establecer la proyección de la demanda del servicio.</w:t>
      </w:r>
      <w:r w:rsidR="483AA129" w:rsidRPr="00B97719">
        <w:rPr>
          <w:rFonts w:ascii="Book Antiqua" w:hAnsi="Book Antiqua"/>
        </w:rPr>
        <w:t xml:space="preserve"> </w:t>
      </w:r>
      <w:r w:rsidR="5BE08B4A" w:rsidRPr="00B97719">
        <w:rPr>
          <w:rFonts w:ascii="Book Antiqua" w:hAnsi="Book Antiqua"/>
        </w:rPr>
        <w:t>Apéndices</w:t>
      </w:r>
      <w:r w:rsidR="00742B0C" w:rsidRPr="00B97719">
        <w:rPr>
          <w:rFonts w:ascii="Book Antiqua" w:hAnsi="Book Antiqua"/>
        </w:rPr>
        <w:t xml:space="preserve"> y Anexos</w:t>
      </w:r>
      <w:r w:rsidR="00B97719">
        <w:rPr>
          <w:rFonts w:ascii="Book Antiqua" w:hAnsi="Book Antiqua"/>
        </w:rPr>
        <w:t>.</w:t>
      </w:r>
    </w:p>
    <w:p w14:paraId="175596DD" w14:textId="498960D8" w:rsidR="00410F64" w:rsidRDefault="00410F64" w:rsidP="00B97719">
      <w:pPr>
        <w:spacing w:line="240" w:lineRule="auto"/>
        <w:rPr>
          <w:rFonts w:ascii="Book Antiqua" w:hAnsi="Book Antiqua"/>
        </w:rPr>
      </w:pPr>
    </w:p>
    <w:p w14:paraId="36552007" w14:textId="77777777" w:rsidR="00410F64" w:rsidRDefault="00410F64" w:rsidP="00B97719">
      <w:pPr>
        <w:spacing w:line="240" w:lineRule="auto"/>
        <w:rPr>
          <w:rFonts w:ascii="Book Antiqua" w:hAnsi="Book Antiqua"/>
        </w:rPr>
      </w:pPr>
    </w:p>
    <w:p w14:paraId="48C6AE38" w14:textId="7CAB9732" w:rsidR="00B97719" w:rsidRPr="00B97719" w:rsidRDefault="00410F64" w:rsidP="00410F64">
      <w:pPr>
        <w:pStyle w:val="Ttulo1"/>
      </w:pPr>
      <w:r>
        <w:rPr>
          <w:lang w:val="es-CR"/>
        </w:rPr>
        <w:t>A</w:t>
      </w:r>
      <w:proofErr w:type="spellStart"/>
      <w:r>
        <w:t>péndices</w:t>
      </w:r>
      <w:proofErr w:type="spellEnd"/>
      <w:r>
        <w:t xml:space="preserve"> </w:t>
      </w:r>
    </w:p>
    <w:tbl>
      <w:tblPr>
        <w:tblW w:w="5000" w:type="pct"/>
        <w:tblCellSpacing w:w="1440" w:type="nil"/>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ook w:val="04A0" w:firstRow="1" w:lastRow="0" w:firstColumn="1" w:lastColumn="0" w:noHBand="0" w:noVBand="1"/>
      </w:tblPr>
      <w:tblGrid>
        <w:gridCol w:w="1537"/>
        <w:gridCol w:w="4033"/>
        <w:gridCol w:w="3252"/>
      </w:tblGrid>
      <w:tr w:rsidR="007957CC" w:rsidRPr="008D2522" w14:paraId="79274CBA" w14:textId="77777777" w:rsidTr="2FF0FB19">
        <w:trPr>
          <w:tblCellSpacing w:w="1440" w:type="nil"/>
        </w:trPr>
        <w:tc>
          <w:tcPr>
            <w:tcW w:w="871" w:type="pct"/>
            <w:shd w:val="clear" w:color="auto" w:fill="1F3864" w:themeFill="accent1" w:themeFillShade="80"/>
            <w:vAlign w:val="center"/>
          </w:tcPr>
          <w:p w14:paraId="681C2F70" w14:textId="77777777" w:rsidR="007957CC" w:rsidRPr="008D2522" w:rsidRDefault="007957CC" w:rsidP="00055CFC">
            <w:pPr>
              <w:spacing w:before="0" w:after="0"/>
              <w:jc w:val="center"/>
              <w:rPr>
                <w:rFonts w:cs="Arial"/>
                <w:b/>
                <w:color w:val="FFFFFF"/>
              </w:rPr>
            </w:pPr>
            <w:r w:rsidRPr="008D2522">
              <w:rPr>
                <w:rFonts w:cs="Arial"/>
                <w:b/>
                <w:color w:val="FFFFFF"/>
              </w:rPr>
              <w:t>Apéndice</w:t>
            </w:r>
          </w:p>
        </w:tc>
        <w:tc>
          <w:tcPr>
            <w:tcW w:w="2286" w:type="pct"/>
            <w:shd w:val="clear" w:color="auto" w:fill="1F3864" w:themeFill="accent1" w:themeFillShade="80"/>
            <w:vAlign w:val="center"/>
          </w:tcPr>
          <w:p w14:paraId="1C54D526" w14:textId="77777777" w:rsidR="007957CC" w:rsidRPr="008D2522" w:rsidRDefault="007957CC" w:rsidP="00055CFC">
            <w:pPr>
              <w:spacing w:before="0" w:after="0"/>
              <w:jc w:val="center"/>
              <w:rPr>
                <w:rFonts w:cs="Arial"/>
                <w:b/>
                <w:color w:val="FFFFFF"/>
              </w:rPr>
            </w:pPr>
            <w:r w:rsidRPr="008D2522">
              <w:rPr>
                <w:rFonts w:cs="Arial"/>
                <w:b/>
                <w:color w:val="FFFFFF"/>
              </w:rPr>
              <w:t>Nombre</w:t>
            </w:r>
          </w:p>
        </w:tc>
        <w:tc>
          <w:tcPr>
            <w:tcW w:w="1843" w:type="pct"/>
            <w:shd w:val="clear" w:color="auto" w:fill="1F3864" w:themeFill="accent1" w:themeFillShade="80"/>
            <w:vAlign w:val="center"/>
          </w:tcPr>
          <w:p w14:paraId="7D81D723" w14:textId="77777777" w:rsidR="007957CC" w:rsidRPr="008D2522" w:rsidRDefault="007957CC" w:rsidP="00055CFC">
            <w:pPr>
              <w:spacing w:before="0" w:after="0"/>
              <w:jc w:val="center"/>
              <w:rPr>
                <w:rFonts w:cs="Arial"/>
                <w:b/>
                <w:color w:val="FFFFFF"/>
              </w:rPr>
            </w:pPr>
            <w:r w:rsidRPr="008D2522">
              <w:rPr>
                <w:rFonts w:cs="Arial"/>
                <w:b/>
                <w:color w:val="FFFFFF"/>
              </w:rPr>
              <w:t>Documento</w:t>
            </w:r>
          </w:p>
        </w:tc>
      </w:tr>
      <w:tr w:rsidR="007957CC" w:rsidRPr="008D2522" w14:paraId="7C83CD92" w14:textId="77777777" w:rsidTr="2FF0FB19">
        <w:trPr>
          <w:tblCellSpacing w:w="1440" w:type="nil"/>
        </w:trPr>
        <w:tc>
          <w:tcPr>
            <w:tcW w:w="871" w:type="pct"/>
            <w:shd w:val="clear" w:color="auto" w:fill="auto"/>
            <w:vAlign w:val="center"/>
          </w:tcPr>
          <w:p w14:paraId="73B774E0" w14:textId="77777777" w:rsidR="007957CC" w:rsidRPr="008D2522" w:rsidRDefault="007957CC" w:rsidP="00055CFC">
            <w:pPr>
              <w:spacing w:before="0" w:after="0"/>
              <w:jc w:val="center"/>
              <w:rPr>
                <w:rFonts w:cs="Arial"/>
                <w:b/>
                <w:i/>
                <w:color w:val="000000"/>
              </w:rPr>
            </w:pPr>
            <w:r w:rsidRPr="008D2522">
              <w:rPr>
                <w:rFonts w:cs="Arial"/>
                <w:b/>
                <w:i/>
                <w:color w:val="000000"/>
              </w:rPr>
              <w:t>Apéndice 1</w:t>
            </w:r>
          </w:p>
        </w:tc>
        <w:tc>
          <w:tcPr>
            <w:tcW w:w="2286" w:type="pct"/>
            <w:shd w:val="clear" w:color="auto" w:fill="auto"/>
            <w:vAlign w:val="center"/>
          </w:tcPr>
          <w:p w14:paraId="600BB893" w14:textId="4471F7D6" w:rsidR="007957CC" w:rsidRPr="008D2522" w:rsidRDefault="006F35E4" w:rsidP="00055CFC">
            <w:pPr>
              <w:spacing w:before="0" w:after="0"/>
              <w:jc w:val="center"/>
              <w:rPr>
                <w:rFonts w:cs="Arial"/>
              </w:rPr>
            </w:pPr>
            <w:r w:rsidRPr="008D2522">
              <w:rPr>
                <w:rFonts w:cs="Arial"/>
              </w:rPr>
              <w:t xml:space="preserve">Memoria de cálculo: </w:t>
            </w:r>
            <w:r w:rsidR="000A5B77" w:rsidRPr="008D2522">
              <w:rPr>
                <w:rFonts w:cs="Arial"/>
              </w:rPr>
              <w:t>Distribución porcentual de posible atención de persona indígena, según territorios y ubicaciones de la Defensas Públicas del país</w:t>
            </w:r>
          </w:p>
        </w:tc>
        <w:bookmarkStart w:id="5" w:name="_MON_1643544286"/>
        <w:bookmarkEnd w:id="5"/>
        <w:tc>
          <w:tcPr>
            <w:tcW w:w="1843" w:type="pct"/>
            <w:shd w:val="clear" w:color="auto" w:fill="auto"/>
            <w:vAlign w:val="center"/>
          </w:tcPr>
          <w:p w14:paraId="3CB4BB57" w14:textId="4FB063D3" w:rsidR="007957CC" w:rsidRPr="008D2522" w:rsidRDefault="00B97719" w:rsidP="00055CFC">
            <w:pPr>
              <w:spacing w:before="0" w:after="0"/>
              <w:jc w:val="center"/>
              <w:rPr>
                <w:rFonts w:cs="Arial"/>
              </w:rPr>
            </w:pPr>
            <w:r w:rsidRPr="008D2522">
              <w:rPr>
                <w:rFonts w:cs="Arial"/>
              </w:rPr>
              <w:object w:dxaOrig="1376" w:dyaOrig="893" w14:anchorId="3A3577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8pt;height:45.6pt" o:ole="">
                  <v:imagedata r:id="rId26" o:title=""/>
                </v:shape>
                <o:OLEObject Type="Embed" ProgID="Excel.Sheet.12" ShapeID="_x0000_i1025" DrawAspect="Icon" ObjectID="_1655541013" r:id="rId27"/>
              </w:object>
            </w:r>
          </w:p>
        </w:tc>
      </w:tr>
      <w:tr w:rsidR="007957CC" w:rsidRPr="008D2522" w14:paraId="484EB6AD" w14:textId="77777777" w:rsidTr="2FF0FB19">
        <w:trPr>
          <w:tblCellSpacing w:w="1440" w:type="nil"/>
        </w:trPr>
        <w:tc>
          <w:tcPr>
            <w:tcW w:w="871" w:type="pct"/>
            <w:shd w:val="clear" w:color="auto" w:fill="auto"/>
            <w:vAlign w:val="center"/>
          </w:tcPr>
          <w:p w14:paraId="6772597D" w14:textId="77777777" w:rsidR="007957CC" w:rsidRPr="008D2522" w:rsidRDefault="007957CC" w:rsidP="00055CFC">
            <w:pPr>
              <w:spacing w:before="0" w:after="0"/>
              <w:jc w:val="center"/>
              <w:rPr>
                <w:rFonts w:cs="Arial"/>
                <w:b/>
                <w:i/>
                <w:color w:val="000000"/>
              </w:rPr>
            </w:pPr>
            <w:r w:rsidRPr="008D2522">
              <w:rPr>
                <w:rFonts w:cs="Arial"/>
                <w:b/>
                <w:i/>
                <w:color w:val="000000"/>
              </w:rPr>
              <w:t>Apéndice 2</w:t>
            </w:r>
          </w:p>
        </w:tc>
        <w:tc>
          <w:tcPr>
            <w:tcW w:w="2286" w:type="pct"/>
            <w:shd w:val="clear" w:color="auto" w:fill="auto"/>
            <w:vAlign w:val="center"/>
          </w:tcPr>
          <w:p w14:paraId="28E00F91" w14:textId="185C3DAE" w:rsidR="007957CC" w:rsidRPr="008D2522" w:rsidRDefault="006F35E4" w:rsidP="00055CFC">
            <w:pPr>
              <w:spacing w:before="0" w:after="0"/>
              <w:jc w:val="center"/>
              <w:rPr>
                <w:rFonts w:cs="Arial"/>
              </w:rPr>
            </w:pPr>
            <w:r w:rsidRPr="008D2522">
              <w:rPr>
                <w:rFonts w:cs="Arial"/>
              </w:rPr>
              <w:t>Memoria de cálculo: Análisis estadístico</w:t>
            </w:r>
          </w:p>
        </w:tc>
        <w:bookmarkStart w:id="6" w:name="_MON_1646833270"/>
        <w:bookmarkEnd w:id="6"/>
        <w:tc>
          <w:tcPr>
            <w:tcW w:w="1843" w:type="pct"/>
            <w:shd w:val="clear" w:color="auto" w:fill="auto"/>
            <w:vAlign w:val="center"/>
          </w:tcPr>
          <w:p w14:paraId="36C1EA85" w14:textId="69CD0293" w:rsidR="007957CC" w:rsidRPr="008D2522" w:rsidRDefault="00B97719" w:rsidP="00055CFC">
            <w:pPr>
              <w:spacing w:before="0" w:after="0"/>
              <w:jc w:val="center"/>
              <w:rPr>
                <w:rFonts w:cs="Arial"/>
              </w:rPr>
            </w:pPr>
            <w:r w:rsidRPr="008D2522">
              <w:rPr>
                <w:rFonts w:cs="Arial"/>
              </w:rPr>
              <w:object w:dxaOrig="1376" w:dyaOrig="893" w14:anchorId="1B46B197">
                <v:shape id="_x0000_i1026" type="#_x0000_t75" style="width:70.8pt;height:45.6pt" o:ole="">
                  <v:imagedata r:id="rId28" o:title=""/>
                </v:shape>
                <o:OLEObject Type="Embed" ProgID="Excel.Sheet.12" ShapeID="_x0000_i1026" DrawAspect="Icon" ObjectID="_1655541014" r:id="rId29"/>
              </w:object>
            </w:r>
          </w:p>
        </w:tc>
      </w:tr>
      <w:tr w:rsidR="007957CC" w:rsidRPr="008D2522" w14:paraId="39A2B56A" w14:textId="77777777" w:rsidTr="2FF0FB19">
        <w:trPr>
          <w:tblCellSpacing w:w="1440" w:type="nil"/>
        </w:trPr>
        <w:tc>
          <w:tcPr>
            <w:tcW w:w="871" w:type="pct"/>
            <w:shd w:val="clear" w:color="auto" w:fill="auto"/>
            <w:vAlign w:val="center"/>
          </w:tcPr>
          <w:p w14:paraId="0EC2D3D5" w14:textId="77777777" w:rsidR="007957CC" w:rsidRPr="008D2522" w:rsidRDefault="007957CC" w:rsidP="00055CFC">
            <w:pPr>
              <w:spacing w:before="0" w:after="0"/>
              <w:jc w:val="center"/>
              <w:rPr>
                <w:rFonts w:cs="Arial"/>
                <w:b/>
                <w:i/>
                <w:color w:val="000000"/>
              </w:rPr>
            </w:pPr>
            <w:r w:rsidRPr="008D2522">
              <w:rPr>
                <w:rFonts w:cs="Arial"/>
                <w:b/>
                <w:i/>
                <w:color w:val="000000"/>
              </w:rPr>
              <w:t>Apéndice 3</w:t>
            </w:r>
          </w:p>
        </w:tc>
        <w:tc>
          <w:tcPr>
            <w:tcW w:w="2286" w:type="pct"/>
            <w:shd w:val="clear" w:color="auto" w:fill="auto"/>
            <w:vAlign w:val="center"/>
          </w:tcPr>
          <w:p w14:paraId="634542B5" w14:textId="60DD96AF" w:rsidR="007957CC" w:rsidRPr="008D2522" w:rsidRDefault="006F35E4" w:rsidP="00055CFC">
            <w:pPr>
              <w:spacing w:before="0" w:after="0"/>
              <w:jc w:val="center"/>
              <w:rPr>
                <w:rFonts w:cs="Arial"/>
              </w:rPr>
            </w:pPr>
            <w:r w:rsidRPr="008D2522">
              <w:rPr>
                <w:rFonts w:cs="Arial"/>
              </w:rPr>
              <w:t>Memoria de cálculo: Asuntos del Tribunal Contencioso Administrativo</w:t>
            </w:r>
          </w:p>
        </w:tc>
        <w:tc>
          <w:tcPr>
            <w:tcW w:w="1843" w:type="pct"/>
            <w:shd w:val="clear" w:color="auto" w:fill="auto"/>
            <w:vAlign w:val="center"/>
          </w:tcPr>
          <w:p w14:paraId="731CF9A9" w14:textId="5C3A24FD" w:rsidR="007957CC" w:rsidRPr="008D2522" w:rsidRDefault="00B97719" w:rsidP="00055CFC">
            <w:pPr>
              <w:spacing w:before="0" w:after="0"/>
              <w:jc w:val="center"/>
              <w:rPr>
                <w:rFonts w:cs="Arial"/>
              </w:rPr>
            </w:pPr>
            <w:r w:rsidRPr="008D2522">
              <w:rPr>
                <w:rFonts w:cs="Arial"/>
              </w:rPr>
              <w:object w:dxaOrig="1376" w:dyaOrig="893" w14:anchorId="2A8683BA">
                <v:shape id="_x0000_i1027" type="#_x0000_t75" style="width:70.8pt;height:45.6pt" o:ole="">
                  <v:imagedata r:id="rId30" o:title=""/>
                </v:shape>
                <o:OLEObject Type="Embed" ProgID="Excel.OpenDocumentSpreadsheet.12" ShapeID="_x0000_i1027" DrawAspect="Icon" ObjectID="_1655541015" r:id="rId31"/>
              </w:object>
            </w:r>
          </w:p>
        </w:tc>
      </w:tr>
      <w:tr w:rsidR="0063514A" w:rsidRPr="008D2522" w14:paraId="1EDF5DA1" w14:textId="77777777" w:rsidTr="2FF0FB19">
        <w:trPr>
          <w:tblCellSpacing w:w="1440" w:type="nil"/>
        </w:trPr>
        <w:tc>
          <w:tcPr>
            <w:tcW w:w="871" w:type="pct"/>
            <w:shd w:val="clear" w:color="auto" w:fill="auto"/>
            <w:vAlign w:val="center"/>
          </w:tcPr>
          <w:p w14:paraId="1C881033" w14:textId="7397ECA6" w:rsidR="0063514A" w:rsidRPr="008D2522" w:rsidRDefault="0063514A" w:rsidP="00055CFC">
            <w:pPr>
              <w:spacing w:before="0" w:after="0"/>
              <w:jc w:val="center"/>
              <w:rPr>
                <w:rFonts w:cs="Arial"/>
                <w:b/>
                <w:i/>
                <w:color w:val="000000"/>
              </w:rPr>
            </w:pPr>
            <w:r>
              <w:rPr>
                <w:rFonts w:cs="Arial"/>
                <w:b/>
                <w:i/>
                <w:color w:val="000000"/>
              </w:rPr>
              <w:t>Apéndice 4</w:t>
            </w:r>
          </w:p>
        </w:tc>
        <w:tc>
          <w:tcPr>
            <w:tcW w:w="2286" w:type="pct"/>
            <w:shd w:val="clear" w:color="auto" w:fill="auto"/>
            <w:vAlign w:val="center"/>
          </w:tcPr>
          <w:p w14:paraId="54903494" w14:textId="77777777" w:rsidR="00230B42" w:rsidRPr="00230B42" w:rsidRDefault="00230B42" w:rsidP="00230B42">
            <w:pPr>
              <w:spacing w:before="0" w:after="0"/>
              <w:jc w:val="center"/>
              <w:rPr>
                <w:rFonts w:cs="Arial"/>
              </w:rPr>
            </w:pPr>
            <w:r w:rsidRPr="00230B42">
              <w:rPr>
                <w:rFonts w:cs="Arial"/>
              </w:rPr>
              <w:t>Minuta de Sesión de Trabajo</w:t>
            </w:r>
          </w:p>
          <w:p w14:paraId="2AE242C1" w14:textId="401A3857" w:rsidR="0063514A" w:rsidRPr="008D2522" w:rsidRDefault="00230B42" w:rsidP="00230B42">
            <w:pPr>
              <w:spacing w:before="0" w:after="0"/>
              <w:jc w:val="center"/>
              <w:rPr>
                <w:rFonts w:cs="Arial"/>
              </w:rPr>
            </w:pPr>
            <w:r w:rsidRPr="00230B42">
              <w:rPr>
                <w:rFonts w:cs="Arial"/>
              </w:rPr>
              <w:t>Administración de la Defensa Pública</w:t>
            </w:r>
            <w:r>
              <w:rPr>
                <w:rFonts w:cs="Arial"/>
              </w:rPr>
              <w:t xml:space="preserve"> 29-PLA-MI-MNTA-2020</w:t>
            </w:r>
          </w:p>
        </w:tc>
        <w:tc>
          <w:tcPr>
            <w:tcW w:w="1843" w:type="pct"/>
            <w:shd w:val="clear" w:color="auto" w:fill="auto"/>
            <w:vAlign w:val="center"/>
          </w:tcPr>
          <w:p w14:paraId="4527B1DE" w14:textId="5AA469A0" w:rsidR="0063514A" w:rsidRPr="008D2522" w:rsidRDefault="2A101D11" w:rsidP="00055CFC">
            <w:pPr>
              <w:spacing w:before="0" w:after="0"/>
              <w:jc w:val="center"/>
              <w:rPr>
                <w:rFonts w:cs="Arial"/>
              </w:rPr>
            </w:pPr>
            <w:bookmarkStart w:id="7" w:name="_MON_1650873404"/>
            <w:bookmarkEnd w:id="7"/>
            <w:r>
              <w:rPr>
                <w:noProof/>
              </w:rPr>
              <w:drawing>
                <wp:inline distT="0" distB="0" distL="0" distR="0" wp14:anchorId="34BE6A98" wp14:editId="41936B11">
                  <wp:extent cx="962025" cy="628650"/>
                  <wp:effectExtent l="0" t="0" r="0" b="0"/>
                  <wp:docPr id="1585145083" name="Imagen 19782724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978272480"/>
                          <pic:cNvPicPr/>
                        </pic:nvPicPr>
                        <pic:blipFill>
                          <a:blip r:embed="rId32">
                            <a:extLst>
                              <a:ext uri="{28A0092B-C50C-407E-A947-70E740481C1C}">
                                <a14:useLocalDpi xmlns:a14="http://schemas.microsoft.com/office/drawing/2010/main" val="0"/>
                              </a:ext>
                            </a:extLst>
                          </a:blip>
                          <a:stretch>
                            <a:fillRect/>
                          </a:stretch>
                        </pic:blipFill>
                        <pic:spPr>
                          <a:xfrm>
                            <a:off x="0" y="0"/>
                            <a:ext cx="962025" cy="628650"/>
                          </a:xfrm>
                          <a:prstGeom prst="rect">
                            <a:avLst/>
                          </a:prstGeom>
                        </pic:spPr>
                      </pic:pic>
                    </a:graphicData>
                  </a:graphic>
                </wp:inline>
              </w:drawing>
            </w:r>
          </w:p>
        </w:tc>
      </w:tr>
      <w:tr w:rsidR="000A5B77" w:rsidRPr="008D2522" w14:paraId="3B4E2509" w14:textId="77777777" w:rsidTr="2FF0FB19">
        <w:trPr>
          <w:tblCellSpacing w:w="1440" w:type="nil"/>
        </w:trPr>
        <w:tc>
          <w:tcPr>
            <w:tcW w:w="871" w:type="pct"/>
            <w:shd w:val="clear" w:color="auto" w:fill="auto"/>
            <w:vAlign w:val="center"/>
          </w:tcPr>
          <w:p w14:paraId="743D1D80" w14:textId="3A56EA04" w:rsidR="000A5B77" w:rsidRPr="008D2522" w:rsidRDefault="00742B0C" w:rsidP="00055CFC">
            <w:pPr>
              <w:spacing w:before="0" w:after="0"/>
              <w:jc w:val="center"/>
              <w:rPr>
                <w:rFonts w:cs="Arial"/>
                <w:b/>
                <w:i/>
                <w:color w:val="000000"/>
              </w:rPr>
            </w:pPr>
            <w:r>
              <w:rPr>
                <w:rFonts w:cs="Arial"/>
                <w:b/>
                <w:i/>
                <w:color w:val="000000"/>
              </w:rPr>
              <w:t>Anexo 1</w:t>
            </w:r>
          </w:p>
        </w:tc>
        <w:tc>
          <w:tcPr>
            <w:tcW w:w="2286" w:type="pct"/>
            <w:shd w:val="clear" w:color="auto" w:fill="auto"/>
            <w:vAlign w:val="center"/>
          </w:tcPr>
          <w:p w14:paraId="67A1BEAB" w14:textId="447D0B04" w:rsidR="000A5B77" w:rsidRPr="008D2522" w:rsidRDefault="006F35E4" w:rsidP="00055CFC">
            <w:pPr>
              <w:spacing w:before="0" w:after="0"/>
              <w:jc w:val="center"/>
              <w:rPr>
                <w:rFonts w:cs="Arial"/>
              </w:rPr>
            </w:pPr>
            <w:r w:rsidRPr="008D2522">
              <w:rPr>
                <w:rFonts w:cs="Arial"/>
              </w:rPr>
              <w:t xml:space="preserve">Consulta del estado de la </w:t>
            </w:r>
            <w:r w:rsidR="00403160" w:rsidRPr="008D2522">
              <w:rPr>
                <w:rFonts w:cs="Arial"/>
              </w:rPr>
              <w:t>implementación</w:t>
            </w:r>
            <w:r w:rsidRPr="008D2522">
              <w:rPr>
                <w:rFonts w:cs="Arial"/>
              </w:rPr>
              <w:t xml:space="preserve"> del SSC en materia agraria</w:t>
            </w:r>
          </w:p>
        </w:tc>
        <w:tc>
          <w:tcPr>
            <w:tcW w:w="1843" w:type="pct"/>
            <w:shd w:val="clear" w:color="auto" w:fill="auto"/>
            <w:vAlign w:val="center"/>
          </w:tcPr>
          <w:p w14:paraId="431C9A09" w14:textId="0DC92471" w:rsidR="000A5B77" w:rsidRPr="008D2522" w:rsidRDefault="00B97719" w:rsidP="00055CFC">
            <w:pPr>
              <w:spacing w:before="0" w:after="0"/>
              <w:jc w:val="center"/>
              <w:rPr>
                <w:rFonts w:cs="Arial"/>
              </w:rPr>
            </w:pPr>
            <w:r w:rsidRPr="008D2522">
              <w:rPr>
                <w:rFonts w:cs="Arial"/>
              </w:rPr>
              <w:object w:dxaOrig="1376" w:dyaOrig="893" w14:anchorId="6059CAF4">
                <v:shape id="_x0000_i1028" type="#_x0000_t75" style="width:70.8pt;height:45.6pt" o:ole="">
                  <v:imagedata r:id="rId33" o:title=""/>
                </v:shape>
                <o:OLEObject Type="Embed" ProgID="AcroExch.Document.DC" ShapeID="_x0000_i1028" DrawAspect="Icon" ObjectID="_1655541016" r:id="rId34"/>
              </w:object>
            </w:r>
          </w:p>
        </w:tc>
      </w:tr>
      <w:tr w:rsidR="000A5B77" w:rsidRPr="008D2522" w14:paraId="46F59083" w14:textId="77777777" w:rsidTr="2FF0FB19">
        <w:trPr>
          <w:tblCellSpacing w:w="1440" w:type="nil"/>
        </w:trPr>
        <w:tc>
          <w:tcPr>
            <w:tcW w:w="871" w:type="pct"/>
            <w:shd w:val="clear" w:color="auto" w:fill="auto"/>
            <w:vAlign w:val="center"/>
          </w:tcPr>
          <w:p w14:paraId="576F5A9A" w14:textId="4D2D10F0" w:rsidR="000A5B77" w:rsidRPr="008D2522" w:rsidRDefault="00742B0C" w:rsidP="00055CFC">
            <w:pPr>
              <w:spacing w:before="0" w:after="0"/>
              <w:jc w:val="center"/>
              <w:rPr>
                <w:rFonts w:cs="Arial"/>
                <w:b/>
                <w:i/>
                <w:color w:val="000000"/>
              </w:rPr>
            </w:pPr>
            <w:r>
              <w:rPr>
                <w:rFonts w:cs="Arial"/>
                <w:b/>
                <w:i/>
                <w:color w:val="000000"/>
              </w:rPr>
              <w:lastRenderedPageBreak/>
              <w:t>Anexo 2</w:t>
            </w:r>
          </w:p>
        </w:tc>
        <w:tc>
          <w:tcPr>
            <w:tcW w:w="2286" w:type="pct"/>
            <w:shd w:val="clear" w:color="auto" w:fill="auto"/>
            <w:vAlign w:val="center"/>
          </w:tcPr>
          <w:p w14:paraId="65F3B476" w14:textId="13BC470F" w:rsidR="000A5B77" w:rsidRPr="008D2522" w:rsidRDefault="006F35E4" w:rsidP="00055CFC">
            <w:pPr>
              <w:spacing w:before="0" w:after="0"/>
              <w:jc w:val="center"/>
              <w:rPr>
                <w:rFonts w:cs="Arial"/>
              </w:rPr>
            </w:pPr>
            <w:r w:rsidRPr="008D2522">
              <w:rPr>
                <w:rFonts w:cs="Arial"/>
              </w:rPr>
              <w:t xml:space="preserve">Consulta de las capacitaciones brindadas </w:t>
            </w:r>
            <w:r w:rsidR="00403160" w:rsidRPr="008D2522">
              <w:rPr>
                <w:rFonts w:cs="Arial"/>
              </w:rPr>
              <w:t>para la tramitación de asuntos con personas indígenas</w:t>
            </w:r>
          </w:p>
        </w:tc>
        <w:tc>
          <w:tcPr>
            <w:tcW w:w="1843" w:type="pct"/>
            <w:shd w:val="clear" w:color="auto" w:fill="auto"/>
            <w:vAlign w:val="center"/>
          </w:tcPr>
          <w:p w14:paraId="515F0FFF" w14:textId="1B5E1339" w:rsidR="000A5B77" w:rsidRPr="008D2522" w:rsidRDefault="00B97719" w:rsidP="00055CFC">
            <w:pPr>
              <w:spacing w:before="0" w:after="0"/>
              <w:jc w:val="center"/>
              <w:rPr>
                <w:rFonts w:cs="Arial"/>
              </w:rPr>
            </w:pPr>
            <w:r w:rsidRPr="008D2522">
              <w:rPr>
                <w:rFonts w:cs="Arial"/>
              </w:rPr>
              <w:object w:dxaOrig="1376" w:dyaOrig="893" w14:anchorId="3853B7CF">
                <v:shape id="_x0000_i1029" type="#_x0000_t75" style="width:70.8pt;height:45.6pt" o:ole="">
                  <v:imagedata r:id="rId35" o:title=""/>
                </v:shape>
                <o:OLEObject Type="Embed" ProgID="AcroExch.Document.DC" ShapeID="_x0000_i1029" DrawAspect="Icon" ObjectID="_1655541017" r:id="rId36"/>
              </w:object>
            </w:r>
          </w:p>
        </w:tc>
      </w:tr>
      <w:tr w:rsidR="000A5B77" w:rsidRPr="008D2522" w14:paraId="1C8F5929" w14:textId="77777777" w:rsidTr="2FF0FB19">
        <w:trPr>
          <w:tblCellSpacing w:w="1440" w:type="nil"/>
        </w:trPr>
        <w:tc>
          <w:tcPr>
            <w:tcW w:w="871" w:type="pct"/>
            <w:shd w:val="clear" w:color="auto" w:fill="auto"/>
            <w:vAlign w:val="center"/>
          </w:tcPr>
          <w:p w14:paraId="2427D7FE" w14:textId="35082671" w:rsidR="000A5B77" w:rsidRPr="008D2522" w:rsidRDefault="00742B0C" w:rsidP="00055CFC">
            <w:pPr>
              <w:spacing w:before="0" w:after="0"/>
              <w:jc w:val="center"/>
              <w:rPr>
                <w:rFonts w:cs="Arial"/>
                <w:b/>
                <w:i/>
                <w:color w:val="000000"/>
              </w:rPr>
            </w:pPr>
            <w:r>
              <w:rPr>
                <w:rFonts w:cs="Arial"/>
                <w:b/>
                <w:i/>
                <w:color w:val="000000"/>
              </w:rPr>
              <w:t>Anexo 3</w:t>
            </w:r>
          </w:p>
        </w:tc>
        <w:tc>
          <w:tcPr>
            <w:tcW w:w="2286" w:type="pct"/>
            <w:shd w:val="clear" w:color="auto" w:fill="auto"/>
            <w:vAlign w:val="center"/>
          </w:tcPr>
          <w:p w14:paraId="2795E74B" w14:textId="19D45B57" w:rsidR="000A5B77" w:rsidRPr="008D2522" w:rsidRDefault="00403160" w:rsidP="00055CFC">
            <w:pPr>
              <w:spacing w:before="0" w:after="0"/>
              <w:jc w:val="center"/>
              <w:rPr>
                <w:rFonts w:cs="Arial"/>
              </w:rPr>
            </w:pPr>
            <w:r w:rsidRPr="008D2522">
              <w:rPr>
                <w:rFonts w:cs="Arial"/>
              </w:rPr>
              <w:t>Consulta al Tribunal Contencioso Administrativo</w:t>
            </w:r>
          </w:p>
        </w:tc>
        <w:tc>
          <w:tcPr>
            <w:tcW w:w="1843" w:type="pct"/>
            <w:shd w:val="clear" w:color="auto" w:fill="auto"/>
            <w:vAlign w:val="center"/>
          </w:tcPr>
          <w:p w14:paraId="3CD6EEAE" w14:textId="2E1B720E" w:rsidR="000A5B77" w:rsidRPr="008D2522" w:rsidRDefault="00B97719" w:rsidP="00055CFC">
            <w:pPr>
              <w:spacing w:before="0" w:after="0"/>
              <w:jc w:val="center"/>
              <w:rPr>
                <w:rFonts w:cs="Arial"/>
              </w:rPr>
            </w:pPr>
            <w:r w:rsidRPr="008D2522">
              <w:rPr>
                <w:rFonts w:cs="Arial"/>
              </w:rPr>
              <w:object w:dxaOrig="1376" w:dyaOrig="893" w14:anchorId="3F6B7FE9">
                <v:shape id="_x0000_i1030" type="#_x0000_t75" style="width:70.8pt;height:45.6pt" o:ole="">
                  <v:imagedata r:id="rId37" o:title=""/>
                </v:shape>
                <o:OLEObject Type="Embed" ProgID="AcroExch.Document.DC" ShapeID="_x0000_i1030" DrawAspect="Icon" ObjectID="_1655541018" r:id="rId38"/>
              </w:object>
            </w:r>
          </w:p>
        </w:tc>
      </w:tr>
      <w:tr w:rsidR="006F35E4" w:rsidRPr="008D2522" w14:paraId="0920CEBF" w14:textId="77777777" w:rsidTr="2FF0FB19">
        <w:trPr>
          <w:tblCellSpacing w:w="1440" w:type="nil"/>
        </w:trPr>
        <w:tc>
          <w:tcPr>
            <w:tcW w:w="871" w:type="pct"/>
            <w:shd w:val="clear" w:color="auto" w:fill="auto"/>
            <w:vAlign w:val="center"/>
          </w:tcPr>
          <w:p w14:paraId="1D23C4C9" w14:textId="2EDD8BA2" w:rsidR="006F35E4" w:rsidRPr="008D2522" w:rsidRDefault="00742B0C" w:rsidP="00055CFC">
            <w:pPr>
              <w:spacing w:before="0" w:after="0"/>
              <w:jc w:val="center"/>
              <w:rPr>
                <w:rFonts w:cs="Arial"/>
                <w:b/>
                <w:i/>
                <w:color w:val="000000"/>
              </w:rPr>
            </w:pPr>
            <w:r>
              <w:rPr>
                <w:rFonts w:cs="Arial"/>
                <w:b/>
                <w:i/>
                <w:color w:val="000000"/>
              </w:rPr>
              <w:t>Anexo 4</w:t>
            </w:r>
          </w:p>
        </w:tc>
        <w:tc>
          <w:tcPr>
            <w:tcW w:w="2286" w:type="pct"/>
            <w:shd w:val="clear" w:color="auto" w:fill="auto"/>
            <w:vAlign w:val="center"/>
          </w:tcPr>
          <w:p w14:paraId="00411FC0" w14:textId="4BE25C92" w:rsidR="006F35E4" w:rsidRPr="008D2522" w:rsidRDefault="00403160" w:rsidP="00055CFC">
            <w:pPr>
              <w:spacing w:before="0" w:after="0"/>
              <w:jc w:val="center"/>
              <w:rPr>
                <w:rFonts w:cs="Arial"/>
              </w:rPr>
            </w:pPr>
            <w:r w:rsidRPr="008D2522">
              <w:rPr>
                <w:rFonts w:cs="Arial"/>
              </w:rPr>
              <w:t>Consulta a la Dirección de Gestión Humana</w:t>
            </w:r>
          </w:p>
        </w:tc>
        <w:tc>
          <w:tcPr>
            <w:tcW w:w="1843" w:type="pct"/>
            <w:shd w:val="clear" w:color="auto" w:fill="auto"/>
            <w:vAlign w:val="center"/>
          </w:tcPr>
          <w:p w14:paraId="5D6BBC39" w14:textId="7CB9AF85" w:rsidR="006F35E4" w:rsidRPr="008D2522" w:rsidRDefault="00B97719" w:rsidP="00055CFC">
            <w:pPr>
              <w:spacing w:before="0" w:after="0"/>
              <w:jc w:val="center"/>
              <w:rPr>
                <w:rFonts w:cs="Arial"/>
              </w:rPr>
            </w:pPr>
            <w:r w:rsidRPr="008D2522">
              <w:rPr>
                <w:rFonts w:cs="Arial"/>
              </w:rPr>
              <w:object w:dxaOrig="1376" w:dyaOrig="893" w14:anchorId="726B8FDD">
                <v:shape id="_x0000_i1031" type="#_x0000_t75" style="width:70.8pt;height:45.6pt" o:ole="">
                  <v:imagedata r:id="rId39" o:title=""/>
                </v:shape>
                <o:OLEObject Type="Embed" ProgID="AcroExch.Document.DC" ShapeID="_x0000_i1031" DrawAspect="Icon" ObjectID="_1655541019" r:id="rId40"/>
              </w:object>
            </w:r>
          </w:p>
        </w:tc>
      </w:tr>
      <w:tr w:rsidR="006F35E4" w:rsidRPr="008D2522" w14:paraId="05E0FC05" w14:textId="77777777" w:rsidTr="2FF0FB19">
        <w:trPr>
          <w:tblCellSpacing w:w="1440" w:type="nil"/>
        </w:trPr>
        <w:tc>
          <w:tcPr>
            <w:tcW w:w="871" w:type="pct"/>
            <w:shd w:val="clear" w:color="auto" w:fill="auto"/>
            <w:vAlign w:val="center"/>
          </w:tcPr>
          <w:p w14:paraId="17A31057" w14:textId="08D88E6D" w:rsidR="006F35E4" w:rsidRPr="008D2522" w:rsidRDefault="00742B0C" w:rsidP="00055CFC">
            <w:pPr>
              <w:spacing w:before="0" w:after="0"/>
              <w:jc w:val="center"/>
              <w:rPr>
                <w:rFonts w:cs="Arial"/>
                <w:b/>
                <w:i/>
                <w:color w:val="000000"/>
              </w:rPr>
            </w:pPr>
            <w:r>
              <w:rPr>
                <w:rFonts w:cs="Arial"/>
                <w:b/>
                <w:i/>
                <w:color w:val="000000"/>
              </w:rPr>
              <w:t>Anexo 5</w:t>
            </w:r>
          </w:p>
        </w:tc>
        <w:tc>
          <w:tcPr>
            <w:tcW w:w="2286" w:type="pct"/>
            <w:shd w:val="clear" w:color="auto" w:fill="auto"/>
            <w:vAlign w:val="center"/>
          </w:tcPr>
          <w:p w14:paraId="65B6A3EF" w14:textId="449F2393" w:rsidR="006F35E4" w:rsidRPr="008D2522" w:rsidRDefault="00403160" w:rsidP="00055CFC">
            <w:pPr>
              <w:spacing w:before="0" w:after="0"/>
              <w:jc w:val="center"/>
              <w:rPr>
                <w:rFonts w:cs="Arial"/>
              </w:rPr>
            </w:pPr>
            <w:r w:rsidRPr="008D2522">
              <w:rPr>
                <w:rFonts w:cs="Arial"/>
              </w:rPr>
              <w:t>Cálculo de los costos presupuestarios</w:t>
            </w:r>
          </w:p>
        </w:tc>
        <w:tc>
          <w:tcPr>
            <w:tcW w:w="1843" w:type="pct"/>
            <w:shd w:val="clear" w:color="auto" w:fill="auto"/>
            <w:vAlign w:val="center"/>
          </w:tcPr>
          <w:p w14:paraId="2ABBE8DC" w14:textId="24B98753" w:rsidR="006F35E4" w:rsidRPr="008D2522" w:rsidRDefault="00B97719" w:rsidP="00055CFC">
            <w:pPr>
              <w:spacing w:before="0" w:after="0"/>
              <w:jc w:val="center"/>
              <w:rPr>
                <w:rFonts w:cs="Arial"/>
              </w:rPr>
            </w:pPr>
            <w:r w:rsidRPr="008D2522">
              <w:rPr>
                <w:rFonts w:cs="Arial"/>
              </w:rPr>
              <w:object w:dxaOrig="1376" w:dyaOrig="893" w14:anchorId="485992FE">
                <v:shape id="_x0000_i1032" type="#_x0000_t75" style="width:70.8pt;height:45.6pt" o:ole="">
                  <v:imagedata r:id="rId41" o:title=""/>
                </v:shape>
                <o:OLEObject Type="Embed" ProgID="Excel.Sheet.8" ShapeID="_x0000_i1032" DrawAspect="Icon" ObjectID="_1655541020" r:id="rId42"/>
              </w:object>
            </w:r>
            <w:r w:rsidRPr="008D2522">
              <w:rPr>
                <w:rFonts w:cs="Arial"/>
              </w:rPr>
              <w:object w:dxaOrig="1376" w:dyaOrig="893" w14:anchorId="0DD481D5">
                <v:shape id="_x0000_i1033" type="#_x0000_t75" style="width:70.8pt;height:45.6pt" o:ole="">
                  <v:imagedata r:id="rId43" o:title=""/>
                </v:shape>
                <o:OLEObject Type="Embed" ProgID="Excel.Sheet.12" ShapeID="_x0000_i1033" DrawAspect="Icon" ObjectID="_1655541021" r:id="rId44"/>
              </w:object>
            </w:r>
          </w:p>
        </w:tc>
      </w:tr>
      <w:tr w:rsidR="006F35E4" w:rsidRPr="008D2522" w14:paraId="6074A90E" w14:textId="77777777" w:rsidTr="2FF0FB19">
        <w:trPr>
          <w:tblCellSpacing w:w="1440" w:type="nil"/>
        </w:trPr>
        <w:tc>
          <w:tcPr>
            <w:tcW w:w="871" w:type="pct"/>
            <w:shd w:val="clear" w:color="auto" w:fill="auto"/>
            <w:vAlign w:val="center"/>
          </w:tcPr>
          <w:p w14:paraId="2C5FA7DA" w14:textId="2B718015" w:rsidR="006F35E4" w:rsidRPr="008D2522" w:rsidRDefault="00742B0C" w:rsidP="00055CFC">
            <w:pPr>
              <w:spacing w:before="0" w:after="0"/>
              <w:jc w:val="center"/>
              <w:rPr>
                <w:rFonts w:cs="Arial"/>
                <w:b/>
                <w:i/>
                <w:color w:val="000000"/>
              </w:rPr>
            </w:pPr>
            <w:r>
              <w:rPr>
                <w:rFonts w:cs="Arial"/>
                <w:b/>
                <w:i/>
                <w:color w:val="000000"/>
              </w:rPr>
              <w:t>Anexo 6</w:t>
            </w:r>
          </w:p>
        </w:tc>
        <w:tc>
          <w:tcPr>
            <w:tcW w:w="2286" w:type="pct"/>
            <w:shd w:val="clear" w:color="auto" w:fill="auto"/>
            <w:vAlign w:val="center"/>
          </w:tcPr>
          <w:p w14:paraId="6CB723AB" w14:textId="7DA66311" w:rsidR="006F35E4" w:rsidRPr="008D2522" w:rsidRDefault="00742B0C" w:rsidP="00055CFC">
            <w:pPr>
              <w:spacing w:before="0" w:after="0"/>
              <w:jc w:val="center"/>
              <w:rPr>
                <w:rFonts w:cs="Arial"/>
              </w:rPr>
            </w:pPr>
            <w:r>
              <w:rPr>
                <w:rFonts w:cs="Arial"/>
              </w:rPr>
              <w:t>Oficio de la Jefatura de la Defensa Pública</w:t>
            </w:r>
          </w:p>
        </w:tc>
        <w:tc>
          <w:tcPr>
            <w:tcW w:w="1843" w:type="pct"/>
            <w:shd w:val="clear" w:color="auto" w:fill="auto"/>
            <w:vAlign w:val="center"/>
          </w:tcPr>
          <w:p w14:paraId="48E05048" w14:textId="6080F0EA" w:rsidR="006F35E4" w:rsidRPr="008D2522" w:rsidRDefault="005E1995" w:rsidP="00055CFC">
            <w:pPr>
              <w:spacing w:before="0" w:after="0"/>
              <w:jc w:val="center"/>
              <w:rPr>
                <w:rFonts w:cs="Arial"/>
              </w:rPr>
            </w:pPr>
            <w:bookmarkStart w:id="8" w:name="_MON_1643543834"/>
            <w:bookmarkEnd w:id="8"/>
            <w:r>
              <w:rPr>
                <w:rFonts w:cs="Arial"/>
              </w:rPr>
              <w:pict w14:anchorId="4DA71C7F">
                <v:shape id="_x0000_i1034" type="#_x0000_t75" style="width:75.6pt;height:50.4pt">
                  <v:imagedata r:id="rId45" o:title=""/>
                </v:shape>
              </w:pict>
            </w:r>
          </w:p>
        </w:tc>
      </w:tr>
      <w:tr w:rsidR="00742B0C" w:rsidRPr="008D2522" w14:paraId="1C1A9383" w14:textId="77777777" w:rsidTr="2FF0FB19">
        <w:trPr>
          <w:tblCellSpacing w:w="1440" w:type="nil"/>
        </w:trPr>
        <w:tc>
          <w:tcPr>
            <w:tcW w:w="871" w:type="pct"/>
            <w:shd w:val="clear" w:color="auto" w:fill="auto"/>
            <w:vAlign w:val="center"/>
          </w:tcPr>
          <w:p w14:paraId="62D121DF" w14:textId="57A1AA50" w:rsidR="00742B0C" w:rsidRDefault="00742B0C" w:rsidP="00055CFC">
            <w:pPr>
              <w:spacing w:before="0" w:after="0"/>
              <w:jc w:val="center"/>
              <w:rPr>
                <w:rFonts w:cs="Arial"/>
                <w:b/>
                <w:i/>
                <w:color w:val="000000"/>
              </w:rPr>
            </w:pPr>
            <w:r>
              <w:rPr>
                <w:rFonts w:cs="Arial"/>
                <w:b/>
                <w:i/>
                <w:color w:val="000000"/>
              </w:rPr>
              <w:t>Anexo 7</w:t>
            </w:r>
          </w:p>
        </w:tc>
        <w:tc>
          <w:tcPr>
            <w:tcW w:w="2286" w:type="pct"/>
            <w:shd w:val="clear" w:color="auto" w:fill="auto"/>
            <w:vAlign w:val="center"/>
          </w:tcPr>
          <w:p w14:paraId="0C0D63CC" w14:textId="507DD53F" w:rsidR="00742B0C" w:rsidRDefault="00742B0C" w:rsidP="00055CFC">
            <w:pPr>
              <w:spacing w:before="0" w:after="0"/>
              <w:jc w:val="center"/>
              <w:rPr>
                <w:rFonts w:cs="Arial"/>
              </w:rPr>
            </w:pPr>
            <w:r>
              <w:rPr>
                <w:rFonts w:cs="Arial"/>
              </w:rPr>
              <w:t>Correo de consulta a la Dirección de Gestión Humana</w:t>
            </w:r>
          </w:p>
        </w:tc>
        <w:tc>
          <w:tcPr>
            <w:tcW w:w="1843" w:type="pct"/>
            <w:shd w:val="clear" w:color="auto" w:fill="auto"/>
            <w:vAlign w:val="center"/>
          </w:tcPr>
          <w:p w14:paraId="78BA3F48" w14:textId="77D7FCF0" w:rsidR="00742B0C" w:rsidRPr="008D2522" w:rsidRDefault="00E921CB" w:rsidP="00055CFC">
            <w:pPr>
              <w:spacing w:before="0" w:after="0"/>
              <w:jc w:val="center"/>
              <w:rPr>
                <w:rFonts w:cs="Arial"/>
              </w:rPr>
            </w:pPr>
            <w:r>
              <w:rPr>
                <w:rFonts w:cs="Arial"/>
              </w:rPr>
              <w:object w:dxaOrig="1508" w:dyaOrig="983" w14:anchorId="340F74C8">
                <v:shape id="_x0000_i1035" type="#_x0000_t75" style="width:76.8pt;height:51.6pt" o:ole="">
                  <v:imagedata r:id="rId46" o:title=""/>
                </v:shape>
                <o:OLEObject Type="Embed" ProgID="Package" ShapeID="_x0000_i1035" DrawAspect="Icon" ObjectID="_1655541022" r:id="rId47"/>
              </w:object>
            </w:r>
          </w:p>
        </w:tc>
      </w:tr>
      <w:tr w:rsidR="00742B0C" w:rsidRPr="008D2522" w14:paraId="2FBAAB85" w14:textId="77777777" w:rsidTr="2FF0FB19">
        <w:trPr>
          <w:tblCellSpacing w:w="1440" w:type="nil"/>
        </w:trPr>
        <w:tc>
          <w:tcPr>
            <w:tcW w:w="871" w:type="pct"/>
            <w:shd w:val="clear" w:color="auto" w:fill="auto"/>
            <w:vAlign w:val="center"/>
          </w:tcPr>
          <w:p w14:paraId="033CCE48" w14:textId="4155E3B3" w:rsidR="00742B0C" w:rsidRDefault="00742B0C" w:rsidP="00055CFC">
            <w:pPr>
              <w:spacing w:before="0" w:after="0"/>
              <w:jc w:val="center"/>
              <w:rPr>
                <w:rFonts w:cs="Arial"/>
                <w:b/>
                <w:i/>
                <w:color w:val="000000"/>
              </w:rPr>
            </w:pPr>
            <w:r>
              <w:rPr>
                <w:rFonts w:cs="Arial"/>
                <w:b/>
                <w:i/>
                <w:color w:val="000000"/>
              </w:rPr>
              <w:t>Anexo 8</w:t>
            </w:r>
          </w:p>
        </w:tc>
        <w:tc>
          <w:tcPr>
            <w:tcW w:w="2286" w:type="pct"/>
            <w:shd w:val="clear" w:color="auto" w:fill="auto"/>
            <w:vAlign w:val="center"/>
          </w:tcPr>
          <w:p w14:paraId="4EC261B8" w14:textId="17983027" w:rsidR="00742B0C" w:rsidRDefault="00742B0C" w:rsidP="00055CFC">
            <w:pPr>
              <w:spacing w:before="0" w:after="0"/>
              <w:jc w:val="center"/>
              <w:rPr>
                <w:rFonts w:cs="Arial"/>
              </w:rPr>
            </w:pPr>
            <w:r>
              <w:rPr>
                <w:rFonts w:cs="Arial"/>
              </w:rPr>
              <w:t>Datos Estadísticos facilitados por la Administración de la Defensa Pública</w:t>
            </w:r>
          </w:p>
        </w:tc>
        <w:tc>
          <w:tcPr>
            <w:tcW w:w="1843" w:type="pct"/>
            <w:shd w:val="clear" w:color="auto" w:fill="auto"/>
            <w:vAlign w:val="center"/>
          </w:tcPr>
          <w:p w14:paraId="122BA737" w14:textId="2D3CB71B" w:rsidR="00742B0C" w:rsidRPr="008D2522" w:rsidRDefault="00E921CB" w:rsidP="00055CFC">
            <w:pPr>
              <w:spacing w:before="0" w:after="0"/>
              <w:jc w:val="center"/>
              <w:rPr>
                <w:rFonts w:cs="Arial"/>
              </w:rPr>
            </w:pPr>
            <w:r>
              <w:rPr>
                <w:rFonts w:cs="Arial"/>
              </w:rPr>
              <w:object w:dxaOrig="1508" w:dyaOrig="983" w14:anchorId="0D494321">
                <v:shape id="_x0000_i1036" type="#_x0000_t75" style="width:76.8pt;height:51.6pt" o:ole="">
                  <v:imagedata r:id="rId48" o:title=""/>
                </v:shape>
                <o:OLEObject Type="Embed" ProgID="Package" ShapeID="_x0000_i1036" DrawAspect="Icon" ObjectID="_1655541023" r:id="rId49"/>
              </w:object>
            </w:r>
          </w:p>
        </w:tc>
      </w:tr>
      <w:tr w:rsidR="008E5C0F" w:rsidRPr="008D2522" w14:paraId="067981A7" w14:textId="77777777" w:rsidTr="2FF0FB19">
        <w:trPr>
          <w:tblCellSpacing w:w="1440" w:type="nil"/>
        </w:trPr>
        <w:tc>
          <w:tcPr>
            <w:tcW w:w="871" w:type="pct"/>
            <w:shd w:val="clear" w:color="auto" w:fill="auto"/>
            <w:vAlign w:val="center"/>
          </w:tcPr>
          <w:p w14:paraId="67E13610" w14:textId="3C3B72A5" w:rsidR="008E5C0F" w:rsidRDefault="008E5C0F" w:rsidP="00055CFC">
            <w:pPr>
              <w:spacing w:before="0" w:after="0"/>
              <w:jc w:val="center"/>
              <w:rPr>
                <w:rFonts w:cs="Arial"/>
                <w:b/>
                <w:i/>
                <w:color w:val="000000"/>
              </w:rPr>
            </w:pPr>
            <w:r>
              <w:rPr>
                <w:rFonts w:cs="Arial"/>
                <w:b/>
                <w:i/>
                <w:color w:val="000000"/>
              </w:rPr>
              <w:t>Anexo 9</w:t>
            </w:r>
          </w:p>
        </w:tc>
        <w:tc>
          <w:tcPr>
            <w:tcW w:w="2286" w:type="pct"/>
            <w:shd w:val="clear" w:color="auto" w:fill="auto"/>
            <w:vAlign w:val="center"/>
          </w:tcPr>
          <w:p w14:paraId="45E3F94D" w14:textId="084BF0EB" w:rsidR="008E5C0F" w:rsidRDefault="00F727CD" w:rsidP="00055CFC">
            <w:pPr>
              <w:spacing w:before="0" w:after="0"/>
              <w:jc w:val="center"/>
              <w:rPr>
                <w:rFonts w:cs="Arial"/>
              </w:rPr>
            </w:pPr>
            <w:r>
              <w:rPr>
                <w:rFonts w:cs="Arial"/>
              </w:rPr>
              <w:t xml:space="preserve">Reconsideraciones de la Defensa Pública </w:t>
            </w:r>
            <w:r w:rsidR="002A50CA" w:rsidRPr="002A50CA">
              <w:rPr>
                <w:rFonts w:cs="Arial"/>
              </w:rPr>
              <w:t>JEFDP-365-2020</w:t>
            </w:r>
            <w:r w:rsidR="002A50CA">
              <w:rPr>
                <w:rFonts w:cs="Arial"/>
              </w:rPr>
              <w:t xml:space="preserve"> </w:t>
            </w:r>
            <w:r w:rsidR="008748E1">
              <w:rPr>
                <w:rFonts w:cs="Arial"/>
              </w:rPr>
              <w:t xml:space="preserve">/ </w:t>
            </w:r>
            <w:r w:rsidR="008748E1" w:rsidRPr="008748E1">
              <w:rPr>
                <w:rFonts w:cs="Arial"/>
              </w:rPr>
              <w:t>JEFDP-450-2020</w:t>
            </w:r>
          </w:p>
        </w:tc>
        <w:bookmarkStart w:id="9" w:name="_MON_1650872619"/>
        <w:bookmarkEnd w:id="9"/>
        <w:tc>
          <w:tcPr>
            <w:tcW w:w="1843" w:type="pct"/>
            <w:shd w:val="clear" w:color="auto" w:fill="auto"/>
            <w:vAlign w:val="center"/>
          </w:tcPr>
          <w:p w14:paraId="55DFD19E" w14:textId="5D08924E" w:rsidR="008E5C0F" w:rsidRDefault="00775F89" w:rsidP="00055CFC">
            <w:pPr>
              <w:spacing w:before="0" w:after="0"/>
              <w:jc w:val="center"/>
              <w:rPr>
                <w:rFonts w:cs="Arial"/>
              </w:rPr>
            </w:pPr>
            <w:r>
              <w:rPr>
                <w:rFonts w:cs="Arial"/>
              </w:rPr>
              <w:object w:dxaOrig="1508" w:dyaOrig="983" w14:anchorId="3C27F3A4">
                <v:shape id="_x0000_i1037" type="#_x0000_t75" style="width:75.6pt;height:48.6pt" o:ole="">
                  <v:imagedata r:id="rId50" o:title=""/>
                </v:shape>
                <o:OLEObject Type="Embed" ProgID="Word.Document.8" ShapeID="_x0000_i1037" DrawAspect="Icon" ObjectID="_1655541024" r:id="rId51">
                  <o:FieldCodes>\s</o:FieldCodes>
                </o:OLEObject>
              </w:object>
            </w:r>
            <w:bookmarkStart w:id="10" w:name="_MON_1650873048"/>
            <w:bookmarkEnd w:id="10"/>
            <w:r w:rsidR="003C6F1D">
              <w:rPr>
                <w:rFonts w:cs="Arial"/>
              </w:rPr>
              <w:object w:dxaOrig="1508" w:dyaOrig="983" w14:anchorId="2CE19D3E">
                <v:shape id="_x0000_i1038" type="#_x0000_t75" style="width:75.6pt;height:48.6pt" o:ole="">
                  <v:imagedata r:id="rId52" o:title=""/>
                </v:shape>
                <o:OLEObject Type="Embed" ProgID="Word.Document.12" ShapeID="_x0000_i1038" DrawAspect="Icon" ObjectID="_1655541025" r:id="rId53">
                  <o:FieldCodes>\s</o:FieldCodes>
                </o:OLEObject>
              </w:object>
            </w:r>
          </w:p>
        </w:tc>
      </w:tr>
      <w:tr w:rsidR="00E36015" w:rsidRPr="008D2522" w14:paraId="13602880" w14:textId="77777777" w:rsidTr="2FF0FB19">
        <w:trPr>
          <w:tblCellSpacing w:w="1440" w:type="nil"/>
        </w:trPr>
        <w:tc>
          <w:tcPr>
            <w:tcW w:w="871" w:type="pct"/>
            <w:shd w:val="clear" w:color="auto" w:fill="auto"/>
            <w:vAlign w:val="center"/>
          </w:tcPr>
          <w:p w14:paraId="63E4B12D" w14:textId="638904F8" w:rsidR="00E36015" w:rsidRDefault="00E36015" w:rsidP="00055CFC">
            <w:pPr>
              <w:spacing w:before="0" w:after="0"/>
              <w:jc w:val="center"/>
              <w:rPr>
                <w:rFonts w:cs="Arial"/>
                <w:b/>
                <w:i/>
                <w:color w:val="000000"/>
              </w:rPr>
            </w:pPr>
            <w:r>
              <w:rPr>
                <w:rFonts w:cs="Arial"/>
                <w:b/>
                <w:i/>
                <w:color w:val="000000"/>
              </w:rPr>
              <w:t>Anexo 10</w:t>
            </w:r>
          </w:p>
        </w:tc>
        <w:tc>
          <w:tcPr>
            <w:tcW w:w="2286" w:type="pct"/>
            <w:shd w:val="clear" w:color="auto" w:fill="auto"/>
            <w:vAlign w:val="center"/>
          </w:tcPr>
          <w:p w14:paraId="576DFE96" w14:textId="6D2ACC61" w:rsidR="00E36015" w:rsidRDefault="00DB270D" w:rsidP="00055CFC">
            <w:pPr>
              <w:spacing w:before="0" w:after="0"/>
              <w:jc w:val="center"/>
              <w:rPr>
                <w:rFonts w:cs="Arial"/>
              </w:rPr>
            </w:pPr>
            <w:r>
              <w:rPr>
                <w:rFonts w:cs="Arial"/>
              </w:rPr>
              <w:t>Oficio 553-PLA-2020</w:t>
            </w:r>
          </w:p>
        </w:tc>
        <w:bookmarkStart w:id="11" w:name="_MON_1650957862"/>
        <w:bookmarkEnd w:id="11"/>
        <w:tc>
          <w:tcPr>
            <w:tcW w:w="1843" w:type="pct"/>
            <w:shd w:val="clear" w:color="auto" w:fill="auto"/>
            <w:vAlign w:val="center"/>
          </w:tcPr>
          <w:p w14:paraId="31CCA845" w14:textId="4CFB81AB" w:rsidR="00E36015" w:rsidRDefault="00F70135" w:rsidP="00055CFC">
            <w:pPr>
              <w:spacing w:before="0" w:after="0"/>
              <w:jc w:val="center"/>
              <w:rPr>
                <w:rFonts w:cs="Arial"/>
              </w:rPr>
            </w:pPr>
            <w:r>
              <w:rPr>
                <w:rFonts w:cs="Arial"/>
              </w:rPr>
              <w:object w:dxaOrig="1508" w:dyaOrig="983" w14:anchorId="6BDBA36D">
                <v:shape id="_x0000_i1039" type="#_x0000_t75" style="width:75.6pt;height:48.6pt" o:ole="">
                  <v:imagedata r:id="rId54" o:title=""/>
                </v:shape>
                <o:OLEObject Type="Embed" ProgID="Word.Document.12" ShapeID="_x0000_i1039" DrawAspect="Icon" ObjectID="_1655541026" r:id="rId55">
                  <o:FieldCodes>\s</o:FieldCodes>
                </o:OLEObject>
              </w:object>
            </w:r>
          </w:p>
        </w:tc>
      </w:tr>
      <w:tr w:rsidR="004F6E1F" w:rsidRPr="008D2522" w14:paraId="33E00962" w14:textId="77777777" w:rsidTr="2FF0FB19">
        <w:trPr>
          <w:tblCellSpacing w:w="1440" w:type="nil"/>
        </w:trPr>
        <w:tc>
          <w:tcPr>
            <w:tcW w:w="871" w:type="pct"/>
            <w:shd w:val="clear" w:color="auto" w:fill="auto"/>
            <w:vAlign w:val="center"/>
          </w:tcPr>
          <w:p w14:paraId="271C18FC" w14:textId="747ABB0F" w:rsidR="004F6E1F" w:rsidRDefault="004F6E1F" w:rsidP="00055CFC">
            <w:pPr>
              <w:spacing w:before="0" w:after="0"/>
              <w:jc w:val="center"/>
              <w:rPr>
                <w:rFonts w:cs="Arial"/>
                <w:b/>
                <w:i/>
                <w:color w:val="000000"/>
              </w:rPr>
            </w:pPr>
            <w:r>
              <w:rPr>
                <w:rFonts w:cs="Arial"/>
                <w:b/>
                <w:i/>
                <w:color w:val="000000"/>
              </w:rPr>
              <w:t>Anexo 11</w:t>
            </w:r>
          </w:p>
        </w:tc>
        <w:tc>
          <w:tcPr>
            <w:tcW w:w="2286" w:type="pct"/>
            <w:shd w:val="clear" w:color="auto" w:fill="auto"/>
            <w:vAlign w:val="center"/>
          </w:tcPr>
          <w:p w14:paraId="7BF750BD" w14:textId="2F382185" w:rsidR="004F6E1F" w:rsidRDefault="005C0939" w:rsidP="00055CFC">
            <w:pPr>
              <w:spacing w:before="0" w:after="0"/>
              <w:jc w:val="center"/>
              <w:rPr>
                <w:rFonts w:cs="Arial"/>
              </w:rPr>
            </w:pPr>
            <w:r>
              <w:rPr>
                <w:rFonts w:cs="Arial"/>
              </w:rPr>
              <w:t>Oficio 660-PLA-2020</w:t>
            </w:r>
          </w:p>
        </w:tc>
        <w:bookmarkStart w:id="12" w:name="_MON_1650958394"/>
        <w:bookmarkEnd w:id="12"/>
        <w:tc>
          <w:tcPr>
            <w:tcW w:w="1843" w:type="pct"/>
            <w:shd w:val="clear" w:color="auto" w:fill="auto"/>
            <w:vAlign w:val="center"/>
          </w:tcPr>
          <w:p w14:paraId="59E150A7" w14:textId="737504AC" w:rsidR="004F6E1F" w:rsidRDefault="005C0939" w:rsidP="00055CFC">
            <w:pPr>
              <w:spacing w:before="0" w:after="0"/>
              <w:jc w:val="center"/>
              <w:rPr>
                <w:rFonts w:cs="Arial"/>
              </w:rPr>
            </w:pPr>
            <w:r>
              <w:rPr>
                <w:rFonts w:cs="Arial"/>
              </w:rPr>
              <w:object w:dxaOrig="1508" w:dyaOrig="983" w14:anchorId="41BC8F04">
                <v:shape id="_x0000_i1040" type="#_x0000_t75" style="width:75.6pt;height:48.6pt" o:ole="">
                  <v:imagedata r:id="rId56" o:title=""/>
                </v:shape>
                <o:OLEObject Type="Embed" ProgID="Word.Document.12" ShapeID="_x0000_i1040" DrawAspect="Icon" ObjectID="_1655541027" r:id="rId57">
                  <o:FieldCodes>\s</o:FieldCodes>
                </o:OLEObject>
              </w:object>
            </w:r>
          </w:p>
        </w:tc>
      </w:tr>
      <w:tr w:rsidR="00B56659" w:rsidRPr="008D2522" w14:paraId="2562E5DF" w14:textId="77777777" w:rsidTr="2FF0FB19">
        <w:trPr>
          <w:tblCellSpacing w:w="1440" w:type="nil"/>
        </w:trPr>
        <w:tc>
          <w:tcPr>
            <w:tcW w:w="871" w:type="pct"/>
            <w:shd w:val="clear" w:color="auto" w:fill="auto"/>
            <w:vAlign w:val="center"/>
          </w:tcPr>
          <w:p w14:paraId="6FFC9D46" w14:textId="2F00FEA7" w:rsidR="00B56659" w:rsidRDefault="00B56659" w:rsidP="00055CFC">
            <w:pPr>
              <w:spacing w:before="0" w:after="0"/>
              <w:jc w:val="center"/>
              <w:rPr>
                <w:rFonts w:cs="Arial"/>
                <w:b/>
                <w:i/>
                <w:color w:val="000000"/>
              </w:rPr>
            </w:pPr>
            <w:r>
              <w:rPr>
                <w:rFonts w:cs="Arial"/>
                <w:b/>
                <w:i/>
                <w:color w:val="000000"/>
              </w:rPr>
              <w:lastRenderedPageBreak/>
              <w:t>Anexo 12</w:t>
            </w:r>
          </w:p>
        </w:tc>
        <w:tc>
          <w:tcPr>
            <w:tcW w:w="2286" w:type="pct"/>
            <w:shd w:val="clear" w:color="auto" w:fill="auto"/>
            <w:vAlign w:val="center"/>
          </w:tcPr>
          <w:p w14:paraId="492A7A58" w14:textId="54F61BE7" w:rsidR="00B56659" w:rsidRDefault="00D1797E" w:rsidP="00055CFC">
            <w:pPr>
              <w:spacing w:before="0" w:after="0"/>
              <w:jc w:val="center"/>
              <w:rPr>
                <w:rFonts w:cs="Arial"/>
              </w:rPr>
            </w:pPr>
            <w:r>
              <w:rPr>
                <w:rFonts w:cs="Arial"/>
              </w:rPr>
              <w:t>Oficio 659-PLA-2020</w:t>
            </w:r>
          </w:p>
        </w:tc>
        <w:bookmarkStart w:id="13" w:name="_MON_1650958288"/>
        <w:bookmarkEnd w:id="13"/>
        <w:tc>
          <w:tcPr>
            <w:tcW w:w="1843" w:type="pct"/>
            <w:shd w:val="clear" w:color="auto" w:fill="auto"/>
            <w:vAlign w:val="center"/>
          </w:tcPr>
          <w:p w14:paraId="7DA45BCE" w14:textId="6B41233B" w:rsidR="00B56659" w:rsidRDefault="003E6A06" w:rsidP="00055CFC">
            <w:pPr>
              <w:spacing w:before="0" w:after="0"/>
              <w:jc w:val="center"/>
              <w:rPr>
                <w:rFonts w:cs="Arial"/>
              </w:rPr>
            </w:pPr>
            <w:r>
              <w:rPr>
                <w:rFonts w:cs="Arial"/>
              </w:rPr>
              <w:object w:dxaOrig="1508" w:dyaOrig="983" w14:anchorId="35312314">
                <v:shape id="_x0000_i1041" type="#_x0000_t75" style="width:75.6pt;height:48.6pt" o:ole="">
                  <v:imagedata r:id="rId58" o:title=""/>
                </v:shape>
                <o:OLEObject Type="Embed" ProgID="Word.Document.12" ShapeID="_x0000_i1041" DrawAspect="Icon" ObjectID="_1655541028" r:id="rId59">
                  <o:FieldCodes>\s</o:FieldCodes>
                </o:OLEObject>
              </w:object>
            </w:r>
          </w:p>
        </w:tc>
      </w:tr>
      <w:tr w:rsidR="005C0939" w:rsidRPr="008D2522" w14:paraId="423C49AA" w14:textId="77777777" w:rsidTr="2FF0FB19">
        <w:trPr>
          <w:tblCellSpacing w:w="1440" w:type="nil"/>
        </w:trPr>
        <w:tc>
          <w:tcPr>
            <w:tcW w:w="871" w:type="pct"/>
            <w:shd w:val="clear" w:color="auto" w:fill="auto"/>
            <w:vAlign w:val="center"/>
          </w:tcPr>
          <w:p w14:paraId="506D31FD" w14:textId="7CB2335C" w:rsidR="005C0939" w:rsidRDefault="00155BFC" w:rsidP="00055CFC">
            <w:pPr>
              <w:spacing w:before="0" w:after="0"/>
              <w:jc w:val="center"/>
              <w:rPr>
                <w:rFonts w:cs="Arial"/>
                <w:b/>
                <w:i/>
                <w:color w:val="000000"/>
              </w:rPr>
            </w:pPr>
            <w:r>
              <w:rPr>
                <w:rFonts w:cs="Arial"/>
                <w:b/>
                <w:i/>
                <w:color w:val="000000"/>
              </w:rPr>
              <w:t>Anexo 13</w:t>
            </w:r>
          </w:p>
        </w:tc>
        <w:tc>
          <w:tcPr>
            <w:tcW w:w="2286" w:type="pct"/>
            <w:shd w:val="clear" w:color="auto" w:fill="auto"/>
            <w:vAlign w:val="center"/>
          </w:tcPr>
          <w:p w14:paraId="0823A549" w14:textId="18E97B2A" w:rsidR="005C0939" w:rsidRDefault="00155BFC" w:rsidP="00055CFC">
            <w:pPr>
              <w:spacing w:before="0" w:after="0"/>
              <w:jc w:val="center"/>
              <w:rPr>
                <w:rFonts w:cs="Arial"/>
              </w:rPr>
            </w:pPr>
            <w:r>
              <w:rPr>
                <w:rFonts w:cs="Arial"/>
              </w:rPr>
              <w:t>Oficio 661-PLA-2020</w:t>
            </w:r>
          </w:p>
        </w:tc>
        <w:bookmarkStart w:id="14" w:name="_MON_1650958634"/>
        <w:bookmarkEnd w:id="14"/>
        <w:tc>
          <w:tcPr>
            <w:tcW w:w="1843" w:type="pct"/>
            <w:shd w:val="clear" w:color="auto" w:fill="auto"/>
            <w:vAlign w:val="center"/>
          </w:tcPr>
          <w:p w14:paraId="5A8883FC" w14:textId="0BB1E063" w:rsidR="005C0939" w:rsidRDefault="00155BFC" w:rsidP="00055CFC">
            <w:pPr>
              <w:spacing w:before="0" w:after="0"/>
              <w:jc w:val="center"/>
              <w:rPr>
                <w:rFonts w:cs="Arial"/>
              </w:rPr>
            </w:pPr>
            <w:r>
              <w:rPr>
                <w:rFonts w:cs="Arial"/>
              </w:rPr>
              <w:object w:dxaOrig="1508" w:dyaOrig="983" w14:anchorId="41F9EA1D">
                <v:shape id="_x0000_i1042" type="#_x0000_t75" style="width:75.6pt;height:48.6pt" o:ole="">
                  <v:imagedata r:id="rId60" o:title=""/>
                </v:shape>
                <o:OLEObject Type="Embed" ProgID="Word.Document.12" ShapeID="_x0000_i1042" DrawAspect="Icon" ObjectID="_1655541029" r:id="rId61">
                  <o:FieldCodes>\s</o:FieldCodes>
                </o:OLEObject>
              </w:object>
            </w:r>
          </w:p>
        </w:tc>
      </w:tr>
      <w:tr w:rsidR="00320D9A" w:rsidRPr="008D2522" w14:paraId="1D9AF562" w14:textId="77777777" w:rsidTr="2FF0FB19">
        <w:trPr>
          <w:tblCellSpacing w:w="1440" w:type="nil"/>
        </w:trPr>
        <w:tc>
          <w:tcPr>
            <w:tcW w:w="871" w:type="pct"/>
            <w:shd w:val="clear" w:color="auto" w:fill="auto"/>
            <w:vAlign w:val="center"/>
          </w:tcPr>
          <w:p w14:paraId="6E044075" w14:textId="4C173043" w:rsidR="00320D9A" w:rsidRDefault="00320D9A" w:rsidP="00055CFC">
            <w:pPr>
              <w:spacing w:before="0" w:after="0"/>
              <w:jc w:val="center"/>
              <w:rPr>
                <w:rFonts w:cs="Arial"/>
                <w:b/>
                <w:i/>
                <w:color w:val="000000"/>
              </w:rPr>
            </w:pPr>
            <w:r>
              <w:rPr>
                <w:rFonts w:cs="Arial"/>
                <w:b/>
                <w:i/>
                <w:color w:val="000000"/>
              </w:rPr>
              <w:t>Anexo 14</w:t>
            </w:r>
          </w:p>
        </w:tc>
        <w:tc>
          <w:tcPr>
            <w:tcW w:w="2286" w:type="pct"/>
            <w:shd w:val="clear" w:color="auto" w:fill="auto"/>
            <w:vAlign w:val="center"/>
          </w:tcPr>
          <w:p w14:paraId="3429B47A" w14:textId="03649A45" w:rsidR="00320D9A" w:rsidRDefault="00320D9A" w:rsidP="00055CFC">
            <w:pPr>
              <w:spacing w:before="0" w:after="0"/>
              <w:jc w:val="center"/>
              <w:rPr>
                <w:rFonts w:cs="Arial"/>
              </w:rPr>
            </w:pPr>
            <w:r>
              <w:rPr>
                <w:rFonts w:cs="Arial"/>
              </w:rPr>
              <w:t>Oficio 692-PLA-2020</w:t>
            </w:r>
          </w:p>
        </w:tc>
        <w:bookmarkStart w:id="15" w:name="_MON_1650959226"/>
        <w:bookmarkEnd w:id="15"/>
        <w:tc>
          <w:tcPr>
            <w:tcW w:w="1843" w:type="pct"/>
            <w:shd w:val="clear" w:color="auto" w:fill="auto"/>
            <w:vAlign w:val="center"/>
          </w:tcPr>
          <w:p w14:paraId="3EFD7C6B" w14:textId="716797B1" w:rsidR="00320D9A" w:rsidRDefault="00C05575" w:rsidP="00055CFC">
            <w:pPr>
              <w:spacing w:before="0" w:after="0"/>
              <w:jc w:val="center"/>
              <w:rPr>
                <w:rFonts w:cs="Arial"/>
              </w:rPr>
            </w:pPr>
            <w:r>
              <w:rPr>
                <w:rFonts w:cs="Arial"/>
              </w:rPr>
              <w:object w:dxaOrig="1508" w:dyaOrig="983" w14:anchorId="2E334867">
                <v:shape id="_x0000_i1043" type="#_x0000_t75" style="width:75.6pt;height:48.6pt" o:ole="">
                  <v:imagedata r:id="rId62" o:title=""/>
                </v:shape>
                <o:OLEObject Type="Embed" ProgID="Word.Document.12" ShapeID="_x0000_i1043" DrawAspect="Icon" ObjectID="_1655541030" r:id="rId63">
                  <o:FieldCodes>\s</o:FieldCodes>
                </o:OLEObject>
              </w:object>
            </w:r>
          </w:p>
        </w:tc>
      </w:tr>
    </w:tbl>
    <w:p w14:paraId="03AAC697" w14:textId="77777777" w:rsidR="00A25E87" w:rsidRPr="008D2522" w:rsidRDefault="00A25E87" w:rsidP="00055CFC">
      <w:pPr>
        <w:spacing w:before="0" w:after="0"/>
        <w:rPr>
          <w:rFonts w:cs="Arial"/>
        </w:rPr>
      </w:pPr>
    </w:p>
    <w:sectPr w:rsidR="00A25E87" w:rsidRPr="008D2522" w:rsidSect="00C87400">
      <w:headerReference w:type="default" r:id="rId64"/>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81FFD" w14:textId="77777777" w:rsidR="00D86916" w:rsidRDefault="00D86916" w:rsidP="00F45BAC">
      <w:pPr>
        <w:spacing w:after="0" w:line="240" w:lineRule="auto"/>
      </w:pPr>
      <w:r>
        <w:separator/>
      </w:r>
    </w:p>
  </w:endnote>
  <w:endnote w:type="continuationSeparator" w:id="0">
    <w:p w14:paraId="1F1197BB" w14:textId="77777777" w:rsidR="00D86916" w:rsidRDefault="00D86916" w:rsidP="00F45BAC">
      <w:pPr>
        <w:spacing w:after="0" w:line="240" w:lineRule="auto"/>
      </w:pPr>
      <w:r>
        <w:continuationSeparator/>
      </w:r>
    </w:p>
  </w:endnote>
  <w:endnote w:type="continuationNotice" w:id="1">
    <w:p w14:paraId="13205E59" w14:textId="77777777" w:rsidR="00D86916" w:rsidRDefault="00D8691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54261" w14:textId="77777777" w:rsidR="00D86916" w:rsidRDefault="00D86916" w:rsidP="00F45BAC">
      <w:pPr>
        <w:spacing w:after="0" w:line="240" w:lineRule="auto"/>
      </w:pPr>
      <w:r>
        <w:separator/>
      </w:r>
    </w:p>
  </w:footnote>
  <w:footnote w:type="continuationSeparator" w:id="0">
    <w:p w14:paraId="26BA26D1" w14:textId="77777777" w:rsidR="00D86916" w:rsidRDefault="00D86916" w:rsidP="00F45BAC">
      <w:pPr>
        <w:spacing w:after="0" w:line="240" w:lineRule="auto"/>
      </w:pPr>
      <w:r>
        <w:continuationSeparator/>
      </w:r>
    </w:p>
  </w:footnote>
  <w:footnote w:type="continuationNotice" w:id="1">
    <w:p w14:paraId="3491F6A2" w14:textId="77777777" w:rsidR="00D86916" w:rsidRDefault="00D8691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EB42A" w14:textId="3E44A210" w:rsidR="00B017EE" w:rsidRPr="00CB2B4D" w:rsidRDefault="00B017EE" w:rsidP="00CB2B4D">
    <w:pPr>
      <w:tabs>
        <w:tab w:val="center" w:pos="8804"/>
        <w:tab w:val="right" w:pos="8875"/>
      </w:tabs>
      <w:spacing w:before="0" w:after="0" w:line="240" w:lineRule="auto"/>
      <w:jc w:val="center"/>
      <w:rPr>
        <w:rFonts w:ascii="Book Antiqua" w:eastAsia="Times New Roman" w:hAnsi="Book Antiqua" w:cs="Book Antiqua"/>
        <w:i/>
        <w:iCs/>
        <w:sz w:val="18"/>
        <w:szCs w:val="18"/>
        <w:lang w:eastAsia="es-ES"/>
      </w:rPr>
    </w:pPr>
    <w:bookmarkStart w:id="16" w:name="_Hlk4660870"/>
    <w:bookmarkStart w:id="17" w:name="_Hlk4660871"/>
    <w:r w:rsidRPr="2FF0FB19">
      <w:rPr>
        <w:rFonts w:ascii="Book Antiqua" w:eastAsia="Times New Roman" w:hAnsi="Book Antiqua" w:cs="Book Antiqua"/>
        <w:i/>
        <w:iCs/>
        <w:sz w:val="18"/>
        <w:szCs w:val="18"/>
        <w:lang w:eastAsia="es-ES"/>
      </w:rPr>
      <w:t xml:space="preserve">                Poder Judicial – Dirección de Planificación</w:t>
    </w:r>
    <w:r>
      <w:rPr>
        <w:noProof/>
      </w:rPr>
      <w:drawing>
        <wp:inline distT="0" distB="0" distL="0" distR="0" wp14:anchorId="207C1849" wp14:editId="34478CF1">
          <wp:extent cx="320675" cy="403860"/>
          <wp:effectExtent l="0" t="0" r="0" b="0"/>
          <wp:docPr id="1212768291" name="Imagen 12932844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93284483"/>
                  <pic:cNvPicPr/>
                </pic:nvPicPr>
                <pic:blipFill>
                  <a:blip r:embed="rId1">
                    <a:extLst>
                      <a:ext uri="{28A0092B-C50C-407E-A947-70E740481C1C}">
                        <a14:useLocalDpi xmlns:a14="http://schemas.microsoft.com/office/drawing/2010/main" val="0"/>
                      </a:ext>
                    </a:extLst>
                  </a:blip>
                  <a:stretch>
                    <a:fillRect/>
                  </a:stretch>
                </pic:blipFill>
                <pic:spPr>
                  <a:xfrm>
                    <a:off x="0" y="0"/>
                    <a:ext cx="320675" cy="403860"/>
                  </a:xfrm>
                  <a:prstGeom prst="rect">
                    <a:avLst/>
                  </a:prstGeom>
                </pic:spPr>
              </pic:pic>
            </a:graphicData>
          </a:graphic>
        </wp:inline>
      </w:drawing>
    </w:r>
  </w:p>
  <w:p w14:paraId="42926655" w14:textId="77777777" w:rsidR="00B017EE" w:rsidRPr="00CB2B4D" w:rsidRDefault="00B017EE" w:rsidP="00CB2B4D">
    <w:pPr>
      <w:tabs>
        <w:tab w:val="center" w:pos="4252"/>
        <w:tab w:val="right" w:pos="8875"/>
      </w:tabs>
      <w:spacing w:before="0" w:after="0" w:line="240" w:lineRule="auto"/>
      <w:jc w:val="center"/>
      <w:rPr>
        <w:rFonts w:ascii="Book Antiqua" w:eastAsia="Times New Roman" w:hAnsi="Book Antiqua" w:cs="Book Antiqua"/>
        <w:i/>
        <w:iCs/>
        <w:sz w:val="18"/>
        <w:szCs w:val="18"/>
        <w:lang w:eastAsia="es-ES"/>
      </w:rPr>
    </w:pPr>
    <w:r w:rsidRPr="00CB2B4D">
      <w:rPr>
        <w:rFonts w:ascii="Book Antiqua" w:eastAsia="Times New Roman" w:hAnsi="Book Antiqua" w:cs="Book Antiqua"/>
        <w:i/>
        <w:iCs/>
        <w:sz w:val="18"/>
        <w:szCs w:val="18"/>
        <w:lang w:eastAsia="es-ES"/>
      </w:rPr>
      <w:t>San José - Costa Rica</w:t>
    </w:r>
  </w:p>
  <w:p w14:paraId="056C91C4" w14:textId="77777777" w:rsidR="00B017EE" w:rsidRPr="00CB2B4D" w:rsidRDefault="00B017EE" w:rsidP="00CB2B4D">
    <w:pPr>
      <w:tabs>
        <w:tab w:val="center" w:pos="4252"/>
        <w:tab w:val="right" w:pos="8504"/>
      </w:tabs>
      <w:spacing w:before="0" w:after="0" w:line="240" w:lineRule="auto"/>
      <w:jc w:val="center"/>
      <w:rPr>
        <w:rFonts w:ascii="Times New Roman" w:eastAsia="Times New Roman" w:hAnsi="Times New Roman"/>
        <w:sz w:val="20"/>
        <w:szCs w:val="20"/>
        <w:lang w:val="en-US" w:eastAsia="es-ES"/>
      </w:rPr>
    </w:pPr>
    <w:r w:rsidRPr="00CB2B4D">
      <w:rPr>
        <w:rFonts w:ascii="Book Antiqua" w:eastAsia="Times New Roman" w:hAnsi="Book Antiqua" w:cs="Book Antiqua"/>
        <w:i/>
        <w:iCs/>
        <w:sz w:val="18"/>
        <w:szCs w:val="18"/>
        <w:lang w:val="es-ES" w:eastAsia="es-ES"/>
      </w:rPr>
      <w:t xml:space="preserve">Telf.   </w:t>
    </w:r>
    <w:r w:rsidRPr="00CB2B4D">
      <w:rPr>
        <w:rFonts w:ascii="Book Antiqua" w:eastAsia="Times New Roman" w:hAnsi="Book Antiqua" w:cs="Book Antiqua"/>
        <w:i/>
        <w:iCs/>
        <w:sz w:val="18"/>
        <w:szCs w:val="18"/>
        <w:lang w:val="en-US" w:eastAsia="es-ES"/>
      </w:rPr>
      <w:t xml:space="preserve">2295-3600 / 3599 Fax. 2257-5633   / </w:t>
    </w:r>
    <w:proofErr w:type="spellStart"/>
    <w:r w:rsidRPr="00CB2B4D">
      <w:rPr>
        <w:rFonts w:ascii="Book Antiqua" w:eastAsia="Times New Roman" w:hAnsi="Book Antiqua" w:cs="Book Antiqua"/>
        <w:i/>
        <w:iCs/>
        <w:sz w:val="18"/>
        <w:szCs w:val="18"/>
        <w:lang w:val="en-US" w:eastAsia="es-ES"/>
      </w:rPr>
      <w:t>Apdo</w:t>
    </w:r>
    <w:proofErr w:type="spellEnd"/>
    <w:r w:rsidRPr="00CB2B4D">
      <w:rPr>
        <w:rFonts w:ascii="Book Antiqua" w:eastAsia="Times New Roman" w:hAnsi="Book Antiqua" w:cs="Book Antiqua"/>
        <w:i/>
        <w:iCs/>
        <w:sz w:val="18"/>
        <w:szCs w:val="18"/>
        <w:lang w:val="en-US" w:eastAsia="es-ES"/>
      </w:rPr>
      <w:t>.  95-1003 / planificacion@poder-judicial.go.cr</w:t>
    </w:r>
  </w:p>
  <w:bookmarkEnd w:id="16"/>
  <w:bookmarkEnd w:id="17"/>
  <w:p w14:paraId="3120B93C" w14:textId="77777777" w:rsidR="00B017EE" w:rsidRPr="00CB2B4D" w:rsidRDefault="00B017EE" w:rsidP="00CB2B4D">
    <w:pPr>
      <w:pBdr>
        <w:bottom w:val="single" w:sz="6" w:space="0" w:color="auto"/>
      </w:pBdr>
      <w:spacing w:before="0" w:after="20" w:line="240" w:lineRule="auto"/>
      <w:jc w:val="center"/>
      <w:rPr>
        <w:rFonts w:ascii="Times New Roman" w:eastAsia="Times New Roman" w:hAnsi="Times New Roman"/>
        <w:sz w:val="20"/>
        <w:szCs w:val="20"/>
        <w:lang w:val="en-US" w:eastAsia="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6B51"/>
    <w:multiLevelType w:val="hybridMultilevel"/>
    <w:tmpl w:val="A2DAF0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C0F453B"/>
    <w:multiLevelType w:val="hybridMultilevel"/>
    <w:tmpl w:val="62A6EF7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CB52949"/>
    <w:multiLevelType w:val="hybridMultilevel"/>
    <w:tmpl w:val="EEA8459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0FE0523"/>
    <w:multiLevelType w:val="hybridMultilevel"/>
    <w:tmpl w:val="6F464678"/>
    <w:lvl w:ilvl="0" w:tplc="F7866CB0">
      <w:start w:val="1"/>
      <w:numFmt w:val="bullet"/>
      <w:lvlText w:val=""/>
      <w:lvlJc w:val="left"/>
      <w:pPr>
        <w:ind w:left="720" w:hanging="360"/>
      </w:pPr>
      <w:rPr>
        <w:rFonts w:ascii="Symbol" w:hAnsi="Symbol" w:hint="default"/>
      </w:rPr>
    </w:lvl>
    <w:lvl w:ilvl="1" w:tplc="FAF675DC">
      <w:start w:val="1"/>
      <w:numFmt w:val="bullet"/>
      <w:lvlText w:val="o"/>
      <w:lvlJc w:val="left"/>
      <w:pPr>
        <w:ind w:left="1440" w:hanging="360"/>
      </w:pPr>
      <w:rPr>
        <w:rFonts w:ascii="Courier New" w:hAnsi="Courier New" w:hint="default"/>
      </w:rPr>
    </w:lvl>
    <w:lvl w:ilvl="2" w:tplc="0380C7BE">
      <w:start w:val="1"/>
      <w:numFmt w:val="bullet"/>
      <w:lvlText w:val=""/>
      <w:lvlJc w:val="left"/>
      <w:pPr>
        <w:ind w:left="2160" w:hanging="360"/>
      </w:pPr>
      <w:rPr>
        <w:rFonts w:ascii="Wingdings" w:hAnsi="Wingdings" w:hint="default"/>
      </w:rPr>
    </w:lvl>
    <w:lvl w:ilvl="3" w:tplc="7D82527A">
      <w:start w:val="1"/>
      <w:numFmt w:val="bullet"/>
      <w:lvlText w:val=""/>
      <w:lvlJc w:val="left"/>
      <w:pPr>
        <w:ind w:left="2880" w:hanging="360"/>
      </w:pPr>
      <w:rPr>
        <w:rFonts w:ascii="Symbol" w:hAnsi="Symbol" w:hint="default"/>
      </w:rPr>
    </w:lvl>
    <w:lvl w:ilvl="4" w:tplc="9ED4A948">
      <w:start w:val="1"/>
      <w:numFmt w:val="bullet"/>
      <w:lvlText w:val="o"/>
      <w:lvlJc w:val="left"/>
      <w:pPr>
        <w:ind w:left="3600" w:hanging="360"/>
      </w:pPr>
      <w:rPr>
        <w:rFonts w:ascii="Courier New" w:hAnsi="Courier New" w:hint="default"/>
      </w:rPr>
    </w:lvl>
    <w:lvl w:ilvl="5" w:tplc="BA1EB518">
      <w:start w:val="1"/>
      <w:numFmt w:val="bullet"/>
      <w:lvlText w:val=""/>
      <w:lvlJc w:val="left"/>
      <w:pPr>
        <w:ind w:left="4320" w:hanging="360"/>
      </w:pPr>
      <w:rPr>
        <w:rFonts w:ascii="Wingdings" w:hAnsi="Wingdings" w:hint="default"/>
      </w:rPr>
    </w:lvl>
    <w:lvl w:ilvl="6" w:tplc="C95C5854">
      <w:start w:val="1"/>
      <w:numFmt w:val="bullet"/>
      <w:lvlText w:val=""/>
      <w:lvlJc w:val="left"/>
      <w:pPr>
        <w:ind w:left="5040" w:hanging="360"/>
      </w:pPr>
      <w:rPr>
        <w:rFonts w:ascii="Symbol" w:hAnsi="Symbol" w:hint="default"/>
      </w:rPr>
    </w:lvl>
    <w:lvl w:ilvl="7" w:tplc="09706EF8">
      <w:start w:val="1"/>
      <w:numFmt w:val="bullet"/>
      <w:lvlText w:val="o"/>
      <w:lvlJc w:val="left"/>
      <w:pPr>
        <w:ind w:left="5760" w:hanging="360"/>
      </w:pPr>
      <w:rPr>
        <w:rFonts w:ascii="Courier New" w:hAnsi="Courier New" w:hint="default"/>
      </w:rPr>
    </w:lvl>
    <w:lvl w:ilvl="8" w:tplc="B4129398">
      <w:start w:val="1"/>
      <w:numFmt w:val="bullet"/>
      <w:lvlText w:val=""/>
      <w:lvlJc w:val="left"/>
      <w:pPr>
        <w:ind w:left="6480" w:hanging="360"/>
      </w:pPr>
      <w:rPr>
        <w:rFonts w:ascii="Wingdings" w:hAnsi="Wingdings" w:hint="default"/>
      </w:rPr>
    </w:lvl>
  </w:abstractNum>
  <w:abstractNum w:abstractNumId="4" w15:restartNumberingAfterBreak="0">
    <w:nsid w:val="11046E6A"/>
    <w:multiLevelType w:val="hybridMultilevel"/>
    <w:tmpl w:val="300A6D4C"/>
    <w:lvl w:ilvl="0" w:tplc="844240CE">
      <w:start w:val="1"/>
      <w:numFmt w:val="bullet"/>
      <w:lvlText w:val=""/>
      <w:lvlJc w:val="left"/>
      <w:pPr>
        <w:ind w:left="720" w:hanging="360"/>
      </w:pPr>
      <w:rPr>
        <w:rFonts w:ascii="Symbol" w:hAnsi="Symbol" w:hint="default"/>
      </w:rPr>
    </w:lvl>
    <w:lvl w:ilvl="1" w:tplc="ADBCACC2">
      <w:start w:val="1"/>
      <w:numFmt w:val="bullet"/>
      <w:lvlText w:val="o"/>
      <w:lvlJc w:val="left"/>
      <w:pPr>
        <w:ind w:left="1440" w:hanging="360"/>
      </w:pPr>
      <w:rPr>
        <w:rFonts w:ascii="Courier New" w:hAnsi="Courier New" w:hint="default"/>
      </w:rPr>
    </w:lvl>
    <w:lvl w:ilvl="2" w:tplc="000895C2">
      <w:start w:val="1"/>
      <w:numFmt w:val="bullet"/>
      <w:lvlText w:val=""/>
      <w:lvlJc w:val="left"/>
      <w:pPr>
        <w:ind w:left="2160" w:hanging="360"/>
      </w:pPr>
      <w:rPr>
        <w:rFonts w:ascii="Wingdings" w:hAnsi="Wingdings" w:hint="default"/>
      </w:rPr>
    </w:lvl>
    <w:lvl w:ilvl="3" w:tplc="AF246B4E">
      <w:start w:val="1"/>
      <w:numFmt w:val="bullet"/>
      <w:lvlText w:val=""/>
      <w:lvlJc w:val="left"/>
      <w:pPr>
        <w:ind w:left="2880" w:hanging="360"/>
      </w:pPr>
      <w:rPr>
        <w:rFonts w:ascii="Symbol" w:hAnsi="Symbol" w:hint="default"/>
      </w:rPr>
    </w:lvl>
    <w:lvl w:ilvl="4" w:tplc="0AD62290">
      <w:start w:val="1"/>
      <w:numFmt w:val="bullet"/>
      <w:lvlText w:val="o"/>
      <w:lvlJc w:val="left"/>
      <w:pPr>
        <w:ind w:left="3600" w:hanging="360"/>
      </w:pPr>
      <w:rPr>
        <w:rFonts w:ascii="Courier New" w:hAnsi="Courier New" w:hint="default"/>
      </w:rPr>
    </w:lvl>
    <w:lvl w:ilvl="5" w:tplc="3D00A8A6">
      <w:start w:val="1"/>
      <w:numFmt w:val="bullet"/>
      <w:lvlText w:val=""/>
      <w:lvlJc w:val="left"/>
      <w:pPr>
        <w:ind w:left="4320" w:hanging="360"/>
      </w:pPr>
      <w:rPr>
        <w:rFonts w:ascii="Wingdings" w:hAnsi="Wingdings" w:hint="default"/>
      </w:rPr>
    </w:lvl>
    <w:lvl w:ilvl="6" w:tplc="6B3418CA">
      <w:start w:val="1"/>
      <w:numFmt w:val="bullet"/>
      <w:lvlText w:val=""/>
      <w:lvlJc w:val="left"/>
      <w:pPr>
        <w:ind w:left="5040" w:hanging="360"/>
      </w:pPr>
      <w:rPr>
        <w:rFonts w:ascii="Symbol" w:hAnsi="Symbol" w:hint="default"/>
      </w:rPr>
    </w:lvl>
    <w:lvl w:ilvl="7" w:tplc="4A96F11E">
      <w:start w:val="1"/>
      <w:numFmt w:val="bullet"/>
      <w:lvlText w:val="o"/>
      <w:lvlJc w:val="left"/>
      <w:pPr>
        <w:ind w:left="5760" w:hanging="360"/>
      </w:pPr>
      <w:rPr>
        <w:rFonts w:ascii="Courier New" w:hAnsi="Courier New" w:hint="default"/>
      </w:rPr>
    </w:lvl>
    <w:lvl w:ilvl="8" w:tplc="8C4828EE">
      <w:start w:val="1"/>
      <w:numFmt w:val="bullet"/>
      <w:lvlText w:val=""/>
      <w:lvlJc w:val="left"/>
      <w:pPr>
        <w:ind w:left="6480" w:hanging="360"/>
      </w:pPr>
      <w:rPr>
        <w:rFonts w:ascii="Wingdings" w:hAnsi="Wingdings" w:hint="default"/>
      </w:rPr>
    </w:lvl>
  </w:abstractNum>
  <w:abstractNum w:abstractNumId="5" w15:restartNumberingAfterBreak="0">
    <w:nsid w:val="15E05A02"/>
    <w:multiLevelType w:val="multilevel"/>
    <w:tmpl w:val="A408555C"/>
    <w:lvl w:ilvl="0">
      <w:start w:val="6"/>
      <w:numFmt w:val="decimal"/>
      <w:lvlText w:val="%1"/>
      <w:lvlJc w:val="left"/>
      <w:pPr>
        <w:ind w:left="360" w:hanging="360"/>
      </w:pPr>
      <w:rPr>
        <w:rFonts w:hint="default"/>
      </w:rPr>
    </w:lvl>
    <w:lvl w:ilvl="1">
      <w:start w:val="1"/>
      <w:numFmt w:val="decimal"/>
      <w:lvlText w:val="%1.%2"/>
      <w:lvlJc w:val="left"/>
      <w:pPr>
        <w:ind w:left="607" w:hanging="360"/>
      </w:pPr>
      <w:rPr>
        <w:rFonts w:hint="default"/>
      </w:rPr>
    </w:lvl>
    <w:lvl w:ilvl="2">
      <w:start w:val="1"/>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529" w:hanging="1800"/>
      </w:pPr>
      <w:rPr>
        <w:rFonts w:hint="default"/>
      </w:rPr>
    </w:lvl>
    <w:lvl w:ilvl="8">
      <w:start w:val="1"/>
      <w:numFmt w:val="decimal"/>
      <w:lvlText w:val="%1.%2.%3.%4.%5.%6.%7.%8.%9"/>
      <w:lvlJc w:val="left"/>
      <w:pPr>
        <w:ind w:left="3776" w:hanging="1800"/>
      </w:pPr>
      <w:rPr>
        <w:rFonts w:hint="default"/>
      </w:rPr>
    </w:lvl>
  </w:abstractNum>
  <w:abstractNum w:abstractNumId="6" w15:restartNumberingAfterBreak="0">
    <w:nsid w:val="16416336"/>
    <w:multiLevelType w:val="multilevel"/>
    <w:tmpl w:val="3586C7C8"/>
    <w:lvl w:ilvl="0">
      <w:start w:val="1"/>
      <w:numFmt w:val="upperRoman"/>
      <w:pStyle w:val="Ttulo1"/>
      <w:lvlText w:val="%1."/>
      <w:lvlJc w:val="left"/>
      <w:pPr>
        <w:ind w:left="0" w:firstLine="0"/>
      </w:pPr>
    </w:lvl>
    <w:lvl w:ilvl="1">
      <w:start w:val="1"/>
      <w:numFmt w:val="lowerLetter"/>
      <w:pStyle w:val="Ttulo2"/>
      <w:lvlText w:val="%2."/>
      <w:lvlJc w:val="left"/>
      <w:pPr>
        <w:ind w:left="720" w:firstLine="0"/>
      </w:pPr>
    </w:lvl>
    <w:lvl w:ilvl="2">
      <w:start w:val="1"/>
      <w:numFmt w:val="decimal"/>
      <w:lvlText w:val="%3."/>
      <w:lvlJc w:val="left"/>
      <w:pPr>
        <w:ind w:left="1440" w:firstLine="0"/>
      </w:pPr>
    </w:lvl>
    <w:lvl w:ilvl="3">
      <w:start w:val="1"/>
      <w:numFmt w:val="lowerLetter"/>
      <w:pStyle w:val="Ttulo4"/>
      <w:lvlText w:val="%4)"/>
      <w:lvlJc w:val="left"/>
      <w:pPr>
        <w:ind w:left="2160" w:firstLine="0"/>
      </w:pPr>
    </w:lvl>
    <w:lvl w:ilvl="4">
      <w:start w:val="1"/>
      <w:numFmt w:val="decimal"/>
      <w:pStyle w:val="Ttulo5"/>
      <w:lvlText w:val="(%5)"/>
      <w:lvlJc w:val="left"/>
      <w:pPr>
        <w:ind w:left="2880" w:firstLine="0"/>
      </w:pPr>
    </w:lvl>
    <w:lvl w:ilvl="5">
      <w:start w:val="1"/>
      <w:numFmt w:val="lowerLetter"/>
      <w:pStyle w:val="Ttulo6"/>
      <w:lvlText w:val="(%6)"/>
      <w:lvlJc w:val="left"/>
      <w:pPr>
        <w:ind w:left="3600" w:firstLine="0"/>
      </w:pPr>
    </w:lvl>
    <w:lvl w:ilvl="6">
      <w:start w:val="1"/>
      <w:numFmt w:val="lowerRoman"/>
      <w:pStyle w:val="Ttulo7"/>
      <w:lvlText w:val="(%7)"/>
      <w:lvlJc w:val="left"/>
      <w:pPr>
        <w:ind w:left="4320" w:firstLine="0"/>
      </w:pPr>
    </w:lvl>
    <w:lvl w:ilvl="7">
      <w:start w:val="1"/>
      <w:numFmt w:val="lowerLetter"/>
      <w:pStyle w:val="Ttulo8"/>
      <w:lvlText w:val="(%8)"/>
      <w:lvlJc w:val="left"/>
      <w:pPr>
        <w:ind w:left="5040" w:firstLine="0"/>
      </w:pPr>
    </w:lvl>
    <w:lvl w:ilvl="8">
      <w:start w:val="1"/>
      <w:numFmt w:val="lowerRoman"/>
      <w:pStyle w:val="Ttulo9"/>
      <w:lvlText w:val="(%9)"/>
      <w:lvlJc w:val="left"/>
      <w:pPr>
        <w:ind w:left="5760" w:firstLine="0"/>
      </w:pPr>
    </w:lvl>
  </w:abstractNum>
  <w:abstractNum w:abstractNumId="7" w15:restartNumberingAfterBreak="0">
    <w:nsid w:val="1CAA4997"/>
    <w:multiLevelType w:val="hybridMultilevel"/>
    <w:tmpl w:val="C82498F6"/>
    <w:lvl w:ilvl="0" w:tplc="C052ADA2">
      <w:start w:val="1"/>
      <w:numFmt w:val="bullet"/>
      <w:lvlText w:val=""/>
      <w:lvlJc w:val="left"/>
      <w:pPr>
        <w:ind w:left="720" w:hanging="360"/>
      </w:pPr>
      <w:rPr>
        <w:rFonts w:ascii="Symbol" w:hAnsi="Symbol" w:hint="default"/>
      </w:rPr>
    </w:lvl>
    <w:lvl w:ilvl="1" w:tplc="C3D0BBDC">
      <w:start w:val="1"/>
      <w:numFmt w:val="bullet"/>
      <w:lvlText w:val="o"/>
      <w:lvlJc w:val="left"/>
      <w:pPr>
        <w:ind w:left="1440" w:hanging="360"/>
      </w:pPr>
      <w:rPr>
        <w:rFonts w:ascii="Courier New" w:hAnsi="Courier New" w:hint="default"/>
      </w:rPr>
    </w:lvl>
    <w:lvl w:ilvl="2" w:tplc="8D7076AA">
      <w:start w:val="1"/>
      <w:numFmt w:val="bullet"/>
      <w:lvlText w:val=""/>
      <w:lvlJc w:val="left"/>
      <w:pPr>
        <w:ind w:left="2160" w:hanging="360"/>
      </w:pPr>
      <w:rPr>
        <w:rFonts w:ascii="Wingdings" w:hAnsi="Wingdings" w:hint="default"/>
      </w:rPr>
    </w:lvl>
    <w:lvl w:ilvl="3" w:tplc="F58EF908">
      <w:start w:val="1"/>
      <w:numFmt w:val="bullet"/>
      <w:lvlText w:val=""/>
      <w:lvlJc w:val="left"/>
      <w:pPr>
        <w:ind w:left="2880" w:hanging="360"/>
      </w:pPr>
      <w:rPr>
        <w:rFonts w:ascii="Symbol" w:hAnsi="Symbol" w:hint="default"/>
      </w:rPr>
    </w:lvl>
    <w:lvl w:ilvl="4" w:tplc="28CA3AA2">
      <w:start w:val="1"/>
      <w:numFmt w:val="bullet"/>
      <w:lvlText w:val="o"/>
      <w:lvlJc w:val="left"/>
      <w:pPr>
        <w:ind w:left="3600" w:hanging="360"/>
      </w:pPr>
      <w:rPr>
        <w:rFonts w:ascii="Courier New" w:hAnsi="Courier New" w:hint="default"/>
      </w:rPr>
    </w:lvl>
    <w:lvl w:ilvl="5" w:tplc="E6D0561C">
      <w:start w:val="1"/>
      <w:numFmt w:val="bullet"/>
      <w:lvlText w:val=""/>
      <w:lvlJc w:val="left"/>
      <w:pPr>
        <w:ind w:left="4320" w:hanging="360"/>
      </w:pPr>
      <w:rPr>
        <w:rFonts w:ascii="Wingdings" w:hAnsi="Wingdings" w:hint="default"/>
      </w:rPr>
    </w:lvl>
    <w:lvl w:ilvl="6" w:tplc="EA8A4DDC">
      <w:start w:val="1"/>
      <w:numFmt w:val="bullet"/>
      <w:lvlText w:val=""/>
      <w:lvlJc w:val="left"/>
      <w:pPr>
        <w:ind w:left="5040" w:hanging="360"/>
      </w:pPr>
      <w:rPr>
        <w:rFonts w:ascii="Symbol" w:hAnsi="Symbol" w:hint="default"/>
      </w:rPr>
    </w:lvl>
    <w:lvl w:ilvl="7" w:tplc="899235D4">
      <w:start w:val="1"/>
      <w:numFmt w:val="bullet"/>
      <w:lvlText w:val="o"/>
      <w:lvlJc w:val="left"/>
      <w:pPr>
        <w:ind w:left="5760" w:hanging="360"/>
      </w:pPr>
      <w:rPr>
        <w:rFonts w:ascii="Courier New" w:hAnsi="Courier New" w:hint="default"/>
      </w:rPr>
    </w:lvl>
    <w:lvl w:ilvl="8" w:tplc="5A107EDA">
      <w:start w:val="1"/>
      <w:numFmt w:val="bullet"/>
      <w:lvlText w:val=""/>
      <w:lvlJc w:val="left"/>
      <w:pPr>
        <w:ind w:left="6480" w:hanging="360"/>
      </w:pPr>
      <w:rPr>
        <w:rFonts w:ascii="Wingdings" w:hAnsi="Wingdings" w:hint="default"/>
      </w:rPr>
    </w:lvl>
  </w:abstractNum>
  <w:abstractNum w:abstractNumId="8" w15:restartNumberingAfterBreak="0">
    <w:nsid w:val="1FCB59F3"/>
    <w:multiLevelType w:val="hybridMultilevel"/>
    <w:tmpl w:val="5A2243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1CF38D6"/>
    <w:multiLevelType w:val="hybridMultilevel"/>
    <w:tmpl w:val="6B2C0AB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0" w15:restartNumberingAfterBreak="0">
    <w:nsid w:val="23D269AD"/>
    <w:multiLevelType w:val="hybridMultilevel"/>
    <w:tmpl w:val="FC4EF12C"/>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1" w15:restartNumberingAfterBreak="0">
    <w:nsid w:val="2DD571CF"/>
    <w:multiLevelType w:val="multilevel"/>
    <w:tmpl w:val="E6200F60"/>
    <w:lvl w:ilvl="0">
      <w:start w:val="6"/>
      <w:numFmt w:val="decimal"/>
      <w:lvlText w:val="%1"/>
      <w:lvlJc w:val="left"/>
      <w:pPr>
        <w:ind w:left="360" w:hanging="360"/>
      </w:pPr>
      <w:rPr>
        <w:rFonts w:hint="default"/>
      </w:rPr>
    </w:lvl>
    <w:lvl w:ilvl="1">
      <w:start w:val="4"/>
      <w:numFmt w:val="decimal"/>
      <w:lvlText w:val="%1.%2"/>
      <w:lvlJc w:val="left"/>
      <w:pPr>
        <w:ind w:left="967" w:hanging="36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6049" w:hanging="1800"/>
      </w:pPr>
      <w:rPr>
        <w:rFonts w:hint="default"/>
      </w:rPr>
    </w:lvl>
    <w:lvl w:ilvl="8">
      <w:start w:val="1"/>
      <w:numFmt w:val="decimal"/>
      <w:lvlText w:val="%1.%2.%3.%4.%5.%6.%7.%8.%9"/>
      <w:lvlJc w:val="left"/>
      <w:pPr>
        <w:ind w:left="6656" w:hanging="1800"/>
      </w:pPr>
      <w:rPr>
        <w:rFonts w:hint="default"/>
      </w:rPr>
    </w:lvl>
  </w:abstractNum>
  <w:abstractNum w:abstractNumId="12" w15:restartNumberingAfterBreak="0">
    <w:nsid w:val="31530400"/>
    <w:multiLevelType w:val="hybridMultilevel"/>
    <w:tmpl w:val="6A269D1E"/>
    <w:lvl w:ilvl="0" w:tplc="27486280">
      <w:start w:val="1"/>
      <w:numFmt w:val="bullet"/>
      <w:lvlText w:val=""/>
      <w:lvlJc w:val="left"/>
      <w:pPr>
        <w:ind w:left="720" w:hanging="360"/>
      </w:pPr>
      <w:rPr>
        <w:rFonts w:ascii="Symbol" w:hAnsi="Symbol" w:hint="default"/>
      </w:rPr>
    </w:lvl>
    <w:lvl w:ilvl="1" w:tplc="66B81AAA">
      <w:start w:val="1"/>
      <w:numFmt w:val="bullet"/>
      <w:lvlText w:val="o"/>
      <w:lvlJc w:val="left"/>
      <w:pPr>
        <w:ind w:left="1440" w:hanging="360"/>
      </w:pPr>
      <w:rPr>
        <w:rFonts w:ascii="Courier New" w:hAnsi="Courier New" w:hint="default"/>
      </w:rPr>
    </w:lvl>
    <w:lvl w:ilvl="2" w:tplc="6E900078">
      <w:start w:val="1"/>
      <w:numFmt w:val="bullet"/>
      <w:lvlText w:val=""/>
      <w:lvlJc w:val="left"/>
      <w:pPr>
        <w:ind w:left="2160" w:hanging="360"/>
      </w:pPr>
      <w:rPr>
        <w:rFonts w:ascii="Wingdings" w:hAnsi="Wingdings" w:hint="default"/>
      </w:rPr>
    </w:lvl>
    <w:lvl w:ilvl="3" w:tplc="4C888F72">
      <w:start w:val="1"/>
      <w:numFmt w:val="bullet"/>
      <w:lvlText w:val=""/>
      <w:lvlJc w:val="left"/>
      <w:pPr>
        <w:ind w:left="2880" w:hanging="360"/>
      </w:pPr>
      <w:rPr>
        <w:rFonts w:ascii="Symbol" w:hAnsi="Symbol" w:hint="default"/>
      </w:rPr>
    </w:lvl>
    <w:lvl w:ilvl="4" w:tplc="B1A45EE4">
      <w:start w:val="1"/>
      <w:numFmt w:val="bullet"/>
      <w:lvlText w:val="o"/>
      <w:lvlJc w:val="left"/>
      <w:pPr>
        <w:ind w:left="3600" w:hanging="360"/>
      </w:pPr>
      <w:rPr>
        <w:rFonts w:ascii="Courier New" w:hAnsi="Courier New" w:hint="default"/>
      </w:rPr>
    </w:lvl>
    <w:lvl w:ilvl="5" w:tplc="E4A06488">
      <w:start w:val="1"/>
      <w:numFmt w:val="bullet"/>
      <w:lvlText w:val=""/>
      <w:lvlJc w:val="left"/>
      <w:pPr>
        <w:ind w:left="4320" w:hanging="360"/>
      </w:pPr>
      <w:rPr>
        <w:rFonts w:ascii="Wingdings" w:hAnsi="Wingdings" w:hint="default"/>
      </w:rPr>
    </w:lvl>
    <w:lvl w:ilvl="6" w:tplc="2B886C76">
      <w:start w:val="1"/>
      <w:numFmt w:val="bullet"/>
      <w:lvlText w:val=""/>
      <w:lvlJc w:val="left"/>
      <w:pPr>
        <w:ind w:left="5040" w:hanging="360"/>
      </w:pPr>
      <w:rPr>
        <w:rFonts w:ascii="Symbol" w:hAnsi="Symbol" w:hint="default"/>
      </w:rPr>
    </w:lvl>
    <w:lvl w:ilvl="7" w:tplc="63844316">
      <w:start w:val="1"/>
      <w:numFmt w:val="bullet"/>
      <w:lvlText w:val="o"/>
      <w:lvlJc w:val="left"/>
      <w:pPr>
        <w:ind w:left="5760" w:hanging="360"/>
      </w:pPr>
      <w:rPr>
        <w:rFonts w:ascii="Courier New" w:hAnsi="Courier New" w:hint="default"/>
      </w:rPr>
    </w:lvl>
    <w:lvl w:ilvl="8" w:tplc="058AEE84">
      <w:start w:val="1"/>
      <w:numFmt w:val="bullet"/>
      <w:lvlText w:val=""/>
      <w:lvlJc w:val="left"/>
      <w:pPr>
        <w:ind w:left="6480" w:hanging="360"/>
      </w:pPr>
      <w:rPr>
        <w:rFonts w:ascii="Wingdings" w:hAnsi="Wingdings" w:hint="default"/>
      </w:rPr>
    </w:lvl>
  </w:abstractNum>
  <w:abstractNum w:abstractNumId="13" w15:restartNumberingAfterBreak="0">
    <w:nsid w:val="355425CB"/>
    <w:multiLevelType w:val="hybridMultilevel"/>
    <w:tmpl w:val="8754397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371D0B4A"/>
    <w:multiLevelType w:val="hybridMultilevel"/>
    <w:tmpl w:val="6FC8E302"/>
    <w:lvl w:ilvl="0" w:tplc="140A0003">
      <w:start w:val="1"/>
      <w:numFmt w:val="bullet"/>
      <w:lvlText w:val="o"/>
      <w:lvlJc w:val="left"/>
      <w:pPr>
        <w:ind w:left="720" w:hanging="360"/>
      </w:pPr>
      <w:rPr>
        <w:rFonts w:ascii="Courier New" w:hAnsi="Courier New" w:cs="Courier New" w:hint="default"/>
      </w:rPr>
    </w:lvl>
    <w:lvl w:ilvl="1" w:tplc="C088A6C0">
      <w:start w:val="1"/>
      <w:numFmt w:val="bullet"/>
      <w:lvlText w:val="o"/>
      <w:lvlJc w:val="left"/>
      <w:pPr>
        <w:ind w:left="1440" w:hanging="360"/>
      </w:pPr>
      <w:rPr>
        <w:rFonts w:ascii="Courier New" w:hAnsi="Courier New" w:hint="default"/>
      </w:rPr>
    </w:lvl>
    <w:lvl w:ilvl="2" w:tplc="9FF4C59C">
      <w:start w:val="1"/>
      <w:numFmt w:val="bullet"/>
      <w:lvlText w:val=""/>
      <w:lvlJc w:val="left"/>
      <w:pPr>
        <w:ind w:left="2160" w:hanging="360"/>
      </w:pPr>
      <w:rPr>
        <w:rFonts w:ascii="Wingdings" w:hAnsi="Wingdings" w:hint="default"/>
      </w:rPr>
    </w:lvl>
    <w:lvl w:ilvl="3" w:tplc="79FC41FC">
      <w:start w:val="1"/>
      <w:numFmt w:val="bullet"/>
      <w:lvlText w:val=""/>
      <w:lvlJc w:val="left"/>
      <w:pPr>
        <w:ind w:left="2880" w:hanging="360"/>
      </w:pPr>
      <w:rPr>
        <w:rFonts w:ascii="Symbol" w:hAnsi="Symbol" w:hint="default"/>
      </w:rPr>
    </w:lvl>
    <w:lvl w:ilvl="4" w:tplc="D70A3816">
      <w:start w:val="1"/>
      <w:numFmt w:val="bullet"/>
      <w:lvlText w:val="o"/>
      <w:lvlJc w:val="left"/>
      <w:pPr>
        <w:ind w:left="3600" w:hanging="360"/>
      </w:pPr>
      <w:rPr>
        <w:rFonts w:ascii="Courier New" w:hAnsi="Courier New" w:hint="default"/>
      </w:rPr>
    </w:lvl>
    <w:lvl w:ilvl="5" w:tplc="3120FBE0">
      <w:start w:val="1"/>
      <w:numFmt w:val="bullet"/>
      <w:lvlText w:val=""/>
      <w:lvlJc w:val="left"/>
      <w:pPr>
        <w:ind w:left="4320" w:hanging="360"/>
      </w:pPr>
      <w:rPr>
        <w:rFonts w:ascii="Wingdings" w:hAnsi="Wingdings" w:hint="default"/>
      </w:rPr>
    </w:lvl>
    <w:lvl w:ilvl="6" w:tplc="43E89BB8">
      <w:start w:val="1"/>
      <w:numFmt w:val="bullet"/>
      <w:lvlText w:val=""/>
      <w:lvlJc w:val="left"/>
      <w:pPr>
        <w:ind w:left="5040" w:hanging="360"/>
      </w:pPr>
      <w:rPr>
        <w:rFonts w:ascii="Symbol" w:hAnsi="Symbol" w:hint="default"/>
      </w:rPr>
    </w:lvl>
    <w:lvl w:ilvl="7" w:tplc="7F9CEE5A">
      <w:start w:val="1"/>
      <w:numFmt w:val="bullet"/>
      <w:lvlText w:val="o"/>
      <w:lvlJc w:val="left"/>
      <w:pPr>
        <w:ind w:left="5760" w:hanging="360"/>
      </w:pPr>
      <w:rPr>
        <w:rFonts w:ascii="Courier New" w:hAnsi="Courier New" w:hint="default"/>
      </w:rPr>
    </w:lvl>
    <w:lvl w:ilvl="8" w:tplc="7B20EF0A">
      <w:start w:val="1"/>
      <w:numFmt w:val="bullet"/>
      <w:lvlText w:val=""/>
      <w:lvlJc w:val="left"/>
      <w:pPr>
        <w:ind w:left="6480" w:hanging="360"/>
      </w:pPr>
      <w:rPr>
        <w:rFonts w:ascii="Wingdings" w:hAnsi="Wingdings" w:hint="default"/>
      </w:rPr>
    </w:lvl>
  </w:abstractNum>
  <w:abstractNum w:abstractNumId="15" w15:restartNumberingAfterBreak="0">
    <w:nsid w:val="40536373"/>
    <w:multiLevelType w:val="hybridMultilevel"/>
    <w:tmpl w:val="0BF292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42ED3680"/>
    <w:multiLevelType w:val="hybridMultilevel"/>
    <w:tmpl w:val="0C768C0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4C78505C"/>
    <w:multiLevelType w:val="hybridMultilevel"/>
    <w:tmpl w:val="3C063C7A"/>
    <w:lvl w:ilvl="0" w:tplc="14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4E165C9F"/>
    <w:multiLevelType w:val="hybridMultilevel"/>
    <w:tmpl w:val="08CA8D5C"/>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9" w15:restartNumberingAfterBreak="0">
    <w:nsid w:val="4E4913C3"/>
    <w:multiLevelType w:val="hybridMultilevel"/>
    <w:tmpl w:val="BAF6DE7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5B3E1EDC"/>
    <w:multiLevelType w:val="hybridMultilevel"/>
    <w:tmpl w:val="09D69A5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1" w15:restartNumberingAfterBreak="0">
    <w:nsid w:val="5D09727E"/>
    <w:multiLevelType w:val="hybridMultilevel"/>
    <w:tmpl w:val="531E3A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5D751EC4"/>
    <w:multiLevelType w:val="hybridMultilevel"/>
    <w:tmpl w:val="D54A0A2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5F4B0CB8"/>
    <w:multiLevelType w:val="hybridMultilevel"/>
    <w:tmpl w:val="5C30FEF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604923AB"/>
    <w:multiLevelType w:val="hybridMultilevel"/>
    <w:tmpl w:val="5438821E"/>
    <w:lvl w:ilvl="0" w:tplc="30E41E34">
      <w:start w:val="1"/>
      <w:numFmt w:val="decimal"/>
      <w:pStyle w:val="Ttulo3"/>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6445097D"/>
    <w:multiLevelType w:val="hybridMultilevel"/>
    <w:tmpl w:val="1E72537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65BD4F8C"/>
    <w:multiLevelType w:val="hybridMultilevel"/>
    <w:tmpl w:val="96DA9FF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66B75530"/>
    <w:multiLevelType w:val="hybridMultilevel"/>
    <w:tmpl w:val="C5DAB67C"/>
    <w:lvl w:ilvl="0" w:tplc="14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68D639B3"/>
    <w:multiLevelType w:val="hybridMultilevel"/>
    <w:tmpl w:val="A0263A3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6F276CCC"/>
    <w:multiLevelType w:val="hybridMultilevel"/>
    <w:tmpl w:val="21041C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6F76525E"/>
    <w:multiLevelType w:val="hybridMultilevel"/>
    <w:tmpl w:val="DFF2F1F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1" w15:restartNumberingAfterBreak="0">
    <w:nsid w:val="78DC68D8"/>
    <w:multiLevelType w:val="hybridMultilevel"/>
    <w:tmpl w:val="77020E3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78FC23B8"/>
    <w:multiLevelType w:val="hybridMultilevel"/>
    <w:tmpl w:val="C30087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12"/>
  </w:num>
  <w:num w:numId="4">
    <w:abstractNumId w:val="7"/>
  </w:num>
  <w:num w:numId="5">
    <w:abstractNumId w:val="6"/>
  </w:num>
  <w:num w:numId="6">
    <w:abstractNumId w:val="25"/>
  </w:num>
  <w:num w:numId="7">
    <w:abstractNumId w:val="29"/>
  </w:num>
  <w:num w:numId="8">
    <w:abstractNumId w:val="24"/>
  </w:num>
  <w:num w:numId="9">
    <w:abstractNumId w:val="24"/>
    <w:lvlOverride w:ilvl="0">
      <w:startOverride w:val="1"/>
    </w:lvlOverride>
  </w:num>
  <w:num w:numId="10">
    <w:abstractNumId w:val="24"/>
    <w:lvlOverride w:ilvl="0">
      <w:startOverride w:val="1"/>
    </w:lvlOverride>
  </w:num>
  <w:num w:numId="11">
    <w:abstractNumId w:val="26"/>
  </w:num>
  <w:num w:numId="12">
    <w:abstractNumId w:val="9"/>
  </w:num>
  <w:num w:numId="13">
    <w:abstractNumId w:val="27"/>
  </w:num>
  <w:num w:numId="14">
    <w:abstractNumId w:val="19"/>
  </w:num>
  <w:num w:numId="15">
    <w:abstractNumId w:val="11"/>
  </w:num>
  <w:num w:numId="16">
    <w:abstractNumId w:val="24"/>
    <w:lvlOverride w:ilvl="0">
      <w:startOverride w:val="1"/>
    </w:lvlOverride>
  </w:num>
  <w:num w:numId="17">
    <w:abstractNumId w:val="22"/>
  </w:num>
  <w:num w:numId="18">
    <w:abstractNumId w:val="17"/>
  </w:num>
  <w:num w:numId="19">
    <w:abstractNumId w:val="8"/>
  </w:num>
  <w:num w:numId="20">
    <w:abstractNumId w:val="10"/>
  </w:num>
  <w:num w:numId="21">
    <w:abstractNumId w:val="20"/>
  </w:num>
  <w:num w:numId="22">
    <w:abstractNumId w:val="21"/>
  </w:num>
  <w:num w:numId="23">
    <w:abstractNumId w:val="15"/>
  </w:num>
  <w:num w:numId="24">
    <w:abstractNumId w:val="24"/>
    <w:lvlOverride w:ilvl="0">
      <w:startOverride w:val="1"/>
    </w:lvlOverride>
  </w:num>
  <w:num w:numId="25">
    <w:abstractNumId w:val="24"/>
  </w:num>
  <w:num w:numId="26">
    <w:abstractNumId w:val="16"/>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5"/>
  </w:num>
  <w:num w:numId="30">
    <w:abstractNumId w:val="23"/>
  </w:num>
  <w:num w:numId="31">
    <w:abstractNumId w:val="24"/>
    <w:lvlOverride w:ilvl="0">
      <w:startOverride w:val="1"/>
    </w:lvlOverride>
  </w:num>
  <w:num w:numId="32">
    <w:abstractNumId w:val="18"/>
  </w:num>
  <w:num w:numId="33">
    <w:abstractNumId w:val="1"/>
  </w:num>
  <w:num w:numId="34">
    <w:abstractNumId w:val="24"/>
  </w:num>
  <w:num w:numId="35">
    <w:abstractNumId w:val="24"/>
    <w:lvlOverride w:ilvl="0">
      <w:startOverride w:val="1"/>
    </w:lvlOverride>
  </w:num>
  <w:num w:numId="36">
    <w:abstractNumId w:val="30"/>
  </w:num>
  <w:num w:numId="37">
    <w:abstractNumId w:val="13"/>
  </w:num>
  <w:num w:numId="38">
    <w:abstractNumId w:val="0"/>
  </w:num>
  <w:num w:numId="39">
    <w:abstractNumId w:val="32"/>
  </w:num>
  <w:num w:numId="40">
    <w:abstractNumId w:val="28"/>
  </w:num>
  <w:num w:numId="41">
    <w:abstractNumId w:val="3"/>
  </w:num>
  <w:num w:numId="42">
    <w:abstractNumId w:val="2"/>
  </w:num>
  <w:num w:numId="43">
    <w:abstractNumId w:val="24"/>
  </w:num>
  <w:num w:numId="44">
    <w:abstractNumId w:val="24"/>
  </w:num>
  <w:num w:numId="45">
    <w:abstractNumId w:val="6"/>
  </w:num>
  <w:num w:numId="46">
    <w:abstractNumId w:val="24"/>
    <w:lvlOverride w:ilvl="0">
      <w:startOverride w:val="1"/>
    </w:lvlOverride>
  </w:num>
  <w:num w:numId="47">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88E"/>
    <w:rsid w:val="000024AD"/>
    <w:rsid w:val="00003D8B"/>
    <w:rsid w:val="00004EA0"/>
    <w:rsid w:val="00006001"/>
    <w:rsid w:val="00007055"/>
    <w:rsid w:val="00010832"/>
    <w:rsid w:val="00010B7D"/>
    <w:rsid w:val="00010DDE"/>
    <w:rsid w:val="00011B33"/>
    <w:rsid w:val="0001357A"/>
    <w:rsid w:val="00014B46"/>
    <w:rsid w:val="00017404"/>
    <w:rsid w:val="00020C6A"/>
    <w:rsid w:val="00021B4B"/>
    <w:rsid w:val="00025183"/>
    <w:rsid w:val="000251F9"/>
    <w:rsid w:val="00026476"/>
    <w:rsid w:val="00031897"/>
    <w:rsid w:val="00032368"/>
    <w:rsid w:val="0003295A"/>
    <w:rsid w:val="00034E06"/>
    <w:rsid w:val="000379E7"/>
    <w:rsid w:val="00037FEE"/>
    <w:rsid w:val="000403A0"/>
    <w:rsid w:val="00042843"/>
    <w:rsid w:val="00045B8E"/>
    <w:rsid w:val="00045BD7"/>
    <w:rsid w:val="00053DC9"/>
    <w:rsid w:val="00055CFC"/>
    <w:rsid w:val="0005643F"/>
    <w:rsid w:val="0005701C"/>
    <w:rsid w:val="0006369E"/>
    <w:rsid w:val="00063831"/>
    <w:rsid w:val="00065F65"/>
    <w:rsid w:val="00066C0C"/>
    <w:rsid w:val="00067366"/>
    <w:rsid w:val="00070DFD"/>
    <w:rsid w:val="00071CA3"/>
    <w:rsid w:val="000770CE"/>
    <w:rsid w:val="000772BC"/>
    <w:rsid w:val="000847A5"/>
    <w:rsid w:val="00085151"/>
    <w:rsid w:val="0008587E"/>
    <w:rsid w:val="00085C18"/>
    <w:rsid w:val="000874D1"/>
    <w:rsid w:val="00087C0F"/>
    <w:rsid w:val="00091E3D"/>
    <w:rsid w:val="0009337F"/>
    <w:rsid w:val="00093434"/>
    <w:rsid w:val="00093B96"/>
    <w:rsid w:val="00094793"/>
    <w:rsid w:val="00094914"/>
    <w:rsid w:val="00095290"/>
    <w:rsid w:val="000975AB"/>
    <w:rsid w:val="00097F47"/>
    <w:rsid w:val="000A09F4"/>
    <w:rsid w:val="000A201E"/>
    <w:rsid w:val="000A2DB8"/>
    <w:rsid w:val="000A5B77"/>
    <w:rsid w:val="000A732C"/>
    <w:rsid w:val="000B14A5"/>
    <w:rsid w:val="000B1EC3"/>
    <w:rsid w:val="000B1F92"/>
    <w:rsid w:val="000B210B"/>
    <w:rsid w:val="000B2515"/>
    <w:rsid w:val="000B4308"/>
    <w:rsid w:val="000B4995"/>
    <w:rsid w:val="000B4D60"/>
    <w:rsid w:val="000B53FC"/>
    <w:rsid w:val="000B5C94"/>
    <w:rsid w:val="000B6387"/>
    <w:rsid w:val="000C093A"/>
    <w:rsid w:val="000C0C0F"/>
    <w:rsid w:val="000C2363"/>
    <w:rsid w:val="000C42D7"/>
    <w:rsid w:val="000C43A1"/>
    <w:rsid w:val="000C4E49"/>
    <w:rsid w:val="000C5D38"/>
    <w:rsid w:val="000C5F7A"/>
    <w:rsid w:val="000D3237"/>
    <w:rsid w:val="000D41F4"/>
    <w:rsid w:val="000D4BB1"/>
    <w:rsid w:val="000D4C06"/>
    <w:rsid w:val="000D5C9A"/>
    <w:rsid w:val="000D6611"/>
    <w:rsid w:val="000D6C70"/>
    <w:rsid w:val="000E3C90"/>
    <w:rsid w:val="000E4668"/>
    <w:rsid w:val="000E514F"/>
    <w:rsid w:val="000E556F"/>
    <w:rsid w:val="000E56D0"/>
    <w:rsid w:val="000E6BF6"/>
    <w:rsid w:val="000E6D3A"/>
    <w:rsid w:val="000E71EF"/>
    <w:rsid w:val="000F0909"/>
    <w:rsid w:val="000F1498"/>
    <w:rsid w:val="000F4FFD"/>
    <w:rsid w:val="000F661B"/>
    <w:rsid w:val="00100695"/>
    <w:rsid w:val="001035EB"/>
    <w:rsid w:val="0010384E"/>
    <w:rsid w:val="001070E1"/>
    <w:rsid w:val="00107B8C"/>
    <w:rsid w:val="00107BA2"/>
    <w:rsid w:val="00107BD2"/>
    <w:rsid w:val="0011017A"/>
    <w:rsid w:val="00112875"/>
    <w:rsid w:val="00112A93"/>
    <w:rsid w:val="00117C2C"/>
    <w:rsid w:val="001215F7"/>
    <w:rsid w:val="00121D30"/>
    <w:rsid w:val="001220B0"/>
    <w:rsid w:val="00122794"/>
    <w:rsid w:val="00122A66"/>
    <w:rsid w:val="00124403"/>
    <w:rsid w:val="00124700"/>
    <w:rsid w:val="00124AAC"/>
    <w:rsid w:val="0012750A"/>
    <w:rsid w:val="00127C7D"/>
    <w:rsid w:val="00127E8E"/>
    <w:rsid w:val="00127EAC"/>
    <w:rsid w:val="00130C1A"/>
    <w:rsid w:val="0013144B"/>
    <w:rsid w:val="0013169E"/>
    <w:rsid w:val="0013251A"/>
    <w:rsid w:val="00134815"/>
    <w:rsid w:val="001352C7"/>
    <w:rsid w:val="001359B5"/>
    <w:rsid w:val="001364F8"/>
    <w:rsid w:val="00137977"/>
    <w:rsid w:val="00137AE7"/>
    <w:rsid w:val="0014027C"/>
    <w:rsid w:val="001412DC"/>
    <w:rsid w:val="001421C6"/>
    <w:rsid w:val="00143D43"/>
    <w:rsid w:val="00146602"/>
    <w:rsid w:val="00146947"/>
    <w:rsid w:val="001469EB"/>
    <w:rsid w:val="00146E20"/>
    <w:rsid w:val="00147705"/>
    <w:rsid w:val="00147EB3"/>
    <w:rsid w:val="00150607"/>
    <w:rsid w:val="001519FD"/>
    <w:rsid w:val="00152524"/>
    <w:rsid w:val="001527ED"/>
    <w:rsid w:val="001530C0"/>
    <w:rsid w:val="00153D96"/>
    <w:rsid w:val="0015429E"/>
    <w:rsid w:val="00155BFC"/>
    <w:rsid w:val="00156955"/>
    <w:rsid w:val="00156DA6"/>
    <w:rsid w:val="001574B2"/>
    <w:rsid w:val="00157817"/>
    <w:rsid w:val="0016046B"/>
    <w:rsid w:val="00160C81"/>
    <w:rsid w:val="00163514"/>
    <w:rsid w:val="00164E40"/>
    <w:rsid w:val="00166B2E"/>
    <w:rsid w:val="00167A6A"/>
    <w:rsid w:val="00167FC7"/>
    <w:rsid w:val="00172D4E"/>
    <w:rsid w:val="00173E40"/>
    <w:rsid w:val="00173FC7"/>
    <w:rsid w:val="00174D78"/>
    <w:rsid w:val="00175A32"/>
    <w:rsid w:val="001772FB"/>
    <w:rsid w:val="001775E5"/>
    <w:rsid w:val="001777FF"/>
    <w:rsid w:val="00181E3A"/>
    <w:rsid w:val="00182DDF"/>
    <w:rsid w:val="00186916"/>
    <w:rsid w:val="0018744C"/>
    <w:rsid w:val="00190E76"/>
    <w:rsid w:val="001917CC"/>
    <w:rsid w:val="001938CD"/>
    <w:rsid w:val="00195029"/>
    <w:rsid w:val="00195081"/>
    <w:rsid w:val="001961F1"/>
    <w:rsid w:val="00196E83"/>
    <w:rsid w:val="001971DC"/>
    <w:rsid w:val="001A0F13"/>
    <w:rsid w:val="001A3BEC"/>
    <w:rsid w:val="001A4042"/>
    <w:rsid w:val="001A5575"/>
    <w:rsid w:val="001A5897"/>
    <w:rsid w:val="001A78A6"/>
    <w:rsid w:val="001A7BDA"/>
    <w:rsid w:val="001B140B"/>
    <w:rsid w:val="001B1416"/>
    <w:rsid w:val="001B2904"/>
    <w:rsid w:val="001B2DFA"/>
    <w:rsid w:val="001B2FEA"/>
    <w:rsid w:val="001B4437"/>
    <w:rsid w:val="001B5EA0"/>
    <w:rsid w:val="001B785F"/>
    <w:rsid w:val="001C2D3E"/>
    <w:rsid w:val="001C3732"/>
    <w:rsid w:val="001C614C"/>
    <w:rsid w:val="001C6A25"/>
    <w:rsid w:val="001C7B6A"/>
    <w:rsid w:val="001D077D"/>
    <w:rsid w:val="001D0E1B"/>
    <w:rsid w:val="001D24F5"/>
    <w:rsid w:val="001D32B9"/>
    <w:rsid w:val="001D43D4"/>
    <w:rsid w:val="001D561F"/>
    <w:rsid w:val="001D57D6"/>
    <w:rsid w:val="001D5C01"/>
    <w:rsid w:val="001D7ABE"/>
    <w:rsid w:val="001D7BEB"/>
    <w:rsid w:val="001E036D"/>
    <w:rsid w:val="001E039D"/>
    <w:rsid w:val="001E3F85"/>
    <w:rsid w:val="001E43F8"/>
    <w:rsid w:val="001E70D6"/>
    <w:rsid w:val="001F01EE"/>
    <w:rsid w:val="001F2D44"/>
    <w:rsid w:val="001F3380"/>
    <w:rsid w:val="001F493E"/>
    <w:rsid w:val="001F59A8"/>
    <w:rsid w:val="001F71AB"/>
    <w:rsid w:val="001F7A67"/>
    <w:rsid w:val="00204054"/>
    <w:rsid w:val="00204E69"/>
    <w:rsid w:val="002053BC"/>
    <w:rsid w:val="00205B90"/>
    <w:rsid w:val="002063D1"/>
    <w:rsid w:val="002066DB"/>
    <w:rsid w:val="002069A7"/>
    <w:rsid w:val="002074B7"/>
    <w:rsid w:val="00207FBB"/>
    <w:rsid w:val="0021089B"/>
    <w:rsid w:val="00210FB4"/>
    <w:rsid w:val="0021258C"/>
    <w:rsid w:val="0021470E"/>
    <w:rsid w:val="002214BE"/>
    <w:rsid w:val="00221C4A"/>
    <w:rsid w:val="00224BCE"/>
    <w:rsid w:val="00224FEB"/>
    <w:rsid w:val="0022540E"/>
    <w:rsid w:val="00225642"/>
    <w:rsid w:val="00226F76"/>
    <w:rsid w:val="00230B42"/>
    <w:rsid w:val="002315AF"/>
    <w:rsid w:val="002321C6"/>
    <w:rsid w:val="0023274B"/>
    <w:rsid w:val="002328BC"/>
    <w:rsid w:val="0023381A"/>
    <w:rsid w:val="0023732B"/>
    <w:rsid w:val="00237B4E"/>
    <w:rsid w:val="00241E52"/>
    <w:rsid w:val="002431F0"/>
    <w:rsid w:val="00243538"/>
    <w:rsid w:val="002440F3"/>
    <w:rsid w:val="00244158"/>
    <w:rsid w:val="00244B6A"/>
    <w:rsid w:val="00245967"/>
    <w:rsid w:val="0024B769"/>
    <w:rsid w:val="00251A3F"/>
    <w:rsid w:val="002522AC"/>
    <w:rsid w:val="00252486"/>
    <w:rsid w:val="00252C76"/>
    <w:rsid w:val="00253EF8"/>
    <w:rsid w:val="00254E48"/>
    <w:rsid w:val="00255628"/>
    <w:rsid w:val="00256F62"/>
    <w:rsid w:val="00260438"/>
    <w:rsid w:val="002635C8"/>
    <w:rsid w:val="0026553A"/>
    <w:rsid w:val="00265BEA"/>
    <w:rsid w:val="002666BC"/>
    <w:rsid w:val="00266847"/>
    <w:rsid w:val="002673D3"/>
    <w:rsid w:val="00267463"/>
    <w:rsid w:val="00271427"/>
    <w:rsid w:val="002718F6"/>
    <w:rsid w:val="002734CE"/>
    <w:rsid w:val="00273775"/>
    <w:rsid w:val="0027450C"/>
    <w:rsid w:val="00274CC6"/>
    <w:rsid w:val="00275A01"/>
    <w:rsid w:val="00276324"/>
    <w:rsid w:val="00280491"/>
    <w:rsid w:val="00280B29"/>
    <w:rsid w:val="00280D78"/>
    <w:rsid w:val="00280F7E"/>
    <w:rsid w:val="00282EBF"/>
    <w:rsid w:val="00284069"/>
    <w:rsid w:val="00286863"/>
    <w:rsid w:val="00286C12"/>
    <w:rsid w:val="002906DB"/>
    <w:rsid w:val="00290A53"/>
    <w:rsid w:val="00291FD6"/>
    <w:rsid w:val="00292980"/>
    <w:rsid w:val="002947CB"/>
    <w:rsid w:val="002958CC"/>
    <w:rsid w:val="002967E6"/>
    <w:rsid w:val="00296971"/>
    <w:rsid w:val="002A0037"/>
    <w:rsid w:val="002A0896"/>
    <w:rsid w:val="002A15B9"/>
    <w:rsid w:val="002A167D"/>
    <w:rsid w:val="002A1F48"/>
    <w:rsid w:val="002A2E02"/>
    <w:rsid w:val="002A3080"/>
    <w:rsid w:val="002A4F6F"/>
    <w:rsid w:val="002A50CA"/>
    <w:rsid w:val="002A596D"/>
    <w:rsid w:val="002B05A2"/>
    <w:rsid w:val="002B1E8A"/>
    <w:rsid w:val="002B3C6C"/>
    <w:rsid w:val="002B50B9"/>
    <w:rsid w:val="002B57B7"/>
    <w:rsid w:val="002B631A"/>
    <w:rsid w:val="002B638A"/>
    <w:rsid w:val="002C028F"/>
    <w:rsid w:val="002C197A"/>
    <w:rsid w:val="002C19AF"/>
    <w:rsid w:val="002C1B93"/>
    <w:rsid w:val="002C379C"/>
    <w:rsid w:val="002C48AE"/>
    <w:rsid w:val="002C604A"/>
    <w:rsid w:val="002C61F6"/>
    <w:rsid w:val="002C70DD"/>
    <w:rsid w:val="002C78CA"/>
    <w:rsid w:val="002D0E0A"/>
    <w:rsid w:val="002D2DAE"/>
    <w:rsid w:val="002D3F23"/>
    <w:rsid w:val="002D4318"/>
    <w:rsid w:val="002D470F"/>
    <w:rsid w:val="002D4D0C"/>
    <w:rsid w:val="002D535B"/>
    <w:rsid w:val="002D66CB"/>
    <w:rsid w:val="002D7808"/>
    <w:rsid w:val="002E3402"/>
    <w:rsid w:val="002E3864"/>
    <w:rsid w:val="002E3A23"/>
    <w:rsid w:val="002E5FD3"/>
    <w:rsid w:val="002E7F89"/>
    <w:rsid w:val="002F114E"/>
    <w:rsid w:val="002F1AEC"/>
    <w:rsid w:val="002F2308"/>
    <w:rsid w:val="002F267E"/>
    <w:rsid w:val="002F2EDF"/>
    <w:rsid w:val="002F31FB"/>
    <w:rsid w:val="002F37F6"/>
    <w:rsid w:val="002F4339"/>
    <w:rsid w:val="002F460A"/>
    <w:rsid w:val="002F54F6"/>
    <w:rsid w:val="002F64BD"/>
    <w:rsid w:val="002F7B77"/>
    <w:rsid w:val="002F7F71"/>
    <w:rsid w:val="003007C0"/>
    <w:rsid w:val="00301156"/>
    <w:rsid w:val="0030164A"/>
    <w:rsid w:val="00301F98"/>
    <w:rsid w:val="00302B50"/>
    <w:rsid w:val="00303ABE"/>
    <w:rsid w:val="00307214"/>
    <w:rsid w:val="003115C2"/>
    <w:rsid w:val="00311FFA"/>
    <w:rsid w:val="003123C5"/>
    <w:rsid w:val="00312B7B"/>
    <w:rsid w:val="003141FF"/>
    <w:rsid w:val="003143C2"/>
    <w:rsid w:val="003159B9"/>
    <w:rsid w:val="00317824"/>
    <w:rsid w:val="00317C5D"/>
    <w:rsid w:val="00317D11"/>
    <w:rsid w:val="00320802"/>
    <w:rsid w:val="00320D9A"/>
    <w:rsid w:val="003219AC"/>
    <w:rsid w:val="00321DBF"/>
    <w:rsid w:val="00324654"/>
    <w:rsid w:val="00325301"/>
    <w:rsid w:val="003275C0"/>
    <w:rsid w:val="00327AE6"/>
    <w:rsid w:val="00331180"/>
    <w:rsid w:val="00331229"/>
    <w:rsid w:val="00331A4D"/>
    <w:rsid w:val="00333113"/>
    <w:rsid w:val="003333A2"/>
    <w:rsid w:val="0033481D"/>
    <w:rsid w:val="003351D8"/>
    <w:rsid w:val="0033789B"/>
    <w:rsid w:val="003406CD"/>
    <w:rsid w:val="00340A61"/>
    <w:rsid w:val="00341D7A"/>
    <w:rsid w:val="00343D6F"/>
    <w:rsid w:val="00346F69"/>
    <w:rsid w:val="00347D15"/>
    <w:rsid w:val="00350101"/>
    <w:rsid w:val="003518C9"/>
    <w:rsid w:val="003524D6"/>
    <w:rsid w:val="00352791"/>
    <w:rsid w:val="00352983"/>
    <w:rsid w:val="00352C05"/>
    <w:rsid w:val="00353415"/>
    <w:rsid w:val="00353CC4"/>
    <w:rsid w:val="0035504B"/>
    <w:rsid w:val="003554BA"/>
    <w:rsid w:val="00355688"/>
    <w:rsid w:val="00355B40"/>
    <w:rsid w:val="00356405"/>
    <w:rsid w:val="0035BD83"/>
    <w:rsid w:val="003602FE"/>
    <w:rsid w:val="0036245C"/>
    <w:rsid w:val="00366557"/>
    <w:rsid w:val="003666AD"/>
    <w:rsid w:val="003668C7"/>
    <w:rsid w:val="00367FC3"/>
    <w:rsid w:val="003708F2"/>
    <w:rsid w:val="003709D0"/>
    <w:rsid w:val="00370C48"/>
    <w:rsid w:val="0037252E"/>
    <w:rsid w:val="00374E61"/>
    <w:rsid w:val="00375023"/>
    <w:rsid w:val="003758CD"/>
    <w:rsid w:val="00377565"/>
    <w:rsid w:val="00377E2E"/>
    <w:rsid w:val="00381A4B"/>
    <w:rsid w:val="0038273C"/>
    <w:rsid w:val="00383E59"/>
    <w:rsid w:val="003848C2"/>
    <w:rsid w:val="00384914"/>
    <w:rsid w:val="003852BB"/>
    <w:rsid w:val="003855D6"/>
    <w:rsid w:val="0038574B"/>
    <w:rsid w:val="00385E05"/>
    <w:rsid w:val="00386D34"/>
    <w:rsid w:val="00386E9A"/>
    <w:rsid w:val="00386FA2"/>
    <w:rsid w:val="00391748"/>
    <w:rsid w:val="00391DB8"/>
    <w:rsid w:val="00392AAA"/>
    <w:rsid w:val="00394299"/>
    <w:rsid w:val="003950DA"/>
    <w:rsid w:val="003A0243"/>
    <w:rsid w:val="003A16E0"/>
    <w:rsid w:val="003A3B3F"/>
    <w:rsid w:val="003A3E7D"/>
    <w:rsid w:val="003A490C"/>
    <w:rsid w:val="003A6386"/>
    <w:rsid w:val="003A70D9"/>
    <w:rsid w:val="003A7735"/>
    <w:rsid w:val="003B100D"/>
    <w:rsid w:val="003B162E"/>
    <w:rsid w:val="003B5173"/>
    <w:rsid w:val="003C0227"/>
    <w:rsid w:val="003C0B3C"/>
    <w:rsid w:val="003C1258"/>
    <w:rsid w:val="003C1EEC"/>
    <w:rsid w:val="003C260F"/>
    <w:rsid w:val="003C2EF9"/>
    <w:rsid w:val="003C367E"/>
    <w:rsid w:val="003C44D7"/>
    <w:rsid w:val="003C4BE2"/>
    <w:rsid w:val="003C54E8"/>
    <w:rsid w:val="003C5863"/>
    <w:rsid w:val="003C5978"/>
    <w:rsid w:val="003C665F"/>
    <w:rsid w:val="003C68C5"/>
    <w:rsid w:val="003C6C1E"/>
    <w:rsid w:val="003C6F1D"/>
    <w:rsid w:val="003C730C"/>
    <w:rsid w:val="003D01C4"/>
    <w:rsid w:val="003D4BCF"/>
    <w:rsid w:val="003D4F52"/>
    <w:rsid w:val="003D7B10"/>
    <w:rsid w:val="003D7EC5"/>
    <w:rsid w:val="003E10D7"/>
    <w:rsid w:val="003E2E06"/>
    <w:rsid w:val="003E5119"/>
    <w:rsid w:val="003E6A06"/>
    <w:rsid w:val="003E6DC8"/>
    <w:rsid w:val="003E6E9E"/>
    <w:rsid w:val="003F06F8"/>
    <w:rsid w:val="003F30AE"/>
    <w:rsid w:val="003F34E0"/>
    <w:rsid w:val="003F3CBE"/>
    <w:rsid w:val="003F509D"/>
    <w:rsid w:val="003F6426"/>
    <w:rsid w:val="003F759A"/>
    <w:rsid w:val="003FAE5C"/>
    <w:rsid w:val="00403160"/>
    <w:rsid w:val="00403A23"/>
    <w:rsid w:val="00404D4A"/>
    <w:rsid w:val="00406538"/>
    <w:rsid w:val="004072A6"/>
    <w:rsid w:val="00407B6D"/>
    <w:rsid w:val="00410B51"/>
    <w:rsid w:val="00410D09"/>
    <w:rsid w:val="00410F64"/>
    <w:rsid w:val="00413BBA"/>
    <w:rsid w:val="00413D4B"/>
    <w:rsid w:val="004158F5"/>
    <w:rsid w:val="00415D59"/>
    <w:rsid w:val="0041746A"/>
    <w:rsid w:val="004178BA"/>
    <w:rsid w:val="0042018C"/>
    <w:rsid w:val="00421685"/>
    <w:rsid w:val="00423D29"/>
    <w:rsid w:val="0042448D"/>
    <w:rsid w:val="0042569F"/>
    <w:rsid w:val="004256A0"/>
    <w:rsid w:val="00425A11"/>
    <w:rsid w:val="004264CC"/>
    <w:rsid w:val="004310FA"/>
    <w:rsid w:val="00432653"/>
    <w:rsid w:val="004328A4"/>
    <w:rsid w:val="00433349"/>
    <w:rsid w:val="00433434"/>
    <w:rsid w:val="004358F7"/>
    <w:rsid w:val="004362A0"/>
    <w:rsid w:val="00436E9D"/>
    <w:rsid w:val="0043760E"/>
    <w:rsid w:val="00437803"/>
    <w:rsid w:val="00440263"/>
    <w:rsid w:val="00441741"/>
    <w:rsid w:val="004420F5"/>
    <w:rsid w:val="004421C2"/>
    <w:rsid w:val="004447E9"/>
    <w:rsid w:val="00445419"/>
    <w:rsid w:val="004463DA"/>
    <w:rsid w:val="004478B6"/>
    <w:rsid w:val="00447D7E"/>
    <w:rsid w:val="004525E2"/>
    <w:rsid w:val="00461EEE"/>
    <w:rsid w:val="00463369"/>
    <w:rsid w:val="00463529"/>
    <w:rsid w:val="00463547"/>
    <w:rsid w:val="00465789"/>
    <w:rsid w:val="004676AF"/>
    <w:rsid w:val="0046F034"/>
    <w:rsid w:val="00470277"/>
    <w:rsid w:val="004710AE"/>
    <w:rsid w:val="00471DDE"/>
    <w:rsid w:val="00471FDC"/>
    <w:rsid w:val="004725BF"/>
    <w:rsid w:val="00474991"/>
    <w:rsid w:val="00476927"/>
    <w:rsid w:val="00476BA7"/>
    <w:rsid w:val="00480177"/>
    <w:rsid w:val="00480DF4"/>
    <w:rsid w:val="00480EC6"/>
    <w:rsid w:val="00481012"/>
    <w:rsid w:val="004810EA"/>
    <w:rsid w:val="00482ED9"/>
    <w:rsid w:val="00483C00"/>
    <w:rsid w:val="00484E00"/>
    <w:rsid w:val="004850B0"/>
    <w:rsid w:val="00485531"/>
    <w:rsid w:val="00485EE9"/>
    <w:rsid w:val="0048761B"/>
    <w:rsid w:val="00487CA6"/>
    <w:rsid w:val="00490131"/>
    <w:rsid w:val="00490B9A"/>
    <w:rsid w:val="00495535"/>
    <w:rsid w:val="00495D6E"/>
    <w:rsid w:val="00495D84"/>
    <w:rsid w:val="004970A6"/>
    <w:rsid w:val="004A0D9E"/>
    <w:rsid w:val="004A15C5"/>
    <w:rsid w:val="004A3CDA"/>
    <w:rsid w:val="004A3FAD"/>
    <w:rsid w:val="004A4679"/>
    <w:rsid w:val="004A4E03"/>
    <w:rsid w:val="004A5EC9"/>
    <w:rsid w:val="004A653B"/>
    <w:rsid w:val="004B02B1"/>
    <w:rsid w:val="004B22D7"/>
    <w:rsid w:val="004B238D"/>
    <w:rsid w:val="004B3537"/>
    <w:rsid w:val="004B3EC0"/>
    <w:rsid w:val="004B411C"/>
    <w:rsid w:val="004B41BC"/>
    <w:rsid w:val="004B5B4D"/>
    <w:rsid w:val="004B5F7E"/>
    <w:rsid w:val="004B7EDD"/>
    <w:rsid w:val="004C069B"/>
    <w:rsid w:val="004C0844"/>
    <w:rsid w:val="004C0FD3"/>
    <w:rsid w:val="004C40DB"/>
    <w:rsid w:val="004C5B84"/>
    <w:rsid w:val="004C7A97"/>
    <w:rsid w:val="004D0BCE"/>
    <w:rsid w:val="004D1424"/>
    <w:rsid w:val="004D1942"/>
    <w:rsid w:val="004D25AC"/>
    <w:rsid w:val="004D3990"/>
    <w:rsid w:val="004D4BAC"/>
    <w:rsid w:val="004D5630"/>
    <w:rsid w:val="004D5B14"/>
    <w:rsid w:val="004D5C65"/>
    <w:rsid w:val="004D60E8"/>
    <w:rsid w:val="004D61E0"/>
    <w:rsid w:val="004D674F"/>
    <w:rsid w:val="004E1E73"/>
    <w:rsid w:val="004E20A2"/>
    <w:rsid w:val="004E3265"/>
    <w:rsid w:val="004E4915"/>
    <w:rsid w:val="004E4FA2"/>
    <w:rsid w:val="004E5511"/>
    <w:rsid w:val="004E5D66"/>
    <w:rsid w:val="004E6296"/>
    <w:rsid w:val="004E65B3"/>
    <w:rsid w:val="004E7147"/>
    <w:rsid w:val="004F19A8"/>
    <w:rsid w:val="004F1E4E"/>
    <w:rsid w:val="004F5F0F"/>
    <w:rsid w:val="004F6E1F"/>
    <w:rsid w:val="004F6E6A"/>
    <w:rsid w:val="004F76C0"/>
    <w:rsid w:val="004F7858"/>
    <w:rsid w:val="004F7EAF"/>
    <w:rsid w:val="0050126C"/>
    <w:rsid w:val="005016A2"/>
    <w:rsid w:val="0050239C"/>
    <w:rsid w:val="0050340F"/>
    <w:rsid w:val="0050426F"/>
    <w:rsid w:val="00505E3D"/>
    <w:rsid w:val="005078FF"/>
    <w:rsid w:val="00507AA3"/>
    <w:rsid w:val="005100E1"/>
    <w:rsid w:val="00511459"/>
    <w:rsid w:val="0051274D"/>
    <w:rsid w:val="00512C78"/>
    <w:rsid w:val="00512F77"/>
    <w:rsid w:val="00513A0B"/>
    <w:rsid w:val="00513FC0"/>
    <w:rsid w:val="00514017"/>
    <w:rsid w:val="005148D8"/>
    <w:rsid w:val="00514E38"/>
    <w:rsid w:val="0051612C"/>
    <w:rsid w:val="00516435"/>
    <w:rsid w:val="00516B22"/>
    <w:rsid w:val="005173EF"/>
    <w:rsid w:val="00521CB3"/>
    <w:rsid w:val="00521DC7"/>
    <w:rsid w:val="00523A62"/>
    <w:rsid w:val="00523E06"/>
    <w:rsid w:val="00524458"/>
    <w:rsid w:val="0052591A"/>
    <w:rsid w:val="00525AE7"/>
    <w:rsid w:val="00525B9E"/>
    <w:rsid w:val="0052740A"/>
    <w:rsid w:val="00527D20"/>
    <w:rsid w:val="00530499"/>
    <w:rsid w:val="005327B2"/>
    <w:rsid w:val="00533B3E"/>
    <w:rsid w:val="00536058"/>
    <w:rsid w:val="005419B4"/>
    <w:rsid w:val="00542222"/>
    <w:rsid w:val="00543F0E"/>
    <w:rsid w:val="00545784"/>
    <w:rsid w:val="0054586D"/>
    <w:rsid w:val="00545A5F"/>
    <w:rsid w:val="00545D90"/>
    <w:rsid w:val="005515E0"/>
    <w:rsid w:val="005516FA"/>
    <w:rsid w:val="00551A4F"/>
    <w:rsid w:val="00551C0C"/>
    <w:rsid w:val="00553999"/>
    <w:rsid w:val="0055439B"/>
    <w:rsid w:val="00554673"/>
    <w:rsid w:val="005547C9"/>
    <w:rsid w:val="00555131"/>
    <w:rsid w:val="005562A1"/>
    <w:rsid w:val="00556E40"/>
    <w:rsid w:val="00557838"/>
    <w:rsid w:val="0056073B"/>
    <w:rsid w:val="00563E65"/>
    <w:rsid w:val="00563F9D"/>
    <w:rsid w:val="00563FAD"/>
    <w:rsid w:val="005656CC"/>
    <w:rsid w:val="00566BEB"/>
    <w:rsid w:val="00566BF9"/>
    <w:rsid w:val="005678DE"/>
    <w:rsid w:val="00571FEB"/>
    <w:rsid w:val="00572279"/>
    <w:rsid w:val="0057263B"/>
    <w:rsid w:val="00573E70"/>
    <w:rsid w:val="00575939"/>
    <w:rsid w:val="00575AA5"/>
    <w:rsid w:val="00576FD2"/>
    <w:rsid w:val="00577598"/>
    <w:rsid w:val="00577CE5"/>
    <w:rsid w:val="0058047D"/>
    <w:rsid w:val="00582583"/>
    <w:rsid w:val="00582D0F"/>
    <w:rsid w:val="00583C5E"/>
    <w:rsid w:val="00583DAF"/>
    <w:rsid w:val="00585674"/>
    <w:rsid w:val="00585708"/>
    <w:rsid w:val="00585F99"/>
    <w:rsid w:val="0058649C"/>
    <w:rsid w:val="0058665B"/>
    <w:rsid w:val="00586F0E"/>
    <w:rsid w:val="00587548"/>
    <w:rsid w:val="00587781"/>
    <w:rsid w:val="00587BEA"/>
    <w:rsid w:val="0059160D"/>
    <w:rsid w:val="0059168A"/>
    <w:rsid w:val="00591987"/>
    <w:rsid w:val="00592A96"/>
    <w:rsid w:val="00594E59"/>
    <w:rsid w:val="005956CE"/>
    <w:rsid w:val="00595BEB"/>
    <w:rsid w:val="0059712E"/>
    <w:rsid w:val="00597759"/>
    <w:rsid w:val="00597D68"/>
    <w:rsid w:val="005A1F8E"/>
    <w:rsid w:val="005A25AF"/>
    <w:rsid w:val="005A3729"/>
    <w:rsid w:val="005B0C0B"/>
    <w:rsid w:val="005B2F02"/>
    <w:rsid w:val="005B3042"/>
    <w:rsid w:val="005B450D"/>
    <w:rsid w:val="005B47E7"/>
    <w:rsid w:val="005B5D07"/>
    <w:rsid w:val="005B62A6"/>
    <w:rsid w:val="005B62EF"/>
    <w:rsid w:val="005B7095"/>
    <w:rsid w:val="005C038B"/>
    <w:rsid w:val="005C0939"/>
    <w:rsid w:val="005C3DE0"/>
    <w:rsid w:val="005C64FD"/>
    <w:rsid w:val="005C7205"/>
    <w:rsid w:val="005C75E1"/>
    <w:rsid w:val="005D02E6"/>
    <w:rsid w:val="005D10D1"/>
    <w:rsid w:val="005D2648"/>
    <w:rsid w:val="005D3698"/>
    <w:rsid w:val="005D3E5D"/>
    <w:rsid w:val="005D46D1"/>
    <w:rsid w:val="005D6B15"/>
    <w:rsid w:val="005E123E"/>
    <w:rsid w:val="005E1995"/>
    <w:rsid w:val="005E2187"/>
    <w:rsid w:val="005E25C8"/>
    <w:rsid w:val="005E31AC"/>
    <w:rsid w:val="005E3909"/>
    <w:rsid w:val="005E3D98"/>
    <w:rsid w:val="005E45E3"/>
    <w:rsid w:val="005E4985"/>
    <w:rsid w:val="005E64C5"/>
    <w:rsid w:val="005E737D"/>
    <w:rsid w:val="005F431F"/>
    <w:rsid w:val="005F4A64"/>
    <w:rsid w:val="005F5261"/>
    <w:rsid w:val="006000D1"/>
    <w:rsid w:val="00600A7C"/>
    <w:rsid w:val="006023FA"/>
    <w:rsid w:val="00602D81"/>
    <w:rsid w:val="00604A27"/>
    <w:rsid w:val="00604AD5"/>
    <w:rsid w:val="006051A6"/>
    <w:rsid w:val="00605B6A"/>
    <w:rsid w:val="00605F37"/>
    <w:rsid w:val="00606AFF"/>
    <w:rsid w:val="006075BF"/>
    <w:rsid w:val="0061199C"/>
    <w:rsid w:val="0061294E"/>
    <w:rsid w:val="00612CFA"/>
    <w:rsid w:val="0061497D"/>
    <w:rsid w:val="00615DBA"/>
    <w:rsid w:val="0061649E"/>
    <w:rsid w:val="00616A48"/>
    <w:rsid w:val="006214AD"/>
    <w:rsid w:val="00622FE8"/>
    <w:rsid w:val="006233C8"/>
    <w:rsid w:val="0062530E"/>
    <w:rsid w:val="00625356"/>
    <w:rsid w:val="006266D0"/>
    <w:rsid w:val="00630213"/>
    <w:rsid w:val="00630D00"/>
    <w:rsid w:val="006314DF"/>
    <w:rsid w:val="00631C64"/>
    <w:rsid w:val="00631F95"/>
    <w:rsid w:val="00631FE7"/>
    <w:rsid w:val="00632C55"/>
    <w:rsid w:val="00632D38"/>
    <w:rsid w:val="00633AD4"/>
    <w:rsid w:val="0063514A"/>
    <w:rsid w:val="00635163"/>
    <w:rsid w:val="006359B9"/>
    <w:rsid w:val="00635A2F"/>
    <w:rsid w:val="00641379"/>
    <w:rsid w:val="00641AA4"/>
    <w:rsid w:val="0064281A"/>
    <w:rsid w:val="00643E19"/>
    <w:rsid w:val="00644F34"/>
    <w:rsid w:val="00645599"/>
    <w:rsid w:val="00645B31"/>
    <w:rsid w:val="00645E9B"/>
    <w:rsid w:val="0064656C"/>
    <w:rsid w:val="006477E9"/>
    <w:rsid w:val="006514E3"/>
    <w:rsid w:val="006546F2"/>
    <w:rsid w:val="00654F07"/>
    <w:rsid w:val="0065525C"/>
    <w:rsid w:val="00655C58"/>
    <w:rsid w:val="00655DD6"/>
    <w:rsid w:val="006560A7"/>
    <w:rsid w:val="0065620D"/>
    <w:rsid w:val="00657890"/>
    <w:rsid w:val="00663350"/>
    <w:rsid w:val="0066544B"/>
    <w:rsid w:val="006658F6"/>
    <w:rsid w:val="0066728D"/>
    <w:rsid w:val="0067125B"/>
    <w:rsid w:val="00672132"/>
    <w:rsid w:val="00672F5E"/>
    <w:rsid w:val="00673C4F"/>
    <w:rsid w:val="00674C6C"/>
    <w:rsid w:val="006754F1"/>
    <w:rsid w:val="006759DE"/>
    <w:rsid w:val="00680B3A"/>
    <w:rsid w:val="006810E4"/>
    <w:rsid w:val="00681271"/>
    <w:rsid w:val="0068268B"/>
    <w:rsid w:val="00684B53"/>
    <w:rsid w:val="006867D7"/>
    <w:rsid w:val="00687780"/>
    <w:rsid w:val="00687A32"/>
    <w:rsid w:val="00691404"/>
    <w:rsid w:val="00691D99"/>
    <w:rsid w:val="00692B3F"/>
    <w:rsid w:val="0069387D"/>
    <w:rsid w:val="006938BB"/>
    <w:rsid w:val="00693FD8"/>
    <w:rsid w:val="006941FF"/>
    <w:rsid w:val="006948BB"/>
    <w:rsid w:val="006966DF"/>
    <w:rsid w:val="00696E25"/>
    <w:rsid w:val="00697934"/>
    <w:rsid w:val="00697D1F"/>
    <w:rsid w:val="006A04A6"/>
    <w:rsid w:val="006A0CE1"/>
    <w:rsid w:val="006A2A38"/>
    <w:rsid w:val="006A2D1D"/>
    <w:rsid w:val="006A527F"/>
    <w:rsid w:val="006A6A9E"/>
    <w:rsid w:val="006B04E2"/>
    <w:rsid w:val="006B3773"/>
    <w:rsid w:val="006B3866"/>
    <w:rsid w:val="006B3C44"/>
    <w:rsid w:val="006B59AA"/>
    <w:rsid w:val="006B5A25"/>
    <w:rsid w:val="006C1DF8"/>
    <w:rsid w:val="006C26CC"/>
    <w:rsid w:val="006C2FA5"/>
    <w:rsid w:val="006C7882"/>
    <w:rsid w:val="006D04FF"/>
    <w:rsid w:val="006D07B6"/>
    <w:rsid w:val="006D15FA"/>
    <w:rsid w:val="006D24F7"/>
    <w:rsid w:val="006D3765"/>
    <w:rsid w:val="006D58B1"/>
    <w:rsid w:val="006D68D9"/>
    <w:rsid w:val="006E0352"/>
    <w:rsid w:val="006E1F43"/>
    <w:rsid w:val="006E2612"/>
    <w:rsid w:val="006E34EC"/>
    <w:rsid w:val="006E5023"/>
    <w:rsid w:val="006E7C50"/>
    <w:rsid w:val="006F1046"/>
    <w:rsid w:val="006F1124"/>
    <w:rsid w:val="006F1430"/>
    <w:rsid w:val="006F1C8E"/>
    <w:rsid w:val="006F263C"/>
    <w:rsid w:val="006F2C85"/>
    <w:rsid w:val="006F33F4"/>
    <w:rsid w:val="006F356D"/>
    <w:rsid w:val="006F35E4"/>
    <w:rsid w:val="006F3A62"/>
    <w:rsid w:val="006F3B05"/>
    <w:rsid w:val="006F4BA3"/>
    <w:rsid w:val="006F5079"/>
    <w:rsid w:val="006F5516"/>
    <w:rsid w:val="006F68CD"/>
    <w:rsid w:val="00700829"/>
    <w:rsid w:val="00703E66"/>
    <w:rsid w:val="00704AA4"/>
    <w:rsid w:val="007055F3"/>
    <w:rsid w:val="00705B09"/>
    <w:rsid w:val="00706184"/>
    <w:rsid w:val="007069D9"/>
    <w:rsid w:val="00710094"/>
    <w:rsid w:val="00710920"/>
    <w:rsid w:val="007120E4"/>
    <w:rsid w:val="00713C4D"/>
    <w:rsid w:val="007146CF"/>
    <w:rsid w:val="00717ADE"/>
    <w:rsid w:val="0072032D"/>
    <w:rsid w:val="00720DFD"/>
    <w:rsid w:val="0072150B"/>
    <w:rsid w:val="007227BC"/>
    <w:rsid w:val="0072280D"/>
    <w:rsid w:val="007232C7"/>
    <w:rsid w:val="00723978"/>
    <w:rsid w:val="00725C55"/>
    <w:rsid w:val="00725EBA"/>
    <w:rsid w:val="007315BA"/>
    <w:rsid w:val="0073164D"/>
    <w:rsid w:val="00731D53"/>
    <w:rsid w:val="0073351B"/>
    <w:rsid w:val="007364DF"/>
    <w:rsid w:val="00740A70"/>
    <w:rsid w:val="00740CA6"/>
    <w:rsid w:val="00742B0C"/>
    <w:rsid w:val="00742D37"/>
    <w:rsid w:val="00742EE6"/>
    <w:rsid w:val="00743630"/>
    <w:rsid w:val="0074396B"/>
    <w:rsid w:val="00743D2E"/>
    <w:rsid w:val="00745009"/>
    <w:rsid w:val="00745126"/>
    <w:rsid w:val="007454F7"/>
    <w:rsid w:val="00745C6E"/>
    <w:rsid w:val="00750978"/>
    <w:rsid w:val="0075323D"/>
    <w:rsid w:val="00754388"/>
    <w:rsid w:val="007544E5"/>
    <w:rsid w:val="00755445"/>
    <w:rsid w:val="00757C51"/>
    <w:rsid w:val="0076255D"/>
    <w:rsid w:val="00765EB0"/>
    <w:rsid w:val="00766C23"/>
    <w:rsid w:val="007710D7"/>
    <w:rsid w:val="00771882"/>
    <w:rsid w:val="00772A18"/>
    <w:rsid w:val="00774CF5"/>
    <w:rsid w:val="00775F89"/>
    <w:rsid w:val="00775F9C"/>
    <w:rsid w:val="0077665E"/>
    <w:rsid w:val="007770DA"/>
    <w:rsid w:val="00780DF3"/>
    <w:rsid w:val="00780E45"/>
    <w:rsid w:val="00781723"/>
    <w:rsid w:val="00781757"/>
    <w:rsid w:val="00781D7B"/>
    <w:rsid w:val="00783B70"/>
    <w:rsid w:val="007848AC"/>
    <w:rsid w:val="00785961"/>
    <w:rsid w:val="0078628B"/>
    <w:rsid w:val="00787983"/>
    <w:rsid w:val="00787C48"/>
    <w:rsid w:val="00787FCF"/>
    <w:rsid w:val="0079133C"/>
    <w:rsid w:val="00791784"/>
    <w:rsid w:val="00791AF5"/>
    <w:rsid w:val="00794634"/>
    <w:rsid w:val="0079516B"/>
    <w:rsid w:val="007957CC"/>
    <w:rsid w:val="00795F6A"/>
    <w:rsid w:val="00797C71"/>
    <w:rsid w:val="007A21F3"/>
    <w:rsid w:val="007A2464"/>
    <w:rsid w:val="007A315A"/>
    <w:rsid w:val="007A3637"/>
    <w:rsid w:val="007A3D82"/>
    <w:rsid w:val="007A4386"/>
    <w:rsid w:val="007A4BF4"/>
    <w:rsid w:val="007A4D4F"/>
    <w:rsid w:val="007A6AA2"/>
    <w:rsid w:val="007A7A29"/>
    <w:rsid w:val="007A7F0B"/>
    <w:rsid w:val="007B0082"/>
    <w:rsid w:val="007B1DA5"/>
    <w:rsid w:val="007B7787"/>
    <w:rsid w:val="007B7B82"/>
    <w:rsid w:val="007C2311"/>
    <w:rsid w:val="007C3175"/>
    <w:rsid w:val="007C4C36"/>
    <w:rsid w:val="007C4E96"/>
    <w:rsid w:val="007C543F"/>
    <w:rsid w:val="007C73F2"/>
    <w:rsid w:val="007C765A"/>
    <w:rsid w:val="007D05D9"/>
    <w:rsid w:val="007D2424"/>
    <w:rsid w:val="007D2ECF"/>
    <w:rsid w:val="007D3C63"/>
    <w:rsid w:val="007D5D96"/>
    <w:rsid w:val="007D6B9D"/>
    <w:rsid w:val="007E0029"/>
    <w:rsid w:val="007E1175"/>
    <w:rsid w:val="007E1876"/>
    <w:rsid w:val="007E19F2"/>
    <w:rsid w:val="007E3639"/>
    <w:rsid w:val="007E5DB7"/>
    <w:rsid w:val="007E66CF"/>
    <w:rsid w:val="007F19F7"/>
    <w:rsid w:val="007F2173"/>
    <w:rsid w:val="007F3AC8"/>
    <w:rsid w:val="007F56BE"/>
    <w:rsid w:val="007F6CD9"/>
    <w:rsid w:val="007F6FDF"/>
    <w:rsid w:val="00803039"/>
    <w:rsid w:val="0080798D"/>
    <w:rsid w:val="0081017C"/>
    <w:rsid w:val="00810651"/>
    <w:rsid w:val="00810C93"/>
    <w:rsid w:val="0081392C"/>
    <w:rsid w:val="00813E71"/>
    <w:rsid w:val="008153D2"/>
    <w:rsid w:val="008165B4"/>
    <w:rsid w:val="00817E7C"/>
    <w:rsid w:val="008203AE"/>
    <w:rsid w:val="0082250A"/>
    <w:rsid w:val="00823B05"/>
    <w:rsid w:val="00825460"/>
    <w:rsid w:val="00825604"/>
    <w:rsid w:val="00826323"/>
    <w:rsid w:val="008276AA"/>
    <w:rsid w:val="0082774E"/>
    <w:rsid w:val="0082BD5B"/>
    <w:rsid w:val="0083072D"/>
    <w:rsid w:val="00830DEE"/>
    <w:rsid w:val="00831E37"/>
    <w:rsid w:val="0083222D"/>
    <w:rsid w:val="00833367"/>
    <w:rsid w:val="00836ECF"/>
    <w:rsid w:val="008374E4"/>
    <w:rsid w:val="008379D6"/>
    <w:rsid w:val="00837FF3"/>
    <w:rsid w:val="00840692"/>
    <w:rsid w:val="0084086A"/>
    <w:rsid w:val="00841ABF"/>
    <w:rsid w:val="00842E13"/>
    <w:rsid w:val="00844F22"/>
    <w:rsid w:val="008454F4"/>
    <w:rsid w:val="00846324"/>
    <w:rsid w:val="0084670B"/>
    <w:rsid w:val="00847355"/>
    <w:rsid w:val="008473E6"/>
    <w:rsid w:val="0085080D"/>
    <w:rsid w:val="008510CC"/>
    <w:rsid w:val="00852555"/>
    <w:rsid w:val="00852EE7"/>
    <w:rsid w:val="008532F5"/>
    <w:rsid w:val="008557B2"/>
    <w:rsid w:val="008579AD"/>
    <w:rsid w:val="00857D52"/>
    <w:rsid w:val="00860B67"/>
    <w:rsid w:val="008621C0"/>
    <w:rsid w:val="0086754E"/>
    <w:rsid w:val="00867851"/>
    <w:rsid w:val="008679EF"/>
    <w:rsid w:val="00867DF0"/>
    <w:rsid w:val="00870C02"/>
    <w:rsid w:val="00872423"/>
    <w:rsid w:val="008748E1"/>
    <w:rsid w:val="00875A95"/>
    <w:rsid w:val="0087633F"/>
    <w:rsid w:val="008764DE"/>
    <w:rsid w:val="00876AF6"/>
    <w:rsid w:val="00877275"/>
    <w:rsid w:val="00881FAE"/>
    <w:rsid w:val="00882C9A"/>
    <w:rsid w:val="00883F01"/>
    <w:rsid w:val="008853F3"/>
    <w:rsid w:val="00886E47"/>
    <w:rsid w:val="00890997"/>
    <w:rsid w:val="00890B31"/>
    <w:rsid w:val="00892CE0"/>
    <w:rsid w:val="00892CEC"/>
    <w:rsid w:val="00892E8D"/>
    <w:rsid w:val="008932D7"/>
    <w:rsid w:val="008934B1"/>
    <w:rsid w:val="008957AD"/>
    <w:rsid w:val="00895FFB"/>
    <w:rsid w:val="00896112"/>
    <w:rsid w:val="008977A2"/>
    <w:rsid w:val="008A00FC"/>
    <w:rsid w:val="008A05F6"/>
    <w:rsid w:val="008A1AFC"/>
    <w:rsid w:val="008A43C4"/>
    <w:rsid w:val="008A7323"/>
    <w:rsid w:val="008A78EB"/>
    <w:rsid w:val="008B1544"/>
    <w:rsid w:val="008B29FA"/>
    <w:rsid w:val="008B321D"/>
    <w:rsid w:val="008B3341"/>
    <w:rsid w:val="008B460A"/>
    <w:rsid w:val="008B4640"/>
    <w:rsid w:val="008B5325"/>
    <w:rsid w:val="008B7BA1"/>
    <w:rsid w:val="008C02E8"/>
    <w:rsid w:val="008C199F"/>
    <w:rsid w:val="008C3040"/>
    <w:rsid w:val="008C4E69"/>
    <w:rsid w:val="008C6199"/>
    <w:rsid w:val="008C7C44"/>
    <w:rsid w:val="008D0E0F"/>
    <w:rsid w:val="008D19FD"/>
    <w:rsid w:val="008D1B0F"/>
    <w:rsid w:val="008D2522"/>
    <w:rsid w:val="008D255D"/>
    <w:rsid w:val="008D322C"/>
    <w:rsid w:val="008D4D1A"/>
    <w:rsid w:val="008D4D85"/>
    <w:rsid w:val="008D4FAF"/>
    <w:rsid w:val="008D67CA"/>
    <w:rsid w:val="008E0884"/>
    <w:rsid w:val="008E123D"/>
    <w:rsid w:val="008E16BF"/>
    <w:rsid w:val="008E2F11"/>
    <w:rsid w:val="008E39BE"/>
    <w:rsid w:val="008E45E3"/>
    <w:rsid w:val="008E491B"/>
    <w:rsid w:val="008E5AE2"/>
    <w:rsid w:val="008E5C0F"/>
    <w:rsid w:val="008E681C"/>
    <w:rsid w:val="008F087D"/>
    <w:rsid w:val="008F2679"/>
    <w:rsid w:val="008F5912"/>
    <w:rsid w:val="008F705C"/>
    <w:rsid w:val="00901C2C"/>
    <w:rsid w:val="00901DCE"/>
    <w:rsid w:val="00902ADA"/>
    <w:rsid w:val="009033FE"/>
    <w:rsid w:val="009034D3"/>
    <w:rsid w:val="00903FEB"/>
    <w:rsid w:val="00906BB6"/>
    <w:rsid w:val="00911712"/>
    <w:rsid w:val="00911B79"/>
    <w:rsid w:val="009127F8"/>
    <w:rsid w:val="00914B40"/>
    <w:rsid w:val="00916F10"/>
    <w:rsid w:val="00917435"/>
    <w:rsid w:val="00920E05"/>
    <w:rsid w:val="0092164A"/>
    <w:rsid w:val="0092288E"/>
    <w:rsid w:val="00927E19"/>
    <w:rsid w:val="00930017"/>
    <w:rsid w:val="0093040A"/>
    <w:rsid w:val="00930DFF"/>
    <w:rsid w:val="00931559"/>
    <w:rsid w:val="00932053"/>
    <w:rsid w:val="00933221"/>
    <w:rsid w:val="0093361A"/>
    <w:rsid w:val="0093432C"/>
    <w:rsid w:val="00934DFE"/>
    <w:rsid w:val="0093506B"/>
    <w:rsid w:val="00935A4A"/>
    <w:rsid w:val="00935B8E"/>
    <w:rsid w:val="0093768D"/>
    <w:rsid w:val="0094082F"/>
    <w:rsid w:val="009410E5"/>
    <w:rsid w:val="00944236"/>
    <w:rsid w:val="00951616"/>
    <w:rsid w:val="00951618"/>
    <w:rsid w:val="00951A88"/>
    <w:rsid w:val="00952644"/>
    <w:rsid w:val="009539A5"/>
    <w:rsid w:val="00956B6F"/>
    <w:rsid w:val="0095780A"/>
    <w:rsid w:val="009578DE"/>
    <w:rsid w:val="00957A78"/>
    <w:rsid w:val="00957B03"/>
    <w:rsid w:val="00961CE0"/>
    <w:rsid w:val="00961FF4"/>
    <w:rsid w:val="009621DA"/>
    <w:rsid w:val="00964F37"/>
    <w:rsid w:val="00965720"/>
    <w:rsid w:val="00965C52"/>
    <w:rsid w:val="00966AEA"/>
    <w:rsid w:val="00970ED1"/>
    <w:rsid w:val="009715CF"/>
    <w:rsid w:val="00972CCA"/>
    <w:rsid w:val="009732C5"/>
    <w:rsid w:val="00973887"/>
    <w:rsid w:val="00973DA4"/>
    <w:rsid w:val="009749E5"/>
    <w:rsid w:val="00976C14"/>
    <w:rsid w:val="00977556"/>
    <w:rsid w:val="009808C5"/>
    <w:rsid w:val="009831FC"/>
    <w:rsid w:val="00984011"/>
    <w:rsid w:val="0098473E"/>
    <w:rsid w:val="00986570"/>
    <w:rsid w:val="009911A9"/>
    <w:rsid w:val="00993960"/>
    <w:rsid w:val="0099651A"/>
    <w:rsid w:val="009A0EA3"/>
    <w:rsid w:val="009A3415"/>
    <w:rsid w:val="009A3A3A"/>
    <w:rsid w:val="009A431D"/>
    <w:rsid w:val="009A4580"/>
    <w:rsid w:val="009A5112"/>
    <w:rsid w:val="009A76C2"/>
    <w:rsid w:val="009A7EB3"/>
    <w:rsid w:val="009B060D"/>
    <w:rsid w:val="009B14AF"/>
    <w:rsid w:val="009B3053"/>
    <w:rsid w:val="009B3216"/>
    <w:rsid w:val="009B380E"/>
    <w:rsid w:val="009B5359"/>
    <w:rsid w:val="009B5E30"/>
    <w:rsid w:val="009B6C97"/>
    <w:rsid w:val="009B7200"/>
    <w:rsid w:val="009B767E"/>
    <w:rsid w:val="009B7CDA"/>
    <w:rsid w:val="009B7E42"/>
    <w:rsid w:val="009C088E"/>
    <w:rsid w:val="009C141A"/>
    <w:rsid w:val="009C3D04"/>
    <w:rsid w:val="009C41D0"/>
    <w:rsid w:val="009C704A"/>
    <w:rsid w:val="009C71CE"/>
    <w:rsid w:val="009D029A"/>
    <w:rsid w:val="009D0DAA"/>
    <w:rsid w:val="009D0E6E"/>
    <w:rsid w:val="009D2858"/>
    <w:rsid w:val="009D333C"/>
    <w:rsid w:val="009D661F"/>
    <w:rsid w:val="009E08A0"/>
    <w:rsid w:val="009E0A24"/>
    <w:rsid w:val="009E3948"/>
    <w:rsid w:val="009E3DEA"/>
    <w:rsid w:val="009E62D2"/>
    <w:rsid w:val="009E75E7"/>
    <w:rsid w:val="009F0D0D"/>
    <w:rsid w:val="009F3515"/>
    <w:rsid w:val="009F3C14"/>
    <w:rsid w:val="009F3F7D"/>
    <w:rsid w:val="009F44FE"/>
    <w:rsid w:val="009F6077"/>
    <w:rsid w:val="009F60F3"/>
    <w:rsid w:val="009F6722"/>
    <w:rsid w:val="009F7A78"/>
    <w:rsid w:val="00A00443"/>
    <w:rsid w:val="00A00D15"/>
    <w:rsid w:val="00A01D42"/>
    <w:rsid w:val="00A033AE"/>
    <w:rsid w:val="00A036BD"/>
    <w:rsid w:val="00A04A7A"/>
    <w:rsid w:val="00A04A90"/>
    <w:rsid w:val="00A05620"/>
    <w:rsid w:val="00A070ED"/>
    <w:rsid w:val="00A07741"/>
    <w:rsid w:val="00A0790E"/>
    <w:rsid w:val="00A07D51"/>
    <w:rsid w:val="00A10FBE"/>
    <w:rsid w:val="00A11218"/>
    <w:rsid w:val="00A120FE"/>
    <w:rsid w:val="00A12408"/>
    <w:rsid w:val="00A1266A"/>
    <w:rsid w:val="00A12994"/>
    <w:rsid w:val="00A13629"/>
    <w:rsid w:val="00A13C2E"/>
    <w:rsid w:val="00A14D39"/>
    <w:rsid w:val="00A161C6"/>
    <w:rsid w:val="00A1642D"/>
    <w:rsid w:val="00A202D8"/>
    <w:rsid w:val="00A20343"/>
    <w:rsid w:val="00A21730"/>
    <w:rsid w:val="00A23771"/>
    <w:rsid w:val="00A23CC7"/>
    <w:rsid w:val="00A240DD"/>
    <w:rsid w:val="00A24494"/>
    <w:rsid w:val="00A24FEA"/>
    <w:rsid w:val="00A258BD"/>
    <w:rsid w:val="00A25E87"/>
    <w:rsid w:val="00A27E07"/>
    <w:rsid w:val="00A27F49"/>
    <w:rsid w:val="00A305BE"/>
    <w:rsid w:val="00A31905"/>
    <w:rsid w:val="00A332EE"/>
    <w:rsid w:val="00A33ED1"/>
    <w:rsid w:val="00A34888"/>
    <w:rsid w:val="00A34E07"/>
    <w:rsid w:val="00A358D2"/>
    <w:rsid w:val="00A35A23"/>
    <w:rsid w:val="00A35DB8"/>
    <w:rsid w:val="00A37D6A"/>
    <w:rsid w:val="00A400F6"/>
    <w:rsid w:val="00A40E00"/>
    <w:rsid w:val="00A41D30"/>
    <w:rsid w:val="00A4321C"/>
    <w:rsid w:val="00A43259"/>
    <w:rsid w:val="00A44A7C"/>
    <w:rsid w:val="00A45EA7"/>
    <w:rsid w:val="00A4696D"/>
    <w:rsid w:val="00A47ED8"/>
    <w:rsid w:val="00A50607"/>
    <w:rsid w:val="00A512CE"/>
    <w:rsid w:val="00A5667C"/>
    <w:rsid w:val="00A567E0"/>
    <w:rsid w:val="00A56870"/>
    <w:rsid w:val="00A57C66"/>
    <w:rsid w:val="00A603CB"/>
    <w:rsid w:val="00A618CB"/>
    <w:rsid w:val="00A62128"/>
    <w:rsid w:val="00A6341A"/>
    <w:rsid w:val="00A635A0"/>
    <w:rsid w:val="00A67E96"/>
    <w:rsid w:val="00A7091A"/>
    <w:rsid w:val="00A70F86"/>
    <w:rsid w:val="00A72745"/>
    <w:rsid w:val="00A727CF"/>
    <w:rsid w:val="00A74CA5"/>
    <w:rsid w:val="00A77DA1"/>
    <w:rsid w:val="00A81719"/>
    <w:rsid w:val="00A81972"/>
    <w:rsid w:val="00A81F5A"/>
    <w:rsid w:val="00A82F89"/>
    <w:rsid w:val="00A864C3"/>
    <w:rsid w:val="00A87204"/>
    <w:rsid w:val="00A91412"/>
    <w:rsid w:val="00A932FB"/>
    <w:rsid w:val="00A94082"/>
    <w:rsid w:val="00A94E3F"/>
    <w:rsid w:val="00A96011"/>
    <w:rsid w:val="00A96099"/>
    <w:rsid w:val="00A9704D"/>
    <w:rsid w:val="00AA17FE"/>
    <w:rsid w:val="00AA1B16"/>
    <w:rsid w:val="00AA1B66"/>
    <w:rsid w:val="00AA2E70"/>
    <w:rsid w:val="00AA6A70"/>
    <w:rsid w:val="00AB0623"/>
    <w:rsid w:val="00AB169A"/>
    <w:rsid w:val="00AB3E03"/>
    <w:rsid w:val="00AB3FC6"/>
    <w:rsid w:val="00AB546E"/>
    <w:rsid w:val="00AB5C29"/>
    <w:rsid w:val="00AB6086"/>
    <w:rsid w:val="00AB71E9"/>
    <w:rsid w:val="00AC17D9"/>
    <w:rsid w:val="00AC3743"/>
    <w:rsid w:val="00AC426B"/>
    <w:rsid w:val="00AC44DB"/>
    <w:rsid w:val="00AC52F1"/>
    <w:rsid w:val="00AC57EB"/>
    <w:rsid w:val="00AC581B"/>
    <w:rsid w:val="00AC5DA7"/>
    <w:rsid w:val="00AC7E52"/>
    <w:rsid w:val="00AD0258"/>
    <w:rsid w:val="00AD0F19"/>
    <w:rsid w:val="00AD2D26"/>
    <w:rsid w:val="00AD2D68"/>
    <w:rsid w:val="00AD3A61"/>
    <w:rsid w:val="00AD5962"/>
    <w:rsid w:val="00AD6074"/>
    <w:rsid w:val="00AE0B9E"/>
    <w:rsid w:val="00AE1400"/>
    <w:rsid w:val="00AE215C"/>
    <w:rsid w:val="00AE23F1"/>
    <w:rsid w:val="00AE5218"/>
    <w:rsid w:val="00AE76C2"/>
    <w:rsid w:val="00AE7CB7"/>
    <w:rsid w:val="00AF0A4A"/>
    <w:rsid w:val="00AF3AA8"/>
    <w:rsid w:val="00AF3C4F"/>
    <w:rsid w:val="00AF43E0"/>
    <w:rsid w:val="00AF68E8"/>
    <w:rsid w:val="00B0093B"/>
    <w:rsid w:val="00B017EE"/>
    <w:rsid w:val="00B020BD"/>
    <w:rsid w:val="00B02B19"/>
    <w:rsid w:val="00B02C93"/>
    <w:rsid w:val="00B02FBA"/>
    <w:rsid w:val="00B03FBB"/>
    <w:rsid w:val="00B058E2"/>
    <w:rsid w:val="00B068A3"/>
    <w:rsid w:val="00B07101"/>
    <w:rsid w:val="00B07A13"/>
    <w:rsid w:val="00B10159"/>
    <w:rsid w:val="00B10846"/>
    <w:rsid w:val="00B1107F"/>
    <w:rsid w:val="00B122E5"/>
    <w:rsid w:val="00B16F91"/>
    <w:rsid w:val="00B17996"/>
    <w:rsid w:val="00B24E67"/>
    <w:rsid w:val="00B258B6"/>
    <w:rsid w:val="00B25D5C"/>
    <w:rsid w:val="00B25F6D"/>
    <w:rsid w:val="00B2713C"/>
    <w:rsid w:val="00B310A1"/>
    <w:rsid w:val="00B32019"/>
    <w:rsid w:val="00B342D2"/>
    <w:rsid w:val="00B345EE"/>
    <w:rsid w:val="00B34B1D"/>
    <w:rsid w:val="00B34F44"/>
    <w:rsid w:val="00B3624E"/>
    <w:rsid w:val="00B36657"/>
    <w:rsid w:val="00B37009"/>
    <w:rsid w:val="00B37E04"/>
    <w:rsid w:val="00B41B25"/>
    <w:rsid w:val="00B421C2"/>
    <w:rsid w:val="00B43569"/>
    <w:rsid w:val="00B46118"/>
    <w:rsid w:val="00B4721F"/>
    <w:rsid w:val="00B50A74"/>
    <w:rsid w:val="00B524A3"/>
    <w:rsid w:val="00B531B0"/>
    <w:rsid w:val="00B54A32"/>
    <w:rsid w:val="00B56659"/>
    <w:rsid w:val="00B56870"/>
    <w:rsid w:val="00B57535"/>
    <w:rsid w:val="00B619F5"/>
    <w:rsid w:val="00B63765"/>
    <w:rsid w:val="00B637E4"/>
    <w:rsid w:val="00B64315"/>
    <w:rsid w:val="00B659FC"/>
    <w:rsid w:val="00B65BF6"/>
    <w:rsid w:val="00B702E3"/>
    <w:rsid w:val="00B71166"/>
    <w:rsid w:val="00B72333"/>
    <w:rsid w:val="00B72A90"/>
    <w:rsid w:val="00B73BE1"/>
    <w:rsid w:val="00B7508B"/>
    <w:rsid w:val="00B753D1"/>
    <w:rsid w:val="00B7549B"/>
    <w:rsid w:val="00B80C72"/>
    <w:rsid w:val="00B81182"/>
    <w:rsid w:val="00B81498"/>
    <w:rsid w:val="00B81C85"/>
    <w:rsid w:val="00B82049"/>
    <w:rsid w:val="00B82EB5"/>
    <w:rsid w:val="00B82EEC"/>
    <w:rsid w:val="00B84E88"/>
    <w:rsid w:val="00B85375"/>
    <w:rsid w:val="00B85871"/>
    <w:rsid w:val="00B86178"/>
    <w:rsid w:val="00B8AE43"/>
    <w:rsid w:val="00B90000"/>
    <w:rsid w:val="00B913F3"/>
    <w:rsid w:val="00B91841"/>
    <w:rsid w:val="00B91893"/>
    <w:rsid w:val="00B93512"/>
    <w:rsid w:val="00B952AB"/>
    <w:rsid w:val="00B95C9A"/>
    <w:rsid w:val="00B95F59"/>
    <w:rsid w:val="00B96E6C"/>
    <w:rsid w:val="00B97719"/>
    <w:rsid w:val="00BA04AC"/>
    <w:rsid w:val="00BA1D5C"/>
    <w:rsid w:val="00BA3B90"/>
    <w:rsid w:val="00BA46B9"/>
    <w:rsid w:val="00BA5671"/>
    <w:rsid w:val="00BA5FA5"/>
    <w:rsid w:val="00BA9783"/>
    <w:rsid w:val="00BB0085"/>
    <w:rsid w:val="00BB0679"/>
    <w:rsid w:val="00BB2362"/>
    <w:rsid w:val="00BB3EB5"/>
    <w:rsid w:val="00BB4345"/>
    <w:rsid w:val="00BB5534"/>
    <w:rsid w:val="00BB7992"/>
    <w:rsid w:val="00BC30DF"/>
    <w:rsid w:val="00BC3909"/>
    <w:rsid w:val="00BC3D81"/>
    <w:rsid w:val="00BC76F1"/>
    <w:rsid w:val="00BD0B34"/>
    <w:rsid w:val="00BD1022"/>
    <w:rsid w:val="00BD2FF0"/>
    <w:rsid w:val="00BD324A"/>
    <w:rsid w:val="00BD3D89"/>
    <w:rsid w:val="00BD7540"/>
    <w:rsid w:val="00BD76C9"/>
    <w:rsid w:val="00BE1AA9"/>
    <w:rsid w:val="00BE5955"/>
    <w:rsid w:val="00BF0679"/>
    <w:rsid w:val="00BF10A0"/>
    <w:rsid w:val="00BF165B"/>
    <w:rsid w:val="00BF1E7A"/>
    <w:rsid w:val="00BF2EF4"/>
    <w:rsid w:val="00BF3036"/>
    <w:rsid w:val="00BF37DB"/>
    <w:rsid w:val="00BF3F5D"/>
    <w:rsid w:val="00BF527F"/>
    <w:rsid w:val="00BF5302"/>
    <w:rsid w:val="00BF6C48"/>
    <w:rsid w:val="00BF7221"/>
    <w:rsid w:val="00BF7321"/>
    <w:rsid w:val="00C0058A"/>
    <w:rsid w:val="00C0141B"/>
    <w:rsid w:val="00C019C6"/>
    <w:rsid w:val="00C01A13"/>
    <w:rsid w:val="00C01C3A"/>
    <w:rsid w:val="00C04E62"/>
    <w:rsid w:val="00C05575"/>
    <w:rsid w:val="00C06A6D"/>
    <w:rsid w:val="00C06F91"/>
    <w:rsid w:val="00C073ED"/>
    <w:rsid w:val="00C12859"/>
    <w:rsid w:val="00C16EA1"/>
    <w:rsid w:val="00C170B2"/>
    <w:rsid w:val="00C20422"/>
    <w:rsid w:val="00C20A82"/>
    <w:rsid w:val="00C21187"/>
    <w:rsid w:val="00C2142E"/>
    <w:rsid w:val="00C252B7"/>
    <w:rsid w:val="00C31014"/>
    <w:rsid w:val="00C31184"/>
    <w:rsid w:val="00C31C47"/>
    <w:rsid w:val="00C33321"/>
    <w:rsid w:val="00C351B2"/>
    <w:rsid w:val="00C35AC3"/>
    <w:rsid w:val="00C35C29"/>
    <w:rsid w:val="00C370D2"/>
    <w:rsid w:val="00C37F90"/>
    <w:rsid w:val="00C4461C"/>
    <w:rsid w:val="00C44E05"/>
    <w:rsid w:val="00C46EF3"/>
    <w:rsid w:val="00C50EAD"/>
    <w:rsid w:val="00C542A4"/>
    <w:rsid w:val="00C54A37"/>
    <w:rsid w:val="00C55309"/>
    <w:rsid w:val="00C56E8B"/>
    <w:rsid w:val="00C576D7"/>
    <w:rsid w:val="00C5785E"/>
    <w:rsid w:val="00C57F7F"/>
    <w:rsid w:val="00C60093"/>
    <w:rsid w:val="00C60343"/>
    <w:rsid w:val="00C60651"/>
    <w:rsid w:val="00C61803"/>
    <w:rsid w:val="00C66FA0"/>
    <w:rsid w:val="00C7136D"/>
    <w:rsid w:val="00C740F4"/>
    <w:rsid w:val="00C74884"/>
    <w:rsid w:val="00C750B2"/>
    <w:rsid w:val="00C7550C"/>
    <w:rsid w:val="00C76D1D"/>
    <w:rsid w:val="00C77E16"/>
    <w:rsid w:val="00C80B2A"/>
    <w:rsid w:val="00C80BBE"/>
    <w:rsid w:val="00C81268"/>
    <w:rsid w:val="00C81642"/>
    <w:rsid w:val="00C81690"/>
    <w:rsid w:val="00C84707"/>
    <w:rsid w:val="00C848A3"/>
    <w:rsid w:val="00C8592D"/>
    <w:rsid w:val="00C86B93"/>
    <w:rsid w:val="00C86D73"/>
    <w:rsid w:val="00C87400"/>
    <w:rsid w:val="00C874E6"/>
    <w:rsid w:val="00C87DBB"/>
    <w:rsid w:val="00C9129F"/>
    <w:rsid w:val="00C928C9"/>
    <w:rsid w:val="00C9386E"/>
    <w:rsid w:val="00C94217"/>
    <w:rsid w:val="00C95048"/>
    <w:rsid w:val="00C95ACA"/>
    <w:rsid w:val="00C9682E"/>
    <w:rsid w:val="00CA45A2"/>
    <w:rsid w:val="00CA5797"/>
    <w:rsid w:val="00CA6DC0"/>
    <w:rsid w:val="00CA7B5F"/>
    <w:rsid w:val="00CB01E6"/>
    <w:rsid w:val="00CB0C2C"/>
    <w:rsid w:val="00CB0CF9"/>
    <w:rsid w:val="00CB1635"/>
    <w:rsid w:val="00CB1EB4"/>
    <w:rsid w:val="00CB2B4D"/>
    <w:rsid w:val="00CB2C02"/>
    <w:rsid w:val="00CB34C4"/>
    <w:rsid w:val="00CB37D1"/>
    <w:rsid w:val="00CB4637"/>
    <w:rsid w:val="00CB4E3F"/>
    <w:rsid w:val="00CB5B4B"/>
    <w:rsid w:val="00CC0A15"/>
    <w:rsid w:val="00CC0EF4"/>
    <w:rsid w:val="00CD36D1"/>
    <w:rsid w:val="00CD458D"/>
    <w:rsid w:val="00CD4704"/>
    <w:rsid w:val="00CD65CD"/>
    <w:rsid w:val="00CD762D"/>
    <w:rsid w:val="00CD7D2C"/>
    <w:rsid w:val="00CE3C28"/>
    <w:rsid w:val="00CE4E66"/>
    <w:rsid w:val="00CE544A"/>
    <w:rsid w:val="00CE585F"/>
    <w:rsid w:val="00CE620F"/>
    <w:rsid w:val="00CE6F4E"/>
    <w:rsid w:val="00CE72B0"/>
    <w:rsid w:val="00CF1AB4"/>
    <w:rsid w:val="00CF250F"/>
    <w:rsid w:val="00CF31AE"/>
    <w:rsid w:val="00CF3342"/>
    <w:rsid w:val="00CF45C7"/>
    <w:rsid w:val="00CF7D88"/>
    <w:rsid w:val="00D003D0"/>
    <w:rsid w:val="00D04463"/>
    <w:rsid w:val="00D04D72"/>
    <w:rsid w:val="00D04F9C"/>
    <w:rsid w:val="00D06CBD"/>
    <w:rsid w:val="00D06D3E"/>
    <w:rsid w:val="00D06F77"/>
    <w:rsid w:val="00D075B7"/>
    <w:rsid w:val="00D07C5C"/>
    <w:rsid w:val="00D102AB"/>
    <w:rsid w:val="00D102EA"/>
    <w:rsid w:val="00D10513"/>
    <w:rsid w:val="00D108D2"/>
    <w:rsid w:val="00D10D8A"/>
    <w:rsid w:val="00D10FA5"/>
    <w:rsid w:val="00D12613"/>
    <w:rsid w:val="00D12BD4"/>
    <w:rsid w:val="00D13A61"/>
    <w:rsid w:val="00D14697"/>
    <w:rsid w:val="00D14CAE"/>
    <w:rsid w:val="00D16273"/>
    <w:rsid w:val="00D1797E"/>
    <w:rsid w:val="00D209EF"/>
    <w:rsid w:val="00D22C5C"/>
    <w:rsid w:val="00D22DD6"/>
    <w:rsid w:val="00D23559"/>
    <w:rsid w:val="00D24153"/>
    <w:rsid w:val="00D250E0"/>
    <w:rsid w:val="00D26599"/>
    <w:rsid w:val="00D300A1"/>
    <w:rsid w:val="00D31DCC"/>
    <w:rsid w:val="00D32B02"/>
    <w:rsid w:val="00D33020"/>
    <w:rsid w:val="00D3361C"/>
    <w:rsid w:val="00D34264"/>
    <w:rsid w:val="00D358F7"/>
    <w:rsid w:val="00D3610A"/>
    <w:rsid w:val="00D36697"/>
    <w:rsid w:val="00D36AAA"/>
    <w:rsid w:val="00D37915"/>
    <w:rsid w:val="00D40401"/>
    <w:rsid w:val="00D4087A"/>
    <w:rsid w:val="00D40CCA"/>
    <w:rsid w:val="00D42A4F"/>
    <w:rsid w:val="00D438E8"/>
    <w:rsid w:val="00D46750"/>
    <w:rsid w:val="00D469A1"/>
    <w:rsid w:val="00D470A5"/>
    <w:rsid w:val="00D474B9"/>
    <w:rsid w:val="00D5088A"/>
    <w:rsid w:val="00D51659"/>
    <w:rsid w:val="00D5332A"/>
    <w:rsid w:val="00D55679"/>
    <w:rsid w:val="00D56F9D"/>
    <w:rsid w:val="00D57070"/>
    <w:rsid w:val="00D575F4"/>
    <w:rsid w:val="00D57693"/>
    <w:rsid w:val="00D57F55"/>
    <w:rsid w:val="00D61887"/>
    <w:rsid w:val="00D61D91"/>
    <w:rsid w:val="00D63AD4"/>
    <w:rsid w:val="00D64684"/>
    <w:rsid w:val="00D650AD"/>
    <w:rsid w:val="00D657F1"/>
    <w:rsid w:val="00D65FD6"/>
    <w:rsid w:val="00D669A0"/>
    <w:rsid w:val="00D6756F"/>
    <w:rsid w:val="00D67659"/>
    <w:rsid w:val="00D71F6C"/>
    <w:rsid w:val="00D7398D"/>
    <w:rsid w:val="00D73E91"/>
    <w:rsid w:val="00D73F1D"/>
    <w:rsid w:val="00D75F2E"/>
    <w:rsid w:val="00D7656B"/>
    <w:rsid w:val="00D766FA"/>
    <w:rsid w:val="00D77477"/>
    <w:rsid w:val="00D7798F"/>
    <w:rsid w:val="00D77D99"/>
    <w:rsid w:val="00D8090E"/>
    <w:rsid w:val="00D80DBA"/>
    <w:rsid w:val="00D829B6"/>
    <w:rsid w:val="00D837B3"/>
    <w:rsid w:val="00D83AC2"/>
    <w:rsid w:val="00D83B13"/>
    <w:rsid w:val="00D8453B"/>
    <w:rsid w:val="00D84F3A"/>
    <w:rsid w:val="00D86916"/>
    <w:rsid w:val="00D87D50"/>
    <w:rsid w:val="00D904AF"/>
    <w:rsid w:val="00D919E5"/>
    <w:rsid w:val="00D92221"/>
    <w:rsid w:val="00D94E9C"/>
    <w:rsid w:val="00D959C7"/>
    <w:rsid w:val="00DA0EFC"/>
    <w:rsid w:val="00DA16B6"/>
    <w:rsid w:val="00DA35A3"/>
    <w:rsid w:val="00DA49E0"/>
    <w:rsid w:val="00DA4C9C"/>
    <w:rsid w:val="00DA57A6"/>
    <w:rsid w:val="00DA63C3"/>
    <w:rsid w:val="00DB09E4"/>
    <w:rsid w:val="00DB13B3"/>
    <w:rsid w:val="00DB14E7"/>
    <w:rsid w:val="00DB1A40"/>
    <w:rsid w:val="00DB270D"/>
    <w:rsid w:val="00DB718B"/>
    <w:rsid w:val="00DC0183"/>
    <w:rsid w:val="00DC027E"/>
    <w:rsid w:val="00DC035A"/>
    <w:rsid w:val="00DC0A9F"/>
    <w:rsid w:val="00DC1CA3"/>
    <w:rsid w:val="00DC1E3F"/>
    <w:rsid w:val="00DC20CE"/>
    <w:rsid w:val="00DC220C"/>
    <w:rsid w:val="00DC3602"/>
    <w:rsid w:val="00DC3FBF"/>
    <w:rsid w:val="00DC59B5"/>
    <w:rsid w:val="00DC5F86"/>
    <w:rsid w:val="00DC6675"/>
    <w:rsid w:val="00DD23CC"/>
    <w:rsid w:val="00DD25B5"/>
    <w:rsid w:val="00DD2F30"/>
    <w:rsid w:val="00DD4787"/>
    <w:rsid w:val="00DD563B"/>
    <w:rsid w:val="00DD5C4A"/>
    <w:rsid w:val="00DD739C"/>
    <w:rsid w:val="00DD7E11"/>
    <w:rsid w:val="00DE0F9C"/>
    <w:rsid w:val="00DE1EDF"/>
    <w:rsid w:val="00DE218B"/>
    <w:rsid w:val="00DE4D9B"/>
    <w:rsid w:val="00DF004F"/>
    <w:rsid w:val="00DF0877"/>
    <w:rsid w:val="00DF209D"/>
    <w:rsid w:val="00DF2101"/>
    <w:rsid w:val="00DF244D"/>
    <w:rsid w:val="00DF3372"/>
    <w:rsid w:val="00DF4E64"/>
    <w:rsid w:val="00DF51BD"/>
    <w:rsid w:val="00DF67BD"/>
    <w:rsid w:val="00E00600"/>
    <w:rsid w:val="00E01A7A"/>
    <w:rsid w:val="00E01FCB"/>
    <w:rsid w:val="00E032EE"/>
    <w:rsid w:val="00E0390B"/>
    <w:rsid w:val="00E047E2"/>
    <w:rsid w:val="00E05127"/>
    <w:rsid w:val="00E051DE"/>
    <w:rsid w:val="00E06497"/>
    <w:rsid w:val="00E06C0A"/>
    <w:rsid w:val="00E102FF"/>
    <w:rsid w:val="00E1033C"/>
    <w:rsid w:val="00E11F87"/>
    <w:rsid w:val="00E121B5"/>
    <w:rsid w:val="00E146A9"/>
    <w:rsid w:val="00E15A09"/>
    <w:rsid w:val="00E15CCC"/>
    <w:rsid w:val="00E1653B"/>
    <w:rsid w:val="00E173BD"/>
    <w:rsid w:val="00E22361"/>
    <w:rsid w:val="00E232AF"/>
    <w:rsid w:val="00E2450D"/>
    <w:rsid w:val="00E24E24"/>
    <w:rsid w:val="00E275CB"/>
    <w:rsid w:val="00E30181"/>
    <w:rsid w:val="00E30323"/>
    <w:rsid w:val="00E30A61"/>
    <w:rsid w:val="00E30B41"/>
    <w:rsid w:val="00E32AF1"/>
    <w:rsid w:val="00E3393E"/>
    <w:rsid w:val="00E36015"/>
    <w:rsid w:val="00E439D5"/>
    <w:rsid w:val="00E444C4"/>
    <w:rsid w:val="00E44C59"/>
    <w:rsid w:val="00E4550E"/>
    <w:rsid w:val="00E472AF"/>
    <w:rsid w:val="00E5071A"/>
    <w:rsid w:val="00E51985"/>
    <w:rsid w:val="00E53066"/>
    <w:rsid w:val="00E535AB"/>
    <w:rsid w:val="00E555EA"/>
    <w:rsid w:val="00E57125"/>
    <w:rsid w:val="00E57630"/>
    <w:rsid w:val="00E5769D"/>
    <w:rsid w:val="00E60C09"/>
    <w:rsid w:val="00E62A7F"/>
    <w:rsid w:val="00E631DB"/>
    <w:rsid w:val="00E64305"/>
    <w:rsid w:val="00E64AC5"/>
    <w:rsid w:val="00E67A71"/>
    <w:rsid w:val="00E67CFF"/>
    <w:rsid w:val="00E706B3"/>
    <w:rsid w:val="00E7196E"/>
    <w:rsid w:val="00E74B73"/>
    <w:rsid w:val="00E74C66"/>
    <w:rsid w:val="00E76FE8"/>
    <w:rsid w:val="00E774B7"/>
    <w:rsid w:val="00E823D1"/>
    <w:rsid w:val="00E82FC0"/>
    <w:rsid w:val="00E83580"/>
    <w:rsid w:val="00E85457"/>
    <w:rsid w:val="00E857A9"/>
    <w:rsid w:val="00E85982"/>
    <w:rsid w:val="00E867DA"/>
    <w:rsid w:val="00E86F14"/>
    <w:rsid w:val="00E921C9"/>
    <w:rsid w:val="00E921CB"/>
    <w:rsid w:val="00E93B69"/>
    <w:rsid w:val="00E94024"/>
    <w:rsid w:val="00E95782"/>
    <w:rsid w:val="00E95C6C"/>
    <w:rsid w:val="00EA48AB"/>
    <w:rsid w:val="00EA5183"/>
    <w:rsid w:val="00EA5883"/>
    <w:rsid w:val="00EA6C45"/>
    <w:rsid w:val="00EA6EE7"/>
    <w:rsid w:val="00EA7D1D"/>
    <w:rsid w:val="00EB0EE8"/>
    <w:rsid w:val="00EB1B79"/>
    <w:rsid w:val="00EB3DF9"/>
    <w:rsid w:val="00EB4887"/>
    <w:rsid w:val="00EB492D"/>
    <w:rsid w:val="00EB4EDF"/>
    <w:rsid w:val="00EB69C7"/>
    <w:rsid w:val="00EB759D"/>
    <w:rsid w:val="00EC0A0B"/>
    <w:rsid w:val="00EC0E65"/>
    <w:rsid w:val="00EC1BC6"/>
    <w:rsid w:val="00EC1CED"/>
    <w:rsid w:val="00EC1E8B"/>
    <w:rsid w:val="00EC3AD7"/>
    <w:rsid w:val="00EC4045"/>
    <w:rsid w:val="00EC5BC3"/>
    <w:rsid w:val="00EC6F09"/>
    <w:rsid w:val="00ED0D1B"/>
    <w:rsid w:val="00ED4493"/>
    <w:rsid w:val="00ED57C0"/>
    <w:rsid w:val="00ED581F"/>
    <w:rsid w:val="00ED5BB8"/>
    <w:rsid w:val="00ED7C8E"/>
    <w:rsid w:val="00ED7FFB"/>
    <w:rsid w:val="00EE1103"/>
    <w:rsid w:val="00EE21C4"/>
    <w:rsid w:val="00EE3679"/>
    <w:rsid w:val="00EE37F8"/>
    <w:rsid w:val="00EE53B9"/>
    <w:rsid w:val="00EE585C"/>
    <w:rsid w:val="00EE659E"/>
    <w:rsid w:val="00EE6DA7"/>
    <w:rsid w:val="00EE749D"/>
    <w:rsid w:val="00EE7FFE"/>
    <w:rsid w:val="00EF0623"/>
    <w:rsid w:val="00EF0A54"/>
    <w:rsid w:val="00EF1A93"/>
    <w:rsid w:val="00EF3899"/>
    <w:rsid w:val="00EF5538"/>
    <w:rsid w:val="00EF5C60"/>
    <w:rsid w:val="00EF6C76"/>
    <w:rsid w:val="00EF7A7D"/>
    <w:rsid w:val="00F00742"/>
    <w:rsid w:val="00F0181F"/>
    <w:rsid w:val="00F01BDF"/>
    <w:rsid w:val="00F01F54"/>
    <w:rsid w:val="00F02088"/>
    <w:rsid w:val="00F02424"/>
    <w:rsid w:val="00F02C49"/>
    <w:rsid w:val="00F05209"/>
    <w:rsid w:val="00F07610"/>
    <w:rsid w:val="00F100B1"/>
    <w:rsid w:val="00F10B3E"/>
    <w:rsid w:val="00F10C0B"/>
    <w:rsid w:val="00F1110E"/>
    <w:rsid w:val="00F133C1"/>
    <w:rsid w:val="00F13EC1"/>
    <w:rsid w:val="00F1435A"/>
    <w:rsid w:val="00F16BB8"/>
    <w:rsid w:val="00F17024"/>
    <w:rsid w:val="00F170A9"/>
    <w:rsid w:val="00F173BF"/>
    <w:rsid w:val="00F20115"/>
    <w:rsid w:val="00F205F0"/>
    <w:rsid w:val="00F215A4"/>
    <w:rsid w:val="00F2176E"/>
    <w:rsid w:val="00F21C0D"/>
    <w:rsid w:val="00F2234A"/>
    <w:rsid w:val="00F227C5"/>
    <w:rsid w:val="00F240E9"/>
    <w:rsid w:val="00F249A1"/>
    <w:rsid w:val="00F24C87"/>
    <w:rsid w:val="00F24EC7"/>
    <w:rsid w:val="00F257DF"/>
    <w:rsid w:val="00F2619C"/>
    <w:rsid w:val="00F26C0A"/>
    <w:rsid w:val="00F270AF"/>
    <w:rsid w:val="00F32B5F"/>
    <w:rsid w:val="00F33211"/>
    <w:rsid w:val="00F33725"/>
    <w:rsid w:val="00F33A60"/>
    <w:rsid w:val="00F34C88"/>
    <w:rsid w:val="00F360C8"/>
    <w:rsid w:val="00F3752F"/>
    <w:rsid w:val="00F37EB0"/>
    <w:rsid w:val="00F41848"/>
    <w:rsid w:val="00F424BC"/>
    <w:rsid w:val="00F43C77"/>
    <w:rsid w:val="00F4539C"/>
    <w:rsid w:val="00F459A1"/>
    <w:rsid w:val="00F45BAC"/>
    <w:rsid w:val="00F4633B"/>
    <w:rsid w:val="00F46AAF"/>
    <w:rsid w:val="00F47106"/>
    <w:rsid w:val="00F509EE"/>
    <w:rsid w:val="00F5154C"/>
    <w:rsid w:val="00F51617"/>
    <w:rsid w:val="00F52577"/>
    <w:rsid w:val="00F5515A"/>
    <w:rsid w:val="00F5597E"/>
    <w:rsid w:val="00F57BB3"/>
    <w:rsid w:val="00F57ED5"/>
    <w:rsid w:val="00F60EEF"/>
    <w:rsid w:val="00F6266D"/>
    <w:rsid w:val="00F63B97"/>
    <w:rsid w:val="00F64547"/>
    <w:rsid w:val="00F645FB"/>
    <w:rsid w:val="00F652C0"/>
    <w:rsid w:val="00F6556E"/>
    <w:rsid w:val="00F65643"/>
    <w:rsid w:val="00F659AD"/>
    <w:rsid w:val="00F67668"/>
    <w:rsid w:val="00F67DB9"/>
    <w:rsid w:val="00F70135"/>
    <w:rsid w:val="00F70C53"/>
    <w:rsid w:val="00F71D27"/>
    <w:rsid w:val="00F71FF5"/>
    <w:rsid w:val="00F727CD"/>
    <w:rsid w:val="00F73905"/>
    <w:rsid w:val="00F748CA"/>
    <w:rsid w:val="00F756D7"/>
    <w:rsid w:val="00F770AF"/>
    <w:rsid w:val="00F7793B"/>
    <w:rsid w:val="00F8041C"/>
    <w:rsid w:val="00F82AAD"/>
    <w:rsid w:val="00F83031"/>
    <w:rsid w:val="00F836D5"/>
    <w:rsid w:val="00F837AD"/>
    <w:rsid w:val="00F847EA"/>
    <w:rsid w:val="00F84D72"/>
    <w:rsid w:val="00F84F2A"/>
    <w:rsid w:val="00F85C95"/>
    <w:rsid w:val="00F85DFD"/>
    <w:rsid w:val="00F879E5"/>
    <w:rsid w:val="00F87DF8"/>
    <w:rsid w:val="00F90343"/>
    <w:rsid w:val="00F90350"/>
    <w:rsid w:val="00F91F69"/>
    <w:rsid w:val="00F928DE"/>
    <w:rsid w:val="00F94150"/>
    <w:rsid w:val="00F95EC8"/>
    <w:rsid w:val="00F97199"/>
    <w:rsid w:val="00F97C46"/>
    <w:rsid w:val="00F97EF9"/>
    <w:rsid w:val="00FA214F"/>
    <w:rsid w:val="00FA4114"/>
    <w:rsid w:val="00FA5246"/>
    <w:rsid w:val="00FA53C6"/>
    <w:rsid w:val="00FA5741"/>
    <w:rsid w:val="00FA786A"/>
    <w:rsid w:val="00FA799B"/>
    <w:rsid w:val="00FB1601"/>
    <w:rsid w:val="00FB1A08"/>
    <w:rsid w:val="00FB1DD9"/>
    <w:rsid w:val="00FB1E62"/>
    <w:rsid w:val="00FB395E"/>
    <w:rsid w:val="00FB431E"/>
    <w:rsid w:val="00FB477B"/>
    <w:rsid w:val="00FB56D3"/>
    <w:rsid w:val="00FB6E5C"/>
    <w:rsid w:val="00FB763E"/>
    <w:rsid w:val="00FB7DDB"/>
    <w:rsid w:val="00FC04BA"/>
    <w:rsid w:val="00FC1370"/>
    <w:rsid w:val="00FC331E"/>
    <w:rsid w:val="00FC34D1"/>
    <w:rsid w:val="00FC37F8"/>
    <w:rsid w:val="00FC40FC"/>
    <w:rsid w:val="00FC4D8E"/>
    <w:rsid w:val="00FC5BBA"/>
    <w:rsid w:val="00FC7113"/>
    <w:rsid w:val="00FC7832"/>
    <w:rsid w:val="00FC7B5C"/>
    <w:rsid w:val="00FD09D8"/>
    <w:rsid w:val="00FD1532"/>
    <w:rsid w:val="00FD28D7"/>
    <w:rsid w:val="00FD7A02"/>
    <w:rsid w:val="00FE2315"/>
    <w:rsid w:val="00FE2BCB"/>
    <w:rsid w:val="00FE3448"/>
    <w:rsid w:val="00FE3AFE"/>
    <w:rsid w:val="00FE4778"/>
    <w:rsid w:val="00FE4A5A"/>
    <w:rsid w:val="00FE4D8A"/>
    <w:rsid w:val="00FE60BE"/>
    <w:rsid w:val="00FE6FD8"/>
    <w:rsid w:val="00FF1C99"/>
    <w:rsid w:val="00FF1CBB"/>
    <w:rsid w:val="00FF1DF1"/>
    <w:rsid w:val="00FF451E"/>
    <w:rsid w:val="00FF5249"/>
    <w:rsid w:val="00FF589E"/>
    <w:rsid w:val="00FF7644"/>
    <w:rsid w:val="01064106"/>
    <w:rsid w:val="01073AB3"/>
    <w:rsid w:val="010E674C"/>
    <w:rsid w:val="0116514F"/>
    <w:rsid w:val="0138003A"/>
    <w:rsid w:val="014DC143"/>
    <w:rsid w:val="014DE3DE"/>
    <w:rsid w:val="0158C1A5"/>
    <w:rsid w:val="015C2D2E"/>
    <w:rsid w:val="015C69E0"/>
    <w:rsid w:val="016784C6"/>
    <w:rsid w:val="0167E73B"/>
    <w:rsid w:val="0174719B"/>
    <w:rsid w:val="017D1112"/>
    <w:rsid w:val="019B7CC9"/>
    <w:rsid w:val="019D2DED"/>
    <w:rsid w:val="01AA7853"/>
    <w:rsid w:val="01AC2A68"/>
    <w:rsid w:val="01B2A58A"/>
    <w:rsid w:val="01C0963A"/>
    <w:rsid w:val="01D38417"/>
    <w:rsid w:val="01E6B1B0"/>
    <w:rsid w:val="01E9A252"/>
    <w:rsid w:val="01F11F29"/>
    <w:rsid w:val="0202EE5E"/>
    <w:rsid w:val="0221B645"/>
    <w:rsid w:val="025DA6C4"/>
    <w:rsid w:val="025ECC1A"/>
    <w:rsid w:val="0277D7FB"/>
    <w:rsid w:val="027DFB3F"/>
    <w:rsid w:val="028C881B"/>
    <w:rsid w:val="02987C7F"/>
    <w:rsid w:val="029915F9"/>
    <w:rsid w:val="02AD0165"/>
    <w:rsid w:val="02AE2E48"/>
    <w:rsid w:val="02AE8854"/>
    <w:rsid w:val="02C2EFFD"/>
    <w:rsid w:val="02CED328"/>
    <w:rsid w:val="02DCC44F"/>
    <w:rsid w:val="02DE4AD7"/>
    <w:rsid w:val="02EA6844"/>
    <w:rsid w:val="030928AD"/>
    <w:rsid w:val="03128882"/>
    <w:rsid w:val="032C1E5C"/>
    <w:rsid w:val="0330A6AC"/>
    <w:rsid w:val="033BA16F"/>
    <w:rsid w:val="033E3AC7"/>
    <w:rsid w:val="036145EB"/>
    <w:rsid w:val="036C2F3E"/>
    <w:rsid w:val="0375A3D3"/>
    <w:rsid w:val="03AB64C3"/>
    <w:rsid w:val="03AFC794"/>
    <w:rsid w:val="03C12C7C"/>
    <w:rsid w:val="03C622D2"/>
    <w:rsid w:val="03D80334"/>
    <w:rsid w:val="03D9869D"/>
    <w:rsid w:val="03E20F06"/>
    <w:rsid w:val="03E8C462"/>
    <w:rsid w:val="040E17D6"/>
    <w:rsid w:val="04282707"/>
    <w:rsid w:val="042D42B2"/>
    <w:rsid w:val="044FA0C6"/>
    <w:rsid w:val="04510CC6"/>
    <w:rsid w:val="045B1370"/>
    <w:rsid w:val="045C33BA"/>
    <w:rsid w:val="0462BC82"/>
    <w:rsid w:val="04676B72"/>
    <w:rsid w:val="04727D66"/>
    <w:rsid w:val="0472F022"/>
    <w:rsid w:val="047F23C3"/>
    <w:rsid w:val="049415BC"/>
    <w:rsid w:val="04A17D00"/>
    <w:rsid w:val="04A2A3C5"/>
    <w:rsid w:val="04A322FC"/>
    <w:rsid w:val="04CD0C9B"/>
    <w:rsid w:val="04E9D911"/>
    <w:rsid w:val="04F1B711"/>
    <w:rsid w:val="050F23E9"/>
    <w:rsid w:val="05218F24"/>
    <w:rsid w:val="05219DF5"/>
    <w:rsid w:val="053F554C"/>
    <w:rsid w:val="0542A1F9"/>
    <w:rsid w:val="054799FD"/>
    <w:rsid w:val="055AF0DB"/>
    <w:rsid w:val="058DFF2E"/>
    <w:rsid w:val="05A01564"/>
    <w:rsid w:val="05BDAFCA"/>
    <w:rsid w:val="05BFCD87"/>
    <w:rsid w:val="05C61B30"/>
    <w:rsid w:val="05CA6769"/>
    <w:rsid w:val="05CCCAE2"/>
    <w:rsid w:val="05CDF18E"/>
    <w:rsid w:val="05D9A963"/>
    <w:rsid w:val="05ED8360"/>
    <w:rsid w:val="05F57960"/>
    <w:rsid w:val="061A356F"/>
    <w:rsid w:val="061B189F"/>
    <w:rsid w:val="062445B8"/>
    <w:rsid w:val="063C3A79"/>
    <w:rsid w:val="06514DB7"/>
    <w:rsid w:val="06531C20"/>
    <w:rsid w:val="0665D186"/>
    <w:rsid w:val="069FBBC5"/>
    <w:rsid w:val="06A47366"/>
    <w:rsid w:val="06ADF814"/>
    <w:rsid w:val="06AF2B08"/>
    <w:rsid w:val="06B0D513"/>
    <w:rsid w:val="06B1B49F"/>
    <w:rsid w:val="06B6208C"/>
    <w:rsid w:val="06BDE48A"/>
    <w:rsid w:val="06CF91A2"/>
    <w:rsid w:val="06D77915"/>
    <w:rsid w:val="06FAD3BA"/>
    <w:rsid w:val="0714C6A5"/>
    <w:rsid w:val="07215142"/>
    <w:rsid w:val="072182CB"/>
    <w:rsid w:val="0722B43B"/>
    <w:rsid w:val="07248D44"/>
    <w:rsid w:val="0741FF8E"/>
    <w:rsid w:val="0788FC7D"/>
    <w:rsid w:val="078D72D5"/>
    <w:rsid w:val="07972CFC"/>
    <w:rsid w:val="07984723"/>
    <w:rsid w:val="07ABB45A"/>
    <w:rsid w:val="07C36F45"/>
    <w:rsid w:val="07C3AFA3"/>
    <w:rsid w:val="07DA574A"/>
    <w:rsid w:val="07E5CDA8"/>
    <w:rsid w:val="07F84559"/>
    <w:rsid w:val="08047E35"/>
    <w:rsid w:val="0806CE2D"/>
    <w:rsid w:val="081226BC"/>
    <w:rsid w:val="08139FAF"/>
    <w:rsid w:val="081D1595"/>
    <w:rsid w:val="08366384"/>
    <w:rsid w:val="08412BD0"/>
    <w:rsid w:val="08602DEF"/>
    <w:rsid w:val="0879ADE4"/>
    <w:rsid w:val="087C73AE"/>
    <w:rsid w:val="08BA2575"/>
    <w:rsid w:val="08CC84E4"/>
    <w:rsid w:val="08D9A718"/>
    <w:rsid w:val="08EEAF97"/>
    <w:rsid w:val="090F7E6A"/>
    <w:rsid w:val="09115658"/>
    <w:rsid w:val="0914F4BB"/>
    <w:rsid w:val="09268163"/>
    <w:rsid w:val="0963DE08"/>
    <w:rsid w:val="096660FF"/>
    <w:rsid w:val="0967D858"/>
    <w:rsid w:val="096E6AF4"/>
    <w:rsid w:val="097FF6A7"/>
    <w:rsid w:val="09822904"/>
    <w:rsid w:val="09ACC108"/>
    <w:rsid w:val="09B6E5A2"/>
    <w:rsid w:val="09B80A9A"/>
    <w:rsid w:val="09CBC927"/>
    <w:rsid w:val="09CFD28B"/>
    <w:rsid w:val="09CFDE4F"/>
    <w:rsid w:val="09E01292"/>
    <w:rsid w:val="0A09BAE7"/>
    <w:rsid w:val="0A1B3617"/>
    <w:rsid w:val="0A37B32C"/>
    <w:rsid w:val="0A3B1532"/>
    <w:rsid w:val="0A45C8A4"/>
    <w:rsid w:val="0A587E9D"/>
    <w:rsid w:val="0A5F6EA2"/>
    <w:rsid w:val="0A62C926"/>
    <w:rsid w:val="0A67FD50"/>
    <w:rsid w:val="0A6BD7A5"/>
    <w:rsid w:val="0A74B359"/>
    <w:rsid w:val="0A7D375C"/>
    <w:rsid w:val="0A82B84D"/>
    <w:rsid w:val="0A97CDBE"/>
    <w:rsid w:val="0A9FAB96"/>
    <w:rsid w:val="0AA38E64"/>
    <w:rsid w:val="0AA5D65F"/>
    <w:rsid w:val="0AB68C56"/>
    <w:rsid w:val="0AC41CE7"/>
    <w:rsid w:val="0AC45D0A"/>
    <w:rsid w:val="0AD474C7"/>
    <w:rsid w:val="0AE7211C"/>
    <w:rsid w:val="0AE7A60A"/>
    <w:rsid w:val="0AF73708"/>
    <w:rsid w:val="0B0D01F3"/>
    <w:rsid w:val="0B265099"/>
    <w:rsid w:val="0B26A863"/>
    <w:rsid w:val="0B2966B3"/>
    <w:rsid w:val="0B45525C"/>
    <w:rsid w:val="0B463F43"/>
    <w:rsid w:val="0B4E40BD"/>
    <w:rsid w:val="0B52B9D0"/>
    <w:rsid w:val="0B550256"/>
    <w:rsid w:val="0B6B3115"/>
    <w:rsid w:val="0B776BB9"/>
    <w:rsid w:val="0B819BEF"/>
    <w:rsid w:val="0B8A40B5"/>
    <w:rsid w:val="0B8E6355"/>
    <w:rsid w:val="0BA4AE1C"/>
    <w:rsid w:val="0BADDC37"/>
    <w:rsid w:val="0BB486ED"/>
    <w:rsid w:val="0BB5AE10"/>
    <w:rsid w:val="0BB9E2CC"/>
    <w:rsid w:val="0BD6F34F"/>
    <w:rsid w:val="0BE4DDD1"/>
    <w:rsid w:val="0BEF84BA"/>
    <w:rsid w:val="0C018C1F"/>
    <w:rsid w:val="0C17F113"/>
    <w:rsid w:val="0C24BCC2"/>
    <w:rsid w:val="0C42720E"/>
    <w:rsid w:val="0C467773"/>
    <w:rsid w:val="0C57E0BD"/>
    <w:rsid w:val="0C598066"/>
    <w:rsid w:val="0C6275E1"/>
    <w:rsid w:val="0C7004D6"/>
    <w:rsid w:val="0C7FE640"/>
    <w:rsid w:val="0C84EFF7"/>
    <w:rsid w:val="0C86AFCB"/>
    <w:rsid w:val="0C8C4377"/>
    <w:rsid w:val="0C8EE0AF"/>
    <w:rsid w:val="0C971B73"/>
    <w:rsid w:val="0C9A7357"/>
    <w:rsid w:val="0CA0BB1A"/>
    <w:rsid w:val="0CCAD37A"/>
    <w:rsid w:val="0CD39579"/>
    <w:rsid w:val="0CDAE454"/>
    <w:rsid w:val="0CDB298A"/>
    <w:rsid w:val="0CDEDF16"/>
    <w:rsid w:val="0CE5E23E"/>
    <w:rsid w:val="0CE8CEEC"/>
    <w:rsid w:val="0CF1A1DB"/>
    <w:rsid w:val="0CFC575C"/>
    <w:rsid w:val="0D0690F0"/>
    <w:rsid w:val="0D0B768A"/>
    <w:rsid w:val="0D15E6C0"/>
    <w:rsid w:val="0D16267F"/>
    <w:rsid w:val="0D45A4FB"/>
    <w:rsid w:val="0D49DE87"/>
    <w:rsid w:val="0D4C290A"/>
    <w:rsid w:val="0D529BB6"/>
    <w:rsid w:val="0D5D5DBF"/>
    <w:rsid w:val="0D60798F"/>
    <w:rsid w:val="0D77C580"/>
    <w:rsid w:val="0D7DB6F3"/>
    <w:rsid w:val="0D807CC6"/>
    <w:rsid w:val="0D8DA0E1"/>
    <w:rsid w:val="0D977982"/>
    <w:rsid w:val="0D9BE361"/>
    <w:rsid w:val="0DBD47E7"/>
    <w:rsid w:val="0DC657D4"/>
    <w:rsid w:val="0DC6D58B"/>
    <w:rsid w:val="0DD248D1"/>
    <w:rsid w:val="0DD5CE02"/>
    <w:rsid w:val="0DDD25A2"/>
    <w:rsid w:val="0DE6DD2D"/>
    <w:rsid w:val="0E05BA05"/>
    <w:rsid w:val="0E0D8B39"/>
    <w:rsid w:val="0E16E588"/>
    <w:rsid w:val="0E1BED75"/>
    <w:rsid w:val="0E1C5AE6"/>
    <w:rsid w:val="0E1E12A1"/>
    <w:rsid w:val="0E1EF5D3"/>
    <w:rsid w:val="0E20CB4C"/>
    <w:rsid w:val="0E4025F9"/>
    <w:rsid w:val="0E408021"/>
    <w:rsid w:val="0E4C4DD3"/>
    <w:rsid w:val="0E573310"/>
    <w:rsid w:val="0E61C5A7"/>
    <w:rsid w:val="0E829433"/>
    <w:rsid w:val="0E83702E"/>
    <w:rsid w:val="0E995B32"/>
    <w:rsid w:val="0EA25FE3"/>
    <w:rsid w:val="0EAD7220"/>
    <w:rsid w:val="0EAFC0AC"/>
    <w:rsid w:val="0EBEB021"/>
    <w:rsid w:val="0ECE7071"/>
    <w:rsid w:val="0EDA3F48"/>
    <w:rsid w:val="0EE41C76"/>
    <w:rsid w:val="0EEA381A"/>
    <w:rsid w:val="0EF25014"/>
    <w:rsid w:val="0EF728A9"/>
    <w:rsid w:val="0F2ED591"/>
    <w:rsid w:val="0F35D6CD"/>
    <w:rsid w:val="0F4B4995"/>
    <w:rsid w:val="0F5F5899"/>
    <w:rsid w:val="0F68BF1E"/>
    <w:rsid w:val="0F792EEA"/>
    <w:rsid w:val="0F9F4A6D"/>
    <w:rsid w:val="0FC647C9"/>
    <w:rsid w:val="0FC8A970"/>
    <w:rsid w:val="0FDAA221"/>
    <w:rsid w:val="0FE08F79"/>
    <w:rsid w:val="0FE1CC5E"/>
    <w:rsid w:val="0FFA1EDF"/>
    <w:rsid w:val="10143AC2"/>
    <w:rsid w:val="10169794"/>
    <w:rsid w:val="1017928E"/>
    <w:rsid w:val="101A9B56"/>
    <w:rsid w:val="1022EF5B"/>
    <w:rsid w:val="1026BB3A"/>
    <w:rsid w:val="10332878"/>
    <w:rsid w:val="1039675D"/>
    <w:rsid w:val="10545477"/>
    <w:rsid w:val="1061AA99"/>
    <w:rsid w:val="10689378"/>
    <w:rsid w:val="106BB5ED"/>
    <w:rsid w:val="106F773D"/>
    <w:rsid w:val="1078CF99"/>
    <w:rsid w:val="10A0D9E2"/>
    <w:rsid w:val="10AA497D"/>
    <w:rsid w:val="10C82E60"/>
    <w:rsid w:val="10DDF033"/>
    <w:rsid w:val="10EDBAFE"/>
    <w:rsid w:val="110556DE"/>
    <w:rsid w:val="111CCCFA"/>
    <w:rsid w:val="112623A0"/>
    <w:rsid w:val="112929EB"/>
    <w:rsid w:val="112F35D3"/>
    <w:rsid w:val="1163DD36"/>
    <w:rsid w:val="116ADC50"/>
    <w:rsid w:val="116C1634"/>
    <w:rsid w:val="116EE5B1"/>
    <w:rsid w:val="11704879"/>
    <w:rsid w:val="11A80F46"/>
    <w:rsid w:val="11BFEA1A"/>
    <w:rsid w:val="11C3531D"/>
    <w:rsid w:val="11E0293E"/>
    <w:rsid w:val="11EA7E38"/>
    <w:rsid w:val="11F167FB"/>
    <w:rsid w:val="12063E7E"/>
    <w:rsid w:val="120C3B04"/>
    <w:rsid w:val="120E4236"/>
    <w:rsid w:val="121284D0"/>
    <w:rsid w:val="12128578"/>
    <w:rsid w:val="1217DD33"/>
    <w:rsid w:val="121843F5"/>
    <w:rsid w:val="1256DF8F"/>
    <w:rsid w:val="125E84FB"/>
    <w:rsid w:val="126CDC45"/>
    <w:rsid w:val="126EEAA7"/>
    <w:rsid w:val="128015A8"/>
    <w:rsid w:val="1282072E"/>
    <w:rsid w:val="128F66A2"/>
    <w:rsid w:val="129277A5"/>
    <w:rsid w:val="12A295B4"/>
    <w:rsid w:val="12ADDFB0"/>
    <w:rsid w:val="12CA020E"/>
    <w:rsid w:val="12D3E699"/>
    <w:rsid w:val="12E4BC6D"/>
    <w:rsid w:val="12F5C8EC"/>
    <w:rsid w:val="12FEDBF5"/>
    <w:rsid w:val="1307AC60"/>
    <w:rsid w:val="130EBF17"/>
    <w:rsid w:val="1311D110"/>
    <w:rsid w:val="1322C5A0"/>
    <w:rsid w:val="13267190"/>
    <w:rsid w:val="13306E5E"/>
    <w:rsid w:val="1337E7C8"/>
    <w:rsid w:val="133A0168"/>
    <w:rsid w:val="133AB9EB"/>
    <w:rsid w:val="133AEA2E"/>
    <w:rsid w:val="134D54D3"/>
    <w:rsid w:val="135499DF"/>
    <w:rsid w:val="13568D32"/>
    <w:rsid w:val="13591DCF"/>
    <w:rsid w:val="13696CD3"/>
    <w:rsid w:val="136EC1D9"/>
    <w:rsid w:val="137D7D06"/>
    <w:rsid w:val="1380F0F1"/>
    <w:rsid w:val="138561CC"/>
    <w:rsid w:val="138B65AE"/>
    <w:rsid w:val="13A4EB69"/>
    <w:rsid w:val="13A80FD8"/>
    <w:rsid w:val="13ABA0F9"/>
    <w:rsid w:val="13B73C77"/>
    <w:rsid w:val="13C144C7"/>
    <w:rsid w:val="13CC6236"/>
    <w:rsid w:val="13DD9BAF"/>
    <w:rsid w:val="13EE9A56"/>
    <w:rsid w:val="13FCEFCD"/>
    <w:rsid w:val="14144C33"/>
    <w:rsid w:val="144AEFF8"/>
    <w:rsid w:val="14620D0B"/>
    <w:rsid w:val="14906C4B"/>
    <w:rsid w:val="14A7FD08"/>
    <w:rsid w:val="14A91A03"/>
    <w:rsid w:val="14B3D0F3"/>
    <w:rsid w:val="14B5C90C"/>
    <w:rsid w:val="14BCC69E"/>
    <w:rsid w:val="14BD92EE"/>
    <w:rsid w:val="14C81F84"/>
    <w:rsid w:val="14E2F777"/>
    <w:rsid w:val="14E9419A"/>
    <w:rsid w:val="14ECCCB9"/>
    <w:rsid w:val="14EE3D2F"/>
    <w:rsid w:val="14FF4C0C"/>
    <w:rsid w:val="15039EEA"/>
    <w:rsid w:val="15046695"/>
    <w:rsid w:val="151373CA"/>
    <w:rsid w:val="15162315"/>
    <w:rsid w:val="152FD5AC"/>
    <w:rsid w:val="153DA5F5"/>
    <w:rsid w:val="1558918F"/>
    <w:rsid w:val="1565C4BC"/>
    <w:rsid w:val="15712179"/>
    <w:rsid w:val="1579DCAD"/>
    <w:rsid w:val="157A8930"/>
    <w:rsid w:val="157C5991"/>
    <w:rsid w:val="157DE1F1"/>
    <w:rsid w:val="157EC25B"/>
    <w:rsid w:val="159475A5"/>
    <w:rsid w:val="1599F615"/>
    <w:rsid w:val="15B921FD"/>
    <w:rsid w:val="1606CB00"/>
    <w:rsid w:val="161991DE"/>
    <w:rsid w:val="161B6024"/>
    <w:rsid w:val="161E6FB5"/>
    <w:rsid w:val="16302E37"/>
    <w:rsid w:val="163191B7"/>
    <w:rsid w:val="1642E478"/>
    <w:rsid w:val="165873E3"/>
    <w:rsid w:val="1667FA0E"/>
    <w:rsid w:val="167050B8"/>
    <w:rsid w:val="1676AD6F"/>
    <w:rsid w:val="1694F9AF"/>
    <w:rsid w:val="16956C47"/>
    <w:rsid w:val="16B658A1"/>
    <w:rsid w:val="16D5E6D0"/>
    <w:rsid w:val="16E9B44B"/>
    <w:rsid w:val="16F5BA7F"/>
    <w:rsid w:val="16FA952E"/>
    <w:rsid w:val="170A6EE5"/>
    <w:rsid w:val="170EE82F"/>
    <w:rsid w:val="1718F59E"/>
    <w:rsid w:val="172261B0"/>
    <w:rsid w:val="1723E395"/>
    <w:rsid w:val="1734A27A"/>
    <w:rsid w:val="174957B7"/>
    <w:rsid w:val="174B24A0"/>
    <w:rsid w:val="175FDBF8"/>
    <w:rsid w:val="1760A5FB"/>
    <w:rsid w:val="17696A05"/>
    <w:rsid w:val="1769DB35"/>
    <w:rsid w:val="176A1290"/>
    <w:rsid w:val="177AF549"/>
    <w:rsid w:val="177DEE8C"/>
    <w:rsid w:val="177EF5FB"/>
    <w:rsid w:val="178AD5ED"/>
    <w:rsid w:val="17971AC3"/>
    <w:rsid w:val="1798387A"/>
    <w:rsid w:val="17A1FB1F"/>
    <w:rsid w:val="17A5CDAE"/>
    <w:rsid w:val="17A6D75C"/>
    <w:rsid w:val="17A8817C"/>
    <w:rsid w:val="17AC2ED4"/>
    <w:rsid w:val="17C2FA49"/>
    <w:rsid w:val="17C94DB2"/>
    <w:rsid w:val="17E4549F"/>
    <w:rsid w:val="17EB0232"/>
    <w:rsid w:val="17F8415A"/>
    <w:rsid w:val="17FD1CFB"/>
    <w:rsid w:val="17FF6304"/>
    <w:rsid w:val="180C413D"/>
    <w:rsid w:val="18127190"/>
    <w:rsid w:val="18170599"/>
    <w:rsid w:val="181B3FDE"/>
    <w:rsid w:val="183DF9B6"/>
    <w:rsid w:val="186AF5D2"/>
    <w:rsid w:val="187A532E"/>
    <w:rsid w:val="187BCB5D"/>
    <w:rsid w:val="18D5A1F7"/>
    <w:rsid w:val="18DE491B"/>
    <w:rsid w:val="1900869B"/>
    <w:rsid w:val="1903199A"/>
    <w:rsid w:val="191C01FD"/>
    <w:rsid w:val="191F107D"/>
    <w:rsid w:val="19376704"/>
    <w:rsid w:val="19392DC1"/>
    <w:rsid w:val="193E7EDC"/>
    <w:rsid w:val="194A850F"/>
    <w:rsid w:val="19506A52"/>
    <w:rsid w:val="195EB853"/>
    <w:rsid w:val="195FCF97"/>
    <w:rsid w:val="196AECE5"/>
    <w:rsid w:val="1979E9E8"/>
    <w:rsid w:val="1983E336"/>
    <w:rsid w:val="19844DD6"/>
    <w:rsid w:val="1985D8AC"/>
    <w:rsid w:val="198824FE"/>
    <w:rsid w:val="19906CFC"/>
    <w:rsid w:val="19BAFAF3"/>
    <w:rsid w:val="19BC17F5"/>
    <w:rsid w:val="19C2183A"/>
    <w:rsid w:val="19D210E1"/>
    <w:rsid w:val="19EC1E04"/>
    <w:rsid w:val="19FB9514"/>
    <w:rsid w:val="1A044C83"/>
    <w:rsid w:val="1A090B42"/>
    <w:rsid w:val="1A10D69D"/>
    <w:rsid w:val="1A117BED"/>
    <w:rsid w:val="1A2F3416"/>
    <w:rsid w:val="1A2FC29B"/>
    <w:rsid w:val="1A30C0BE"/>
    <w:rsid w:val="1A3A2F3E"/>
    <w:rsid w:val="1A455F73"/>
    <w:rsid w:val="1A5A4231"/>
    <w:rsid w:val="1A7516F5"/>
    <w:rsid w:val="1A87AD97"/>
    <w:rsid w:val="1AA720CD"/>
    <w:rsid w:val="1AA9A7AA"/>
    <w:rsid w:val="1AB2B0C3"/>
    <w:rsid w:val="1AB40F41"/>
    <w:rsid w:val="1AB72E1C"/>
    <w:rsid w:val="1AB9615D"/>
    <w:rsid w:val="1AC4AE5C"/>
    <w:rsid w:val="1ACF3F1D"/>
    <w:rsid w:val="1ADD682A"/>
    <w:rsid w:val="1AE74A7F"/>
    <w:rsid w:val="1AEF3774"/>
    <w:rsid w:val="1AF587B3"/>
    <w:rsid w:val="1B02AA21"/>
    <w:rsid w:val="1B091151"/>
    <w:rsid w:val="1B15A001"/>
    <w:rsid w:val="1B1CDCB4"/>
    <w:rsid w:val="1B2390E5"/>
    <w:rsid w:val="1B2BBF6B"/>
    <w:rsid w:val="1B302360"/>
    <w:rsid w:val="1B358B11"/>
    <w:rsid w:val="1B5381DB"/>
    <w:rsid w:val="1B584B37"/>
    <w:rsid w:val="1B5FFFF6"/>
    <w:rsid w:val="1B64F902"/>
    <w:rsid w:val="1B667AA2"/>
    <w:rsid w:val="1B8551D5"/>
    <w:rsid w:val="1B8AC4BF"/>
    <w:rsid w:val="1B8B2238"/>
    <w:rsid w:val="1B8B644A"/>
    <w:rsid w:val="1B985F28"/>
    <w:rsid w:val="1BB347EB"/>
    <w:rsid w:val="1BB7077B"/>
    <w:rsid w:val="1BC54007"/>
    <w:rsid w:val="1BD3AE18"/>
    <w:rsid w:val="1BDDA734"/>
    <w:rsid w:val="1BE0B218"/>
    <w:rsid w:val="1BF260E9"/>
    <w:rsid w:val="1C009426"/>
    <w:rsid w:val="1C05F9D9"/>
    <w:rsid w:val="1C0ADEC0"/>
    <w:rsid w:val="1C10D982"/>
    <w:rsid w:val="1C11CB91"/>
    <w:rsid w:val="1C4F4EE8"/>
    <w:rsid w:val="1C5022B1"/>
    <w:rsid w:val="1C5B5D1A"/>
    <w:rsid w:val="1C743AFF"/>
    <w:rsid w:val="1C8CF93C"/>
    <w:rsid w:val="1CA5E138"/>
    <w:rsid w:val="1CBA1326"/>
    <w:rsid w:val="1CC083BC"/>
    <w:rsid w:val="1CD28752"/>
    <w:rsid w:val="1CE4F27E"/>
    <w:rsid w:val="1CF3328E"/>
    <w:rsid w:val="1CF72663"/>
    <w:rsid w:val="1D00CE62"/>
    <w:rsid w:val="1D1CEE38"/>
    <w:rsid w:val="1D1FF303"/>
    <w:rsid w:val="1D26626B"/>
    <w:rsid w:val="1D405D02"/>
    <w:rsid w:val="1D47B0D2"/>
    <w:rsid w:val="1D48E8AD"/>
    <w:rsid w:val="1D5C52D0"/>
    <w:rsid w:val="1D64CF15"/>
    <w:rsid w:val="1D6BDD18"/>
    <w:rsid w:val="1D73C869"/>
    <w:rsid w:val="1D8E70A2"/>
    <w:rsid w:val="1D9666F7"/>
    <w:rsid w:val="1DA2E7B3"/>
    <w:rsid w:val="1DAE0C09"/>
    <w:rsid w:val="1DAF6697"/>
    <w:rsid w:val="1DD219BC"/>
    <w:rsid w:val="1DD95CB1"/>
    <w:rsid w:val="1DE41035"/>
    <w:rsid w:val="1DF567B6"/>
    <w:rsid w:val="1E138785"/>
    <w:rsid w:val="1E40DF24"/>
    <w:rsid w:val="1E5A3217"/>
    <w:rsid w:val="1E607A35"/>
    <w:rsid w:val="1E7A31C2"/>
    <w:rsid w:val="1E8EA9DB"/>
    <w:rsid w:val="1E929EF0"/>
    <w:rsid w:val="1EA12C26"/>
    <w:rsid w:val="1EA5A42C"/>
    <w:rsid w:val="1EB9C385"/>
    <w:rsid w:val="1EC60AA0"/>
    <w:rsid w:val="1ECD818D"/>
    <w:rsid w:val="1ECEBEC8"/>
    <w:rsid w:val="1EDA20FC"/>
    <w:rsid w:val="1EF37151"/>
    <w:rsid w:val="1EF929D9"/>
    <w:rsid w:val="1EFAB15A"/>
    <w:rsid w:val="1EFF2D83"/>
    <w:rsid w:val="1F009775"/>
    <w:rsid w:val="1F180C98"/>
    <w:rsid w:val="1F369686"/>
    <w:rsid w:val="1F37E17D"/>
    <w:rsid w:val="1F3BAD7D"/>
    <w:rsid w:val="1F42CA35"/>
    <w:rsid w:val="1F4F0BD6"/>
    <w:rsid w:val="1F648CC3"/>
    <w:rsid w:val="1F6DA6E6"/>
    <w:rsid w:val="1F75C066"/>
    <w:rsid w:val="1F7D3D13"/>
    <w:rsid w:val="1F7FA52F"/>
    <w:rsid w:val="1FC2A496"/>
    <w:rsid w:val="1FC9937E"/>
    <w:rsid w:val="1FF6F4B9"/>
    <w:rsid w:val="1FFF66C0"/>
    <w:rsid w:val="2004416F"/>
    <w:rsid w:val="200B2072"/>
    <w:rsid w:val="202D8CDB"/>
    <w:rsid w:val="203355F0"/>
    <w:rsid w:val="203952BA"/>
    <w:rsid w:val="2042A258"/>
    <w:rsid w:val="2042C337"/>
    <w:rsid w:val="2070E304"/>
    <w:rsid w:val="207460AD"/>
    <w:rsid w:val="20822F20"/>
    <w:rsid w:val="2088000A"/>
    <w:rsid w:val="2091B666"/>
    <w:rsid w:val="20A39AF0"/>
    <w:rsid w:val="20AA7048"/>
    <w:rsid w:val="20C9704C"/>
    <w:rsid w:val="20D158BA"/>
    <w:rsid w:val="20DAE330"/>
    <w:rsid w:val="20DAE953"/>
    <w:rsid w:val="20EC067A"/>
    <w:rsid w:val="20FF9F18"/>
    <w:rsid w:val="210462B6"/>
    <w:rsid w:val="2105C029"/>
    <w:rsid w:val="2110C581"/>
    <w:rsid w:val="2117EAF2"/>
    <w:rsid w:val="212A559D"/>
    <w:rsid w:val="2136E54A"/>
    <w:rsid w:val="21547583"/>
    <w:rsid w:val="2156784F"/>
    <w:rsid w:val="21584A3F"/>
    <w:rsid w:val="21609552"/>
    <w:rsid w:val="216AE8FF"/>
    <w:rsid w:val="2178D502"/>
    <w:rsid w:val="217D7ECE"/>
    <w:rsid w:val="2181E670"/>
    <w:rsid w:val="2186675D"/>
    <w:rsid w:val="218C7AD8"/>
    <w:rsid w:val="21BE3D11"/>
    <w:rsid w:val="21BFEB73"/>
    <w:rsid w:val="21E32EBA"/>
    <w:rsid w:val="21E5D7AF"/>
    <w:rsid w:val="220C796A"/>
    <w:rsid w:val="22105E3E"/>
    <w:rsid w:val="22146E4A"/>
    <w:rsid w:val="22336D7F"/>
    <w:rsid w:val="224299ED"/>
    <w:rsid w:val="226D67E2"/>
    <w:rsid w:val="22702F86"/>
    <w:rsid w:val="22762A0A"/>
    <w:rsid w:val="2278501B"/>
    <w:rsid w:val="22793D85"/>
    <w:rsid w:val="228ABE5B"/>
    <w:rsid w:val="2295FAD9"/>
    <w:rsid w:val="22980D40"/>
    <w:rsid w:val="2298D820"/>
    <w:rsid w:val="2299E09E"/>
    <w:rsid w:val="229CA1BD"/>
    <w:rsid w:val="22A36A97"/>
    <w:rsid w:val="22A82703"/>
    <w:rsid w:val="22B5F596"/>
    <w:rsid w:val="22BB1E4C"/>
    <w:rsid w:val="22CAEBFC"/>
    <w:rsid w:val="22D3CBCB"/>
    <w:rsid w:val="22DF2665"/>
    <w:rsid w:val="22E054B0"/>
    <w:rsid w:val="22E0FB33"/>
    <w:rsid w:val="22EA7EC5"/>
    <w:rsid w:val="22FD4019"/>
    <w:rsid w:val="2304971D"/>
    <w:rsid w:val="230640C1"/>
    <w:rsid w:val="2320D9DC"/>
    <w:rsid w:val="2327CC07"/>
    <w:rsid w:val="23372A29"/>
    <w:rsid w:val="236DDB70"/>
    <w:rsid w:val="2370020E"/>
    <w:rsid w:val="237E7D9E"/>
    <w:rsid w:val="2392E02F"/>
    <w:rsid w:val="239C1D58"/>
    <w:rsid w:val="239DD2B4"/>
    <w:rsid w:val="23A65E29"/>
    <w:rsid w:val="23AA4C8C"/>
    <w:rsid w:val="23BFEC05"/>
    <w:rsid w:val="23C03B40"/>
    <w:rsid w:val="23C52D60"/>
    <w:rsid w:val="23C5BFFE"/>
    <w:rsid w:val="23D689F0"/>
    <w:rsid w:val="23E128FB"/>
    <w:rsid w:val="23EB39AD"/>
    <w:rsid w:val="23F7248C"/>
    <w:rsid w:val="23FB5EA3"/>
    <w:rsid w:val="240BA024"/>
    <w:rsid w:val="2440E655"/>
    <w:rsid w:val="244DA7F6"/>
    <w:rsid w:val="2459FCC2"/>
    <w:rsid w:val="2468C449"/>
    <w:rsid w:val="2480201D"/>
    <w:rsid w:val="2483092C"/>
    <w:rsid w:val="249284BC"/>
    <w:rsid w:val="24A56AB7"/>
    <w:rsid w:val="24B412F4"/>
    <w:rsid w:val="24B73D19"/>
    <w:rsid w:val="24C9342A"/>
    <w:rsid w:val="24D0DDD1"/>
    <w:rsid w:val="24D757E4"/>
    <w:rsid w:val="24DE7C4D"/>
    <w:rsid w:val="24E8281C"/>
    <w:rsid w:val="24FD938F"/>
    <w:rsid w:val="251C5DBD"/>
    <w:rsid w:val="251DF839"/>
    <w:rsid w:val="25233B7E"/>
    <w:rsid w:val="25270481"/>
    <w:rsid w:val="252CDC00"/>
    <w:rsid w:val="252D3D30"/>
    <w:rsid w:val="253AA6BC"/>
    <w:rsid w:val="2547EAA9"/>
    <w:rsid w:val="254B7130"/>
    <w:rsid w:val="25516550"/>
    <w:rsid w:val="255956D9"/>
    <w:rsid w:val="256B10DA"/>
    <w:rsid w:val="258EC491"/>
    <w:rsid w:val="2594B935"/>
    <w:rsid w:val="259A979F"/>
    <w:rsid w:val="259E246F"/>
    <w:rsid w:val="259ED576"/>
    <w:rsid w:val="25A38E3D"/>
    <w:rsid w:val="25A7D24A"/>
    <w:rsid w:val="25BD0DF8"/>
    <w:rsid w:val="25DE9058"/>
    <w:rsid w:val="25EB7DEA"/>
    <w:rsid w:val="261B8248"/>
    <w:rsid w:val="262AB6F0"/>
    <w:rsid w:val="2637A808"/>
    <w:rsid w:val="263FE123"/>
    <w:rsid w:val="264A9A04"/>
    <w:rsid w:val="264EC2C3"/>
    <w:rsid w:val="2681FFC8"/>
    <w:rsid w:val="26883871"/>
    <w:rsid w:val="268B5B2E"/>
    <w:rsid w:val="268B8659"/>
    <w:rsid w:val="268FF755"/>
    <w:rsid w:val="26979F3C"/>
    <w:rsid w:val="26A05CB5"/>
    <w:rsid w:val="26D2720C"/>
    <w:rsid w:val="26DA9D91"/>
    <w:rsid w:val="26E07EF3"/>
    <w:rsid w:val="26F17427"/>
    <w:rsid w:val="26F2F2F6"/>
    <w:rsid w:val="26FA4CCB"/>
    <w:rsid w:val="27044910"/>
    <w:rsid w:val="270C7090"/>
    <w:rsid w:val="271401EF"/>
    <w:rsid w:val="2726A678"/>
    <w:rsid w:val="272849D1"/>
    <w:rsid w:val="273B3EAE"/>
    <w:rsid w:val="2742ECBD"/>
    <w:rsid w:val="274543E5"/>
    <w:rsid w:val="27499D8C"/>
    <w:rsid w:val="27520F9A"/>
    <w:rsid w:val="275481E4"/>
    <w:rsid w:val="27597109"/>
    <w:rsid w:val="275E4F4B"/>
    <w:rsid w:val="278EB121"/>
    <w:rsid w:val="27A25FA7"/>
    <w:rsid w:val="27A9A1E7"/>
    <w:rsid w:val="27AE74E2"/>
    <w:rsid w:val="27B6EFEE"/>
    <w:rsid w:val="27BD2EB0"/>
    <w:rsid w:val="27D4FC78"/>
    <w:rsid w:val="27DFAD93"/>
    <w:rsid w:val="27F312B0"/>
    <w:rsid w:val="28270584"/>
    <w:rsid w:val="28327BB8"/>
    <w:rsid w:val="28336CB0"/>
    <w:rsid w:val="2836BF2E"/>
    <w:rsid w:val="28387DEA"/>
    <w:rsid w:val="284A1F6C"/>
    <w:rsid w:val="2854E3AD"/>
    <w:rsid w:val="2855953A"/>
    <w:rsid w:val="2863766E"/>
    <w:rsid w:val="288EC1F4"/>
    <w:rsid w:val="2891DFED"/>
    <w:rsid w:val="28967BA0"/>
    <w:rsid w:val="28C17C69"/>
    <w:rsid w:val="28C8F1C2"/>
    <w:rsid w:val="28D70DCA"/>
    <w:rsid w:val="28E6BFA2"/>
    <w:rsid w:val="28EFE0BE"/>
    <w:rsid w:val="28FAA734"/>
    <w:rsid w:val="28FEB59A"/>
    <w:rsid w:val="28FFAE89"/>
    <w:rsid w:val="29036CED"/>
    <w:rsid w:val="290D16D4"/>
    <w:rsid w:val="290ED764"/>
    <w:rsid w:val="29158F0F"/>
    <w:rsid w:val="291AF0B8"/>
    <w:rsid w:val="292B1D87"/>
    <w:rsid w:val="29565D0A"/>
    <w:rsid w:val="295B760F"/>
    <w:rsid w:val="296952A5"/>
    <w:rsid w:val="2979EA60"/>
    <w:rsid w:val="297EEE4E"/>
    <w:rsid w:val="29893C9D"/>
    <w:rsid w:val="29927D88"/>
    <w:rsid w:val="29A381E3"/>
    <w:rsid w:val="29A5877F"/>
    <w:rsid w:val="29A6A1CA"/>
    <w:rsid w:val="29A9D30F"/>
    <w:rsid w:val="29B09871"/>
    <w:rsid w:val="29B149F1"/>
    <w:rsid w:val="29CFB26C"/>
    <w:rsid w:val="29DD5833"/>
    <w:rsid w:val="29DEFB35"/>
    <w:rsid w:val="29E4318D"/>
    <w:rsid w:val="2A0585F7"/>
    <w:rsid w:val="2A101D11"/>
    <w:rsid w:val="2A11FF6E"/>
    <w:rsid w:val="2A1CF39D"/>
    <w:rsid w:val="2A46B49B"/>
    <w:rsid w:val="2A4EFAE2"/>
    <w:rsid w:val="2A534E02"/>
    <w:rsid w:val="2A6B4B53"/>
    <w:rsid w:val="2A7A6ACB"/>
    <w:rsid w:val="2A8D1618"/>
    <w:rsid w:val="2A8D3939"/>
    <w:rsid w:val="2A91EF18"/>
    <w:rsid w:val="2AA0B924"/>
    <w:rsid w:val="2AA674B5"/>
    <w:rsid w:val="2AAB0220"/>
    <w:rsid w:val="2AAB6ED4"/>
    <w:rsid w:val="2AB68A0F"/>
    <w:rsid w:val="2ABC61FA"/>
    <w:rsid w:val="2ABF5CF8"/>
    <w:rsid w:val="2ACAF67D"/>
    <w:rsid w:val="2ADA4A6C"/>
    <w:rsid w:val="2AE12C2C"/>
    <w:rsid w:val="2AE29FF0"/>
    <w:rsid w:val="2B0F955F"/>
    <w:rsid w:val="2B168CA2"/>
    <w:rsid w:val="2B194C7C"/>
    <w:rsid w:val="2B1E6487"/>
    <w:rsid w:val="2B238C9E"/>
    <w:rsid w:val="2B351C28"/>
    <w:rsid w:val="2B3CA7FC"/>
    <w:rsid w:val="2B45399B"/>
    <w:rsid w:val="2B5811B1"/>
    <w:rsid w:val="2B5C65E0"/>
    <w:rsid w:val="2B6559E1"/>
    <w:rsid w:val="2B892F82"/>
    <w:rsid w:val="2B8EA68F"/>
    <w:rsid w:val="2B97BC28"/>
    <w:rsid w:val="2B989B34"/>
    <w:rsid w:val="2BCBB2EF"/>
    <w:rsid w:val="2BCDC508"/>
    <w:rsid w:val="2BD300D1"/>
    <w:rsid w:val="2BDC0D33"/>
    <w:rsid w:val="2BEC593D"/>
    <w:rsid w:val="2BFE8007"/>
    <w:rsid w:val="2C05786D"/>
    <w:rsid w:val="2C10663A"/>
    <w:rsid w:val="2C1A2222"/>
    <w:rsid w:val="2C451F3A"/>
    <w:rsid w:val="2C50B132"/>
    <w:rsid w:val="2C60BF37"/>
    <w:rsid w:val="2C91961A"/>
    <w:rsid w:val="2C93FC87"/>
    <w:rsid w:val="2C9588AB"/>
    <w:rsid w:val="2CA0D6EE"/>
    <w:rsid w:val="2CAD2C5A"/>
    <w:rsid w:val="2CC8FB5C"/>
    <w:rsid w:val="2CDEB23D"/>
    <w:rsid w:val="2CDF5A81"/>
    <w:rsid w:val="2CEDAD21"/>
    <w:rsid w:val="2CEE0146"/>
    <w:rsid w:val="2CF32606"/>
    <w:rsid w:val="2CF82099"/>
    <w:rsid w:val="2D081A48"/>
    <w:rsid w:val="2D27D5D4"/>
    <w:rsid w:val="2D4DD838"/>
    <w:rsid w:val="2D5407AB"/>
    <w:rsid w:val="2D81F631"/>
    <w:rsid w:val="2D8E4EEF"/>
    <w:rsid w:val="2D9A284B"/>
    <w:rsid w:val="2DA7AA6C"/>
    <w:rsid w:val="2DAE1A23"/>
    <w:rsid w:val="2DB30D2F"/>
    <w:rsid w:val="2DC4D9FB"/>
    <w:rsid w:val="2DCA3932"/>
    <w:rsid w:val="2E218F63"/>
    <w:rsid w:val="2E2DB566"/>
    <w:rsid w:val="2E320612"/>
    <w:rsid w:val="2E32264F"/>
    <w:rsid w:val="2E466B14"/>
    <w:rsid w:val="2E5734E8"/>
    <w:rsid w:val="2E69E86E"/>
    <w:rsid w:val="2E6BF692"/>
    <w:rsid w:val="2E78FFAD"/>
    <w:rsid w:val="2E8DB74F"/>
    <w:rsid w:val="2E996FCB"/>
    <w:rsid w:val="2E9A7EC1"/>
    <w:rsid w:val="2EA00E2B"/>
    <w:rsid w:val="2EA9F339"/>
    <w:rsid w:val="2EB74359"/>
    <w:rsid w:val="2EC8D013"/>
    <w:rsid w:val="2EC955E8"/>
    <w:rsid w:val="2EDF9AEC"/>
    <w:rsid w:val="2EEB812A"/>
    <w:rsid w:val="2EF196D7"/>
    <w:rsid w:val="2F0CF572"/>
    <w:rsid w:val="2F240E73"/>
    <w:rsid w:val="2F262F0C"/>
    <w:rsid w:val="2F34A1DE"/>
    <w:rsid w:val="2F3BCD2C"/>
    <w:rsid w:val="2F47C841"/>
    <w:rsid w:val="2F6B0F0F"/>
    <w:rsid w:val="2F6C89BE"/>
    <w:rsid w:val="2F6F31BD"/>
    <w:rsid w:val="2FA5C721"/>
    <w:rsid w:val="2FA9E2FD"/>
    <w:rsid w:val="2FAC18FD"/>
    <w:rsid w:val="2FC9CD6E"/>
    <w:rsid w:val="2FDA8192"/>
    <w:rsid w:val="2FEC9F2D"/>
    <w:rsid w:val="2FF05973"/>
    <w:rsid w:val="2FF0FB19"/>
    <w:rsid w:val="301DCE0B"/>
    <w:rsid w:val="304F7009"/>
    <w:rsid w:val="30517BF0"/>
    <w:rsid w:val="305EF2C5"/>
    <w:rsid w:val="30830120"/>
    <w:rsid w:val="3091D610"/>
    <w:rsid w:val="3095BAC8"/>
    <w:rsid w:val="3099A646"/>
    <w:rsid w:val="30A1CE74"/>
    <w:rsid w:val="30A2609B"/>
    <w:rsid w:val="30AA776C"/>
    <w:rsid w:val="30AC494E"/>
    <w:rsid w:val="30B83330"/>
    <w:rsid w:val="30C38035"/>
    <w:rsid w:val="30CDF43C"/>
    <w:rsid w:val="30E90325"/>
    <w:rsid w:val="30F584F6"/>
    <w:rsid w:val="30FA20DF"/>
    <w:rsid w:val="310A0958"/>
    <w:rsid w:val="311AB2DD"/>
    <w:rsid w:val="3127CD9E"/>
    <w:rsid w:val="312E0459"/>
    <w:rsid w:val="313897B7"/>
    <w:rsid w:val="3152D4CE"/>
    <w:rsid w:val="31596308"/>
    <w:rsid w:val="316C19E4"/>
    <w:rsid w:val="316C7EE7"/>
    <w:rsid w:val="316D2E33"/>
    <w:rsid w:val="317381D4"/>
    <w:rsid w:val="317866EB"/>
    <w:rsid w:val="31AF791F"/>
    <w:rsid w:val="31BEA420"/>
    <w:rsid w:val="31CA76DC"/>
    <w:rsid w:val="31D6E282"/>
    <w:rsid w:val="31E02851"/>
    <w:rsid w:val="31EC9721"/>
    <w:rsid w:val="31F81702"/>
    <w:rsid w:val="32155C24"/>
    <w:rsid w:val="321989E5"/>
    <w:rsid w:val="322BFE78"/>
    <w:rsid w:val="3237578B"/>
    <w:rsid w:val="3250FE99"/>
    <w:rsid w:val="32571F02"/>
    <w:rsid w:val="32669655"/>
    <w:rsid w:val="3276FBFA"/>
    <w:rsid w:val="32925890"/>
    <w:rsid w:val="32970AC3"/>
    <w:rsid w:val="32A13085"/>
    <w:rsid w:val="32AAF469"/>
    <w:rsid w:val="32B176B8"/>
    <w:rsid w:val="32B9B29F"/>
    <w:rsid w:val="32BE610D"/>
    <w:rsid w:val="32C42543"/>
    <w:rsid w:val="32DB25B3"/>
    <w:rsid w:val="32DBFB33"/>
    <w:rsid w:val="32DE2445"/>
    <w:rsid w:val="32DE6236"/>
    <w:rsid w:val="32E0BC30"/>
    <w:rsid w:val="32E4C529"/>
    <w:rsid w:val="33038C8C"/>
    <w:rsid w:val="3306FD50"/>
    <w:rsid w:val="330C9BF5"/>
    <w:rsid w:val="33116EE0"/>
    <w:rsid w:val="3325993A"/>
    <w:rsid w:val="3327C906"/>
    <w:rsid w:val="332C2E5C"/>
    <w:rsid w:val="3363B2CB"/>
    <w:rsid w:val="336DC807"/>
    <w:rsid w:val="338029A1"/>
    <w:rsid w:val="33821B14"/>
    <w:rsid w:val="33866B6D"/>
    <w:rsid w:val="338C641A"/>
    <w:rsid w:val="33BBCE2B"/>
    <w:rsid w:val="33D885CA"/>
    <w:rsid w:val="33DDA31B"/>
    <w:rsid w:val="33EA3012"/>
    <w:rsid w:val="33EDB2B3"/>
    <w:rsid w:val="34227E76"/>
    <w:rsid w:val="342C719D"/>
    <w:rsid w:val="343641D2"/>
    <w:rsid w:val="343A71EB"/>
    <w:rsid w:val="343BB4D2"/>
    <w:rsid w:val="34443409"/>
    <w:rsid w:val="34468A19"/>
    <w:rsid w:val="3463B30C"/>
    <w:rsid w:val="34646ADD"/>
    <w:rsid w:val="346C5BDC"/>
    <w:rsid w:val="346C9224"/>
    <w:rsid w:val="346D5C06"/>
    <w:rsid w:val="347DED2B"/>
    <w:rsid w:val="34864A4A"/>
    <w:rsid w:val="348FE2CA"/>
    <w:rsid w:val="34A285DA"/>
    <w:rsid w:val="34AB836D"/>
    <w:rsid w:val="34B773FB"/>
    <w:rsid w:val="34BE2104"/>
    <w:rsid w:val="34DECD0F"/>
    <w:rsid w:val="34E2F938"/>
    <w:rsid w:val="34EC8DBD"/>
    <w:rsid w:val="34F781CB"/>
    <w:rsid w:val="34FFA408"/>
    <w:rsid w:val="35267B4E"/>
    <w:rsid w:val="35268A56"/>
    <w:rsid w:val="353C96C0"/>
    <w:rsid w:val="3541BDCE"/>
    <w:rsid w:val="35805CA4"/>
    <w:rsid w:val="358178A9"/>
    <w:rsid w:val="3585CEC7"/>
    <w:rsid w:val="358BA080"/>
    <w:rsid w:val="3594CEDF"/>
    <w:rsid w:val="35961AF7"/>
    <w:rsid w:val="359A1782"/>
    <w:rsid w:val="35A462AE"/>
    <w:rsid w:val="35BEE8ED"/>
    <w:rsid w:val="35D2C195"/>
    <w:rsid w:val="35E03360"/>
    <w:rsid w:val="35E81F60"/>
    <w:rsid w:val="35F22DDD"/>
    <w:rsid w:val="3619292C"/>
    <w:rsid w:val="361FD326"/>
    <w:rsid w:val="3622DDC5"/>
    <w:rsid w:val="362A9917"/>
    <w:rsid w:val="3630CB70"/>
    <w:rsid w:val="36423720"/>
    <w:rsid w:val="3643ED6E"/>
    <w:rsid w:val="364A6574"/>
    <w:rsid w:val="36649ECF"/>
    <w:rsid w:val="36696673"/>
    <w:rsid w:val="3676B6ED"/>
    <w:rsid w:val="368E2EF7"/>
    <w:rsid w:val="368E5585"/>
    <w:rsid w:val="36A7ACF1"/>
    <w:rsid w:val="36B6CBC6"/>
    <w:rsid w:val="36BF57EC"/>
    <w:rsid w:val="36EC432D"/>
    <w:rsid w:val="36EC5637"/>
    <w:rsid w:val="36EFA6BE"/>
    <w:rsid w:val="36F2B733"/>
    <w:rsid w:val="36FE0C3C"/>
    <w:rsid w:val="3700EE86"/>
    <w:rsid w:val="3704872C"/>
    <w:rsid w:val="37091AB3"/>
    <w:rsid w:val="370C4B83"/>
    <w:rsid w:val="370F77F6"/>
    <w:rsid w:val="37265CCC"/>
    <w:rsid w:val="372F1B9C"/>
    <w:rsid w:val="3739CDDB"/>
    <w:rsid w:val="37474103"/>
    <w:rsid w:val="3751807C"/>
    <w:rsid w:val="375D394B"/>
    <w:rsid w:val="376D7AF0"/>
    <w:rsid w:val="37728F9A"/>
    <w:rsid w:val="377776CB"/>
    <w:rsid w:val="377DE85C"/>
    <w:rsid w:val="377ECF41"/>
    <w:rsid w:val="37932A38"/>
    <w:rsid w:val="379DB608"/>
    <w:rsid w:val="37A127E4"/>
    <w:rsid w:val="37A32B6C"/>
    <w:rsid w:val="37B25446"/>
    <w:rsid w:val="37C60A74"/>
    <w:rsid w:val="37C67ED4"/>
    <w:rsid w:val="37CA4111"/>
    <w:rsid w:val="37CE78B4"/>
    <w:rsid w:val="37D7BE24"/>
    <w:rsid w:val="37E48B4F"/>
    <w:rsid w:val="37E6323C"/>
    <w:rsid w:val="37F6FC11"/>
    <w:rsid w:val="37FDFE0B"/>
    <w:rsid w:val="3804EA87"/>
    <w:rsid w:val="380C856C"/>
    <w:rsid w:val="380DB65E"/>
    <w:rsid w:val="381752E3"/>
    <w:rsid w:val="3838105D"/>
    <w:rsid w:val="38597F54"/>
    <w:rsid w:val="385AEA49"/>
    <w:rsid w:val="3868C0FB"/>
    <w:rsid w:val="3886571C"/>
    <w:rsid w:val="3897922E"/>
    <w:rsid w:val="389F39CC"/>
    <w:rsid w:val="38B3E1B9"/>
    <w:rsid w:val="38B7003B"/>
    <w:rsid w:val="38CAC0F9"/>
    <w:rsid w:val="38D242D9"/>
    <w:rsid w:val="38D41F38"/>
    <w:rsid w:val="38F358C9"/>
    <w:rsid w:val="38F5788A"/>
    <w:rsid w:val="38FDCDAF"/>
    <w:rsid w:val="39144299"/>
    <w:rsid w:val="392DEEC8"/>
    <w:rsid w:val="393B6AE6"/>
    <w:rsid w:val="394CAE9C"/>
    <w:rsid w:val="39751904"/>
    <w:rsid w:val="397F76F5"/>
    <w:rsid w:val="39B099C7"/>
    <w:rsid w:val="39C07D5B"/>
    <w:rsid w:val="39C2B756"/>
    <w:rsid w:val="39C2F83B"/>
    <w:rsid w:val="39C645E5"/>
    <w:rsid w:val="39D7C220"/>
    <w:rsid w:val="39FBC472"/>
    <w:rsid w:val="3A09B603"/>
    <w:rsid w:val="3A0B3659"/>
    <w:rsid w:val="3A0EA13D"/>
    <w:rsid w:val="3A2EE9DE"/>
    <w:rsid w:val="3A3027DD"/>
    <w:rsid w:val="3A37D1B4"/>
    <w:rsid w:val="3A488623"/>
    <w:rsid w:val="3A783C36"/>
    <w:rsid w:val="3A788EDA"/>
    <w:rsid w:val="3A887E8D"/>
    <w:rsid w:val="3A88D859"/>
    <w:rsid w:val="3A8D1716"/>
    <w:rsid w:val="3A8D3DE1"/>
    <w:rsid w:val="3A9867AF"/>
    <w:rsid w:val="3A9C472F"/>
    <w:rsid w:val="3A9E5BA0"/>
    <w:rsid w:val="3AA2E3DE"/>
    <w:rsid w:val="3AAB44A8"/>
    <w:rsid w:val="3AB9454D"/>
    <w:rsid w:val="3ACA4C20"/>
    <w:rsid w:val="3ACDF3CC"/>
    <w:rsid w:val="3AD0EAE3"/>
    <w:rsid w:val="3AD73C43"/>
    <w:rsid w:val="3ADCC1EA"/>
    <w:rsid w:val="3AEF942C"/>
    <w:rsid w:val="3AFC4A50"/>
    <w:rsid w:val="3B166EFA"/>
    <w:rsid w:val="3B1B9DE4"/>
    <w:rsid w:val="3B2A30A9"/>
    <w:rsid w:val="3B328968"/>
    <w:rsid w:val="3B39E68D"/>
    <w:rsid w:val="3B52BABA"/>
    <w:rsid w:val="3B73212A"/>
    <w:rsid w:val="3BA28ADA"/>
    <w:rsid w:val="3BA8B946"/>
    <w:rsid w:val="3BA991B4"/>
    <w:rsid w:val="3BBEB0F3"/>
    <w:rsid w:val="3BC220FA"/>
    <w:rsid w:val="3BE88210"/>
    <w:rsid w:val="3C14EA46"/>
    <w:rsid w:val="3C22F0B7"/>
    <w:rsid w:val="3C27D607"/>
    <w:rsid w:val="3C28E7CF"/>
    <w:rsid w:val="3C3A75C9"/>
    <w:rsid w:val="3C43C925"/>
    <w:rsid w:val="3C485806"/>
    <w:rsid w:val="3C54ED03"/>
    <w:rsid w:val="3C55388C"/>
    <w:rsid w:val="3C5E271A"/>
    <w:rsid w:val="3C77CF6C"/>
    <w:rsid w:val="3C7932A4"/>
    <w:rsid w:val="3C7CBF90"/>
    <w:rsid w:val="3C822CB9"/>
    <w:rsid w:val="3C8633B2"/>
    <w:rsid w:val="3C96754E"/>
    <w:rsid w:val="3C9E907A"/>
    <w:rsid w:val="3CB12B4C"/>
    <w:rsid w:val="3CB9878C"/>
    <w:rsid w:val="3CCEE02E"/>
    <w:rsid w:val="3CCFE831"/>
    <w:rsid w:val="3CD0311F"/>
    <w:rsid w:val="3CE8D2BA"/>
    <w:rsid w:val="3D2F4B9D"/>
    <w:rsid w:val="3D33202B"/>
    <w:rsid w:val="3D355115"/>
    <w:rsid w:val="3D4FA850"/>
    <w:rsid w:val="3D63AA21"/>
    <w:rsid w:val="3D713B18"/>
    <w:rsid w:val="3D729509"/>
    <w:rsid w:val="3D9E46C7"/>
    <w:rsid w:val="3DC58C87"/>
    <w:rsid w:val="3DE02584"/>
    <w:rsid w:val="3DEA66D3"/>
    <w:rsid w:val="3DF1CF20"/>
    <w:rsid w:val="3DF6DA75"/>
    <w:rsid w:val="3DFF5CAE"/>
    <w:rsid w:val="3E1149AA"/>
    <w:rsid w:val="3E115543"/>
    <w:rsid w:val="3E126B16"/>
    <w:rsid w:val="3E21FAFA"/>
    <w:rsid w:val="3E2416EC"/>
    <w:rsid w:val="3E258417"/>
    <w:rsid w:val="3E271537"/>
    <w:rsid w:val="3E2C4D83"/>
    <w:rsid w:val="3E317BB3"/>
    <w:rsid w:val="3E31C85F"/>
    <w:rsid w:val="3E366EBB"/>
    <w:rsid w:val="3E3A57B9"/>
    <w:rsid w:val="3E3FE7A2"/>
    <w:rsid w:val="3E46E100"/>
    <w:rsid w:val="3E50356B"/>
    <w:rsid w:val="3E591F23"/>
    <w:rsid w:val="3E631CAD"/>
    <w:rsid w:val="3E6CE07F"/>
    <w:rsid w:val="3E76C6EE"/>
    <w:rsid w:val="3E78CD7B"/>
    <w:rsid w:val="3E7C66E5"/>
    <w:rsid w:val="3E7DFF16"/>
    <w:rsid w:val="3E8D69C1"/>
    <w:rsid w:val="3EAAF5EB"/>
    <w:rsid w:val="3EB45967"/>
    <w:rsid w:val="3EB704B4"/>
    <w:rsid w:val="3EBC0D2C"/>
    <w:rsid w:val="3EC5C16F"/>
    <w:rsid w:val="3ECD922E"/>
    <w:rsid w:val="3ED2254F"/>
    <w:rsid w:val="3ED58E9F"/>
    <w:rsid w:val="3ED97804"/>
    <w:rsid w:val="3EDC1C2B"/>
    <w:rsid w:val="3EDFD82B"/>
    <w:rsid w:val="3EE614BC"/>
    <w:rsid w:val="3EED4A74"/>
    <w:rsid w:val="3EFBAE39"/>
    <w:rsid w:val="3EFFDF29"/>
    <w:rsid w:val="3EFFF098"/>
    <w:rsid w:val="3F040DAD"/>
    <w:rsid w:val="3F1BCC74"/>
    <w:rsid w:val="3F1D1035"/>
    <w:rsid w:val="3F1E00D4"/>
    <w:rsid w:val="3F253C3E"/>
    <w:rsid w:val="3F2A92F4"/>
    <w:rsid w:val="3F304942"/>
    <w:rsid w:val="3F3C4B0E"/>
    <w:rsid w:val="3F424662"/>
    <w:rsid w:val="3F51A9F7"/>
    <w:rsid w:val="3F521C27"/>
    <w:rsid w:val="3F613CBF"/>
    <w:rsid w:val="3F69118F"/>
    <w:rsid w:val="3F6D80DB"/>
    <w:rsid w:val="3F74EFD4"/>
    <w:rsid w:val="3F772961"/>
    <w:rsid w:val="3F951EDC"/>
    <w:rsid w:val="3FA2A0D5"/>
    <w:rsid w:val="3FBCA167"/>
    <w:rsid w:val="3FC3DB3C"/>
    <w:rsid w:val="3FF01C7F"/>
    <w:rsid w:val="3FF2ACCA"/>
    <w:rsid w:val="400B458E"/>
    <w:rsid w:val="401CCACD"/>
    <w:rsid w:val="40233506"/>
    <w:rsid w:val="403734EC"/>
    <w:rsid w:val="4037A065"/>
    <w:rsid w:val="4046016F"/>
    <w:rsid w:val="40623F9F"/>
    <w:rsid w:val="406D1DBA"/>
    <w:rsid w:val="406DE462"/>
    <w:rsid w:val="40727AC7"/>
    <w:rsid w:val="407A1D72"/>
    <w:rsid w:val="40862447"/>
    <w:rsid w:val="40A9E280"/>
    <w:rsid w:val="40C33DA7"/>
    <w:rsid w:val="40CFBE5D"/>
    <w:rsid w:val="40E19344"/>
    <w:rsid w:val="40EAC623"/>
    <w:rsid w:val="40FBAA89"/>
    <w:rsid w:val="410BA98D"/>
    <w:rsid w:val="4110DD1D"/>
    <w:rsid w:val="4118FE7F"/>
    <w:rsid w:val="411D430F"/>
    <w:rsid w:val="41292481"/>
    <w:rsid w:val="413A33FD"/>
    <w:rsid w:val="41485812"/>
    <w:rsid w:val="414F483B"/>
    <w:rsid w:val="416DAE33"/>
    <w:rsid w:val="4170F882"/>
    <w:rsid w:val="417A3FB4"/>
    <w:rsid w:val="417FE1DB"/>
    <w:rsid w:val="418243E2"/>
    <w:rsid w:val="4188C139"/>
    <w:rsid w:val="418E1470"/>
    <w:rsid w:val="418E6D89"/>
    <w:rsid w:val="41904975"/>
    <w:rsid w:val="4191D0A2"/>
    <w:rsid w:val="41A02007"/>
    <w:rsid w:val="41A3213D"/>
    <w:rsid w:val="41A51F8C"/>
    <w:rsid w:val="41A6FFCD"/>
    <w:rsid w:val="41B211F1"/>
    <w:rsid w:val="41BC2F7F"/>
    <w:rsid w:val="41BD281C"/>
    <w:rsid w:val="41CDB3B2"/>
    <w:rsid w:val="41D73235"/>
    <w:rsid w:val="41EF8F1A"/>
    <w:rsid w:val="41EF9AD7"/>
    <w:rsid w:val="41F91375"/>
    <w:rsid w:val="41F9CD9B"/>
    <w:rsid w:val="4207CC00"/>
    <w:rsid w:val="420C1596"/>
    <w:rsid w:val="420EE507"/>
    <w:rsid w:val="422F438B"/>
    <w:rsid w:val="42490DD3"/>
    <w:rsid w:val="425BB491"/>
    <w:rsid w:val="4289CFC2"/>
    <w:rsid w:val="428D63EB"/>
    <w:rsid w:val="42961686"/>
    <w:rsid w:val="4299F7AE"/>
    <w:rsid w:val="42B009F0"/>
    <w:rsid w:val="42B70004"/>
    <w:rsid w:val="42B99C3C"/>
    <w:rsid w:val="42C41B2A"/>
    <w:rsid w:val="42D367D4"/>
    <w:rsid w:val="42D3EB6C"/>
    <w:rsid w:val="42F3983C"/>
    <w:rsid w:val="4317F172"/>
    <w:rsid w:val="431CE1BA"/>
    <w:rsid w:val="4341B04F"/>
    <w:rsid w:val="43459AC3"/>
    <w:rsid w:val="438CB20A"/>
    <w:rsid w:val="43992ECE"/>
    <w:rsid w:val="43C99FB7"/>
    <w:rsid w:val="43EE06E5"/>
    <w:rsid w:val="43F0B655"/>
    <w:rsid w:val="43F4B7A8"/>
    <w:rsid w:val="43F8988F"/>
    <w:rsid w:val="43FCBF3F"/>
    <w:rsid w:val="440DC2A9"/>
    <w:rsid w:val="441C4B28"/>
    <w:rsid w:val="443097FD"/>
    <w:rsid w:val="443F9613"/>
    <w:rsid w:val="444BF2EE"/>
    <w:rsid w:val="4457F497"/>
    <w:rsid w:val="4459F5C7"/>
    <w:rsid w:val="446AFE3F"/>
    <w:rsid w:val="448751E7"/>
    <w:rsid w:val="448AEF31"/>
    <w:rsid w:val="448E76E3"/>
    <w:rsid w:val="44966C60"/>
    <w:rsid w:val="449ADBBE"/>
    <w:rsid w:val="449C1CB0"/>
    <w:rsid w:val="44A83804"/>
    <w:rsid w:val="44BF0FD7"/>
    <w:rsid w:val="44C4FF7B"/>
    <w:rsid w:val="44C74515"/>
    <w:rsid w:val="450F8A21"/>
    <w:rsid w:val="45260BB8"/>
    <w:rsid w:val="453599FC"/>
    <w:rsid w:val="453931EB"/>
    <w:rsid w:val="453A7044"/>
    <w:rsid w:val="453AA63B"/>
    <w:rsid w:val="453C847A"/>
    <w:rsid w:val="4542E85C"/>
    <w:rsid w:val="4545348A"/>
    <w:rsid w:val="4587A648"/>
    <w:rsid w:val="4587CEAA"/>
    <w:rsid w:val="45A869B1"/>
    <w:rsid w:val="45AA895F"/>
    <w:rsid w:val="45AA9B28"/>
    <w:rsid w:val="45AE5163"/>
    <w:rsid w:val="45B8C0F2"/>
    <w:rsid w:val="45CE4AA1"/>
    <w:rsid w:val="45D4A8D9"/>
    <w:rsid w:val="45DFB361"/>
    <w:rsid w:val="45E68E56"/>
    <w:rsid w:val="4602F816"/>
    <w:rsid w:val="46057614"/>
    <w:rsid w:val="460B1424"/>
    <w:rsid w:val="4612D39D"/>
    <w:rsid w:val="461BB86D"/>
    <w:rsid w:val="46202E42"/>
    <w:rsid w:val="46489588"/>
    <w:rsid w:val="464BA4B6"/>
    <w:rsid w:val="46534AD2"/>
    <w:rsid w:val="4662B12B"/>
    <w:rsid w:val="466881FB"/>
    <w:rsid w:val="46748BB4"/>
    <w:rsid w:val="4681E45A"/>
    <w:rsid w:val="468DD964"/>
    <w:rsid w:val="469CC80F"/>
    <w:rsid w:val="46AD8DF0"/>
    <w:rsid w:val="46B03DBC"/>
    <w:rsid w:val="46B12C59"/>
    <w:rsid w:val="46C68815"/>
    <w:rsid w:val="46E394E4"/>
    <w:rsid w:val="46EE7855"/>
    <w:rsid w:val="46F3DC4C"/>
    <w:rsid w:val="4704F104"/>
    <w:rsid w:val="470BBD01"/>
    <w:rsid w:val="4726318A"/>
    <w:rsid w:val="472CC85C"/>
    <w:rsid w:val="47366CAB"/>
    <w:rsid w:val="4737F1BD"/>
    <w:rsid w:val="473B89E1"/>
    <w:rsid w:val="4753FD34"/>
    <w:rsid w:val="47566FFC"/>
    <w:rsid w:val="4762D44A"/>
    <w:rsid w:val="478D9848"/>
    <w:rsid w:val="478F30AA"/>
    <w:rsid w:val="47A75149"/>
    <w:rsid w:val="47BE56D1"/>
    <w:rsid w:val="47C1A14D"/>
    <w:rsid w:val="47C64A32"/>
    <w:rsid w:val="47CCE44E"/>
    <w:rsid w:val="47CEAF4B"/>
    <w:rsid w:val="47D44D40"/>
    <w:rsid w:val="47D737C7"/>
    <w:rsid w:val="47DE59B2"/>
    <w:rsid w:val="47EC0F20"/>
    <w:rsid w:val="4800316D"/>
    <w:rsid w:val="4800AE22"/>
    <w:rsid w:val="480C2C15"/>
    <w:rsid w:val="480D84F9"/>
    <w:rsid w:val="483AA129"/>
    <w:rsid w:val="483F8C68"/>
    <w:rsid w:val="484050DB"/>
    <w:rsid w:val="48548392"/>
    <w:rsid w:val="485BBF3F"/>
    <w:rsid w:val="485C1AB6"/>
    <w:rsid w:val="485CF990"/>
    <w:rsid w:val="485EE07B"/>
    <w:rsid w:val="486B6748"/>
    <w:rsid w:val="486EC306"/>
    <w:rsid w:val="48760E9B"/>
    <w:rsid w:val="487FC506"/>
    <w:rsid w:val="4888807D"/>
    <w:rsid w:val="488B822C"/>
    <w:rsid w:val="488CAD59"/>
    <w:rsid w:val="489F403B"/>
    <w:rsid w:val="48E3F56F"/>
    <w:rsid w:val="48E674CA"/>
    <w:rsid w:val="493954C0"/>
    <w:rsid w:val="49470285"/>
    <w:rsid w:val="49472B7E"/>
    <w:rsid w:val="494C1112"/>
    <w:rsid w:val="494F6496"/>
    <w:rsid w:val="49594F11"/>
    <w:rsid w:val="497B8F98"/>
    <w:rsid w:val="49942613"/>
    <w:rsid w:val="49946EF6"/>
    <w:rsid w:val="49A346D8"/>
    <w:rsid w:val="49A58D40"/>
    <w:rsid w:val="49ABA1F4"/>
    <w:rsid w:val="49B651D5"/>
    <w:rsid w:val="49BD3087"/>
    <w:rsid w:val="49C00EA6"/>
    <w:rsid w:val="49C427FE"/>
    <w:rsid w:val="49CA58D2"/>
    <w:rsid w:val="49CC2BC6"/>
    <w:rsid w:val="49D3B8BD"/>
    <w:rsid w:val="49DB1D0D"/>
    <w:rsid w:val="49FCBF85"/>
    <w:rsid w:val="4A0C9B55"/>
    <w:rsid w:val="4A15CE6B"/>
    <w:rsid w:val="4A2798CF"/>
    <w:rsid w:val="4A46D5E0"/>
    <w:rsid w:val="4A49AF22"/>
    <w:rsid w:val="4A518620"/>
    <w:rsid w:val="4A5AD05B"/>
    <w:rsid w:val="4A640876"/>
    <w:rsid w:val="4A6DCB49"/>
    <w:rsid w:val="4A705B18"/>
    <w:rsid w:val="4A713F3E"/>
    <w:rsid w:val="4A93FA2D"/>
    <w:rsid w:val="4A9EDF15"/>
    <w:rsid w:val="4AC47C2F"/>
    <w:rsid w:val="4AD2BB36"/>
    <w:rsid w:val="4AF2F386"/>
    <w:rsid w:val="4AFF3974"/>
    <w:rsid w:val="4B065295"/>
    <w:rsid w:val="4B0C88AB"/>
    <w:rsid w:val="4B1731E7"/>
    <w:rsid w:val="4B236454"/>
    <w:rsid w:val="4B30E124"/>
    <w:rsid w:val="4B46FE9D"/>
    <w:rsid w:val="4B50163F"/>
    <w:rsid w:val="4B509A5E"/>
    <w:rsid w:val="4B5CAA7F"/>
    <w:rsid w:val="4B73A4CA"/>
    <w:rsid w:val="4BADAE89"/>
    <w:rsid w:val="4BAF7B6F"/>
    <w:rsid w:val="4BC911D9"/>
    <w:rsid w:val="4BD384C7"/>
    <w:rsid w:val="4BD86C1D"/>
    <w:rsid w:val="4BDA7C27"/>
    <w:rsid w:val="4BDF8898"/>
    <w:rsid w:val="4BF4D03E"/>
    <w:rsid w:val="4C12F036"/>
    <w:rsid w:val="4C2110FE"/>
    <w:rsid w:val="4C268F5F"/>
    <w:rsid w:val="4C3E70E2"/>
    <w:rsid w:val="4C3F5E88"/>
    <w:rsid w:val="4C566DBC"/>
    <w:rsid w:val="4C6E3FFC"/>
    <w:rsid w:val="4C94CA16"/>
    <w:rsid w:val="4CA00478"/>
    <w:rsid w:val="4CA07DAD"/>
    <w:rsid w:val="4CA7E6EC"/>
    <w:rsid w:val="4CCBDD00"/>
    <w:rsid w:val="4CE86360"/>
    <w:rsid w:val="4CE9B667"/>
    <w:rsid w:val="4D0085CA"/>
    <w:rsid w:val="4D0F05A0"/>
    <w:rsid w:val="4D1B3C7A"/>
    <w:rsid w:val="4D1BBD6D"/>
    <w:rsid w:val="4D288662"/>
    <w:rsid w:val="4D2C30BE"/>
    <w:rsid w:val="4D7601BB"/>
    <w:rsid w:val="4D82669D"/>
    <w:rsid w:val="4D8BA672"/>
    <w:rsid w:val="4D9E9C1E"/>
    <w:rsid w:val="4D9F8470"/>
    <w:rsid w:val="4DBC8301"/>
    <w:rsid w:val="4DCF0BA2"/>
    <w:rsid w:val="4DD56C8F"/>
    <w:rsid w:val="4DDB3104"/>
    <w:rsid w:val="4DE57D73"/>
    <w:rsid w:val="4DFC0075"/>
    <w:rsid w:val="4DFC024D"/>
    <w:rsid w:val="4E0F7EA1"/>
    <w:rsid w:val="4E1EE335"/>
    <w:rsid w:val="4E26350E"/>
    <w:rsid w:val="4E2695DB"/>
    <w:rsid w:val="4E2CCBF1"/>
    <w:rsid w:val="4E540E72"/>
    <w:rsid w:val="4E6091D8"/>
    <w:rsid w:val="4E68EDA7"/>
    <w:rsid w:val="4E6DCDB8"/>
    <w:rsid w:val="4E7689EE"/>
    <w:rsid w:val="4E86FDE3"/>
    <w:rsid w:val="4E8C5E6D"/>
    <w:rsid w:val="4E9111BC"/>
    <w:rsid w:val="4EA4F0C2"/>
    <w:rsid w:val="4EB39D39"/>
    <w:rsid w:val="4EB7FEE6"/>
    <w:rsid w:val="4EBB8272"/>
    <w:rsid w:val="4EE20099"/>
    <w:rsid w:val="4EE26381"/>
    <w:rsid w:val="4EE3B81F"/>
    <w:rsid w:val="4EE4696F"/>
    <w:rsid w:val="4F035A9E"/>
    <w:rsid w:val="4F12F5B1"/>
    <w:rsid w:val="4F2EB569"/>
    <w:rsid w:val="4F312D67"/>
    <w:rsid w:val="4F340776"/>
    <w:rsid w:val="4F3DD3F1"/>
    <w:rsid w:val="4F3F4AD8"/>
    <w:rsid w:val="4F421EDE"/>
    <w:rsid w:val="4F4999F4"/>
    <w:rsid w:val="4F4BB547"/>
    <w:rsid w:val="4F57D819"/>
    <w:rsid w:val="4F5F83DE"/>
    <w:rsid w:val="4F7358AC"/>
    <w:rsid w:val="4F87C291"/>
    <w:rsid w:val="4FA2028E"/>
    <w:rsid w:val="4FA6B74B"/>
    <w:rsid w:val="4FBB443B"/>
    <w:rsid w:val="4FCB660A"/>
    <w:rsid w:val="4FD96CC5"/>
    <w:rsid w:val="4FE95027"/>
    <w:rsid w:val="4FF76F4D"/>
    <w:rsid w:val="5004E185"/>
    <w:rsid w:val="50073630"/>
    <w:rsid w:val="50225A8C"/>
    <w:rsid w:val="50233B01"/>
    <w:rsid w:val="502B7065"/>
    <w:rsid w:val="50314E0A"/>
    <w:rsid w:val="504129C7"/>
    <w:rsid w:val="5064EE08"/>
    <w:rsid w:val="506A40B2"/>
    <w:rsid w:val="506C8511"/>
    <w:rsid w:val="5084AB3B"/>
    <w:rsid w:val="50903F3A"/>
    <w:rsid w:val="50914AAD"/>
    <w:rsid w:val="50942CD2"/>
    <w:rsid w:val="50980B02"/>
    <w:rsid w:val="509C2F3D"/>
    <w:rsid w:val="50A5BC06"/>
    <w:rsid w:val="50AEC7DB"/>
    <w:rsid w:val="50CAA6B8"/>
    <w:rsid w:val="50DA43BE"/>
    <w:rsid w:val="50E040DF"/>
    <w:rsid w:val="50F5576F"/>
    <w:rsid w:val="50F59D12"/>
    <w:rsid w:val="50FD6B6C"/>
    <w:rsid w:val="51083531"/>
    <w:rsid w:val="5110437A"/>
    <w:rsid w:val="5139B488"/>
    <w:rsid w:val="513CCC06"/>
    <w:rsid w:val="514CD912"/>
    <w:rsid w:val="5169FA57"/>
    <w:rsid w:val="5173017F"/>
    <w:rsid w:val="517DB117"/>
    <w:rsid w:val="51934C07"/>
    <w:rsid w:val="51A5D6EA"/>
    <w:rsid w:val="51AC4230"/>
    <w:rsid w:val="51B17D0F"/>
    <w:rsid w:val="51B37910"/>
    <w:rsid w:val="51B5DEC9"/>
    <w:rsid w:val="51C8A9A8"/>
    <w:rsid w:val="51D4C0E0"/>
    <w:rsid w:val="51F49A4F"/>
    <w:rsid w:val="51F4D904"/>
    <w:rsid w:val="5205D62F"/>
    <w:rsid w:val="5207051F"/>
    <w:rsid w:val="5219785E"/>
    <w:rsid w:val="521BBCD3"/>
    <w:rsid w:val="52211291"/>
    <w:rsid w:val="5228B2B5"/>
    <w:rsid w:val="522CEFB3"/>
    <w:rsid w:val="5236F5DA"/>
    <w:rsid w:val="523FD649"/>
    <w:rsid w:val="5243396B"/>
    <w:rsid w:val="52704953"/>
    <w:rsid w:val="52795920"/>
    <w:rsid w:val="52A7B088"/>
    <w:rsid w:val="52B8FCB5"/>
    <w:rsid w:val="52BBC65C"/>
    <w:rsid w:val="52BCCAAB"/>
    <w:rsid w:val="52D71AC4"/>
    <w:rsid w:val="52E1745A"/>
    <w:rsid w:val="52EADD31"/>
    <w:rsid w:val="52F9BCDF"/>
    <w:rsid w:val="53072221"/>
    <w:rsid w:val="531EF1B0"/>
    <w:rsid w:val="53206075"/>
    <w:rsid w:val="532FA98A"/>
    <w:rsid w:val="534CA093"/>
    <w:rsid w:val="53532788"/>
    <w:rsid w:val="535AC84F"/>
    <w:rsid w:val="5363B4BC"/>
    <w:rsid w:val="537C5425"/>
    <w:rsid w:val="537FDEC8"/>
    <w:rsid w:val="53D274C9"/>
    <w:rsid w:val="53D9BA9E"/>
    <w:rsid w:val="53FD581F"/>
    <w:rsid w:val="54028AE9"/>
    <w:rsid w:val="54073A92"/>
    <w:rsid w:val="540D4E7D"/>
    <w:rsid w:val="540D8931"/>
    <w:rsid w:val="5418E6C3"/>
    <w:rsid w:val="54196BFB"/>
    <w:rsid w:val="541CD9CF"/>
    <w:rsid w:val="543564A6"/>
    <w:rsid w:val="543E7FC5"/>
    <w:rsid w:val="54469C7F"/>
    <w:rsid w:val="545090E6"/>
    <w:rsid w:val="5450DD72"/>
    <w:rsid w:val="5458530E"/>
    <w:rsid w:val="5459B20E"/>
    <w:rsid w:val="546F5588"/>
    <w:rsid w:val="546FCA31"/>
    <w:rsid w:val="54943676"/>
    <w:rsid w:val="549A5BC9"/>
    <w:rsid w:val="54AA682F"/>
    <w:rsid w:val="54AF9B65"/>
    <w:rsid w:val="54BCAED5"/>
    <w:rsid w:val="54D06E9A"/>
    <w:rsid w:val="54D15969"/>
    <w:rsid w:val="54D32177"/>
    <w:rsid w:val="54DA730B"/>
    <w:rsid w:val="54DAE4BC"/>
    <w:rsid w:val="54FBB981"/>
    <w:rsid w:val="5538E71D"/>
    <w:rsid w:val="5544D058"/>
    <w:rsid w:val="5554C3B6"/>
    <w:rsid w:val="555CD9FF"/>
    <w:rsid w:val="556AD26E"/>
    <w:rsid w:val="556CD0D7"/>
    <w:rsid w:val="5584D0C7"/>
    <w:rsid w:val="558B0E89"/>
    <w:rsid w:val="558F2162"/>
    <w:rsid w:val="5593B583"/>
    <w:rsid w:val="55AB072E"/>
    <w:rsid w:val="55AD319E"/>
    <w:rsid w:val="55BB7D6E"/>
    <w:rsid w:val="55BE99BA"/>
    <w:rsid w:val="55C0D12A"/>
    <w:rsid w:val="55C73B76"/>
    <w:rsid w:val="55CF2186"/>
    <w:rsid w:val="55E0603F"/>
    <w:rsid w:val="55E44C15"/>
    <w:rsid w:val="55E4CEE6"/>
    <w:rsid w:val="55EAF1DF"/>
    <w:rsid w:val="55F13DC4"/>
    <w:rsid w:val="5601BA41"/>
    <w:rsid w:val="56082DA7"/>
    <w:rsid w:val="561090BD"/>
    <w:rsid w:val="561447E7"/>
    <w:rsid w:val="561D6439"/>
    <w:rsid w:val="5632CE86"/>
    <w:rsid w:val="564A872C"/>
    <w:rsid w:val="56584638"/>
    <w:rsid w:val="567228A6"/>
    <w:rsid w:val="56826D82"/>
    <w:rsid w:val="5684B23F"/>
    <w:rsid w:val="568A4E1F"/>
    <w:rsid w:val="568BA512"/>
    <w:rsid w:val="5692C11D"/>
    <w:rsid w:val="56A064E9"/>
    <w:rsid w:val="56A3182A"/>
    <w:rsid w:val="56ACC0C8"/>
    <w:rsid w:val="56B58B69"/>
    <w:rsid w:val="56D90AD1"/>
    <w:rsid w:val="56FA2568"/>
    <w:rsid w:val="57069031"/>
    <w:rsid w:val="570AAAA2"/>
    <w:rsid w:val="57293E03"/>
    <w:rsid w:val="57382E1B"/>
    <w:rsid w:val="573E54EF"/>
    <w:rsid w:val="5744902F"/>
    <w:rsid w:val="576BDEFB"/>
    <w:rsid w:val="576E291B"/>
    <w:rsid w:val="57910A34"/>
    <w:rsid w:val="5797AC97"/>
    <w:rsid w:val="579E8E01"/>
    <w:rsid w:val="57ACD5D1"/>
    <w:rsid w:val="57B43AD7"/>
    <w:rsid w:val="57C7426C"/>
    <w:rsid w:val="57D3B9CA"/>
    <w:rsid w:val="57F4074E"/>
    <w:rsid w:val="57F4D748"/>
    <w:rsid w:val="57F8CCC3"/>
    <w:rsid w:val="57FB38E0"/>
    <w:rsid w:val="57FC0D2D"/>
    <w:rsid w:val="58028069"/>
    <w:rsid w:val="580834A0"/>
    <w:rsid w:val="5809435F"/>
    <w:rsid w:val="582310F6"/>
    <w:rsid w:val="582419C5"/>
    <w:rsid w:val="5842C786"/>
    <w:rsid w:val="5848ECB4"/>
    <w:rsid w:val="58571560"/>
    <w:rsid w:val="5861ADBC"/>
    <w:rsid w:val="586729E5"/>
    <w:rsid w:val="586EA63C"/>
    <w:rsid w:val="587B5FDD"/>
    <w:rsid w:val="588EB708"/>
    <w:rsid w:val="589536F7"/>
    <w:rsid w:val="589B1230"/>
    <w:rsid w:val="589B511F"/>
    <w:rsid w:val="58A0080A"/>
    <w:rsid w:val="58A93455"/>
    <w:rsid w:val="58C380AE"/>
    <w:rsid w:val="58C5317B"/>
    <w:rsid w:val="58C66885"/>
    <w:rsid w:val="58C6A191"/>
    <w:rsid w:val="58D2A189"/>
    <w:rsid w:val="590A0619"/>
    <w:rsid w:val="590B9FFA"/>
    <w:rsid w:val="59119B96"/>
    <w:rsid w:val="592374BB"/>
    <w:rsid w:val="593E5760"/>
    <w:rsid w:val="59449C23"/>
    <w:rsid w:val="5962B00A"/>
    <w:rsid w:val="59653FCE"/>
    <w:rsid w:val="5972235E"/>
    <w:rsid w:val="59753836"/>
    <w:rsid w:val="598CEFC1"/>
    <w:rsid w:val="59B0B2FF"/>
    <w:rsid w:val="59BA3849"/>
    <w:rsid w:val="59BB73A1"/>
    <w:rsid w:val="59C4E063"/>
    <w:rsid w:val="59CD8BD6"/>
    <w:rsid w:val="59E305A0"/>
    <w:rsid w:val="59F69668"/>
    <w:rsid w:val="59F78F9E"/>
    <w:rsid w:val="5A14B7A3"/>
    <w:rsid w:val="5A27F1D5"/>
    <w:rsid w:val="5A2DE52F"/>
    <w:rsid w:val="5A382077"/>
    <w:rsid w:val="5A420724"/>
    <w:rsid w:val="5A4E07A8"/>
    <w:rsid w:val="5A60E076"/>
    <w:rsid w:val="5A6C46CA"/>
    <w:rsid w:val="5A7580D4"/>
    <w:rsid w:val="5A9F7F0B"/>
    <w:rsid w:val="5AA121F0"/>
    <w:rsid w:val="5AAA2C87"/>
    <w:rsid w:val="5AB1CB71"/>
    <w:rsid w:val="5AC8F555"/>
    <w:rsid w:val="5AD2EA2A"/>
    <w:rsid w:val="5AEB56C9"/>
    <w:rsid w:val="5B1AB6D1"/>
    <w:rsid w:val="5B2EF853"/>
    <w:rsid w:val="5B319654"/>
    <w:rsid w:val="5B425768"/>
    <w:rsid w:val="5B586FF9"/>
    <w:rsid w:val="5B770FB2"/>
    <w:rsid w:val="5B784DB3"/>
    <w:rsid w:val="5B94860E"/>
    <w:rsid w:val="5B9D982B"/>
    <w:rsid w:val="5BAEEF5A"/>
    <w:rsid w:val="5BDCBD01"/>
    <w:rsid w:val="5BE08B4A"/>
    <w:rsid w:val="5BE8EDF8"/>
    <w:rsid w:val="5C001BA6"/>
    <w:rsid w:val="5C1710C8"/>
    <w:rsid w:val="5C1977EE"/>
    <w:rsid w:val="5C1D4FF6"/>
    <w:rsid w:val="5C32152A"/>
    <w:rsid w:val="5C3EAF4C"/>
    <w:rsid w:val="5C536B46"/>
    <w:rsid w:val="5C64CAE5"/>
    <w:rsid w:val="5C747483"/>
    <w:rsid w:val="5C88C71D"/>
    <w:rsid w:val="5C982202"/>
    <w:rsid w:val="5C996EF4"/>
    <w:rsid w:val="5CA24660"/>
    <w:rsid w:val="5CAE002F"/>
    <w:rsid w:val="5CAF7E7D"/>
    <w:rsid w:val="5CCDFD1F"/>
    <w:rsid w:val="5CEDF8BD"/>
    <w:rsid w:val="5D0C5706"/>
    <w:rsid w:val="5D24EF34"/>
    <w:rsid w:val="5D29FF57"/>
    <w:rsid w:val="5D2F46D0"/>
    <w:rsid w:val="5D36E887"/>
    <w:rsid w:val="5D37EEEF"/>
    <w:rsid w:val="5D3AD716"/>
    <w:rsid w:val="5D4949ED"/>
    <w:rsid w:val="5D6C6C53"/>
    <w:rsid w:val="5D78C90B"/>
    <w:rsid w:val="5D78F993"/>
    <w:rsid w:val="5D7B9351"/>
    <w:rsid w:val="5D84967C"/>
    <w:rsid w:val="5D8D8064"/>
    <w:rsid w:val="5D98735A"/>
    <w:rsid w:val="5DAB33C9"/>
    <w:rsid w:val="5DAB9EDB"/>
    <w:rsid w:val="5DAFDD03"/>
    <w:rsid w:val="5DB35F65"/>
    <w:rsid w:val="5E0C199D"/>
    <w:rsid w:val="5E189100"/>
    <w:rsid w:val="5E1E2618"/>
    <w:rsid w:val="5E1F3EDD"/>
    <w:rsid w:val="5E49ACC2"/>
    <w:rsid w:val="5E51F184"/>
    <w:rsid w:val="5E52E4B3"/>
    <w:rsid w:val="5E58EB1A"/>
    <w:rsid w:val="5E6261FB"/>
    <w:rsid w:val="5E732636"/>
    <w:rsid w:val="5E738621"/>
    <w:rsid w:val="5E760652"/>
    <w:rsid w:val="5E790299"/>
    <w:rsid w:val="5E8AA1EE"/>
    <w:rsid w:val="5E9F8E35"/>
    <w:rsid w:val="5EA0219D"/>
    <w:rsid w:val="5EC43F7E"/>
    <w:rsid w:val="5ECB3893"/>
    <w:rsid w:val="5ED8CF0C"/>
    <w:rsid w:val="5ED9BA18"/>
    <w:rsid w:val="5EDA8974"/>
    <w:rsid w:val="5EDACA8D"/>
    <w:rsid w:val="5EE5CCDA"/>
    <w:rsid w:val="5EE9BE2C"/>
    <w:rsid w:val="5EF43CDE"/>
    <w:rsid w:val="5EF83E00"/>
    <w:rsid w:val="5F1239FB"/>
    <w:rsid w:val="5F226622"/>
    <w:rsid w:val="5F300B00"/>
    <w:rsid w:val="5F3033DB"/>
    <w:rsid w:val="5F33A58E"/>
    <w:rsid w:val="5F3C63B6"/>
    <w:rsid w:val="5F4C3D28"/>
    <w:rsid w:val="5F588E19"/>
    <w:rsid w:val="5F713338"/>
    <w:rsid w:val="5F719E9D"/>
    <w:rsid w:val="5F8467A1"/>
    <w:rsid w:val="5F84D9B1"/>
    <w:rsid w:val="5FAE1BD2"/>
    <w:rsid w:val="5FAEC508"/>
    <w:rsid w:val="5FAF4E65"/>
    <w:rsid w:val="5FB62A5C"/>
    <w:rsid w:val="5FB6CF34"/>
    <w:rsid w:val="5FBAE8DE"/>
    <w:rsid w:val="5FC426CB"/>
    <w:rsid w:val="5FC54582"/>
    <w:rsid w:val="5FD2071A"/>
    <w:rsid w:val="5FD890C8"/>
    <w:rsid w:val="5FDEF9C4"/>
    <w:rsid w:val="5FF90DDE"/>
    <w:rsid w:val="5FFE5DE9"/>
    <w:rsid w:val="6022A042"/>
    <w:rsid w:val="6022D5C0"/>
    <w:rsid w:val="60388EA3"/>
    <w:rsid w:val="60431055"/>
    <w:rsid w:val="6043C9C8"/>
    <w:rsid w:val="604C4F99"/>
    <w:rsid w:val="606F17D7"/>
    <w:rsid w:val="60755CE9"/>
    <w:rsid w:val="609F9ACF"/>
    <w:rsid w:val="60CA00A1"/>
    <w:rsid w:val="60DC752A"/>
    <w:rsid w:val="60EFEED5"/>
    <w:rsid w:val="60F888A1"/>
    <w:rsid w:val="612B367F"/>
    <w:rsid w:val="6136D6B3"/>
    <w:rsid w:val="616B8028"/>
    <w:rsid w:val="61792460"/>
    <w:rsid w:val="618ECE2B"/>
    <w:rsid w:val="619AEDC9"/>
    <w:rsid w:val="619DC7AC"/>
    <w:rsid w:val="61AB20EE"/>
    <w:rsid w:val="61AEC806"/>
    <w:rsid w:val="61B77C39"/>
    <w:rsid w:val="61D4D533"/>
    <w:rsid w:val="61F46769"/>
    <w:rsid w:val="6201AA65"/>
    <w:rsid w:val="62139C6E"/>
    <w:rsid w:val="6213C40D"/>
    <w:rsid w:val="62151B1B"/>
    <w:rsid w:val="62158F77"/>
    <w:rsid w:val="621655D2"/>
    <w:rsid w:val="621EE678"/>
    <w:rsid w:val="622156F1"/>
    <w:rsid w:val="624356DB"/>
    <w:rsid w:val="624627A4"/>
    <w:rsid w:val="624B4EE4"/>
    <w:rsid w:val="625039D5"/>
    <w:rsid w:val="62620489"/>
    <w:rsid w:val="6262E5E4"/>
    <w:rsid w:val="626E6F4D"/>
    <w:rsid w:val="628215C3"/>
    <w:rsid w:val="62B14825"/>
    <w:rsid w:val="62D70FAD"/>
    <w:rsid w:val="62ECDA01"/>
    <w:rsid w:val="62FA398C"/>
    <w:rsid w:val="62FAA7CF"/>
    <w:rsid w:val="62FCC71F"/>
    <w:rsid w:val="63210E07"/>
    <w:rsid w:val="63268DE4"/>
    <w:rsid w:val="633286CD"/>
    <w:rsid w:val="6348367A"/>
    <w:rsid w:val="634B89AA"/>
    <w:rsid w:val="635DF350"/>
    <w:rsid w:val="636571C1"/>
    <w:rsid w:val="6366E753"/>
    <w:rsid w:val="6367478D"/>
    <w:rsid w:val="636DF6C3"/>
    <w:rsid w:val="636EB84A"/>
    <w:rsid w:val="6373BCFB"/>
    <w:rsid w:val="6378CACE"/>
    <w:rsid w:val="639E4E71"/>
    <w:rsid w:val="63D28F12"/>
    <w:rsid w:val="63D8490D"/>
    <w:rsid w:val="63E671E1"/>
    <w:rsid w:val="63EB8015"/>
    <w:rsid w:val="64263E89"/>
    <w:rsid w:val="6434CFFF"/>
    <w:rsid w:val="6448E8AE"/>
    <w:rsid w:val="645095CB"/>
    <w:rsid w:val="645B0614"/>
    <w:rsid w:val="6486EF31"/>
    <w:rsid w:val="649F59F8"/>
    <w:rsid w:val="64A17839"/>
    <w:rsid w:val="64A2C8A7"/>
    <w:rsid w:val="64B3D069"/>
    <w:rsid w:val="64B47BB0"/>
    <w:rsid w:val="64B9B301"/>
    <w:rsid w:val="64C27672"/>
    <w:rsid w:val="64C9E509"/>
    <w:rsid w:val="64CAF5AB"/>
    <w:rsid w:val="64CC0485"/>
    <w:rsid w:val="6512B9CF"/>
    <w:rsid w:val="6514D6C0"/>
    <w:rsid w:val="652DF2EB"/>
    <w:rsid w:val="65474C6F"/>
    <w:rsid w:val="654DA644"/>
    <w:rsid w:val="654FA97F"/>
    <w:rsid w:val="6551BCA9"/>
    <w:rsid w:val="65835165"/>
    <w:rsid w:val="6594D82D"/>
    <w:rsid w:val="659C98AE"/>
    <w:rsid w:val="659D1F97"/>
    <w:rsid w:val="659FA8C1"/>
    <w:rsid w:val="65BBC290"/>
    <w:rsid w:val="65C20654"/>
    <w:rsid w:val="65C27580"/>
    <w:rsid w:val="65D67916"/>
    <w:rsid w:val="65DF25BC"/>
    <w:rsid w:val="65DFE578"/>
    <w:rsid w:val="65E112F2"/>
    <w:rsid w:val="65EC5D56"/>
    <w:rsid w:val="65ED75A4"/>
    <w:rsid w:val="65F31340"/>
    <w:rsid w:val="65FF292F"/>
    <w:rsid w:val="66105D2B"/>
    <w:rsid w:val="66313767"/>
    <w:rsid w:val="6636A477"/>
    <w:rsid w:val="6647FFD7"/>
    <w:rsid w:val="664BD5E1"/>
    <w:rsid w:val="664F7216"/>
    <w:rsid w:val="666167E2"/>
    <w:rsid w:val="667375C8"/>
    <w:rsid w:val="667740AE"/>
    <w:rsid w:val="6683D0DD"/>
    <w:rsid w:val="668E9E54"/>
    <w:rsid w:val="6690E50A"/>
    <w:rsid w:val="669A4811"/>
    <w:rsid w:val="669C79AC"/>
    <w:rsid w:val="66A65BD4"/>
    <w:rsid w:val="66A836DB"/>
    <w:rsid w:val="66ADE91A"/>
    <w:rsid w:val="66B9A3BF"/>
    <w:rsid w:val="66CA2187"/>
    <w:rsid w:val="66DDA1A6"/>
    <w:rsid w:val="66DE2DC1"/>
    <w:rsid w:val="66F25580"/>
    <w:rsid w:val="670BBFBA"/>
    <w:rsid w:val="6712AF73"/>
    <w:rsid w:val="67187D7D"/>
    <w:rsid w:val="671FFB8D"/>
    <w:rsid w:val="673A1ED5"/>
    <w:rsid w:val="6744734D"/>
    <w:rsid w:val="675A88FF"/>
    <w:rsid w:val="67606AD0"/>
    <w:rsid w:val="678A5003"/>
    <w:rsid w:val="67916253"/>
    <w:rsid w:val="67A9646D"/>
    <w:rsid w:val="67B22EFC"/>
    <w:rsid w:val="67D7BC8E"/>
    <w:rsid w:val="67DCA28D"/>
    <w:rsid w:val="67E75A51"/>
    <w:rsid w:val="67F2B0B2"/>
    <w:rsid w:val="67FADB1C"/>
    <w:rsid w:val="68098369"/>
    <w:rsid w:val="680E4FB9"/>
    <w:rsid w:val="6820E068"/>
    <w:rsid w:val="682A8FD4"/>
    <w:rsid w:val="682EF08A"/>
    <w:rsid w:val="68410812"/>
    <w:rsid w:val="684AD130"/>
    <w:rsid w:val="685AB00B"/>
    <w:rsid w:val="68650A25"/>
    <w:rsid w:val="686EC80D"/>
    <w:rsid w:val="687B0574"/>
    <w:rsid w:val="6891826E"/>
    <w:rsid w:val="68940F0F"/>
    <w:rsid w:val="68941965"/>
    <w:rsid w:val="689D4FF1"/>
    <w:rsid w:val="68A3E014"/>
    <w:rsid w:val="68AC1DAD"/>
    <w:rsid w:val="68AE2B1C"/>
    <w:rsid w:val="68C173DA"/>
    <w:rsid w:val="68CD7DDE"/>
    <w:rsid w:val="68DEA51C"/>
    <w:rsid w:val="68F12A28"/>
    <w:rsid w:val="68FAF7CE"/>
    <w:rsid w:val="68FBD867"/>
    <w:rsid w:val="690B6512"/>
    <w:rsid w:val="692DAD6A"/>
    <w:rsid w:val="692F6530"/>
    <w:rsid w:val="6942A99F"/>
    <w:rsid w:val="694B2F5A"/>
    <w:rsid w:val="6951B241"/>
    <w:rsid w:val="6994A117"/>
    <w:rsid w:val="699FF648"/>
    <w:rsid w:val="69B2460B"/>
    <w:rsid w:val="69B6B63B"/>
    <w:rsid w:val="69C3691E"/>
    <w:rsid w:val="69ECE1A2"/>
    <w:rsid w:val="69F3CCC5"/>
    <w:rsid w:val="69F53317"/>
    <w:rsid w:val="6A037701"/>
    <w:rsid w:val="6A425548"/>
    <w:rsid w:val="6A670991"/>
    <w:rsid w:val="6A6B1863"/>
    <w:rsid w:val="6A720161"/>
    <w:rsid w:val="6A83FFED"/>
    <w:rsid w:val="6A859779"/>
    <w:rsid w:val="6A9A20BA"/>
    <w:rsid w:val="6AA4B339"/>
    <w:rsid w:val="6AA62C88"/>
    <w:rsid w:val="6AACBA60"/>
    <w:rsid w:val="6AAFE421"/>
    <w:rsid w:val="6ABD0E50"/>
    <w:rsid w:val="6ABFAFD2"/>
    <w:rsid w:val="6AD71951"/>
    <w:rsid w:val="6AE1A4BE"/>
    <w:rsid w:val="6AEC4DE2"/>
    <w:rsid w:val="6B0F1AAE"/>
    <w:rsid w:val="6B371368"/>
    <w:rsid w:val="6B399A8A"/>
    <w:rsid w:val="6B45C5BA"/>
    <w:rsid w:val="6B584152"/>
    <w:rsid w:val="6B9A0765"/>
    <w:rsid w:val="6B9E2EE1"/>
    <w:rsid w:val="6BC21175"/>
    <w:rsid w:val="6BC2FEF3"/>
    <w:rsid w:val="6BC67614"/>
    <w:rsid w:val="6BCDB7A7"/>
    <w:rsid w:val="6BD52384"/>
    <w:rsid w:val="6BE49F0D"/>
    <w:rsid w:val="6BE4EA38"/>
    <w:rsid w:val="6BE8CE98"/>
    <w:rsid w:val="6BF75F48"/>
    <w:rsid w:val="6BFCB89E"/>
    <w:rsid w:val="6C058077"/>
    <w:rsid w:val="6C149958"/>
    <w:rsid w:val="6C27491E"/>
    <w:rsid w:val="6C349A61"/>
    <w:rsid w:val="6C45DBB3"/>
    <w:rsid w:val="6C4AD063"/>
    <w:rsid w:val="6C6E6C9B"/>
    <w:rsid w:val="6C8A858C"/>
    <w:rsid w:val="6C8E3B16"/>
    <w:rsid w:val="6C979F07"/>
    <w:rsid w:val="6C98BAAD"/>
    <w:rsid w:val="6C9EB38B"/>
    <w:rsid w:val="6CAEF42D"/>
    <w:rsid w:val="6CC6B3C8"/>
    <w:rsid w:val="6CD5C9B8"/>
    <w:rsid w:val="6CEFDE3D"/>
    <w:rsid w:val="6CF2A598"/>
    <w:rsid w:val="6CF3DBF8"/>
    <w:rsid w:val="6D24650C"/>
    <w:rsid w:val="6D289A37"/>
    <w:rsid w:val="6D2ACD37"/>
    <w:rsid w:val="6D33CD37"/>
    <w:rsid w:val="6D367778"/>
    <w:rsid w:val="6D466715"/>
    <w:rsid w:val="6D6F7C38"/>
    <w:rsid w:val="6D70EF67"/>
    <w:rsid w:val="6D71E01D"/>
    <w:rsid w:val="6D9DBAD9"/>
    <w:rsid w:val="6DA2801F"/>
    <w:rsid w:val="6DB15ED7"/>
    <w:rsid w:val="6DCBFF18"/>
    <w:rsid w:val="6DD7E0B9"/>
    <w:rsid w:val="6DD89196"/>
    <w:rsid w:val="6DE868B4"/>
    <w:rsid w:val="6DF36894"/>
    <w:rsid w:val="6DF6F766"/>
    <w:rsid w:val="6DFA75E9"/>
    <w:rsid w:val="6DFD6539"/>
    <w:rsid w:val="6E048D83"/>
    <w:rsid w:val="6E06F74D"/>
    <w:rsid w:val="6E0E9564"/>
    <w:rsid w:val="6E2B9B31"/>
    <w:rsid w:val="6E2BCBF4"/>
    <w:rsid w:val="6E35D807"/>
    <w:rsid w:val="6E36C0B5"/>
    <w:rsid w:val="6E3BC41A"/>
    <w:rsid w:val="6E554C49"/>
    <w:rsid w:val="6E6AA562"/>
    <w:rsid w:val="6EA2DA11"/>
    <w:rsid w:val="6EB7ED0E"/>
    <w:rsid w:val="6EC94B1F"/>
    <w:rsid w:val="6ED62B5F"/>
    <w:rsid w:val="6EDAD4F1"/>
    <w:rsid w:val="6F019A06"/>
    <w:rsid w:val="6F0CC648"/>
    <w:rsid w:val="6F15CD09"/>
    <w:rsid w:val="6F2AF62E"/>
    <w:rsid w:val="6F5085AD"/>
    <w:rsid w:val="6F52DE92"/>
    <w:rsid w:val="6F5B3547"/>
    <w:rsid w:val="6F631C6A"/>
    <w:rsid w:val="6F693FAC"/>
    <w:rsid w:val="6F700461"/>
    <w:rsid w:val="6F790177"/>
    <w:rsid w:val="6F90E9A3"/>
    <w:rsid w:val="6F9CE83A"/>
    <w:rsid w:val="6F9EC3F8"/>
    <w:rsid w:val="6FB55BEB"/>
    <w:rsid w:val="6FBC7800"/>
    <w:rsid w:val="6FE7E512"/>
    <w:rsid w:val="6FE934D0"/>
    <w:rsid w:val="6FEAB27B"/>
    <w:rsid w:val="6FF1931C"/>
    <w:rsid w:val="7009A2A6"/>
    <w:rsid w:val="7014FB74"/>
    <w:rsid w:val="701C2282"/>
    <w:rsid w:val="701E215F"/>
    <w:rsid w:val="7027761B"/>
    <w:rsid w:val="7035CF8B"/>
    <w:rsid w:val="7036C1F2"/>
    <w:rsid w:val="70583F31"/>
    <w:rsid w:val="70691032"/>
    <w:rsid w:val="707428C0"/>
    <w:rsid w:val="707790DE"/>
    <w:rsid w:val="70840A63"/>
    <w:rsid w:val="7090D37D"/>
    <w:rsid w:val="7095FABF"/>
    <w:rsid w:val="709C2806"/>
    <w:rsid w:val="70A0E227"/>
    <w:rsid w:val="70AED680"/>
    <w:rsid w:val="70BD66A3"/>
    <w:rsid w:val="70C12B68"/>
    <w:rsid w:val="70D467DF"/>
    <w:rsid w:val="70E9D047"/>
    <w:rsid w:val="711C5002"/>
    <w:rsid w:val="712081C2"/>
    <w:rsid w:val="7124DAF2"/>
    <w:rsid w:val="7130346C"/>
    <w:rsid w:val="7141BDEB"/>
    <w:rsid w:val="71474931"/>
    <w:rsid w:val="71503C03"/>
    <w:rsid w:val="7164ACC5"/>
    <w:rsid w:val="71737AAB"/>
    <w:rsid w:val="717ABA2F"/>
    <w:rsid w:val="71888722"/>
    <w:rsid w:val="71C1A075"/>
    <w:rsid w:val="71CE0802"/>
    <w:rsid w:val="71D36480"/>
    <w:rsid w:val="72048C64"/>
    <w:rsid w:val="722CE6BC"/>
    <w:rsid w:val="7235DC3F"/>
    <w:rsid w:val="7235E09C"/>
    <w:rsid w:val="7240DA29"/>
    <w:rsid w:val="7248B5A5"/>
    <w:rsid w:val="72729713"/>
    <w:rsid w:val="7274EBB5"/>
    <w:rsid w:val="727737A6"/>
    <w:rsid w:val="72A1E577"/>
    <w:rsid w:val="72A5EC50"/>
    <w:rsid w:val="72AADBB6"/>
    <w:rsid w:val="72B2FE47"/>
    <w:rsid w:val="72D1AD7F"/>
    <w:rsid w:val="72DD1001"/>
    <w:rsid w:val="72F0870E"/>
    <w:rsid w:val="72FCF609"/>
    <w:rsid w:val="730E3FDC"/>
    <w:rsid w:val="731D3D29"/>
    <w:rsid w:val="7334699B"/>
    <w:rsid w:val="73446356"/>
    <w:rsid w:val="73523864"/>
    <w:rsid w:val="735D3C70"/>
    <w:rsid w:val="736F9ABD"/>
    <w:rsid w:val="738AEF88"/>
    <w:rsid w:val="73961CC2"/>
    <w:rsid w:val="7396739F"/>
    <w:rsid w:val="739781FE"/>
    <w:rsid w:val="739B8030"/>
    <w:rsid w:val="739CBEEB"/>
    <w:rsid w:val="73A57E33"/>
    <w:rsid w:val="73C97FDF"/>
    <w:rsid w:val="73CC12CF"/>
    <w:rsid w:val="73D5CF4E"/>
    <w:rsid w:val="73DDDCE4"/>
    <w:rsid w:val="73E29DD7"/>
    <w:rsid w:val="73E6EEA4"/>
    <w:rsid w:val="73FAB9D0"/>
    <w:rsid w:val="7403A9A7"/>
    <w:rsid w:val="74042450"/>
    <w:rsid w:val="7424115F"/>
    <w:rsid w:val="744CA7DD"/>
    <w:rsid w:val="7470C739"/>
    <w:rsid w:val="7470D012"/>
    <w:rsid w:val="74953CB2"/>
    <w:rsid w:val="74A00404"/>
    <w:rsid w:val="74A31874"/>
    <w:rsid w:val="74B616F9"/>
    <w:rsid w:val="74BFB41A"/>
    <w:rsid w:val="74C19B2F"/>
    <w:rsid w:val="74CFC2AC"/>
    <w:rsid w:val="74D80B29"/>
    <w:rsid w:val="74DCBB47"/>
    <w:rsid w:val="74E87B6D"/>
    <w:rsid w:val="74F0914B"/>
    <w:rsid w:val="74FEDFD5"/>
    <w:rsid w:val="75012030"/>
    <w:rsid w:val="75292FC5"/>
    <w:rsid w:val="7543E178"/>
    <w:rsid w:val="75521DAB"/>
    <w:rsid w:val="757D0C45"/>
    <w:rsid w:val="75928C07"/>
    <w:rsid w:val="75C0D615"/>
    <w:rsid w:val="75C3DD07"/>
    <w:rsid w:val="75C61BC9"/>
    <w:rsid w:val="75E7A706"/>
    <w:rsid w:val="75F4E307"/>
    <w:rsid w:val="75F86F26"/>
    <w:rsid w:val="760F193E"/>
    <w:rsid w:val="761E446A"/>
    <w:rsid w:val="762E4817"/>
    <w:rsid w:val="762FB88D"/>
    <w:rsid w:val="764E0176"/>
    <w:rsid w:val="764E2A22"/>
    <w:rsid w:val="76527C74"/>
    <w:rsid w:val="766D5647"/>
    <w:rsid w:val="767302A0"/>
    <w:rsid w:val="7692F1E5"/>
    <w:rsid w:val="769AE48A"/>
    <w:rsid w:val="769DA0FC"/>
    <w:rsid w:val="76A496F3"/>
    <w:rsid w:val="76CA7279"/>
    <w:rsid w:val="76D9F944"/>
    <w:rsid w:val="76DC93C4"/>
    <w:rsid w:val="76EAF431"/>
    <w:rsid w:val="76ED357D"/>
    <w:rsid w:val="770C1430"/>
    <w:rsid w:val="770D24FE"/>
    <w:rsid w:val="772D20DE"/>
    <w:rsid w:val="773F1850"/>
    <w:rsid w:val="773FF5FB"/>
    <w:rsid w:val="7741C925"/>
    <w:rsid w:val="77426434"/>
    <w:rsid w:val="7748C82A"/>
    <w:rsid w:val="774A36FD"/>
    <w:rsid w:val="776D16C6"/>
    <w:rsid w:val="7784230C"/>
    <w:rsid w:val="778B1971"/>
    <w:rsid w:val="778FFFBC"/>
    <w:rsid w:val="77949813"/>
    <w:rsid w:val="77A8881F"/>
    <w:rsid w:val="77C81894"/>
    <w:rsid w:val="77DDBD86"/>
    <w:rsid w:val="77E15D84"/>
    <w:rsid w:val="77E9B57A"/>
    <w:rsid w:val="77F6833E"/>
    <w:rsid w:val="77FCEB9F"/>
    <w:rsid w:val="77FF1270"/>
    <w:rsid w:val="781D4E28"/>
    <w:rsid w:val="781F310A"/>
    <w:rsid w:val="782E8942"/>
    <w:rsid w:val="783551A0"/>
    <w:rsid w:val="7837C5AC"/>
    <w:rsid w:val="783C5D80"/>
    <w:rsid w:val="7852C2F2"/>
    <w:rsid w:val="785BB4AF"/>
    <w:rsid w:val="7870E1C8"/>
    <w:rsid w:val="7888663D"/>
    <w:rsid w:val="788A8E4F"/>
    <w:rsid w:val="788E32B8"/>
    <w:rsid w:val="78948CDF"/>
    <w:rsid w:val="789C8041"/>
    <w:rsid w:val="78B3F9C4"/>
    <w:rsid w:val="78C3CFD9"/>
    <w:rsid w:val="78F01A12"/>
    <w:rsid w:val="78F64375"/>
    <w:rsid w:val="790661AD"/>
    <w:rsid w:val="7907F6B2"/>
    <w:rsid w:val="790E3D25"/>
    <w:rsid w:val="7912350D"/>
    <w:rsid w:val="791BD9EF"/>
    <w:rsid w:val="793DD2F3"/>
    <w:rsid w:val="7960C338"/>
    <w:rsid w:val="798C919B"/>
    <w:rsid w:val="7990F283"/>
    <w:rsid w:val="79953276"/>
    <w:rsid w:val="79A14B4B"/>
    <w:rsid w:val="79BE1D34"/>
    <w:rsid w:val="79C025DD"/>
    <w:rsid w:val="79C7B1A5"/>
    <w:rsid w:val="79CECBC8"/>
    <w:rsid w:val="79DFBB77"/>
    <w:rsid w:val="79F8F86E"/>
    <w:rsid w:val="79F9EE25"/>
    <w:rsid w:val="7A14225B"/>
    <w:rsid w:val="7A334D0A"/>
    <w:rsid w:val="7A43CC95"/>
    <w:rsid w:val="7A4D1F45"/>
    <w:rsid w:val="7A56744F"/>
    <w:rsid w:val="7A68C36A"/>
    <w:rsid w:val="7A6FB3F7"/>
    <w:rsid w:val="7A754395"/>
    <w:rsid w:val="7A85B916"/>
    <w:rsid w:val="7A877014"/>
    <w:rsid w:val="7A971C82"/>
    <w:rsid w:val="7AA84737"/>
    <w:rsid w:val="7AB0E485"/>
    <w:rsid w:val="7ABAAA27"/>
    <w:rsid w:val="7AC50D62"/>
    <w:rsid w:val="7AE54263"/>
    <w:rsid w:val="7AE77634"/>
    <w:rsid w:val="7AE90F62"/>
    <w:rsid w:val="7AEC01F7"/>
    <w:rsid w:val="7AEFEC5A"/>
    <w:rsid w:val="7B053C36"/>
    <w:rsid w:val="7B11F7AF"/>
    <w:rsid w:val="7B13BFAA"/>
    <w:rsid w:val="7B146CC1"/>
    <w:rsid w:val="7B212144"/>
    <w:rsid w:val="7B356D2F"/>
    <w:rsid w:val="7B3B7739"/>
    <w:rsid w:val="7B66B4E8"/>
    <w:rsid w:val="7B6D9809"/>
    <w:rsid w:val="7B7B5199"/>
    <w:rsid w:val="7B881119"/>
    <w:rsid w:val="7B8F7AAB"/>
    <w:rsid w:val="7B96FF28"/>
    <w:rsid w:val="7B9B4F78"/>
    <w:rsid w:val="7BA141DC"/>
    <w:rsid w:val="7BA388D8"/>
    <w:rsid w:val="7BAFE193"/>
    <w:rsid w:val="7BBCB054"/>
    <w:rsid w:val="7BC6242F"/>
    <w:rsid w:val="7BC71308"/>
    <w:rsid w:val="7BCB9147"/>
    <w:rsid w:val="7BD3658B"/>
    <w:rsid w:val="7BD86697"/>
    <w:rsid w:val="7BEE0DF2"/>
    <w:rsid w:val="7BEEA76C"/>
    <w:rsid w:val="7C028D7A"/>
    <w:rsid w:val="7C13BAC4"/>
    <w:rsid w:val="7C207932"/>
    <w:rsid w:val="7C207B9E"/>
    <w:rsid w:val="7C238522"/>
    <w:rsid w:val="7C23E986"/>
    <w:rsid w:val="7C2652F2"/>
    <w:rsid w:val="7C3F1DF3"/>
    <w:rsid w:val="7C4F023B"/>
    <w:rsid w:val="7C77FFED"/>
    <w:rsid w:val="7C86C17C"/>
    <w:rsid w:val="7C9C53F7"/>
    <w:rsid w:val="7C9C959D"/>
    <w:rsid w:val="7CA5E03C"/>
    <w:rsid w:val="7CA64C9C"/>
    <w:rsid w:val="7CAFB222"/>
    <w:rsid w:val="7CB4EB4D"/>
    <w:rsid w:val="7CCD7978"/>
    <w:rsid w:val="7CCE5E96"/>
    <w:rsid w:val="7CE5FDAE"/>
    <w:rsid w:val="7CEFC5CD"/>
    <w:rsid w:val="7CF3476B"/>
    <w:rsid w:val="7D01FE15"/>
    <w:rsid w:val="7D106A0E"/>
    <w:rsid w:val="7D1FBBDC"/>
    <w:rsid w:val="7D214901"/>
    <w:rsid w:val="7D27087A"/>
    <w:rsid w:val="7D29BD82"/>
    <w:rsid w:val="7D34F9E2"/>
    <w:rsid w:val="7D39F1B4"/>
    <w:rsid w:val="7D42B971"/>
    <w:rsid w:val="7D459112"/>
    <w:rsid w:val="7D46D400"/>
    <w:rsid w:val="7D6B5AB6"/>
    <w:rsid w:val="7D8129DD"/>
    <w:rsid w:val="7D87976A"/>
    <w:rsid w:val="7D92A197"/>
    <w:rsid w:val="7D955C1E"/>
    <w:rsid w:val="7D9DDC45"/>
    <w:rsid w:val="7DA44ABD"/>
    <w:rsid w:val="7DB55EAC"/>
    <w:rsid w:val="7DDFA46F"/>
    <w:rsid w:val="7DEC3750"/>
    <w:rsid w:val="7E06D8E8"/>
    <w:rsid w:val="7E186177"/>
    <w:rsid w:val="7E1B99B8"/>
    <w:rsid w:val="7E2CE369"/>
    <w:rsid w:val="7E4036F7"/>
    <w:rsid w:val="7E429ED0"/>
    <w:rsid w:val="7E42F4C2"/>
    <w:rsid w:val="7E510D45"/>
    <w:rsid w:val="7E53D160"/>
    <w:rsid w:val="7E60653F"/>
    <w:rsid w:val="7E6AD537"/>
    <w:rsid w:val="7E77A880"/>
    <w:rsid w:val="7E7D9FE1"/>
    <w:rsid w:val="7E8DB16B"/>
    <w:rsid w:val="7E9B43A6"/>
    <w:rsid w:val="7EA05242"/>
    <w:rsid w:val="7EA0E09E"/>
    <w:rsid w:val="7EA78073"/>
    <w:rsid w:val="7EC00935"/>
    <w:rsid w:val="7EC69DB7"/>
    <w:rsid w:val="7ECA2D0F"/>
    <w:rsid w:val="7ED02761"/>
    <w:rsid w:val="7ED6AB62"/>
    <w:rsid w:val="7EE578C2"/>
    <w:rsid w:val="7EFB5B30"/>
    <w:rsid w:val="7EFCA24D"/>
    <w:rsid w:val="7F015B2F"/>
    <w:rsid w:val="7F01B209"/>
    <w:rsid w:val="7F097DEA"/>
    <w:rsid w:val="7F1CDA3F"/>
    <w:rsid w:val="7F1F9A70"/>
    <w:rsid w:val="7F2DD2A0"/>
    <w:rsid w:val="7F3A63F1"/>
    <w:rsid w:val="7F3C11D0"/>
    <w:rsid w:val="7F4BC13C"/>
    <w:rsid w:val="7F4D6F66"/>
    <w:rsid w:val="7F5209CA"/>
    <w:rsid w:val="7F749CE3"/>
    <w:rsid w:val="7F81A3DA"/>
    <w:rsid w:val="7F9B6571"/>
    <w:rsid w:val="7FC032FB"/>
    <w:rsid w:val="7FCD52BF"/>
    <w:rsid w:val="7FD87307"/>
    <w:rsid w:val="7FDB754C"/>
    <w:rsid w:val="7FDDBB98"/>
    <w:rsid w:val="7FEF82D4"/>
    <w:rsid w:val="7FF066FF"/>
    <w:rsid w:val="7FFD33BB"/>
    <w:rsid w:val="7FFE0C5F"/>
    <w:rsid w:val="7FFFC34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BD66BC"/>
  <w15:chartTrackingRefBased/>
  <w15:docId w15:val="{EC84FEAA-2076-427E-9217-FDF8FFF4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13C"/>
    <w:pPr>
      <w:spacing w:before="240" w:after="240" w:line="360" w:lineRule="auto"/>
      <w:jc w:val="both"/>
    </w:pPr>
    <w:rPr>
      <w:rFonts w:ascii="Arial" w:hAnsi="Arial"/>
      <w:sz w:val="24"/>
      <w:szCs w:val="22"/>
      <w:lang w:eastAsia="en-US"/>
    </w:rPr>
  </w:style>
  <w:style w:type="paragraph" w:styleId="Ttulo1">
    <w:name w:val="heading 1"/>
    <w:basedOn w:val="Normal"/>
    <w:next w:val="Normal"/>
    <w:link w:val="Ttulo1Car"/>
    <w:autoRedefine/>
    <w:uiPriority w:val="9"/>
    <w:qFormat/>
    <w:rsid w:val="003C5978"/>
    <w:pPr>
      <w:keepNext/>
      <w:numPr>
        <w:numId w:val="5"/>
      </w:numPr>
      <w:spacing w:before="0"/>
      <w:outlineLvl w:val="0"/>
    </w:pPr>
    <w:rPr>
      <w:rFonts w:ascii="Book Antiqua" w:eastAsia="Times New Roman" w:hAnsi="Book Antiqua" w:cs="Arial"/>
      <w:b/>
      <w:bCs/>
      <w:color w:val="1F4E79"/>
      <w:kern w:val="32"/>
      <w:szCs w:val="24"/>
      <w:lang w:val="x-none"/>
    </w:rPr>
  </w:style>
  <w:style w:type="paragraph" w:styleId="Ttulo2">
    <w:name w:val="heading 2"/>
    <w:basedOn w:val="Normal"/>
    <w:link w:val="Ttulo2Car"/>
    <w:autoRedefine/>
    <w:uiPriority w:val="9"/>
    <w:unhideWhenUsed/>
    <w:qFormat/>
    <w:rsid w:val="00377565"/>
    <w:pPr>
      <w:keepNext/>
      <w:numPr>
        <w:ilvl w:val="1"/>
        <w:numId w:val="5"/>
      </w:numPr>
      <w:spacing w:before="0"/>
      <w:outlineLvl w:val="1"/>
    </w:pPr>
    <w:rPr>
      <w:rFonts w:ascii="Book Antiqua" w:hAnsi="Book Antiqua" w:cs="Arial"/>
      <w:b/>
      <w:bCs/>
      <w:iCs/>
      <w:color w:val="1F3864"/>
      <w:szCs w:val="24"/>
      <w:lang w:val="x-none" w:eastAsia="x-none"/>
    </w:rPr>
  </w:style>
  <w:style w:type="paragraph" w:styleId="Ttulo3">
    <w:name w:val="heading 3"/>
    <w:basedOn w:val="Normal"/>
    <w:next w:val="Normal"/>
    <w:link w:val="Ttulo3Car"/>
    <w:autoRedefine/>
    <w:uiPriority w:val="9"/>
    <w:unhideWhenUsed/>
    <w:qFormat/>
    <w:rsid w:val="00410F64"/>
    <w:pPr>
      <w:keepNext/>
      <w:numPr>
        <w:numId w:val="8"/>
      </w:numPr>
      <w:outlineLvl w:val="2"/>
    </w:pPr>
    <w:rPr>
      <w:rFonts w:ascii="Book Antiqua" w:eastAsia="Arial" w:hAnsi="Book Antiqua" w:cs="Arial"/>
      <w:b/>
      <w:bCs/>
      <w:color w:val="323E4F"/>
      <w:szCs w:val="24"/>
    </w:rPr>
  </w:style>
  <w:style w:type="paragraph" w:styleId="Ttulo4">
    <w:name w:val="heading 4"/>
    <w:basedOn w:val="Normal"/>
    <w:next w:val="Normal"/>
    <w:link w:val="Ttulo4Car"/>
    <w:uiPriority w:val="9"/>
    <w:semiHidden/>
    <w:unhideWhenUsed/>
    <w:qFormat/>
    <w:rsid w:val="00F07610"/>
    <w:pPr>
      <w:keepNext/>
      <w:numPr>
        <w:ilvl w:val="3"/>
        <w:numId w:val="5"/>
      </w:numPr>
      <w:spacing w:after="60"/>
      <w:outlineLvl w:val="3"/>
    </w:pPr>
    <w:rPr>
      <w:rFonts w:ascii="Calibri" w:eastAsia="Times New Roman" w:hAnsi="Calibri"/>
      <w:b/>
      <w:bCs/>
      <w:sz w:val="28"/>
      <w:szCs w:val="28"/>
      <w:lang w:val="x-none"/>
    </w:rPr>
  </w:style>
  <w:style w:type="paragraph" w:styleId="Ttulo5">
    <w:name w:val="heading 5"/>
    <w:basedOn w:val="Normal"/>
    <w:next w:val="Normal"/>
    <w:link w:val="Ttulo5Car"/>
    <w:uiPriority w:val="9"/>
    <w:unhideWhenUsed/>
    <w:qFormat/>
    <w:rsid w:val="00F07610"/>
    <w:pPr>
      <w:numPr>
        <w:ilvl w:val="4"/>
        <w:numId w:val="5"/>
      </w:numPr>
      <w:spacing w:after="60"/>
      <w:outlineLvl w:val="4"/>
    </w:pPr>
    <w:rPr>
      <w:rFonts w:ascii="Calibri" w:eastAsia="Times New Roman" w:hAnsi="Calibri"/>
      <w:b/>
      <w:bCs/>
      <w:i/>
      <w:iCs/>
      <w:sz w:val="26"/>
      <w:szCs w:val="26"/>
      <w:lang w:val="x-none"/>
    </w:rPr>
  </w:style>
  <w:style w:type="paragraph" w:styleId="Ttulo6">
    <w:name w:val="heading 6"/>
    <w:basedOn w:val="Normal"/>
    <w:next w:val="Normal"/>
    <w:link w:val="Ttulo6Car"/>
    <w:uiPriority w:val="9"/>
    <w:semiHidden/>
    <w:unhideWhenUsed/>
    <w:qFormat/>
    <w:rsid w:val="00F07610"/>
    <w:pPr>
      <w:numPr>
        <w:ilvl w:val="5"/>
        <w:numId w:val="5"/>
      </w:numPr>
      <w:spacing w:after="60"/>
      <w:outlineLvl w:val="5"/>
    </w:pPr>
    <w:rPr>
      <w:rFonts w:ascii="Calibri" w:eastAsia="Times New Roman" w:hAnsi="Calibri"/>
      <w:b/>
      <w:bCs/>
      <w:lang w:val="x-none"/>
    </w:rPr>
  </w:style>
  <w:style w:type="paragraph" w:styleId="Ttulo7">
    <w:name w:val="heading 7"/>
    <w:basedOn w:val="Normal"/>
    <w:next w:val="Normal"/>
    <w:link w:val="Ttulo7Car"/>
    <w:uiPriority w:val="9"/>
    <w:semiHidden/>
    <w:unhideWhenUsed/>
    <w:qFormat/>
    <w:rsid w:val="00F07610"/>
    <w:pPr>
      <w:numPr>
        <w:ilvl w:val="6"/>
        <w:numId w:val="5"/>
      </w:numPr>
      <w:spacing w:after="60"/>
      <w:outlineLvl w:val="6"/>
    </w:pPr>
    <w:rPr>
      <w:rFonts w:ascii="Calibri" w:eastAsia="Times New Roman" w:hAnsi="Calibri"/>
      <w:szCs w:val="24"/>
      <w:lang w:val="x-none"/>
    </w:rPr>
  </w:style>
  <w:style w:type="paragraph" w:styleId="Ttulo8">
    <w:name w:val="heading 8"/>
    <w:basedOn w:val="Normal"/>
    <w:next w:val="Normal"/>
    <w:link w:val="Ttulo8Car"/>
    <w:uiPriority w:val="9"/>
    <w:semiHidden/>
    <w:unhideWhenUsed/>
    <w:qFormat/>
    <w:rsid w:val="00F07610"/>
    <w:pPr>
      <w:numPr>
        <w:ilvl w:val="7"/>
        <w:numId w:val="5"/>
      </w:numPr>
      <w:spacing w:after="60"/>
      <w:outlineLvl w:val="7"/>
    </w:pPr>
    <w:rPr>
      <w:rFonts w:ascii="Calibri" w:eastAsia="Times New Roman" w:hAnsi="Calibri"/>
      <w:i/>
      <w:iCs/>
      <w:szCs w:val="24"/>
      <w:lang w:val="x-none"/>
    </w:rPr>
  </w:style>
  <w:style w:type="paragraph" w:styleId="Ttulo9">
    <w:name w:val="heading 9"/>
    <w:basedOn w:val="Normal"/>
    <w:next w:val="Normal"/>
    <w:link w:val="Ttulo9Car"/>
    <w:uiPriority w:val="9"/>
    <w:semiHidden/>
    <w:unhideWhenUsed/>
    <w:qFormat/>
    <w:rsid w:val="00F07610"/>
    <w:pPr>
      <w:numPr>
        <w:ilvl w:val="8"/>
        <w:numId w:val="5"/>
      </w:numPr>
      <w:spacing w:after="60"/>
      <w:outlineLvl w:val="8"/>
    </w:pPr>
    <w:rPr>
      <w:rFonts w:ascii="Calibri Light" w:eastAsia="Times New Roman" w:hAnsi="Calibri Light"/>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rsid w:val="00377565"/>
    <w:rPr>
      <w:rFonts w:ascii="Book Antiqua" w:hAnsi="Book Antiqua" w:cs="Arial"/>
      <w:b/>
      <w:bCs/>
      <w:iCs/>
      <w:color w:val="1F3864"/>
      <w:sz w:val="24"/>
      <w:szCs w:val="24"/>
      <w:lang w:val="x-none" w:eastAsia="x-none"/>
    </w:rPr>
  </w:style>
  <w:style w:type="paragraph" w:styleId="Textodeglobo">
    <w:name w:val="Balloon Text"/>
    <w:basedOn w:val="Normal"/>
    <w:link w:val="TextodegloboCar"/>
    <w:uiPriority w:val="99"/>
    <w:semiHidden/>
    <w:unhideWhenUsed/>
    <w:rsid w:val="009C088E"/>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C088E"/>
    <w:rPr>
      <w:rFonts w:ascii="Tahoma" w:hAnsi="Tahoma" w:cs="Tahoma"/>
      <w:sz w:val="16"/>
      <w:szCs w:val="16"/>
    </w:rPr>
  </w:style>
  <w:style w:type="paragraph" w:styleId="Encabezado">
    <w:name w:val="header"/>
    <w:aliases w:val="encabezado"/>
    <w:basedOn w:val="Normal"/>
    <w:link w:val="EncabezadoCar"/>
    <w:unhideWhenUsed/>
    <w:rsid w:val="00F45BAC"/>
    <w:pPr>
      <w:tabs>
        <w:tab w:val="center" w:pos="4419"/>
        <w:tab w:val="right" w:pos="8838"/>
      </w:tabs>
    </w:pPr>
    <w:rPr>
      <w:rFonts w:ascii="Calibri" w:hAnsi="Calibri"/>
      <w:lang w:val="x-none"/>
    </w:rPr>
  </w:style>
  <w:style w:type="character" w:customStyle="1" w:styleId="EncabezadoCar">
    <w:name w:val="Encabezado Car"/>
    <w:aliases w:val="encabezado Car"/>
    <w:link w:val="Encabezado"/>
    <w:rsid w:val="00F45BAC"/>
    <w:rPr>
      <w:sz w:val="22"/>
      <w:szCs w:val="22"/>
      <w:lang w:eastAsia="en-US"/>
    </w:rPr>
  </w:style>
  <w:style w:type="paragraph" w:styleId="Piedepgina">
    <w:name w:val="footer"/>
    <w:basedOn w:val="Normal"/>
    <w:link w:val="PiedepginaCar"/>
    <w:uiPriority w:val="99"/>
    <w:unhideWhenUsed/>
    <w:rsid w:val="00F45BAC"/>
    <w:pPr>
      <w:tabs>
        <w:tab w:val="center" w:pos="4419"/>
        <w:tab w:val="right" w:pos="8838"/>
      </w:tabs>
    </w:pPr>
    <w:rPr>
      <w:rFonts w:ascii="Calibri" w:hAnsi="Calibri"/>
      <w:lang w:val="x-none"/>
    </w:rPr>
  </w:style>
  <w:style w:type="character" w:customStyle="1" w:styleId="PiedepginaCar">
    <w:name w:val="Pie de página Car"/>
    <w:link w:val="Piedepgina"/>
    <w:uiPriority w:val="99"/>
    <w:rsid w:val="00F45BAC"/>
    <w:rPr>
      <w:sz w:val="22"/>
      <w:szCs w:val="22"/>
      <w:lang w:eastAsia="en-US"/>
    </w:rPr>
  </w:style>
  <w:style w:type="character" w:styleId="Nmerodepgina">
    <w:name w:val="page number"/>
    <w:basedOn w:val="Fuentedeprrafopredeter"/>
    <w:rsid w:val="00F45BAC"/>
  </w:style>
  <w:style w:type="table" w:styleId="Tablaconcuadrcula">
    <w:name w:val="Table Grid"/>
    <w:basedOn w:val="Tablanormal"/>
    <w:uiPriority w:val="59"/>
    <w:rsid w:val="009738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odecampo">
    <w:name w:val="Texto de campo"/>
    <w:basedOn w:val="Normal"/>
    <w:rsid w:val="007232C7"/>
    <w:pPr>
      <w:spacing w:before="60" w:after="60" w:line="240" w:lineRule="auto"/>
    </w:pPr>
    <w:rPr>
      <w:rFonts w:eastAsia="Times New Roman" w:cs="Arial"/>
      <w:sz w:val="19"/>
      <w:szCs w:val="19"/>
      <w:lang w:val="en-US" w:bidi="en-US"/>
    </w:rPr>
  </w:style>
  <w:style w:type="paragraph" w:customStyle="1" w:styleId="Etiquetadecampo">
    <w:name w:val="Etiqueta de campo"/>
    <w:basedOn w:val="Normal"/>
    <w:rsid w:val="007232C7"/>
    <w:pPr>
      <w:spacing w:before="60" w:after="60" w:line="240" w:lineRule="auto"/>
    </w:pPr>
    <w:rPr>
      <w:rFonts w:eastAsia="Times New Roman" w:cs="Arial"/>
      <w:b/>
      <w:sz w:val="19"/>
      <w:szCs w:val="19"/>
      <w:lang w:val="en-US" w:bidi="en-US"/>
    </w:rPr>
  </w:style>
  <w:style w:type="paragraph" w:styleId="Textoindependiente2">
    <w:name w:val="Body Text 2"/>
    <w:basedOn w:val="Normal"/>
    <w:link w:val="Textoindependiente2Car"/>
    <w:rsid w:val="00911712"/>
    <w:pPr>
      <w:widowControl w:val="0"/>
      <w:autoSpaceDE w:val="0"/>
      <w:autoSpaceDN w:val="0"/>
      <w:adjustRightInd w:val="0"/>
      <w:spacing w:after="0" w:line="240" w:lineRule="auto"/>
    </w:pPr>
    <w:rPr>
      <w:rFonts w:ascii="Book Antiqua" w:eastAsia="Times New Roman" w:hAnsi="Book Antiqua"/>
      <w:szCs w:val="24"/>
      <w:lang w:val="es-ES" w:eastAsia="es-ES"/>
    </w:rPr>
  </w:style>
  <w:style w:type="character" w:customStyle="1" w:styleId="Textoindependiente2Car">
    <w:name w:val="Texto independiente 2 Car"/>
    <w:link w:val="Textoindependiente2"/>
    <w:rsid w:val="00911712"/>
    <w:rPr>
      <w:rFonts w:ascii="Book Antiqua" w:eastAsia="Times New Roman" w:hAnsi="Book Antiqua"/>
      <w:sz w:val="24"/>
      <w:szCs w:val="24"/>
      <w:lang w:val="es-ES" w:eastAsia="es-ES"/>
    </w:rPr>
  </w:style>
  <w:style w:type="paragraph" w:styleId="Prrafodelista">
    <w:name w:val="List Paragraph"/>
    <w:basedOn w:val="Normal"/>
    <w:link w:val="PrrafodelistaCar"/>
    <w:uiPriority w:val="34"/>
    <w:qFormat/>
    <w:rsid w:val="00911712"/>
    <w:pPr>
      <w:spacing w:after="0" w:line="240" w:lineRule="auto"/>
      <w:ind w:left="708"/>
    </w:pPr>
    <w:rPr>
      <w:rFonts w:eastAsia="Times New Roman" w:cs="Arial"/>
      <w:szCs w:val="24"/>
      <w:lang w:val="es-ES" w:eastAsia="es-ES"/>
    </w:rPr>
  </w:style>
  <w:style w:type="character" w:styleId="Textoennegrita">
    <w:name w:val="Strong"/>
    <w:uiPriority w:val="22"/>
    <w:qFormat/>
    <w:rsid w:val="00C57F7F"/>
    <w:rPr>
      <w:b/>
      <w:bCs/>
    </w:rPr>
  </w:style>
  <w:style w:type="paragraph" w:styleId="Revisin">
    <w:name w:val="Revision"/>
    <w:hidden/>
    <w:uiPriority w:val="99"/>
    <w:semiHidden/>
    <w:rsid w:val="00852555"/>
    <w:rPr>
      <w:sz w:val="22"/>
      <w:szCs w:val="22"/>
      <w:lang w:eastAsia="en-US"/>
    </w:rPr>
  </w:style>
  <w:style w:type="paragraph" w:styleId="Sinespaciado">
    <w:name w:val="No Spacing"/>
    <w:uiPriority w:val="1"/>
    <w:qFormat/>
    <w:rsid w:val="00BC3D81"/>
    <w:rPr>
      <w:sz w:val="22"/>
      <w:szCs w:val="22"/>
      <w:lang w:eastAsia="en-US"/>
    </w:rPr>
  </w:style>
  <w:style w:type="paragraph" w:customStyle="1" w:styleId="Default">
    <w:name w:val="Default"/>
    <w:rsid w:val="00612CFA"/>
    <w:pPr>
      <w:autoSpaceDE w:val="0"/>
      <w:autoSpaceDN w:val="0"/>
      <w:adjustRightInd w:val="0"/>
    </w:pPr>
    <w:rPr>
      <w:rFonts w:ascii="Arial" w:eastAsia="Times New Roman" w:hAnsi="Arial" w:cs="Arial"/>
      <w:color w:val="000000"/>
      <w:sz w:val="24"/>
      <w:szCs w:val="24"/>
    </w:rPr>
  </w:style>
  <w:style w:type="paragraph" w:styleId="Textonotapie">
    <w:name w:val="footnote text"/>
    <w:basedOn w:val="Normal"/>
    <w:link w:val="TextonotapieCar"/>
    <w:uiPriority w:val="99"/>
    <w:semiHidden/>
    <w:unhideWhenUsed/>
    <w:rsid w:val="00CF45C7"/>
    <w:pPr>
      <w:spacing w:after="0" w:line="240" w:lineRule="auto"/>
    </w:pPr>
    <w:rPr>
      <w:rFonts w:ascii="Calibri" w:hAnsi="Calibri"/>
      <w:sz w:val="20"/>
      <w:szCs w:val="20"/>
      <w:lang w:val="x-none"/>
    </w:rPr>
  </w:style>
  <w:style w:type="character" w:customStyle="1" w:styleId="TextonotapieCar">
    <w:name w:val="Texto nota pie Car"/>
    <w:link w:val="Textonotapie"/>
    <w:uiPriority w:val="99"/>
    <w:semiHidden/>
    <w:rsid w:val="00CF45C7"/>
    <w:rPr>
      <w:lang w:eastAsia="en-US"/>
    </w:rPr>
  </w:style>
  <w:style w:type="character" w:styleId="Refdenotaalpie">
    <w:name w:val="footnote reference"/>
    <w:uiPriority w:val="99"/>
    <w:semiHidden/>
    <w:unhideWhenUsed/>
    <w:rsid w:val="00CF45C7"/>
    <w:rPr>
      <w:vertAlign w:val="superscript"/>
    </w:rPr>
  </w:style>
  <w:style w:type="paragraph" w:styleId="Textocomentario">
    <w:name w:val="annotation text"/>
    <w:basedOn w:val="Normal"/>
    <w:link w:val="TextocomentarioCar"/>
    <w:unhideWhenUsed/>
    <w:rsid w:val="00CF45C7"/>
    <w:pPr>
      <w:spacing w:line="240" w:lineRule="auto"/>
    </w:pPr>
    <w:rPr>
      <w:rFonts w:ascii="Calibri" w:hAnsi="Calibri"/>
      <w:sz w:val="20"/>
      <w:szCs w:val="20"/>
      <w:lang w:val="x-none"/>
    </w:rPr>
  </w:style>
  <w:style w:type="character" w:customStyle="1" w:styleId="TextocomentarioCar">
    <w:name w:val="Texto comentario Car"/>
    <w:link w:val="Textocomentario"/>
    <w:rsid w:val="00CF45C7"/>
    <w:rPr>
      <w:lang w:eastAsia="en-US"/>
    </w:rPr>
  </w:style>
  <w:style w:type="paragraph" w:styleId="Asuntodelcomentario">
    <w:name w:val="annotation subject"/>
    <w:basedOn w:val="Textocomentario"/>
    <w:next w:val="Textocomentario"/>
    <w:link w:val="AsuntodelcomentarioCar"/>
    <w:uiPriority w:val="99"/>
    <w:semiHidden/>
    <w:unhideWhenUsed/>
    <w:rsid w:val="00CF45C7"/>
    <w:rPr>
      <w:b/>
      <w:bCs/>
    </w:rPr>
  </w:style>
  <w:style w:type="character" w:customStyle="1" w:styleId="AsuntodelcomentarioCar">
    <w:name w:val="Asunto del comentario Car"/>
    <w:link w:val="Asuntodelcomentario"/>
    <w:uiPriority w:val="99"/>
    <w:semiHidden/>
    <w:rsid w:val="00CF45C7"/>
    <w:rPr>
      <w:b/>
      <w:bCs/>
      <w:lang w:eastAsia="en-US"/>
    </w:rPr>
  </w:style>
  <w:style w:type="paragraph" w:styleId="NormalWeb">
    <w:name w:val="Normal (Web)"/>
    <w:basedOn w:val="Normal"/>
    <w:uiPriority w:val="99"/>
    <w:unhideWhenUsed/>
    <w:rsid w:val="00CF45C7"/>
    <w:pPr>
      <w:spacing w:before="100" w:beforeAutospacing="1" w:after="100" w:afterAutospacing="1" w:line="240" w:lineRule="auto"/>
    </w:pPr>
    <w:rPr>
      <w:rFonts w:ascii="Times New Roman" w:eastAsia="Times New Roman" w:hAnsi="Times New Roman"/>
      <w:szCs w:val="24"/>
      <w:lang w:eastAsia="es-CR"/>
    </w:rPr>
  </w:style>
  <w:style w:type="character" w:customStyle="1" w:styleId="st1">
    <w:name w:val="st1"/>
    <w:rsid w:val="00CF45C7"/>
  </w:style>
  <w:style w:type="character" w:styleId="nfasis">
    <w:name w:val="Emphasis"/>
    <w:uiPriority w:val="20"/>
    <w:qFormat/>
    <w:rsid w:val="00CF45C7"/>
    <w:rPr>
      <w:b/>
      <w:bCs/>
      <w:i w:val="0"/>
      <w:iCs w:val="0"/>
    </w:rPr>
  </w:style>
  <w:style w:type="paragraph" w:customStyle="1" w:styleId="western">
    <w:name w:val="western"/>
    <w:basedOn w:val="Normal"/>
    <w:rsid w:val="00BF527F"/>
    <w:pPr>
      <w:spacing w:before="100" w:beforeAutospacing="1" w:after="119" w:line="240" w:lineRule="auto"/>
    </w:pPr>
    <w:rPr>
      <w:rFonts w:ascii="Times New Roman" w:eastAsia="Times New Roman" w:hAnsi="Times New Roman"/>
      <w:color w:val="000000"/>
      <w:szCs w:val="24"/>
      <w:lang w:eastAsia="es-CR"/>
    </w:rPr>
  </w:style>
  <w:style w:type="character" w:customStyle="1" w:styleId="Ttulo1Car">
    <w:name w:val="Título 1 Car"/>
    <w:link w:val="Ttulo1"/>
    <w:uiPriority w:val="9"/>
    <w:rsid w:val="003C5978"/>
    <w:rPr>
      <w:rFonts w:ascii="Book Antiqua" w:eastAsia="Times New Roman" w:hAnsi="Book Antiqua" w:cs="Arial"/>
      <w:b/>
      <w:bCs/>
      <w:color w:val="1F4E79"/>
      <w:kern w:val="32"/>
      <w:sz w:val="24"/>
      <w:szCs w:val="24"/>
      <w:lang w:val="x-none" w:eastAsia="en-US"/>
    </w:rPr>
  </w:style>
  <w:style w:type="paragraph" w:styleId="Ttulo">
    <w:name w:val="Title"/>
    <w:basedOn w:val="Ttulo3"/>
    <w:next w:val="Normal"/>
    <w:link w:val="TtuloCar"/>
    <w:uiPriority w:val="10"/>
    <w:qFormat/>
    <w:rsid w:val="00F07610"/>
    <w:pPr>
      <w:outlineLvl w:val="0"/>
    </w:pPr>
    <w:rPr>
      <w:b w:val="0"/>
      <w:bCs w:val="0"/>
      <w:color w:val="2E74B5"/>
      <w:kern w:val="28"/>
      <w:sz w:val="22"/>
      <w:szCs w:val="32"/>
    </w:rPr>
  </w:style>
  <w:style w:type="character" w:customStyle="1" w:styleId="TtuloCar">
    <w:name w:val="Título Car"/>
    <w:link w:val="Ttulo"/>
    <w:uiPriority w:val="10"/>
    <w:rsid w:val="00F07610"/>
    <w:rPr>
      <w:rFonts w:ascii="Arial" w:eastAsia="Arial" w:hAnsi="Arial" w:cs="Arial"/>
      <w:color w:val="2E74B5"/>
      <w:kern w:val="28"/>
      <w:sz w:val="22"/>
      <w:szCs w:val="32"/>
      <w:lang w:eastAsia="en-US"/>
    </w:rPr>
  </w:style>
  <w:style w:type="character" w:customStyle="1" w:styleId="Ttulo3Car">
    <w:name w:val="Título 3 Car"/>
    <w:link w:val="Ttulo3"/>
    <w:uiPriority w:val="9"/>
    <w:rsid w:val="00410F64"/>
    <w:rPr>
      <w:rFonts w:ascii="Book Antiqua" w:eastAsia="Arial" w:hAnsi="Book Antiqua" w:cs="Arial"/>
      <w:b/>
      <w:bCs/>
      <w:color w:val="323E4F"/>
      <w:sz w:val="24"/>
      <w:szCs w:val="24"/>
      <w:lang w:eastAsia="en-US"/>
    </w:rPr>
  </w:style>
  <w:style w:type="character" w:customStyle="1" w:styleId="Ttulo4Car">
    <w:name w:val="Título 4 Car"/>
    <w:link w:val="Ttulo4"/>
    <w:uiPriority w:val="9"/>
    <w:semiHidden/>
    <w:rsid w:val="00F07610"/>
    <w:rPr>
      <w:rFonts w:eastAsia="Times New Roman"/>
      <w:b/>
      <w:bCs/>
      <w:sz w:val="28"/>
      <w:szCs w:val="28"/>
      <w:lang w:val="x-none" w:eastAsia="en-US"/>
    </w:rPr>
  </w:style>
  <w:style w:type="character" w:customStyle="1" w:styleId="Ttulo5Car">
    <w:name w:val="Título 5 Car"/>
    <w:link w:val="Ttulo5"/>
    <w:uiPriority w:val="9"/>
    <w:rsid w:val="00F07610"/>
    <w:rPr>
      <w:rFonts w:eastAsia="Times New Roman"/>
      <w:b/>
      <w:bCs/>
      <w:i/>
      <w:iCs/>
      <w:sz w:val="26"/>
      <w:szCs w:val="26"/>
      <w:lang w:val="x-none" w:eastAsia="en-US"/>
    </w:rPr>
  </w:style>
  <w:style w:type="character" w:customStyle="1" w:styleId="Ttulo6Car">
    <w:name w:val="Título 6 Car"/>
    <w:link w:val="Ttulo6"/>
    <w:uiPriority w:val="9"/>
    <w:semiHidden/>
    <w:rsid w:val="00F07610"/>
    <w:rPr>
      <w:rFonts w:eastAsia="Times New Roman"/>
      <w:b/>
      <w:bCs/>
      <w:sz w:val="24"/>
      <w:szCs w:val="22"/>
      <w:lang w:val="x-none" w:eastAsia="en-US"/>
    </w:rPr>
  </w:style>
  <w:style w:type="character" w:customStyle="1" w:styleId="Ttulo7Car">
    <w:name w:val="Título 7 Car"/>
    <w:link w:val="Ttulo7"/>
    <w:uiPriority w:val="9"/>
    <w:semiHidden/>
    <w:rsid w:val="00F07610"/>
    <w:rPr>
      <w:rFonts w:eastAsia="Times New Roman"/>
      <w:sz w:val="24"/>
      <w:szCs w:val="24"/>
      <w:lang w:val="x-none" w:eastAsia="en-US"/>
    </w:rPr>
  </w:style>
  <w:style w:type="character" w:customStyle="1" w:styleId="Ttulo8Car">
    <w:name w:val="Título 8 Car"/>
    <w:link w:val="Ttulo8"/>
    <w:uiPriority w:val="9"/>
    <w:semiHidden/>
    <w:rsid w:val="00F07610"/>
    <w:rPr>
      <w:rFonts w:eastAsia="Times New Roman"/>
      <w:i/>
      <w:iCs/>
      <w:sz w:val="24"/>
      <w:szCs w:val="24"/>
      <w:lang w:val="x-none" w:eastAsia="en-US"/>
    </w:rPr>
  </w:style>
  <w:style w:type="character" w:customStyle="1" w:styleId="Ttulo9Car">
    <w:name w:val="Título 9 Car"/>
    <w:link w:val="Ttulo9"/>
    <w:uiPriority w:val="9"/>
    <w:semiHidden/>
    <w:rsid w:val="00F07610"/>
    <w:rPr>
      <w:rFonts w:ascii="Calibri Light" w:eastAsia="Times New Roman" w:hAnsi="Calibri Light"/>
      <w:sz w:val="24"/>
      <w:szCs w:val="22"/>
      <w:lang w:val="x-none" w:eastAsia="en-US"/>
    </w:rPr>
  </w:style>
  <w:style w:type="character" w:styleId="Refdecomentario">
    <w:name w:val="annotation reference"/>
    <w:rsid w:val="0093506B"/>
    <w:rPr>
      <w:sz w:val="16"/>
      <w:szCs w:val="16"/>
    </w:rPr>
  </w:style>
  <w:style w:type="paragraph" w:customStyle="1" w:styleId="Prrafodelista1">
    <w:name w:val="Párrafo de lista1"/>
    <w:basedOn w:val="Normal"/>
    <w:uiPriority w:val="34"/>
    <w:qFormat/>
    <w:rsid w:val="0093506B"/>
    <w:pPr>
      <w:spacing w:before="0" w:after="200"/>
      <w:ind w:left="720"/>
      <w:contextualSpacing/>
    </w:pPr>
  </w:style>
  <w:style w:type="character" w:styleId="Hipervnculo">
    <w:name w:val="Hyperlink"/>
    <w:unhideWhenUsed/>
    <w:rsid w:val="00D31DCC"/>
    <w:rPr>
      <w:color w:val="0000FF"/>
      <w:u w:val="single"/>
    </w:rPr>
  </w:style>
  <w:style w:type="paragraph" w:customStyle="1" w:styleId="Estilopredeterminado">
    <w:name w:val="Estilo predeterminado"/>
    <w:rsid w:val="006B3C44"/>
    <w:pPr>
      <w:suppressAutoHyphens/>
      <w:spacing w:line="100" w:lineRule="atLeast"/>
    </w:pPr>
    <w:rPr>
      <w:rFonts w:ascii="Times New Roman" w:eastAsia="SimSun" w:hAnsi="Times New Roman"/>
      <w:color w:val="000000"/>
      <w:sz w:val="24"/>
      <w:szCs w:val="24"/>
      <w:lang w:val="es-ES" w:eastAsia="en-US"/>
    </w:rPr>
  </w:style>
  <w:style w:type="paragraph" w:customStyle="1" w:styleId="xmsonormal">
    <w:name w:val="x_msonormal"/>
    <w:basedOn w:val="Normal"/>
    <w:rsid w:val="007A2464"/>
    <w:pPr>
      <w:spacing w:before="0" w:after="0" w:line="240" w:lineRule="auto"/>
      <w:jc w:val="left"/>
    </w:pPr>
    <w:rPr>
      <w:rFonts w:ascii="Times New Roman" w:hAnsi="Times New Roman"/>
      <w:szCs w:val="24"/>
      <w:lang w:eastAsia="es-CR"/>
    </w:rPr>
  </w:style>
  <w:style w:type="paragraph" w:styleId="Textoindependiente">
    <w:name w:val="Body Text"/>
    <w:basedOn w:val="Normal"/>
    <w:link w:val="TextoindependienteCar"/>
    <w:uiPriority w:val="99"/>
    <w:unhideWhenUsed/>
    <w:rsid w:val="002F2EDF"/>
    <w:pPr>
      <w:spacing w:after="120"/>
    </w:pPr>
  </w:style>
  <w:style w:type="character" w:customStyle="1" w:styleId="TextoindependienteCar">
    <w:name w:val="Texto independiente Car"/>
    <w:link w:val="Textoindependiente"/>
    <w:uiPriority w:val="99"/>
    <w:rsid w:val="002F2EDF"/>
    <w:rPr>
      <w:rFonts w:ascii="Arial" w:hAnsi="Arial"/>
      <w:sz w:val="22"/>
      <w:szCs w:val="22"/>
      <w:lang w:eastAsia="en-US"/>
    </w:rPr>
  </w:style>
  <w:style w:type="character" w:customStyle="1" w:styleId="PrrafodelistaCar">
    <w:name w:val="Párrafo de lista Car"/>
    <w:link w:val="Prrafodelista"/>
    <w:uiPriority w:val="34"/>
    <w:rsid w:val="002F2EDF"/>
    <w:rPr>
      <w:rFonts w:ascii="Arial" w:eastAsia="Times New Roman" w:hAnsi="Arial" w:cs="Arial"/>
      <w:sz w:val="24"/>
      <w:szCs w:val="24"/>
      <w:lang w:val="es-ES" w:eastAsia="es-ES"/>
    </w:rPr>
  </w:style>
  <w:style w:type="paragraph" w:customStyle="1" w:styleId="ListParagraph0">
    <w:name w:val="List Paragraph0"/>
    <w:basedOn w:val="Normal"/>
    <w:qFormat/>
    <w:rsid w:val="00384914"/>
    <w:pPr>
      <w:ind w:left="720"/>
      <w:contextualSpacing/>
    </w:pPr>
    <w:rPr>
      <w:rFonts w:eastAsia="Times New Roman"/>
      <w:lang w:val="es-ES"/>
    </w:rPr>
  </w:style>
  <w:style w:type="character" w:styleId="Mencionar">
    <w:name w:val="Mention"/>
    <w:uiPriority w:val="99"/>
    <w:unhideWhenUsed/>
    <w:rPr>
      <w:color w:val="2B579A"/>
      <w:shd w:val="clear" w:color="auto" w:fill="E6E6E6"/>
    </w:rPr>
  </w:style>
  <w:style w:type="paragraph" w:styleId="Descripcin">
    <w:name w:val="caption"/>
    <w:basedOn w:val="Normal"/>
    <w:next w:val="Normal"/>
    <w:uiPriority w:val="35"/>
    <w:unhideWhenUsed/>
    <w:qFormat/>
    <w:rsid w:val="000934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992444">
      <w:bodyDiv w:val="1"/>
      <w:marLeft w:val="0"/>
      <w:marRight w:val="0"/>
      <w:marTop w:val="0"/>
      <w:marBottom w:val="0"/>
      <w:divBdr>
        <w:top w:val="none" w:sz="0" w:space="0" w:color="auto"/>
        <w:left w:val="none" w:sz="0" w:space="0" w:color="auto"/>
        <w:bottom w:val="none" w:sz="0" w:space="0" w:color="auto"/>
        <w:right w:val="none" w:sz="0" w:space="0" w:color="auto"/>
      </w:divBdr>
    </w:div>
    <w:div w:id="261766806">
      <w:bodyDiv w:val="1"/>
      <w:marLeft w:val="0"/>
      <w:marRight w:val="0"/>
      <w:marTop w:val="0"/>
      <w:marBottom w:val="0"/>
      <w:divBdr>
        <w:top w:val="none" w:sz="0" w:space="0" w:color="auto"/>
        <w:left w:val="none" w:sz="0" w:space="0" w:color="auto"/>
        <w:bottom w:val="none" w:sz="0" w:space="0" w:color="auto"/>
        <w:right w:val="none" w:sz="0" w:space="0" w:color="auto"/>
      </w:divBdr>
    </w:div>
    <w:div w:id="268318761">
      <w:bodyDiv w:val="1"/>
      <w:marLeft w:val="0"/>
      <w:marRight w:val="0"/>
      <w:marTop w:val="0"/>
      <w:marBottom w:val="0"/>
      <w:divBdr>
        <w:top w:val="none" w:sz="0" w:space="0" w:color="auto"/>
        <w:left w:val="none" w:sz="0" w:space="0" w:color="auto"/>
        <w:bottom w:val="none" w:sz="0" w:space="0" w:color="auto"/>
        <w:right w:val="none" w:sz="0" w:space="0" w:color="auto"/>
      </w:divBdr>
    </w:div>
    <w:div w:id="321206445">
      <w:bodyDiv w:val="1"/>
      <w:marLeft w:val="0"/>
      <w:marRight w:val="0"/>
      <w:marTop w:val="0"/>
      <w:marBottom w:val="0"/>
      <w:divBdr>
        <w:top w:val="none" w:sz="0" w:space="0" w:color="auto"/>
        <w:left w:val="none" w:sz="0" w:space="0" w:color="auto"/>
        <w:bottom w:val="none" w:sz="0" w:space="0" w:color="auto"/>
        <w:right w:val="none" w:sz="0" w:space="0" w:color="auto"/>
      </w:divBdr>
    </w:div>
    <w:div w:id="356200770">
      <w:bodyDiv w:val="1"/>
      <w:marLeft w:val="0"/>
      <w:marRight w:val="0"/>
      <w:marTop w:val="0"/>
      <w:marBottom w:val="0"/>
      <w:divBdr>
        <w:top w:val="none" w:sz="0" w:space="0" w:color="auto"/>
        <w:left w:val="none" w:sz="0" w:space="0" w:color="auto"/>
        <w:bottom w:val="none" w:sz="0" w:space="0" w:color="auto"/>
        <w:right w:val="none" w:sz="0" w:space="0" w:color="auto"/>
      </w:divBdr>
    </w:div>
    <w:div w:id="383600727">
      <w:bodyDiv w:val="1"/>
      <w:marLeft w:val="0"/>
      <w:marRight w:val="0"/>
      <w:marTop w:val="0"/>
      <w:marBottom w:val="0"/>
      <w:divBdr>
        <w:top w:val="none" w:sz="0" w:space="0" w:color="auto"/>
        <w:left w:val="none" w:sz="0" w:space="0" w:color="auto"/>
        <w:bottom w:val="none" w:sz="0" w:space="0" w:color="auto"/>
        <w:right w:val="none" w:sz="0" w:space="0" w:color="auto"/>
      </w:divBdr>
    </w:div>
    <w:div w:id="504898474">
      <w:bodyDiv w:val="1"/>
      <w:marLeft w:val="0"/>
      <w:marRight w:val="0"/>
      <w:marTop w:val="0"/>
      <w:marBottom w:val="0"/>
      <w:divBdr>
        <w:top w:val="none" w:sz="0" w:space="0" w:color="auto"/>
        <w:left w:val="none" w:sz="0" w:space="0" w:color="auto"/>
        <w:bottom w:val="none" w:sz="0" w:space="0" w:color="auto"/>
        <w:right w:val="none" w:sz="0" w:space="0" w:color="auto"/>
      </w:divBdr>
    </w:div>
    <w:div w:id="543369426">
      <w:bodyDiv w:val="1"/>
      <w:marLeft w:val="0"/>
      <w:marRight w:val="0"/>
      <w:marTop w:val="0"/>
      <w:marBottom w:val="0"/>
      <w:divBdr>
        <w:top w:val="none" w:sz="0" w:space="0" w:color="auto"/>
        <w:left w:val="none" w:sz="0" w:space="0" w:color="auto"/>
        <w:bottom w:val="none" w:sz="0" w:space="0" w:color="auto"/>
        <w:right w:val="none" w:sz="0" w:space="0" w:color="auto"/>
      </w:divBdr>
    </w:div>
    <w:div w:id="544025151">
      <w:bodyDiv w:val="1"/>
      <w:marLeft w:val="0"/>
      <w:marRight w:val="0"/>
      <w:marTop w:val="0"/>
      <w:marBottom w:val="0"/>
      <w:divBdr>
        <w:top w:val="none" w:sz="0" w:space="0" w:color="auto"/>
        <w:left w:val="none" w:sz="0" w:space="0" w:color="auto"/>
        <w:bottom w:val="none" w:sz="0" w:space="0" w:color="auto"/>
        <w:right w:val="none" w:sz="0" w:space="0" w:color="auto"/>
      </w:divBdr>
    </w:div>
    <w:div w:id="556361493">
      <w:bodyDiv w:val="1"/>
      <w:marLeft w:val="0"/>
      <w:marRight w:val="0"/>
      <w:marTop w:val="0"/>
      <w:marBottom w:val="0"/>
      <w:divBdr>
        <w:top w:val="none" w:sz="0" w:space="0" w:color="auto"/>
        <w:left w:val="none" w:sz="0" w:space="0" w:color="auto"/>
        <w:bottom w:val="none" w:sz="0" w:space="0" w:color="auto"/>
        <w:right w:val="none" w:sz="0" w:space="0" w:color="auto"/>
      </w:divBdr>
    </w:div>
    <w:div w:id="603805287">
      <w:bodyDiv w:val="1"/>
      <w:marLeft w:val="0"/>
      <w:marRight w:val="0"/>
      <w:marTop w:val="0"/>
      <w:marBottom w:val="0"/>
      <w:divBdr>
        <w:top w:val="none" w:sz="0" w:space="0" w:color="auto"/>
        <w:left w:val="none" w:sz="0" w:space="0" w:color="auto"/>
        <w:bottom w:val="none" w:sz="0" w:space="0" w:color="auto"/>
        <w:right w:val="none" w:sz="0" w:space="0" w:color="auto"/>
      </w:divBdr>
    </w:div>
    <w:div w:id="702754774">
      <w:bodyDiv w:val="1"/>
      <w:marLeft w:val="0"/>
      <w:marRight w:val="0"/>
      <w:marTop w:val="0"/>
      <w:marBottom w:val="0"/>
      <w:divBdr>
        <w:top w:val="none" w:sz="0" w:space="0" w:color="auto"/>
        <w:left w:val="none" w:sz="0" w:space="0" w:color="auto"/>
        <w:bottom w:val="none" w:sz="0" w:space="0" w:color="auto"/>
        <w:right w:val="none" w:sz="0" w:space="0" w:color="auto"/>
      </w:divBdr>
    </w:div>
    <w:div w:id="750279125">
      <w:bodyDiv w:val="1"/>
      <w:marLeft w:val="0"/>
      <w:marRight w:val="0"/>
      <w:marTop w:val="0"/>
      <w:marBottom w:val="0"/>
      <w:divBdr>
        <w:top w:val="none" w:sz="0" w:space="0" w:color="auto"/>
        <w:left w:val="none" w:sz="0" w:space="0" w:color="auto"/>
        <w:bottom w:val="none" w:sz="0" w:space="0" w:color="auto"/>
        <w:right w:val="none" w:sz="0" w:space="0" w:color="auto"/>
      </w:divBdr>
    </w:div>
    <w:div w:id="761991999">
      <w:bodyDiv w:val="1"/>
      <w:marLeft w:val="0"/>
      <w:marRight w:val="0"/>
      <w:marTop w:val="0"/>
      <w:marBottom w:val="0"/>
      <w:divBdr>
        <w:top w:val="none" w:sz="0" w:space="0" w:color="auto"/>
        <w:left w:val="none" w:sz="0" w:space="0" w:color="auto"/>
        <w:bottom w:val="none" w:sz="0" w:space="0" w:color="auto"/>
        <w:right w:val="none" w:sz="0" w:space="0" w:color="auto"/>
      </w:divBdr>
    </w:div>
    <w:div w:id="765614154">
      <w:bodyDiv w:val="1"/>
      <w:marLeft w:val="0"/>
      <w:marRight w:val="0"/>
      <w:marTop w:val="0"/>
      <w:marBottom w:val="0"/>
      <w:divBdr>
        <w:top w:val="none" w:sz="0" w:space="0" w:color="auto"/>
        <w:left w:val="none" w:sz="0" w:space="0" w:color="auto"/>
        <w:bottom w:val="none" w:sz="0" w:space="0" w:color="auto"/>
        <w:right w:val="none" w:sz="0" w:space="0" w:color="auto"/>
      </w:divBdr>
    </w:div>
    <w:div w:id="785586647">
      <w:bodyDiv w:val="1"/>
      <w:marLeft w:val="0"/>
      <w:marRight w:val="0"/>
      <w:marTop w:val="0"/>
      <w:marBottom w:val="0"/>
      <w:divBdr>
        <w:top w:val="none" w:sz="0" w:space="0" w:color="auto"/>
        <w:left w:val="none" w:sz="0" w:space="0" w:color="auto"/>
        <w:bottom w:val="none" w:sz="0" w:space="0" w:color="auto"/>
        <w:right w:val="none" w:sz="0" w:space="0" w:color="auto"/>
      </w:divBdr>
      <w:divsChild>
        <w:div w:id="2016878572">
          <w:marLeft w:val="0"/>
          <w:marRight w:val="0"/>
          <w:marTop w:val="0"/>
          <w:marBottom w:val="0"/>
          <w:divBdr>
            <w:top w:val="none" w:sz="0" w:space="0" w:color="auto"/>
            <w:left w:val="none" w:sz="0" w:space="0" w:color="auto"/>
            <w:bottom w:val="none" w:sz="0" w:space="0" w:color="auto"/>
            <w:right w:val="none" w:sz="0" w:space="0" w:color="auto"/>
          </w:divBdr>
        </w:div>
      </w:divsChild>
    </w:div>
    <w:div w:id="810752899">
      <w:bodyDiv w:val="1"/>
      <w:marLeft w:val="0"/>
      <w:marRight w:val="0"/>
      <w:marTop w:val="0"/>
      <w:marBottom w:val="0"/>
      <w:divBdr>
        <w:top w:val="none" w:sz="0" w:space="0" w:color="auto"/>
        <w:left w:val="none" w:sz="0" w:space="0" w:color="auto"/>
        <w:bottom w:val="none" w:sz="0" w:space="0" w:color="auto"/>
        <w:right w:val="none" w:sz="0" w:space="0" w:color="auto"/>
      </w:divBdr>
    </w:div>
    <w:div w:id="811364954">
      <w:bodyDiv w:val="1"/>
      <w:marLeft w:val="0"/>
      <w:marRight w:val="0"/>
      <w:marTop w:val="0"/>
      <w:marBottom w:val="0"/>
      <w:divBdr>
        <w:top w:val="none" w:sz="0" w:space="0" w:color="auto"/>
        <w:left w:val="none" w:sz="0" w:space="0" w:color="auto"/>
        <w:bottom w:val="none" w:sz="0" w:space="0" w:color="auto"/>
        <w:right w:val="none" w:sz="0" w:space="0" w:color="auto"/>
      </w:divBdr>
    </w:div>
    <w:div w:id="812329992">
      <w:bodyDiv w:val="1"/>
      <w:marLeft w:val="0"/>
      <w:marRight w:val="0"/>
      <w:marTop w:val="0"/>
      <w:marBottom w:val="0"/>
      <w:divBdr>
        <w:top w:val="none" w:sz="0" w:space="0" w:color="auto"/>
        <w:left w:val="none" w:sz="0" w:space="0" w:color="auto"/>
        <w:bottom w:val="none" w:sz="0" w:space="0" w:color="auto"/>
        <w:right w:val="none" w:sz="0" w:space="0" w:color="auto"/>
      </w:divBdr>
    </w:div>
    <w:div w:id="827287570">
      <w:bodyDiv w:val="1"/>
      <w:marLeft w:val="0"/>
      <w:marRight w:val="0"/>
      <w:marTop w:val="0"/>
      <w:marBottom w:val="0"/>
      <w:divBdr>
        <w:top w:val="none" w:sz="0" w:space="0" w:color="auto"/>
        <w:left w:val="none" w:sz="0" w:space="0" w:color="auto"/>
        <w:bottom w:val="none" w:sz="0" w:space="0" w:color="auto"/>
        <w:right w:val="none" w:sz="0" w:space="0" w:color="auto"/>
      </w:divBdr>
    </w:div>
    <w:div w:id="836925673">
      <w:bodyDiv w:val="1"/>
      <w:marLeft w:val="0"/>
      <w:marRight w:val="0"/>
      <w:marTop w:val="0"/>
      <w:marBottom w:val="0"/>
      <w:divBdr>
        <w:top w:val="none" w:sz="0" w:space="0" w:color="auto"/>
        <w:left w:val="none" w:sz="0" w:space="0" w:color="auto"/>
        <w:bottom w:val="none" w:sz="0" w:space="0" w:color="auto"/>
        <w:right w:val="none" w:sz="0" w:space="0" w:color="auto"/>
      </w:divBdr>
    </w:div>
    <w:div w:id="847599260">
      <w:bodyDiv w:val="1"/>
      <w:marLeft w:val="0"/>
      <w:marRight w:val="0"/>
      <w:marTop w:val="0"/>
      <w:marBottom w:val="0"/>
      <w:divBdr>
        <w:top w:val="none" w:sz="0" w:space="0" w:color="auto"/>
        <w:left w:val="none" w:sz="0" w:space="0" w:color="auto"/>
        <w:bottom w:val="none" w:sz="0" w:space="0" w:color="auto"/>
        <w:right w:val="none" w:sz="0" w:space="0" w:color="auto"/>
      </w:divBdr>
    </w:div>
    <w:div w:id="898130074">
      <w:bodyDiv w:val="1"/>
      <w:marLeft w:val="0"/>
      <w:marRight w:val="0"/>
      <w:marTop w:val="0"/>
      <w:marBottom w:val="0"/>
      <w:divBdr>
        <w:top w:val="none" w:sz="0" w:space="0" w:color="auto"/>
        <w:left w:val="none" w:sz="0" w:space="0" w:color="auto"/>
        <w:bottom w:val="none" w:sz="0" w:space="0" w:color="auto"/>
        <w:right w:val="none" w:sz="0" w:space="0" w:color="auto"/>
      </w:divBdr>
    </w:div>
    <w:div w:id="910433045">
      <w:bodyDiv w:val="1"/>
      <w:marLeft w:val="0"/>
      <w:marRight w:val="0"/>
      <w:marTop w:val="0"/>
      <w:marBottom w:val="0"/>
      <w:divBdr>
        <w:top w:val="none" w:sz="0" w:space="0" w:color="auto"/>
        <w:left w:val="none" w:sz="0" w:space="0" w:color="auto"/>
        <w:bottom w:val="none" w:sz="0" w:space="0" w:color="auto"/>
        <w:right w:val="none" w:sz="0" w:space="0" w:color="auto"/>
      </w:divBdr>
    </w:div>
    <w:div w:id="1014453766">
      <w:bodyDiv w:val="1"/>
      <w:marLeft w:val="0"/>
      <w:marRight w:val="0"/>
      <w:marTop w:val="0"/>
      <w:marBottom w:val="0"/>
      <w:divBdr>
        <w:top w:val="none" w:sz="0" w:space="0" w:color="auto"/>
        <w:left w:val="none" w:sz="0" w:space="0" w:color="auto"/>
        <w:bottom w:val="none" w:sz="0" w:space="0" w:color="auto"/>
        <w:right w:val="none" w:sz="0" w:space="0" w:color="auto"/>
      </w:divBdr>
    </w:div>
    <w:div w:id="1134180682">
      <w:bodyDiv w:val="1"/>
      <w:marLeft w:val="0"/>
      <w:marRight w:val="0"/>
      <w:marTop w:val="0"/>
      <w:marBottom w:val="0"/>
      <w:divBdr>
        <w:top w:val="none" w:sz="0" w:space="0" w:color="auto"/>
        <w:left w:val="none" w:sz="0" w:space="0" w:color="auto"/>
        <w:bottom w:val="none" w:sz="0" w:space="0" w:color="auto"/>
        <w:right w:val="none" w:sz="0" w:space="0" w:color="auto"/>
      </w:divBdr>
    </w:div>
    <w:div w:id="1210798370">
      <w:bodyDiv w:val="1"/>
      <w:marLeft w:val="0"/>
      <w:marRight w:val="0"/>
      <w:marTop w:val="0"/>
      <w:marBottom w:val="0"/>
      <w:divBdr>
        <w:top w:val="none" w:sz="0" w:space="0" w:color="auto"/>
        <w:left w:val="none" w:sz="0" w:space="0" w:color="auto"/>
        <w:bottom w:val="none" w:sz="0" w:space="0" w:color="auto"/>
        <w:right w:val="none" w:sz="0" w:space="0" w:color="auto"/>
      </w:divBdr>
    </w:div>
    <w:div w:id="1250578267">
      <w:bodyDiv w:val="1"/>
      <w:marLeft w:val="0"/>
      <w:marRight w:val="0"/>
      <w:marTop w:val="0"/>
      <w:marBottom w:val="0"/>
      <w:divBdr>
        <w:top w:val="none" w:sz="0" w:space="0" w:color="auto"/>
        <w:left w:val="none" w:sz="0" w:space="0" w:color="auto"/>
        <w:bottom w:val="none" w:sz="0" w:space="0" w:color="auto"/>
        <w:right w:val="none" w:sz="0" w:space="0" w:color="auto"/>
      </w:divBdr>
    </w:div>
    <w:div w:id="1355615108">
      <w:bodyDiv w:val="1"/>
      <w:marLeft w:val="0"/>
      <w:marRight w:val="0"/>
      <w:marTop w:val="0"/>
      <w:marBottom w:val="0"/>
      <w:divBdr>
        <w:top w:val="none" w:sz="0" w:space="0" w:color="auto"/>
        <w:left w:val="none" w:sz="0" w:space="0" w:color="auto"/>
        <w:bottom w:val="none" w:sz="0" w:space="0" w:color="auto"/>
        <w:right w:val="none" w:sz="0" w:space="0" w:color="auto"/>
      </w:divBdr>
    </w:div>
    <w:div w:id="1411343081">
      <w:bodyDiv w:val="1"/>
      <w:marLeft w:val="0"/>
      <w:marRight w:val="0"/>
      <w:marTop w:val="0"/>
      <w:marBottom w:val="0"/>
      <w:divBdr>
        <w:top w:val="none" w:sz="0" w:space="0" w:color="auto"/>
        <w:left w:val="none" w:sz="0" w:space="0" w:color="auto"/>
        <w:bottom w:val="none" w:sz="0" w:space="0" w:color="auto"/>
        <w:right w:val="none" w:sz="0" w:space="0" w:color="auto"/>
      </w:divBdr>
    </w:div>
    <w:div w:id="1423381751">
      <w:bodyDiv w:val="1"/>
      <w:marLeft w:val="0"/>
      <w:marRight w:val="0"/>
      <w:marTop w:val="0"/>
      <w:marBottom w:val="0"/>
      <w:divBdr>
        <w:top w:val="none" w:sz="0" w:space="0" w:color="auto"/>
        <w:left w:val="none" w:sz="0" w:space="0" w:color="auto"/>
        <w:bottom w:val="none" w:sz="0" w:space="0" w:color="auto"/>
        <w:right w:val="none" w:sz="0" w:space="0" w:color="auto"/>
      </w:divBdr>
    </w:div>
    <w:div w:id="1444883514">
      <w:bodyDiv w:val="1"/>
      <w:marLeft w:val="0"/>
      <w:marRight w:val="0"/>
      <w:marTop w:val="0"/>
      <w:marBottom w:val="0"/>
      <w:divBdr>
        <w:top w:val="none" w:sz="0" w:space="0" w:color="auto"/>
        <w:left w:val="none" w:sz="0" w:space="0" w:color="auto"/>
        <w:bottom w:val="none" w:sz="0" w:space="0" w:color="auto"/>
        <w:right w:val="none" w:sz="0" w:space="0" w:color="auto"/>
      </w:divBdr>
    </w:div>
    <w:div w:id="1540587185">
      <w:bodyDiv w:val="1"/>
      <w:marLeft w:val="0"/>
      <w:marRight w:val="0"/>
      <w:marTop w:val="0"/>
      <w:marBottom w:val="0"/>
      <w:divBdr>
        <w:top w:val="none" w:sz="0" w:space="0" w:color="auto"/>
        <w:left w:val="none" w:sz="0" w:space="0" w:color="auto"/>
        <w:bottom w:val="none" w:sz="0" w:space="0" w:color="auto"/>
        <w:right w:val="none" w:sz="0" w:space="0" w:color="auto"/>
      </w:divBdr>
    </w:div>
    <w:div w:id="1624922194">
      <w:bodyDiv w:val="1"/>
      <w:marLeft w:val="0"/>
      <w:marRight w:val="0"/>
      <w:marTop w:val="0"/>
      <w:marBottom w:val="0"/>
      <w:divBdr>
        <w:top w:val="none" w:sz="0" w:space="0" w:color="auto"/>
        <w:left w:val="none" w:sz="0" w:space="0" w:color="auto"/>
        <w:bottom w:val="none" w:sz="0" w:space="0" w:color="auto"/>
        <w:right w:val="none" w:sz="0" w:space="0" w:color="auto"/>
      </w:divBdr>
    </w:div>
    <w:div w:id="1639264916">
      <w:bodyDiv w:val="1"/>
      <w:marLeft w:val="0"/>
      <w:marRight w:val="0"/>
      <w:marTop w:val="0"/>
      <w:marBottom w:val="0"/>
      <w:divBdr>
        <w:top w:val="none" w:sz="0" w:space="0" w:color="auto"/>
        <w:left w:val="none" w:sz="0" w:space="0" w:color="auto"/>
        <w:bottom w:val="none" w:sz="0" w:space="0" w:color="auto"/>
        <w:right w:val="none" w:sz="0" w:space="0" w:color="auto"/>
      </w:divBdr>
      <w:divsChild>
        <w:div w:id="566453668">
          <w:marLeft w:val="0"/>
          <w:marRight w:val="0"/>
          <w:marTop w:val="0"/>
          <w:marBottom w:val="0"/>
          <w:divBdr>
            <w:top w:val="none" w:sz="0" w:space="0" w:color="auto"/>
            <w:left w:val="none" w:sz="0" w:space="0" w:color="auto"/>
            <w:bottom w:val="none" w:sz="0" w:space="0" w:color="auto"/>
            <w:right w:val="none" w:sz="0" w:space="0" w:color="auto"/>
          </w:divBdr>
          <w:divsChild>
            <w:div w:id="1196850049">
              <w:marLeft w:val="0"/>
              <w:marRight w:val="0"/>
              <w:marTop w:val="0"/>
              <w:marBottom w:val="0"/>
              <w:divBdr>
                <w:top w:val="none" w:sz="0" w:space="0" w:color="auto"/>
                <w:left w:val="none" w:sz="0" w:space="0" w:color="auto"/>
                <w:bottom w:val="none" w:sz="0" w:space="0" w:color="auto"/>
                <w:right w:val="none" w:sz="0" w:space="0" w:color="auto"/>
              </w:divBdr>
              <w:divsChild>
                <w:div w:id="653753391">
                  <w:marLeft w:val="0"/>
                  <w:marRight w:val="0"/>
                  <w:marTop w:val="0"/>
                  <w:marBottom w:val="0"/>
                  <w:divBdr>
                    <w:top w:val="none" w:sz="0" w:space="0" w:color="auto"/>
                    <w:left w:val="none" w:sz="0" w:space="0" w:color="auto"/>
                    <w:bottom w:val="none" w:sz="0" w:space="0" w:color="auto"/>
                    <w:right w:val="none" w:sz="0" w:space="0" w:color="auto"/>
                  </w:divBdr>
                  <w:divsChild>
                    <w:div w:id="1249848134">
                      <w:marLeft w:val="0"/>
                      <w:marRight w:val="0"/>
                      <w:marTop w:val="0"/>
                      <w:marBottom w:val="0"/>
                      <w:divBdr>
                        <w:top w:val="none" w:sz="0" w:space="0" w:color="auto"/>
                        <w:left w:val="none" w:sz="0" w:space="0" w:color="auto"/>
                        <w:bottom w:val="none" w:sz="0" w:space="0" w:color="auto"/>
                        <w:right w:val="none" w:sz="0" w:space="0" w:color="auto"/>
                      </w:divBdr>
                      <w:divsChild>
                        <w:div w:id="897861439">
                          <w:marLeft w:val="0"/>
                          <w:marRight w:val="0"/>
                          <w:marTop w:val="0"/>
                          <w:marBottom w:val="0"/>
                          <w:divBdr>
                            <w:top w:val="none" w:sz="0" w:space="0" w:color="auto"/>
                            <w:left w:val="none" w:sz="0" w:space="0" w:color="auto"/>
                            <w:bottom w:val="none" w:sz="0" w:space="0" w:color="auto"/>
                            <w:right w:val="none" w:sz="0" w:space="0" w:color="auto"/>
                          </w:divBdr>
                          <w:divsChild>
                            <w:div w:id="862328608">
                              <w:marLeft w:val="0"/>
                              <w:marRight w:val="0"/>
                              <w:marTop w:val="0"/>
                              <w:marBottom w:val="0"/>
                              <w:divBdr>
                                <w:top w:val="none" w:sz="0" w:space="0" w:color="auto"/>
                                <w:left w:val="none" w:sz="0" w:space="0" w:color="auto"/>
                                <w:bottom w:val="none" w:sz="0" w:space="0" w:color="auto"/>
                                <w:right w:val="none" w:sz="0" w:space="0" w:color="auto"/>
                              </w:divBdr>
                              <w:divsChild>
                                <w:div w:id="25417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9720812">
      <w:bodyDiv w:val="1"/>
      <w:marLeft w:val="0"/>
      <w:marRight w:val="0"/>
      <w:marTop w:val="0"/>
      <w:marBottom w:val="0"/>
      <w:divBdr>
        <w:top w:val="none" w:sz="0" w:space="0" w:color="auto"/>
        <w:left w:val="none" w:sz="0" w:space="0" w:color="auto"/>
        <w:bottom w:val="none" w:sz="0" w:space="0" w:color="auto"/>
        <w:right w:val="none" w:sz="0" w:space="0" w:color="auto"/>
      </w:divBdr>
      <w:divsChild>
        <w:div w:id="375004418">
          <w:marLeft w:val="0"/>
          <w:marRight w:val="0"/>
          <w:marTop w:val="0"/>
          <w:marBottom w:val="0"/>
          <w:divBdr>
            <w:top w:val="none" w:sz="0" w:space="0" w:color="auto"/>
            <w:left w:val="none" w:sz="0" w:space="0" w:color="auto"/>
            <w:bottom w:val="none" w:sz="0" w:space="0" w:color="auto"/>
            <w:right w:val="none" w:sz="0" w:space="0" w:color="auto"/>
          </w:divBdr>
        </w:div>
      </w:divsChild>
    </w:div>
    <w:div w:id="1646736845">
      <w:bodyDiv w:val="1"/>
      <w:marLeft w:val="0"/>
      <w:marRight w:val="0"/>
      <w:marTop w:val="0"/>
      <w:marBottom w:val="0"/>
      <w:divBdr>
        <w:top w:val="none" w:sz="0" w:space="0" w:color="auto"/>
        <w:left w:val="none" w:sz="0" w:space="0" w:color="auto"/>
        <w:bottom w:val="none" w:sz="0" w:space="0" w:color="auto"/>
        <w:right w:val="none" w:sz="0" w:space="0" w:color="auto"/>
      </w:divBdr>
      <w:divsChild>
        <w:div w:id="702169806">
          <w:marLeft w:val="0"/>
          <w:marRight w:val="0"/>
          <w:marTop w:val="0"/>
          <w:marBottom w:val="0"/>
          <w:divBdr>
            <w:top w:val="none" w:sz="0" w:space="0" w:color="auto"/>
            <w:left w:val="none" w:sz="0" w:space="0" w:color="auto"/>
            <w:bottom w:val="none" w:sz="0" w:space="0" w:color="auto"/>
            <w:right w:val="none" w:sz="0" w:space="0" w:color="auto"/>
          </w:divBdr>
        </w:div>
      </w:divsChild>
    </w:div>
    <w:div w:id="1656300937">
      <w:bodyDiv w:val="1"/>
      <w:marLeft w:val="0"/>
      <w:marRight w:val="0"/>
      <w:marTop w:val="0"/>
      <w:marBottom w:val="0"/>
      <w:divBdr>
        <w:top w:val="none" w:sz="0" w:space="0" w:color="auto"/>
        <w:left w:val="none" w:sz="0" w:space="0" w:color="auto"/>
        <w:bottom w:val="none" w:sz="0" w:space="0" w:color="auto"/>
        <w:right w:val="none" w:sz="0" w:space="0" w:color="auto"/>
      </w:divBdr>
    </w:div>
    <w:div w:id="1702123270">
      <w:bodyDiv w:val="1"/>
      <w:marLeft w:val="0"/>
      <w:marRight w:val="0"/>
      <w:marTop w:val="0"/>
      <w:marBottom w:val="0"/>
      <w:divBdr>
        <w:top w:val="none" w:sz="0" w:space="0" w:color="auto"/>
        <w:left w:val="none" w:sz="0" w:space="0" w:color="auto"/>
        <w:bottom w:val="none" w:sz="0" w:space="0" w:color="auto"/>
        <w:right w:val="none" w:sz="0" w:space="0" w:color="auto"/>
      </w:divBdr>
      <w:divsChild>
        <w:div w:id="1832137824">
          <w:marLeft w:val="0"/>
          <w:marRight w:val="0"/>
          <w:marTop w:val="0"/>
          <w:marBottom w:val="0"/>
          <w:divBdr>
            <w:top w:val="none" w:sz="0" w:space="0" w:color="auto"/>
            <w:left w:val="none" w:sz="0" w:space="0" w:color="auto"/>
            <w:bottom w:val="none" w:sz="0" w:space="0" w:color="auto"/>
            <w:right w:val="none" w:sz="0" w:space="0" w:color="auto"/>
          </w:divBdr>
        </w:div>
      </w:divsChild>
    </w:div>
    <w:div w:id="1836728935">
      <w:bodyDiv w:val="1"/>
      <w:marLeft w:val="0"/>
      <w:marRight w:val="0"/>
      <w:marTop w:val="0"/>
      <w:marBottom w:val="0"/>
      <w:divBdr>
        <w:top w:val="none" w:sz="0" w:space="0" w:color="auto"/>
        <w:left w:val="none" w:sz="0" w:space="0" w:color="auto"/>
        <w:bottom w:val="none" w:sz="0" w:space="0" w:color="auto"/>
        <w:right w:val="none" w:sz="0" w:space="0" w:color="auto"/>
      </w:divBdr>
      <w:divsChild>
        <w:div w:id="1323466237">
          <w:marLeft w:val="0"/>
          <w:marRight w:val="0"/>
          <w:marTop w:val="0"/>
          <w:marBottom w:val="0"/>
          <w:divBdr>
            <w:top w:val="none" w:sz="0" w:space="0" w:color="auto"/>
            <w:left w:val="none" w:sz="0" w:space="0" w:color="auto"/>
            <w:bottom w:val="none" w:sz="0" w:space="0" w:color="auto"/>
            <w:right w:val="none" w:sz="0" w:space="0" w:color="auto"/>
          </w:divBdr>
        </w:div>
      </w:divsChild>
    </w:div>
    <w:div w:id="1939750461">
      <w:bodyDiv w:val="1"/>
      <w:marLeft w:val="0"/>
      <w:marRight w:val="0"/>
      <w:marTop w:val="0"/>
      <w:marBottom w:val="0"/>
      <w:divBdr>
        <w:top w:val="none" w:sz="0" w:space="0" w:color="auto"/>
        <w:left w:val="none" w:sz="0" w:space="0" w:color="auto"/>
        <w:bottom w:val="none" w:sz="0" w:space="0" w:color="auto"/>
        <w:right w:val="none" w:sz="0" w:space="0" w:color="auto"/>
      </w:divBdr>
      <w:divsChild>
        <w:div w:id="21178611">
          <w:marLeft w:val="547"/>
          <w:marRight w:val="0"/>
          <w:marTop w:val="240"/>
          <w:marBottom w:val="0"/>
          <w:divBdr>
            <w:top w:val="none" w:sz="0" w:space="0" w:color="auto"/>
            <w:left w:val="none" w:sz="0" w:space="0" w:color="auto"/>
            <w:bottom w:val="none" w:sz="0" w:space="0" w:color="auto"/>
            <w:right w:val="none" w:sz="0" w:space="0" w:color="auto"/>
          </w:divBdr>
        </w:div>
        <w:div w:id="112789968">
          <w:marLeft w:val="547"/>
          <w:marRight w:val="0"/>
          <w:marTop w:val="240"/>
          <w:marBottom w:val="0"/>
          <w:divBdr>
            <w:top w:val="none" w:sz="0" w:space="0" w:color="auto"/>
            <w:left w:val="none" w:sz="0" w:space="0" w:color="auto"/>
            <w:bottom w:val="none" w:sz="0" w:space="0" w:color="auto"/>
            <w:right w:val="none" w:sz="0" w:space="0" w:color="auto"/>
          </w:divBdr>
        </w:div>
        <w:div w:id="132988606">
          <w:marLeft w:val="547"/>
          <w:marRight w:val="0"/>
          <w:marTop w:val="240"/>
          <w:marBottom w:val="0"/>
          <w:divBdr>
            <w:top w:val="none" w:sz="0" w:space="0" w:color="auto"/>
            <w:left w:val="none" w:sz="0" w:space="0" w:color="auto"/>
            <w:bottom w:val="none" w:sz="0" w:space="0" w:color="auto"/>
            <w:right w:val="none" w:sz="0" w:space="0" w:color="auto"/>
          </w:divBdr>
        </w:div>
        <w:div w:id="528300870">
          <w:marLeft w:val="547"/>
          <w:marRight w:val="0"/>
          <w:marTop w:val="240"/>
          <w:marBottom w:val="0"/>
          <w:divBdr>
            <w:top w:val="none" w:sz="0" w:space="0" w:color="auto"/>
            <w:left w:val="none" w:sz="0" w:space="0" w:color="auto"/>
            <w:bottom w:val="none" w:sz="0" w:space="0" w:color="auto"/>
            <w:right w:val="none" w:sz="0" w:space="0" w:color="auto"/>
          </w:divBdr>
        </w:div>
        <w:div w:id="566720165">
          <w:marLeft w:val="547"/>
          <w:marRight w:val="0"/>
          <w:marTop w:val="240"/>
          <w:marBottom w:val="0"/>
          <w:divBdr>
            <w:top w:val="none" w:sz="0" w:space="0" w:color="auto"/>
            <w:left w:val="none" w:sz="0" w:space="0" w:color="auto"/>
            <w:bottom w:val="none" w:sz="0" w:space="0" w:color="auto"/>
            <w:right w:val="none" w:sz="0" w:space="0" w:color="auto"/>
          </w:divBdr>
        </w:div>
        <w:div w:id="800458560">
          <w:marLeft w:val="547"/>
          <w:marRight w:val="0"/>
          <w:marTop w:val="240"/>
          <w:marBottom w:val="0"/>
          <w:divBdr>
            <w:top w:val="none" w:sz="0" w:space="0" w:color="auto"/>
            <w:left w:val="none" w:sz="0" w:space="0" w:color="auto"/>
            <w:bottom w:val="none" w:sz="0" w:space="0" w:color="auto"/>
            <w:right w:val="none" w:sz="0" w:space="0" w:color="auto"/>
          </w:divBdr>
        </w:div>
        <w:div w:id="825979369">
          <w:marLeft w:val="547"/>
          <w:marRight w:val="0"/>
          <w:marTop w:val="240"/>
          <w:marBottom w:val="0"/>
          <w:divBdr>
            <w:top w:val="none" w:sz="0" w:space="0" w:color="auto"/>
            <w:left w:val="none" w:sz="0" w:space="0" w:color="auto"/>
            <w:bottom w:val="none" w:sz="0" w:space="0" w:color="auto"/>
            <w:right w:val="none" w:sz="0" w:space="0" w:color="auto"/>
          </w:divBdr>
        </w:div>
        <w:div w:id="913472108">
          <w:marLeft w:val="547"/>
          <w:marRight w:val="0"/>
          <w:marTop w:val="240"/>
          <w:marBottom w:val="0"/>
          <w:divBdr>
            <w:top w:val="none" w:sz="0" w:space="0" w:color="auto"/>
            <w:left w:val="none" w:sz="0" w:space="0" w:color="auto"/>
            <w:bottom w:val="none" w:sz="0" w:space="0" w:color="auto"/>
            <w:right w:val="none" w:sz="0" w:space="0" w:color="auto"/>
          </w:divBdr>
        </w:div>
        <w:div w:id="953903309">
          <w:marLeft w:val="547"/>
          <w:marRight w:val="0"/>
          <w:marTop w:val="240"/>
          <w:marBottom w:val="0"/>
          <w:divBdr>
            <w:top w:val="none" w:sz="0" w:space="0" w:color="auto"/>
            <w:left w:val="none" w:sz="0" w:space="0" w:color="auto"/>
            <w:bottom w:val="none" w:sz="0" w:space="0" w:color="auto"/>
            <w:right w:val="none" w:sz="0" w:space="0" w:color="auto"/>
          </w:divBdr>
        </w:div>
        <w:div w:id="999041386">
          <w:marLeft w:val="547"/>
          <w:marRight w:val="0"/>
          <w:marTop w:val="240"/>
          <w:marBottom w:val="0"/>
          <w:divBdr>
            <w:top w:val="none" w:sz="0" w:space="0" w:color="auto"/>
            <w:left w:val="none" w:sz="0" w:space="0" w:color="auto"/>
            <w:bottom w:val="none" w:sz="0" w:space="0" w:color="auto"/>
            <w:right w:val="none" w:sz="0" w:space="0" w:color="auto"/>
          </w:divBdr>
        </w:div>
        <w:div w:id="1177112364">
          <w:marLeft w:val="547"/>
          <w:marRight w:val="0"/>
          <w:marTop w:val="240"/>
          <w:marBottom w:val="0"/>
          <w:divBdr>
            <w:top w:val="none" w:sz="0" w:space="0" w:color="auto"/>
            <w:left w:val="none" w:sz="0" w:space="0" w:color="auto"/>
            <w:bottom w:val="none" w:sz="0" w:space="0" w:color="auto"/>
            <w:right w:val="none" w:sz="0" w:space="0" w:color="auto"/>
          </w:divBdr>
        </w:div>
        <w:div w:id="1440832474">
          <w:marLeft w:val="547"/>
          <w:marRight w:val="0"/>
          <w:marTop w:val="240"/>
          <w:marBottom w:val="0"/>
          <w:divBdr>
            <w:top w:val="none" w:sz="0" w:space="0" w:color="auto"/>
            <w:left w:val="none" w:sz="0" w:space="0" w:color="auto"/>
            <w:bottom w:val="none" w:sz="0" w:space="0" w:color="auto"/>
            <w:right w:val="none" w:sz="0" w:space="0" w:color="auto"/>
          </w:divBdr>
        </w:div>
        <w:div w:id="1868789273">
          <w:marLeft w:val="547"/>
          <w:marRight w:val="0"/>
          <w:marTop w:val="240"/>
          <w:marBottom w:val="0"/>
          <w:divBdr>
            <w:top w:val="none" w:sz="0" w:space="0" w:color="auto"/>
            <w:left w:val="none" w:sz="0" w:space="0" w:color="auto"/>
            <w:bottom w:val="none" w:sz="0" w:space="0" w:color="auto"/>
            <w:right w:val="none" w:sz="0" w:space="0" w:color="auto"/>
          </w:divBdr>
        </w:div>
        <w:div w:id="2032417076">
          <w:marLeft w:val="547"/>
          <w:marRight w:val="0"/>
          <w:marTop w:val="240"/>
          <w:marBottom w:val="0"/>
          <w:divBdr>
            <w:top w:val="none" w:sz="0" w:space="0" w:color="auto"/>
            <w:left w:val="none" w:sz="0" w:space="0" w:color="auto"/>
            <w:bottom w:val="none" w:sz="0" w:space="0" w:color="auto"/>
            <w:right w:val="none" w:sz="0" w:space="0" w:color="auto"/>
          </w:divBdr>
        </w:div>
        <w:div w:id="2032803096">
          <w:marLeft w:val="547"/>
          <w:marRight w:val="0"/>
          <w:marTop w:val="240"/>
          <w:marBottom w:val="0"/>
          <w:divBdr>
            <w:top w:val="none" w:sz="0" w:space="0" w:color="auto"/>
            <w:left w:val="none" w:sz="0" w:space="0" w:color="auto"/>
            <w:bottom w:val="none" w:sz="0" w:space="0" w:color="auto"/>
            <w:right w:val="none" w:sz="0" w:space="0" w:color="auto"/>
          </w:divBdr>
        </w:div>
      </w:divsChild>
    </w:div>
    <w:div w:id="1974098782">
      <w:bodyDiv w:val="1"/>
      <w:marLeft w:val="0"/>
      <w:marRight w:val="0"/>
      <w:marTop w:val="0"/>
      <w:marBottom w:val="0"/>
      <w:divBdr>
        <w:top w:val="none" w:sz="0" w:space="0" w:color="auto"/>
        <w:left w:val="none" w:sz="0" w:space="0" w:color="auto"/>
        <w:bottom w:val="none" w:sz="0" w:space="0" w:color="auto"/>
        <w:right w:val="none" w:sz="0" w:space="0" w:color="auto"/>
      </w:divBdr>
    </w:div>
    <w:div w:id="2009863626">
      <w:bodyDiv w:val="1"/>
      <w:marLeft w:val="0"/>
      <w:marRight w:val="0"/>
      <w:marTop w:val="0"/>
      <w:marBottom w:val="0"/>
      <w:divBdr>
        <w:top w:val="none" w:sz="0" w:space="0" w:color="auto"/>
        <w:left w:val="none" w:sz="0" w:space="0" w:color="auto"/>
        <w:bottom w:val="none" w:sz="0" w:space="0" w:color="auto"/>
        <w:right w:val="none" w:sz="0" w:space="0" w:color="auto"/>
      </w:divBdr>
    </w:div>
    <w:div w:id="2027167498">
      <w:bodyDiv w:val="1"/>
      <w:marLeft w:val="0"/>
      <w:marRight w:val="0"/>
      <w:marTop w:val="0"/>
      <w:marBottom w:val="0"/>
      <w:divBdr>
        <w:top w:val="none" w:sz="0" w:space="0" w:color="auto"/>
        <w:left w:val="none" w:sz="0" w:space="0" w:color="auto"/>
        <w:bottom w:val="none" w:sz="0" w:space="0" w:color="auto"/>
        <w:right w:val="none" w:sz="0" w:space="0" w:color="auto"/>
      </w:divBdr>
    </w:div>
    <w:div w:id="211500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0.png"/><Relationship Id="rId26" Type="http://schemas.openxmlformats.org/officeDocument/2006/relationships/image" Target="media/image10.emf"/><Relationship Id="rId39" Type="http://schemas.openxmlformats.org/officeDocument/2006/relationships/image" Target="media/image17.emf"/><Relationship Id="rId21" Type="http://schemas.openxmlformats.org/officeDocument/2006/relationships/chart" Target="charts/chart3.xml"/><Relationship Id="rId34" Type="http://schemas.openxmlformats.org/officeDocument/2006/relationships/oleObject" Target="embeddings/oleObject2.bin"/><Relationship Id="rId42" Type="http://schemas.openxmlformats.org/officeDocument/2006/relationships/oleObject" Target="embeddings/Microsoft_Excel_97-2003_Worksheet.xls"/><Relationship Id="rId47" Type="http://schemas.openxmlformats.org/officeDocument/2006/relationships/oleObject" Target="embeddings/oleObject6.bin"/><Relationship Id="rId50" Type="http://schemas.openxmlformats.org/officeDocument/2006/relationships/image" Target="media/image23.emf"/><Relationship Id="rId55" Type="http://schemas.openxmlformats.org/officeDocument/2006/relationships/package" Target="embeddings/Microsoft_Word_Document3.docx"/><Relationship Id="rId63" Type="http://schemas.openxmlformats.org/officeDocument/2006/relationships/package" Target="embeddings/Microsoft_Word_Document7.docx"/><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4/relationships/chartEx" Target="charts/chartEx1.xml"/><Relationship Id="rId20" Type="http://schemas.openxmlformats.org/officeDocument/2006/relationships/chart" Target="charts/chart2.xml"/><Relationship Id="rId29" Type="http://schemas.openxmlformats.org/officeDocument/2006/relationships/package" Target="embeddings/Microsoft_Excel_Worksheet1.xlsx"/><Relationship Id="rId41" Type="http://schemas.openxmlformats.org/officeDocument/2006/relationships/image" Target="media/image18.emf"/><Relationship Id="rId54" Type="http://schemas.openxmlformats.org/officeDocument/2006/relationships/image" Target="media/image25.emf"/><Relationship Id="rId62" Type="http://schemas.openxmlformats.org/officeDocument/2006/relationships/image" Target="media/image2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3.emf"/><Relationship Id="rId37" Type="http://schemas.openxmlformats.org/officeDocument/2006/relationships/image" Target="media/image16.emf"/><Relationship Id="rId40" Type="http://schemas.openxmlformats.org/officeDocument/2006/relationships/oleObject" Target="embeddings/oleObject5.bin"/><Relationship Id="rId45" Type="http://schemas.openxmlformats.org/officeDocument/2006/relationships/image" Target="media/image20.emf"/><Relationship Id="rId53" Type="http://schemas.openxmlformats.org/officeDocument/2006/relationships/package" Target="embeddings/Microsoft_Word_Document.docx"/><Relationship Id="rId58" Type="http://schemas.openxmlformats.org/officeDocument/2006/relationships/image" Target="media/image27.emf"/><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image" Target="media/image11.emf"/><Relationship Id="rId36" Type="http://schemas.openxmlformats.org/officeDocument/2006/relationships/oleObject" Target="embeddings/oleObject3.bin"/><Relationship Id="rId49" Type="http://schemas.openxmlformats.org/officeDocument/2006/relationships/oleObject" Target="embeddings/oleObject7.bin"/><Relationship Id="rId57" Type="http://schemas.openxmlformats.org/officeDocument/2006/relationships/package" Target="embeddings/Microsoft_Word_Document4.docx"/><Relationship Id="rId61" Type="http://schemas.openxmlformats.org/officeDocument/2006/relationships/package" Target="embeddings/Microsoft_Word_Document6.docx"/><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oleObject" Target="embeddings/oleObject1.bin"/><Relationship Id="rId44" Type="http://schemas.openxmlformats.org/officeDocument/2006/relationships/package" Target="embeddings/Microsoft_Excel_Worksheet2.xlsx"/><Relationship Id="rId52" Type="http://schemas.openxmlformats.org/officeDocument/2006/relationships/image" Target="media/image24.emf"/><Relationship Id="rId60" Type="http://schemas.openxmlformats.org/officeDocument/2006/relationships/image" Target="media/image28.emf"/><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image" Target="media/image6.png"/><Relationship Id="rId27" Type="http://schemas.openxmlformats.org/officeDocument/2006/relationships/package" Target="embeddings/Microsoft_Excel_Worksheet.xlsx"/><Relationship Id="rId30" Type="http://schemas.openxmlformats.org/officeDocument/2006/relationships/image" Target="media/image12.emf"/><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image" Target="media/image22.emf"/><Relationship Id="rId56" Type="http://schemas.openxmlformats.org/officeDocument/2006/relationships/image" Target="media/image26.emf"/><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oleObject" Target="embeddings/Microsoft_Word_97_-_2003_Document.doc"/><Relationship Id="rId3" Type="http://schemas.openxmlformats.org/officeDocument/2006/relationships/customXml" Target="../customXml/item3.xml"/><Relationship Id="rId12" Type="http://schemas.openxmlformats.org/officeDocument/2006/relationships/image" Target="media/image2.png"/><Relationship Id="rId25" Type="http://schemas.openxmlformats.org/officeDocument/2006/relationships/image" Target="media/image9.png"/><Relationship Id="rId33" Type="http://schemas.openxmlformats.org/officeDocument/2006/relationships/image" Target="media/image14.emf"/><Relationship Id="rId38" Type="http://schemas.openxmlformats.org/officeDocument/2006/relationships/oleObject" Target="embeddings/oleObject4.bin"/><Relationship Id="rId46" Type="http://schemas.openxmlformats.org/officeDocument/2006/relationships/image" Target="media/image21.emf"/><Relationship Id="rId59" Type="http://schemas.openxmlformats.org/officeDocument/2006/relationships/package" Target="embeddings/Microsoft_Word_Document5.docx"/></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eariasv\Desktop\Eder\Asunto%20Ind&#237;genas\Informe%20Asuntos%20Ind&#237;genas%20v1.docx!_1643544286"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eariasv\Desktop\Eder\Asunto%20Ind&#237;genas\Agrario.xlsx" TargetMode="External"/><Relationship Id="rId2" Type="http://schemas.microsoft.com/office/2011/relationships/chartColorStyle" Target="colors3.xml"/><Relationship Id="rId1" Type="http://schemas.microsoft.com/office/2011/relationships/chartStyle" Target="style3.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ariasv\Desktop\Eder\Asunto%20Ind&#237;genas\Agrario.xlsx" TargetMode="External"/><Relationship Id="rId2" Type="http://schemas.microsoft.com/office/2011/relationships/chartColorStyle" Target="colors4.xml"/><Relationship Id="rId1" Type="http://schemas.microsoft.com/office/2011/relationships/chartStyle" Target="style4.xml"/></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hcalderonm\OneDrive%20-%20Poder%20Judicial%20CR\Proyecto%20Proceso%20Penal.%20Defensa%20P&#250;blica\Presupuesto%20Asuntos%20Ind&#237;genas%202020\Cuadros.xlsx" TargetMode="External"/><Relationship Id="rId4"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dLblPos val="inEnd"/>
          <c:showLegendKey val="0"/>
          <c:showVal val="0"/>
          <c:showCatName val="0"/>
          <c:showSerName val="0"/>
          <c:showPercent val="1"/>
          <c:showBubbleSize val="0"/>
          <c:extLst>
            <c:ext xmlns:c15="http://schemas.microsoft.com/office/drawing/2012/chart" uri="{CE6537A1-D6FC-4f65-9D91-7224C49458BB}"/>
          </c:extLst>
        </c:dLbl>
      </c:pivotFmt>
    </c:pivotFmts>
    <c:plotArea>
      <c:layout/>
      <c:pieChart>
        <c:varyColors val="1"/>
        <c:ser>
          <c:idx val="0"/>
          <c:order val="0"/>
          <c:tx>
            <c:v>Total</c:v>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8531-4F0A-A1F8-BA52E9F7457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8531-4F0A-A1F8-BA52E9F7457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8531-4F0A-A1F8-BA52E9F7457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8531-4F0A-A1F8-BA52E9F7457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8531-4F0A-A1F8-BA52E9F74579}"/>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8531-4F0A-A1F8-BA52E9F74579}"/>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8531-4F0A-A1F8-BA52E9F74579}"/>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8531-4F0A-A1F8-BA52E9F74579}"/>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1-8531-4F0A-A1F8-BA52E9F74579}"/>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3-8531-4F0A-A1F8-BA52E9F74579}"/>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5-8531-4F0A-A1F8-BA52E9F74579}"/>
              </c:ext>
            </c:extLst>
          </c:dPt>
          <c:dPt>
            <c:idx val="1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7-8531-4F0A-A1F8-BA52E9F74579}"/>
              </c:ext>
            </c:extLst>
          </c:dPt>
          <c:dPt>
            <c:idx val="12"/>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9-8531-4F0A-A1F8-BA52E9F74579}"/>
              </c:ext>
            </c:extLst>
          </c:dPt>
          <c:dPt>
            <c:idx val="13"/>
            <c:bubble3D val="0"/>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B-8531-4F0A-A1F8-BA52E9F74579}"/>
              </c:ext>
            </c:extLst>
          </c:dPt>
          <c:dPt>
            <c:idx val="14"/>
            <c:bubble3D val="0"/>
            <c:spPr>
              <a:gradFill rotWithShape="1">
                <a:gsLst>
                  <a:gs pos="0">
                    <a:schemeClr val="accent3">
                      <a:lumMod val="80000"/>
                      <a:lumOff val="20000"/>
                      <a:satMod val="103000"/>
                      <a:lumMod val="102000"/>
                      <a:tint val="94000"/>
                    </a:schemeClr>
                  </a:gs>
                  <a:gs pos="50000">
                    <a:schemeClr val="accent3">
                      <a:lumMod val="80000"/>
                      <a:lumOff val="20000"/>
                      <a:satMod val="110000"/>
                      <a:lumMod val="100000"/>
                      <a:shade val="100000"/>
                    </a:schemeClr>
                  </a:gs>
                  <a:gs pos="100000">
                    <a:schemeClr val="accent3">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D-8531-4F0A-A1F8-BA52E9F74579}"/>
              </c:ext>
            </c:extLst>
          </c:dPt>
          <c:dLbls>
            <c:dLbl>
              <c:idx val="0"/>
              <c:tx>
                <c:rich>
                  <a:bodyPr/>
                  <a:lstStyle/>
                  <a:p>
                    <a:fld id="{209E47AD-F704-4E51-8945-C96D5FF8B704}" type="PERCENTAGE">
                      <a:rPr lang="en-US" sz="3200"/>
                      <a:pPr/>
                      <a:t>[PORCENTAJE]</a:t>
                    </a:fld>
                    <a:endParaRPr lang="es-CR"/>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531-4F0A-A1F8-BA52E9F74579}"/>
                </c:ext>
              </c:extLst>
            </c:dLbl>
            <c:dLbl>
              <c:idx val="1"/>
              <c:tx>
                <c:rich>
                  <a:bodyPr/>
                  <a:lstStyle/>
                  <a:p>
                    <a:fld id="{6F298063-F5B8-46F2-BBD7-FB7A7BFC3851}" type="PERCENTAGE">
                      <a:rPr lang="en-US" sz="3200"/>
                      <a:pPr/>
                      <a:t>[PORCENTAJE]</a:t>
                    </a:fld>
                    <a:endParaRPr lang="es-CR"/>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531-4F0A-A1F8-BA52E9F74579}"/>
                </c:ext>
              </c:extLst>
            </c:dLbl>
            <c:dLbl>
              <c:idx val="2"/>
              <c:tx>
                <c:rich>
                  <a:bodyPr/>
                  <a:lstStyle/>
                  <a:p>
                    <a:fld id="{6EFB7892-C343-43E5-BA21-870D156E3756}" type="PERCENTAGE">
                      <a:rPr lang="en-US" sz="1800"/>
                      <a:pPr/>
                      <a:t>[PORCENTAJE]</a:t>
                    </a:fld>
                    <a:endParaRPr lang="es-CR"/>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531-4F0A-A1F8-BA52E9F74579}"/>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s-CR"/>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15"/>
              <c:pt idx="0">
                <c:v>DEFENSA PÚBLICA DE BRIBRI</c:v>
              </c:pt>
              <c:pt idx="1">
                <c:v>DEFENSA PÚBLICA DE BUENOS AIRES</c:v>
              </c:pt>
              <c:pt idx="2">
                <c:v>DEFENSA PÚBLICA DE LIMÓN</c:v>
              </c:pt>
              <c:pt idx="3">
                <c:v>DEFENSA PÚBLICA DE TURRIALBA</c:v>
              </c:pt>
              <c:pt idx="4">
                <c:v>DEFENSA PÚBLICA DE CORREDORES</c:v>
              </c:pt>
              <c:pt idx="5">
                <c:v>DEFENSA PÚBLICA DE SAN JOSÉ</c:v>
              </c:pt>
              <c:pt idx="6">
                <c:v>DEFENSA PÚBLICA DE COTO BRUS</c:v>
              </c:pt>
              <c:pt idx="7">
                <c:v>DEFENSA PÚBLICA NICOYA</c:v>
              </c:pt>
              <c:pt idx="8">
                <c:v>DEFENSA PÚBLICA SAN CARLOS</c:v>
              </c:pt>
              <c:pt idx="9">
                <c:v>DEFENSA PÚBLICA GUATUSO</c:v>
              </c:pt>
              <c:pt idx="10">
                <c:v>DEFENSA PÚBLICA DE BATAÁN</c:v>
              </c:pt>
              <c:pt idx="11">
                <c:v>DEFENSA PÚBLICA DE GOLFITO</c:v>
              </c:pt>
              <c:pt idx="12">
                <c:v>DEFENSA PÚBLICA DE PURISCAL</c:v>
              </c:pt>
              <c:pt idx="13">
                <c:v>DEFENSA PÚBLICA DE SIQUIRRES</c:v>
              </c:pt>
              <c:pt idx="14">
                <c:v>DEFENSA PÚBLICA DE PÉREZ ZELEDÓN</c:v>
              </c:pt>
            </c:strLit>
          </c:cat>
          <c:val>
            <c:numLit>
              <c:formatCode>General</c:formatCode>
              <c:ptCount val="15"/>
              <c:pt idx="0">
                <c:v>0.28706239890807839</c:v>
              </c:pt>
              <c:pt idx="1">
                <c:v>0.26219726545385569</c:v>
              </c:pt>
              <c:pt idx="2">
                <c:v>0.12425865924148972</c:v>
              </c:pt>
              <c:pt idx="3">
                <c:v>7.8297336276188539E-2</c:v>
              </c:pt>
              <c:pt idx="4">
                <c:v>6.9214140137500477E-2</c:v>
              </c:pt>
              <c:pt idx="5">
                <c:v>4.0514085603273291E-2</c:v>
              </c:pt>
              <c:pt idx="6">
                <c:v>3.6802871654881837E-2</c:v>
              </c:pt>
              <c:pt idx="7">
                <c:v>3.4741086127997707E-2</c:v>
              </c:pt>
              <c:pt idx="8">
                <c:v>1.4499506717812694E-2</c:v>
              </c:pt>
              <c:pt idx="9">
                <c:v>1.4499506717812694E-2</c:v>
              </c:pt>
              <c:pt idx="10">
                <c:v>1.279956455089672E-2</c:v>
              </c:pt>
              <c:pt idx="11">
                <c:v>1.0329545489689526E-2</c:v>
              </c:pt>
              <c:pt idx="12">
                <c:v>9.3192705815162979E-3</c:v>
              </c:pt>
              <c:pt idx="13">
                <c:v>3.2998877357780609E-3</c:v>
              </c:pt>
              <c:pt idx="14">
                <c:v>2.1648748032283439E-3</c:v>
              </c:pt>
            </c:numLit>
          </c:val>
          <c:extLst>
            <c:ext xmlns:c16="http://schemas.microsoft.com/office/drawing/2014/chart" uri="{C3380CC4-5D6E-409C-BE32-E72D297353CC}">
              <c16:uniqueId val="{0000001E-8531-4F0A-A1F8-BA52E9F74579}"/>
            </c:ext>
          </c:extLst>
        </c:ser>
        <c:dLbls>
          <c:dLblPos val="bestFit"/>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[Agrario.xlsx]Balance III TRM!TablaDinámica2</c:name>
    <c:fmtId val="-1"/>
  </c:pivotSource>
  <c:chart>
    <c:autoTitleDeleted val="0"/>
    <c:pivotFmts>
      <c:pivotFmt>
        <c:idx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symbol val="circle"/>
          <c:size val="4"/>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C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symbol val="circle"/>
          <c:size val="4"/>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C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symbol val="circle"/>
          <c:size val="4"/>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C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symbol val="circle"/>
          <c:size val="4"/>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C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C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C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C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C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C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C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C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CR"/>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'Balance III TRM'!$G$2</c:f>
              <c:strCache>
                <c:ptCount val="1"/>
                <c:pt idx="0">
                  <c:v>Suma de Circulante inicial</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'Balance III TRM'!$G$3</c:f>
              <c:strCache>
                <c:ptCount val="1"/>
                <c:pt idx="0">
                  <c:v>Total</c:v>
                </c:pt>
              </c:strCache>
            </c:strRef>
          </c:cat>
          <c:val>
            <c:numRef>
              <c:f>'Balance III TRM'!$G$3</c:f>
              <c:numCache>
                <c:formatCode>General</c:formatCode>
                <c:ptCount val="1"/>
                <c:pt idx="0">
                  <c:v>1848</c:v>
                </c:pt>
              </c:numCache>
            </c:numRef>
          </c:val>
          <c:extLst>
            <c:ext xmlns:c16="http://schemas.microsoft.com/office/drawing/2014/chart" uri="{C3380CC4-5D6E-409C-BE32-E72D297353CC}">
              <c16:uniqueId val="{00000000-679D-44B6-8CF8-A43DA5ECBACF}"/>
            </c:ext>
          </c:extLst>
        </c:ser>
        <c:ser>
          <c:idx val="1"/>
          <c:order val="1"/>
          <c:tx>
            <c:strRef>
              <c:f>'Balance III TRM'!$H$2</c:f>
              <c:strCache>
                <c:ptCount val="1"/>
                <c:pt idx="0">
                  <c:v>Suma de Entrados </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'Balance III TRM'!$G$3</c:f>
              <c:strCache>
                <c:ptCount val="1"/>
                <c:pt idx="0">
                  <c:v>Total</c:v>
                </c:pt>
              </c:strCache>
            </c:strRef>
          </c:cat>
          <c:val>
            <c:numRef>
              <c:f>'Balance III TRM'!$H$3</c:f>
              <c:numCache>
                <c:formatCode>General</c:formatCode>
                <c:ptCount val="1"/>
                <c:pt idx="0">
                  <c:v>1317</c:v>
                </c:pt>
              </c:numCache>
            </c:numRef>
          </c:val>
          <c:extLst>
            <c:ext xmlns:c16="http://schemas.microsoft.com/office/drawing/2014/chart" uri="{C3380CC4-5D6E-409C-BE32-E72D297353CC}">
              <c16:uniqueId val="{00000001-679D-44B6-8CF8-A43DA5ECBACF}"/>
            </c:ext>
          </c:extLst>
        </c:ser>
        <c:ser>
          <c:idx val="2"/>
          <c:order val="2"/>
          <c:tx>
            <c:strRef>
              <c:f>'Balance III TRM'!$I$2</c:f>
              <c:strCache>
                <c:ptCount val="1"/>
                <c:pt idx="0">
                  <c:v>Suma de Terminados</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'Balance III TRM'!$G$3</c:f>
              <c:strCache>
                <c:ptCount val="1"/>
                <c:pt idx="0">
                  <c:v>Total</c:v>
                </c:pt>
              </c:strCache>
            </c:strRef>
          </c:cat>
          <c:val>
            <c:numRef>
              <c:f>'Balance III TRM'!$I$3</c:f>
              <c:numCache>
                <c:formatCode>General</c:formatCode>
                <c:ptCount val="1"/>
                <c:pt idx="0">
                  <c:v>975</c:v>
                </c:pt>
              </c:numCache>
            </c:numRef>
          </c:val>
          <c:extLst>
            <c:ext xmlns:c16="http://schemas.microsoft.com/office/drawing/2014/chart" uri="{C3380CC4-5D6E-409C-BE32-E72D297353CC}">
              <c16:uniqueId val="{00000002-679D-44B6-8CF8-A43DA5ECBACF}"/>
            </c:ext>
          </c:extLst>
        </c:ser>
        <c:ser>
          <c:idx val="3"/>
          <c:order val="3"/>
          <c:tx>
            <c:strRef>
              <c:f>'Balance III TRM'!$J$2</c:f>
              <c:strCache>
                <c:ptCount val="1"/>
                <c:pt idx="0">
                  <c:v>Suma de Circulante final</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'Balance III TRM'!$G$3</c:f>
              <c:strCache>
                <c:ptCount val="1"/>
                <c:pt idx="0">
                  <c:v>Total</c:v>
                </c:pt>
              </c:strCache>
            </c:strRef>
          </c:cat>
          <c:val>
            <c:numRef>
              <c:f>'Balance III TRM'!$J$3</c:f>
              <c:numCache>
                <c:formatCode>General</c:formatCode>
                <c:ptCount val="1"/>
                <c:pt idx="0">
                  <c:v>2454</c:v>
                </c:pt>
              </c:numCache>
            </c:numRef>
          </c:val>
          <c:extLst>
            <c:ext xmlns:c16="http://schemas.microsoft.com/office/drawing/2014/chart" uri="{C3380CC4-5D6E-409C-BE32-E72D297353CC}">
              <c16:uniqueId val="{00000003-679D-44B6-8CF8-A43DA5ECBACF}"/>
            </c:ext>
          </c:extLst>
        </c:ser>
        <c:dLbls>
          <c:dLblPos val="outEnd"/>
          <c:showLegendKey val="0"/>
          <c:showVal val="1"/>
          <c:showCatName val="0"/>
          <c:showSerName val="0"/>
          <c:showPercent val="0"/>
          <c:showBubbleSize val="0"/>
        </c:dLbls>
        <c:gapWidth val="100"/>
        <c:overlap val="-24"/>
        <c:axId val="648268752"/>
        <c:axId val="648266784"/>
      </c:barChart>
      <c:catAx>
        <c:axId val="648268752"/>
        <c:scaling>
          <c:orientation val="minMax"/>
        </c:scaling>
        <c:delete val="1"/>
        <c:axPos val="b"/>
        <c:numFmt formatCode="General" sourceLinked="1"/>
        <c:majorTickMark val="none"/>
        <c:minorTickMark val="none"/>
        <c:tickLblPos val="nextTo"/>
        <c:crossAx val="648266784"/>
        <c:crosses val="autoZero"/>
        <c:auto val="1"/>
        <c:lblAlgn val="ctr"/>
        <c:lblOffset val="100"/>
        <c:noMultiLvlLbl val="0"/>
      </c:catAx>
      <c:valAx>
        <c:axId val="648266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CR"/>
          </a:p>
        </c:txPr>
        <c:crossAx val="6482687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[Agrario.xlsx]Representación DP!TablaDinámica1</c:name>
    <c:fmtId val="-1"/>
  </c:pivotSource>
  <c:chart>
    <c:autoTitleDeleted val="1"/>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a:outerShdw blurRad="57150" dist="19050" dir="5400000" algn="ctr" rotWithShape="0">
                <a:srgbClr val="000000">
                  <a:alpha val="63000"/>
                </a:srgbClr>
              </a:outerShdw>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extLst>
        </c:dLbl>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extLst>
        </c:dLbl>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'Representación DP'!$E$10</c:f>
              <c:strCache>
                <c:ptCount val="1"/>
                <c:pt idx="0">
                  <c:v>Suma de Juzdos Agrarios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'Representación DP'!$E$11</c:f>
              <c:strCache>
                <c:ptCount val="1"/>
                <c:pt idx="0">
                  <c:v>Total</c:v>
                </c:pt>
              </c:strCache>
            </c:strRef>
          </c:cat>
          <c:val>
            <c:numRef>
              <c:f>'Representación DP'!$E$11</c:f>
              <c:numCache>
                <c:formatCode>General</c:formatCode>
                <c:ptCount val="1"/>
                <c:pt idx="0">
                  <c:v>2822</c:v>
                </c:pt>
              </c:numCache>
            </c:numRef>
          </c:val>
          <c:extLst>
            <c:ext xmlns:c16="http://schemas.microsoft.com/office/drawing/2014/chart" uri="{C3380CC4-5D6E-409C-BE32-E72D297353CC}">
              <c16:uniqueId val="{00000000-5BA6-4F2F-B2CD-9293C97BF83C}"/>
            </c:ext>
          </c:extLst>
        </c:ser>
        <c:ser>
          <c:idx val="1"/>
          <c:order val="1"/>
          <c:tx>
            <c:strRef>
              <c:f>'Representación DP'!$F$10</c:f>
              <c:strCache>
                <c:ptCount val="1"/>
                <c:pt idx="0">
                  <c:v>Suma de Defensa Pública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'Representación DP'!$E$11</c:f>
              <c:strCache>
                <c:ptCount val="1"/>
                <c:pt idx="0">
                  <c:v>Total</c:v>
                </c:pt>
              </c:strCache>
            </c:strRef>
          </c:cat>
          <c:val>
            <c:numRef>
              <c:f>'Representación DP'!$F$11</c:f>
              <c:numCache>
                <c:formatCode>General</c:formatCode>
                <c:ptCount val="1"/>
                <c:pt idx="0">
                  <c:v>975</c:v>
                </c:pt>
              </c:numCache>
            </c:numRef>
          </c:val>
          <c:extLst>
            <c:ext xmlns:c16="http://schemas.microsoft.com/office/drawing/2014/chart" uri="{C3380CC4-5D6E-409C-BE32-E72D297353CC}">
              <c16:uniqueId val="{00000001-5BA6-4F2F-B2CD-9293C97BF83C}"/>
            </c:ext>
          </c:extLst>
        </c:ser>
        <c:dLbls>
          <c:showLegendKey val="0"/>
          <c:showVal val="1"/>
          <c:showCatName val="0"/>
          <c:showSerName val="0"/>
          <c:showPercent val="0"/>
          <c:showBubbleSize val="0"/>
        </c:dLbls>
        <c:gapWidth val="150"/>
        <c:overlap val="-25"/>
        <c:axId val="602580528"/>
        <c:axId val="602580856"/>
      </c:barChart>
      <c:catAx>
        <c:axId val="602580528"/>
        <c:scaling>
          <c:orientation val="minMax"/>
        </c:scaling>
        <c:delete val="1"/>
        <c:axPos val="b"/>
        <c:numFmt formatCode="General" sourceLinked="1"/>
        <c:majorTickMark val="none"/>
        <c:minorTickMark val="none"/>
        <c:tickLblPos val="nextTo"/>
        <c:crossAx val="602580856"/>
        <c:crosses val="autoZero"/>
        <c:auto val="1"/>
        <c:lblAlgn val="ctr"/>
        <c:lblOffset val="100"/>
        <c:noMultiLvlLbl val="0"/>
      </c:catAx>
      <c:valAx>
        <c:axId val="602580856"/>
        <c:scaling>
          <c:orientation val="minMax"/>
        </c:scaling>
        <c:delete val="1"/>
        <c:axPos val="l"/>
        <c:numFmt formatCode="General" sourceLinked="1"/>
        <c:majorTickMark val="none"/>
        <c:minorTickMark val="none"/>
        <c:tickLblPos val="nextTo"/>
        <c:crossAx val="6025805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'[Cuadros.xlsx]Análisis entrada'!$B$35:$B$52</cx:f>
        <cx:lvl ptCount="18">
          <cx:pt idx="0">Bribrí</cx:pt>
          <cx:pt idx="1">Buenos Aires</cx:pt>
          <cx:pt idx="2">Turrialba</cx:pt>
          <cx:pt idx="3">Pérez Zeledón</cx:pt>
          <cx:pt idx="4">Limón</cx:pt>
          <cx:pt idx="5">Coto Brus</cx:pt>
          <cx:pt idx="6">Cartago</cx:pt>
          <cx:pt idx="7">Corredores</cx:pt>
          <cx:pt idx="8">Golfito</cx:pt>
          <cx:pt idx="9">Pococí</cx:pt>
          <cx:pt idx="10">San José</cx:pt>
          <cx:pt idx="11">Nicoya</cx:pt>
          <cx:pt idx="12">Alajuela</cx:pt>
          <cx:pt idx="13">Goicoechea</cx:pt>
          <cx:pt idx="14">Puriscal   </cx:pt>
          <cx:pt idx="15">Bataán</cx:pt>
          <cx:pt idx="16">Osa</cx:pt>
          <cx:pt idx="17">Demás oficinas</cx:pt>
        </cx:lvl>
      </cx:strDim>
      <cx:numDim type="val">
        <cx:f>'[Cuadros.xlsx]Análisis entrada'!$D$35:$D$52</cx:f>
        <cx:lvl ptCount="18" formatCode="0">
          <cx:pt idx="0">30.31111111111111</cx:pt>
          <cx:pt idx="1">29.422222222222221</cx:pt>
          <cx:pt idx="2">7.2000000000000002</cx:pt>
          <cx:pt idx="3">6.5777777777777775</cx:pt>
          <cx:pt idx="4">5.8666666666666663</cx:pt>
          <cx:pt idx="5">4.7111111111111112</cx:pt>
          <cx:pt idx="6">4</cx:pt>
          <cx:pt idx="7">3.5555555555555554</cx:pt>
          <cx:pt idx="8">1.8666666666666667</cx:pt>
          <cx:pt idx="9">1.7777777777777777</cx:pt>
          <cx:pt idx="10">1.3333333333333333</cx:pt>
          <cx:pt idx="11">0.80000000000000004</cx:pt>
          <cx:pt idx="12">0.71111111111111114</cx:pt>
          <cx:pt idx="13">0.71111111111111114</cx:pt>
          <cx:pt idx="14">0.44444444444444442</cx:pt>
          <cx:pt idx="15">0.44444444444444442</cx:pt>
          <cx:pt idx="16">0.35555555555555557</cx:pt>
          <cx:pt idx="17">2.7555555555555555</cx:pt>
        </cx:lvl>
      </cx:numDim>
    </cx:data>
  </cx:chartData>
  <cx:chart>
    <cx:plotArea>
      <cx:plotAreaRegion>
        <cx:series layoutId="funnel" uniqueId="{06403F5B-BED1-4145-8BF0-1AFCFE1482E5}" formatIdx="0">
          <cx:tx>
            <cx:txData>
              <cx:f>'[Cuadros.xlsx]Análisis entrada'!$D$34</cx:f>
              <cx:v>Asuntos entrados por mes</cx:v>
            </cx:txData>
          </cx:tx>
          <cx:dataLabels>
            <cx:txPr>
              <a:bodyPr vertOverflow="overflow" horzOverflow="overflow" wrap="square" lIns="0" tIns="0" rIns="0" bIns="0"/>
              <a:lstStyle/>
              <a:p>
                <a:pPr algn="ctr" rtl="0">
                  <a:defRPr sz="900" b="0" i="0">
                    <a:solidFill>
                      <a:srgbClr val="595959"/>
                    </a:solidFill>
                    <a:latin typeface="Arial" panose="020B0604020202020204" pitchFamily="34" charset="0"/>
                    <a:ea typeface="Arial" panose="020B0604020202020204" pitchFamily="34" charset="0"/>
                    <a:cs typeface="Arial" panose="020B0604020202020204" pitchFamily="34" charset="0"/>
                  </a:defRPr>
                </a:pPr>
                <a:endParaRPr lang="es-CR">
                  <a:latin typeface="Arial" panose="020B0604020202020204" pitchFamily="34" charset="0"/>
                  <a:cs typeface="Arial" panose="020B0604020202020204" pitchFamily="34" charset="0"/>
                </a:endParaRPr>
              </a:p>
            </cx:txPr>
          </cx:dataLabels>
          <cx:dataId val="0"/>
        </cx:series>
      </cx:plotAreaRegion>
      <cx:axis id="0">
        <cx:catScaling gapWidth="0"/>
        <cx:tickLabels/>
        <cx:txPr>
          <a:bodyPr vertOverflow="overflow" horzOverflow="overflow" wrap="square" lIns="0" tIns="0" rIns="0" bIns="0"/>
          <a:lstStyle/>
          <a:p>
            <a:pPr algn="ctr" rtl="0">
              <a:defRPr sz="900" b="0" i="0">
                <a:solidFill>
                  <a:srgbClr val="595959"/>
                </a:solidFill>
                <a:latin typeface="Arial" panose="020B0604020202020204" pitchFamily="34" charset="0"/>
                <a:ea typeface="Arial" panose="020B0604020202020204" pitchFamily="34" charset="0"/>
                <a:cs typeface="Arial" panose="020B0604020202020204" pitchFamily="34" charset="0"/>
              </a:defRPr>
            </a:pPr>
            <a:endParaRPr lang="es-CR">
              <a:latin typeface="Arial" panose="020B0604020202020204" pitchFamily="34" charset="0"/>
              <a:cs typeface="Arial" panose="020B0604020202020204" pitchFamily="34" charset="0"/>
            </a:endParaRPr>
          </a:p>
        </cx:txPr>
      </cx:axis>
    </cx:plotArea>
  </cx:chart>
  <cx:spPr>
    <a:ln>
      <a:no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DCFCCEAE351DB45BAE9B3DE15E4FE3F" ma:contentTypeVersion="5" ma:contentTypeDescription="Crear nuevo documento." ma:contentTypeScope="" ma:versionID="fc86751da50cf89459371abbf6382854">
  <xsd:schema xmlns:xsd="http://www.w3.org/2001/XMLSchema" xmlns:xs="http://www.w3.org/2001/XMLSchema" xmlns:p="http://schemas.microsoft.com/office/2006/metadata/properties" xmlns:ns3="3b8248ea-1d6b-4e5a-a195-4cdabc45d763" xmlns:ns4="edd0e9e5-5057-42a5-900c-97ed157dcc7d" targetNamespace="http://schemas.microsoft.com/office/2006/metadata/properties" ma:root="true" ma:fieldsID="b10908224d2df40b45cbf5f1b17cc7fe" ns3:_="" ns4:_="">
    <xsd:import namespace="3b8248ea-1d6b-4e5a-a195-4cdabc45d763"/>
    <xsd:import namespace="edd0e9e5-5057-42a5-900c-97ed157dcc7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248ea-1d6b-4e5a-a195-4cdabc45d7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d0e9e5-5057-42a5-900c-97ed157dcc7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0AEE1-6DA4-45AB-A2FB-49791058ACA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A66F54-9E32-4B3F-8972-092D0D270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248ea-1d6b-4e5a-a195-4cdabc45d763"/>
    <ds:schemaRef ds:uri="edd0e9e5-5057-42a5-900c-97ed157dcc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3C93BF-D085-4CEB-8058-6B074833A014}">
  <ds:schemaRefs>
    <ds:schemaRef ds:uri="http://schemas.microsoft.com/sharepoint/v3/contenttype/forms"/>
  </ds:schemaRefs>
</ds:datastoreItem>
</file>

<file path=customXml/itemProps4.xml><?xml version="1.0" encoding="utf-8"?>
<ds:datastoreItem xmlns:ds="http://schemas.openxmlformats.org/officeDocument/2006/customXml" ds:itemID="{B24E9A9B-0404-4908-9490-E567D6C87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64</Pages>
  <Words>18368</Words>
  <Characters>101027</Characters>
  <Application>Microsoft Office Word</Application>
  <DocSecurity>0</DocSecurity>
  <Lines>841</Lines>
  <Paragraphs>238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ysalazarg;hcalderonm@Poder-Judicial.go.cr</dc:creator>
  <cp:keywords/>
  <dc:description/>
  <cp:lastModifiedBy>Karla Vanessa Calvo Herrera</cp:lastModifiedBy>
  <cp:revision>5</cp:revision>
  <dcterms:created xsi:type="dcterms:W3CDTF">2020-06-30T17:38:00Z</dcterms:created>
  <dcterms:modified xsi:type="dcterms:W3CDTF">2020-07-06T17:43:00Z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0x010100DDCFCCEAE351DB45BAE9B3DE15E4FE3F</vt:lpwstr>
  </property>
</Properties>
</file>