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48" w:rsidRPr="00B02F59" w:rsidRDefault="000C1448" w:rsidP="000C1448">
      <w:pPr>
        <w:ind w:left="360"/>
        <w:jc w:val="center"/>
        <w:rPr>
          <w:rFonts w:ascii="Book Antiqua" w:hAnsi="Book Antiqua"/>
          <w:b/>
          <w:bCs/>
          <w:sz w:val="24"/>
          <w:szCs w:val="24"/>
          <w:lang w:val="es-ES"/>
        </w:rPr>
      </w:pPr>
      <w:r w:rsidRPr="000C1448">
        <w:rPr>
          <w:rFonts w:ascii="Book Antiqua" w:hAnsi="Book Antiqua"/>
          <w:b/>
          <w:bCs/>
          <w:sz w:val="24"/>
          <w:szCs w:val="24"/>
          <w:lang w:val="es-ES"/>
        </w:rPr>
        <w:t xml:space="preserve">CIRCULAR </w:t>
      </w:r>
      <w:r w:rsidR="00AC42B7">
        <w:rPr>
          <w:rFonts w:ascii="Book Antiqua" w:hAnsi="Book Antiqua"/>
          <w:b/>
          <w:bCs/>
          <w:sz w:val="24"/>
          <w:szCs w:val="24"/>
          <w:lang w:val="es-ES"/>
        </w:rPr>
        <w:t>4</w:t>
      </w:r>
      <w:r w:rsidR="00AD10B4">
        <w:rPr>
          <w:rFonts w:ascii="Book Antiqua" w:hAnsi="Book Antiqua"/>
          <w:b/>
          <w:bCs/>
          <w:sz w:val="24"/>
          <w:szCs w:val="24"/>
          <w:lang w:val="es-ES"/>
        </w:rPr>
        <w:t>-2017</w:t>
      </w:r>
    </w:p>
    <w:p w:rsidR="000C1448" w:rsidRPr="000C1448" w:rsidRDefault="000C1448" w:rsidP="000C1448">
      <w:pPr>
        <w:rPr>
          <w:rFonts w:ascii="Book Antiqua" w:hAnsi="Book Antiqua"/>
          <w:sz w:val="24"/>
          <w:szCs w:val="24"/>
          <w:lang w:val="es-ES"/>
        </w:rPr>
      </w:pPr>
    </w:p>
    <w:p w:rsidR="000C1448" w:rsidRPr="000C1448" w:rsidRDefault="000C1448" w:rsidP="000C1448">
      <w:pPr>
        <w:rPr>
          <w:rFonts w:ascii="Book Antiqua" w:hAnsi="Book Antiqua"/>
          <w:sz w:val="24"/>
          <w:szCs w:val="24"/>
          <w:lang w:val="es-ES"/>
        </w:rPr>
      </w:pPr>
    </w:p>
    <w:p w:rsidR="000C1448" w:rsidRPr="000C1448" w:rsidRDefault="000C1448" w:rsidP="000C1448">
      <w:pPr>
        <w:ind w:left="1418" w:hanging="1418"/>
        <w:jc w:val="both"/>
        <w:rPr>
          <w:rFonts w:ascii="Book Antiqua" w:hAnsi="Book Antiqua"/>
          <w:sz w:val="24"/>
          <w:szCs w:val="24"/>
          <w:lang w:val="es-ES"/>
        </w:rPr>
      </w:pPr>
      <w:r w:rsidRPr="000C1448">
        <w:rPr>
          <w:rFonts w:ascii="Book Antiqua" w:hAnsi="Book Antiqua"/>
          <w:b/>
          <w:bCs/>
          <w:sz w:val="24"/>
          <w:szCs w:val="24"/>
          <w:lang w:val="es-ES"/>
        </w:rPr>
        <w:t>PARA:</w:t>
      </w:r>
      <w:r w:rsidR="00F274F6">
        <w:rPr>
          <w:rFonts w:ascii="Book Antiqua" w:hAnsi="Book Antiqua"/>
          <w:sz w:val="24"/>
          <w:szCs w:val="24"/>
          <w:lang w:val="es-ES"/>
        </w:rPr>
        <w:t>          </w:t>
      </w:r>
      <w:r w:rsidR="00AC42B7">
        <w:rPr>
          <w:rFonts w:ascii="Book Antiqua" w:hAnsi="Book Antiqua"/>
          <w:sz w:val="24"/>
          <w:szCs w:val="24"/>
        </w:rPr>
        <w:t>Todos los Despachos Judiciales y Administraciones Regionales</w:t>
      </w:r>
    </w:p>
    <w:p w:rsidR="000C1448" w:rsidRPr="000C1448" w:rsidRDefault="000C1448" w:rsidP="000C1448">
      <w:pPr>
        <w:ind w:left="360"/>
        <w:rPr>
          <w:rFonts w:ascii="Book Antiqua" w:hAnsi="Book Antiqua"/>
          <w:sz w:val="24"/>
          <w:szCs w:val="24"/>
          <w:lang w:val="es-ES"/>
        </w:rPr>
      </w:pPr>
    </w:p>
    <w:p w:rsidR="00AC42B7" w:rsidRPr="00AC42B7" w:rsidRDefault="000C1448" w:rsidP="00AC42B7">
      <w:pPr>
        <w:ind w:left="1418" w:hanging="1418"/>
        <w:jc w:val="both"/>
        <w:rPr>
          <w:rFonts w:ascii="Book Antiqua" w:hAnsi="Book Antiqua"/>
          <w:b/>
          <w:bCs/>
          <w:sz w:val="24"/>
          <w:szCs w:val="24"/>
          <w:lang w:val="es-ES"/>
        </w:rPr>
      </w:pPr>
      <w:r w:rsidRPr="000C1448">
        <w:rPr>
          <w:rFonts w:ascii="Book Antiqua" w:hAnsi="Book Antiqua"/>
          <w:b/>
          <w:bCs/>
          <w:sz w:val="24"/>
          <w:szCs w:val="24"/>
          <w:lang w:val="es-ES"/>
        </w:rPr>
        <w:t>DE:                </w:t>
      </w:r>
      <w:r w:rsidR="00AC42B7" w:rsidRPr="00AC42B7">
        <w:rPr>
          <w:rFonts w:ascii="Book Antiqua" w:hAnsi="Book Antiqua"/>
          <w:bCs/>
          <w:sz w:val="24"/>
          <w:szCs w:val="24"/>
          <w:lang w:val="es-ES"/>
        </w:rPr>
        <w:t>Dirección de Planificación, Sección de Estadística</w:t>
      </w:r>
    </w:p>
    <w:p w:rsidR="000C1448" w:rsidRPr="00AC42B7" w:rsidRDefault="00AC42B7" w:rsidP="00AC42B7">
      <w:pPr>
        <w:tabs>
          <w:tab w:val="left" w:pos="6528"/>
        </w:tabs>
        <w:ind w:left="1418" w:hanging="1418"/>
        <w:jc w:val="both"/>
        <w:rPr>
          <w:rFonts w:ascii="Book Antiqua" w:hAnsi="Book Antiqua"/>
          <w:b/>
          <w:bCs/>
          <w:sz w:val="24"/>
          <w:szCs w:val="24"/>
          <w:lang w:val="es-ES"/>
        </w:rPr>
      </w:pPr>
      <w:r>
        <w:rPr>
          <w:rFonts w:ascii="Book Antiqua" w:hAnsi="Book Antiqua"/>
          <w:b/>
          <w:bCs/>
          <w:sz w:val="24"/>
          <w:szCs w:val="24"/>
          <w:lang w:val="es-ES"/>
        </w:rPr>
        <w:tab/>
      </w:r>
      <w:r>
        <w:rPr>
          <w:rFonts w:ascii="Book Antiqua" w:hAnsi="Book Antiqua"/>
          <w:b/>
          <w:bCs/>
          <w:sz w:val="24"/>
          <w:szCs w:val="24"/>
          <w:lang w:val="es-ES"/>
        </w:rPr>
        <w:tab/>
      </w:r>
    </w:p>
    <w:p w:rsidR="00AC42B7" w:rsidRPr="00CE083D" w:rsidRDefault="000C1448" w:rsidP="00AC42B7">
      <w:pPr>
        <w:jc w:val="both"/>
        <w:rPr>
          <w:rFonts w:ascii="Book Antiqua" w:hAnsi="Book Antiqua"/>
          <w:sz w:val="24"/>
          <w:szCs w:val="24"/>
        </w:rPr>
      </w:pPr>
      <w:r w:rsidRPr="000C1448">
        <w:rPr>
          <w:rFonts w:ascii="Book Antiqua" w:hAnsi="Book Antiqua"/>
          <w:b/>
          <w:bCs/>
          <w:sz w:val="24"/>
          <w:szCs w:val="24"/>
          <w:lang w:val="es-ES"/>
        </w:rPr>
        <w:t>ASUNTO:    </w:t>
      </w:r>
      <w:r w:rsidR="00AC42B7">
        <w:rPr>
          <w:rFonts w:ascii="Book Antiqua" w:hAnsi="Book Antiqua"/>
          <w:sz w:val="24"/>
          <w:szCs w:val="24"/>
        </w:rPr>
        <w:t>Realización de inventarios de expedientes en todas las materias</w:t>
      </w:r>
    </w:p>
    <w:p w:rsidR="000C1448" w:rsidRPr="000C1448" w:rsidRDefault="000C1448" w:rsidP="00AC42B7">
      <w:pPr>
        <w:rPr>
          <w:rFonts w:ascii="Book Antiqua" w:hAnsi="Book Antiqua"/>
          <w:sz w:val="24"/>
          <w:szCs w:val="24"/>
          <w:lang w:val="es-ES"/>
        </w:rPr>
      </w:pPr>
    </w:p>
    <w:p w:rsidR="000C1448" w:rsidRPr="000C1448" w:rsidRDefault="000C1448" w:rsidP="000C1448">
      <w:pPr>
        <w:ind w:left="360" w:hanging="360"/>
        <w:rPr>
          <w:rFonts w:ascii="Book Antiqua" w:hAnsi="Book Antiqua"/>
          <w:sz w:val="24"/>
          <w:szCs w:val="24"/>
          <w:lang w:val="es-ES"/>
        </w:rPr>
      </w:pPr>
      <w:r w:rsidRPr="000C1448">
        <w:rPr>
          <w:rFonts w:ascii="Book Antiqua" w:hAnsi="Book Antiqua"/>
          <w:b/>
          <w:bCs/>
          <w:sz w:val="24"/>
          <w:szCs w:val="24"/>
          <w:lang w:val="es-ES"/>
        </w:rPr>
        <w:t>FECHA:</w:t>
      </w:r>
      <w:r w:rsidR="00B02F59">
        <w:rPr>
          <w:rFonts w:ascii="Book Antiqua" w:hAnsi="Book Antiqua"/>
          <w:sz w:val="24"/>
          <w:szCs w:val="24"/>
          <w:lang w:val="es-ES"/>
        </w:rPr>
        <w:t>        </w:t>
      </w:r>
      <w:r w:rsidR="00D03FFD">
        <w:rPr>
          <w:rFonts w:ascii="Book Antiqua" w:hAnsi="Book Antiqua"/>
          <w:sz w:val="24"/>
          <w:szCs w:val="24"/>
          <w:lang w:val="es-ES"/>
        </w:rPr>
        <w:t xml:space="preserve">1 de </w:t>
      </w:r>
      <w:r w:rsidR="00261C36">
        <w:rPr>
          <w:rFonts w:ascii="Book Antiqua" w:hAnsi="Book Antiqua"/>
          <w:sz w:val="24"/>
          <w:szCs w:val="24"/>
          <w:lang w:val="es-ES"/>
        </w:rPr>
        <w:t>marzo</w:t>
      </w:r>
      <w:r w:rsidR="00AD10B4">
        <w:rPr>
          <w:rFonts w:ascii="Book Antiqua" w:hAnsi="Book Antiqua"/>
          <w:sz w:val="24"/>
          <w:szCs w:val="24"/>
          <w:lang w:val="es-ES"/>
        </w:rPr>
        <w:t xml:space="preserve"> de 2017</w:t>
      </w:r>
    </w:p>
    <w:p w:rsidR="000C1448" w:rsidRPr="000C1448" w:rsidRDefault="000C1448" w:rsidP="000C1448">
      <w:pPr>
        <w:ind w:left="360"/>
        <w:rPr>
          <w:rFonts w:ascii="Book Antiqua" w:hAnsi="Book Antiqua"/>
          <w:sz w:val="24"/>
          <w:szCs w:val="24"/>
          <w:lang w:val="es-ES"/>
        </w:rPr>
      </w:pPr>
    </w:p>
    <w:p w:rsidR="000C1448" w:rsidRPr="000C1448" w:rsidRDefault="000C1448" w:rsidP="000C1448">
      <w:pPr>
        <w:jc w:val="center"/>
        <w:rPr>
          <w:rFonts w:ascii="Book Antiqua" w:hAnsi="Book Antiqua"/>
          <w:sz w:val="24"/>
          <w:szCs w:val="24"/>
          <w:lang w:val="es-ES"/>
        </w:rPr>
      </w:pPr>
      <w:r w:rsidRPr="000C1448">
        <w:rPr>
          <w:rFonts w:ascii="Book Antiqua" w:hAnsi="Book Antiqua"/>
          <w:sz w:val="24"/>
          <w:szCs w:val="24"/>
          <w:lang w:val="es-ES"/>
        </w:rPr>
        <w:t>**********************************************************************************************</w:t>
      </w:r>
    </w:p>
    <w:p w:rsidR="000C1448" w:rsidRPr="000C1448" w:rsidRDefault="000C1448" w:rsidP="000C1448">
      <w:pPr>
        <w:ind w:left="360"/>
        <w:rPr>
          <w:rFonts w:ascii="Book Antiqua" w:hAnsi="Book Antiqua"/>
          <w:sz w:val="24"/>
          <w:szCs w:val="24"/>
          <w:lang w:val="es-ES"/>
        </w:rPr>
      </w:pPr>
    </w:p>
    <w:p w:rsidR="00AC42B7" w:rsidRDefault="00AC42B7" w:rsidP="00AC42B7">
      <w:pPr>
        <w:rPr>
          <w:b/>
          <w:bCs/>
          <w:u w:val="single"/>
        </w:rPr>
      </w:pPr>
    </w:p>
    <w:p w:rsidR="00AC42B7" w:rsidRDefault="00AC42B7" w:rsidP="00AC42B7">
      <w:pPr>
        <w:spacing w:line="480" w:lineRule="auto"/>
        <w:ind w:firstLine="567"/>
        <w:jc w:val="center"/>
        <w:rPr>
          <w:b/>
          <w:bCs/>
          <w:sz w:val="24"/>
          <w:szCs w:val="24"/>
        </w:rPr>
      </w:pPr>
      <w:r>
        <w:rPr>
          <w:b/>
          <w:bCs/>
          <w:sz w:val="24"/>
          <w:szCs w:val="24"/>
          <w:u w:val="single"/>
        </w:rPr>
        <w:t>SE LES HACE SABER QUE</w:t>
      </w:r>
      <w:r>
        <w:rPr>
          <w:b/>
          <w:bCs/>
          <w:sz w:val="24"/>
          <w:szCs w:val="24"/>
        </w:rPr>
        <w:t>:</w:t>
      </w:r>
    </w:p>
    <w:p w:rsidR="00AC42B7" w:rsidRDefault="00AC42B7" w:rsidP="00AC42B7">
      <w:pPr>
        <w:autoSpaceDE w:val="0"/>
        <w:autoSpaceDN w:val="0"/>
        <w:adjustRightInd w:val="0"/>
        <w:spacing w:line="360" w:lineRule="auto"/>
        <w:ind w:firstLine="567"/>
        <w:jc w:val="both"/>
        <w:rPr>
          <w:sz w:val="24"/>
          <w:szCs w:val="24"/>
        </w:rPr>
      </w:pPr>
    </w:p>
    <w:p w:rsidR="00AC42B7" w:rsidRDefault="00AC42B7" w:rsidP="00AC42B7">
      <w:pPr>
        <w:autoSpaceDE w:val="0"/>
        <w:autoSpaceDN w:val="0"/>
        <w:adjustRightInd w:val="0"/>
        <w:spacing w:line="360" w:lineRule="auto"/>
        <w:ind w:firstLine="567"/>
        <w:jc w:val="both"/>
        <w:rPr>
          <w:sz w:val="24"/>
          <w:szCs w:val="24"/>
        </w:rPr>
      </w:pPr>
      <w:r>
        <w:rPr>
          <w:sz w:val="24"/>
          <w:szCs w:val="24"/>
        </w:rPr>
        <w:t xml:space="preserve">El Consejo Superior del Poder Judicial en sesión 53-16 celebrada el 31 de mayo de 2016, artículo XXX, </w:t>
      </w:r>
      <w:r>
        <w:rPr>
          <w:color w:val="000000"/>
          <w:sz w:val="24"/>
          <w:szCs w:val="24"/>
        </w:rPr>
        <w:t xml:space="preserve">tuvo por rendido </w:t>
      </w:r>
      <w:r>
        <w:rPr>
          <w:sz w:val="24"/>
          <w:szCs w:val="24"/>
        </w:rPr>
        <w:t xml:space="preserve">el informe 781-PLA-2016 de la Dirección de Planificación, sobre la elaboración de un plan de trabajo que involucre a todos los sectores del Poder Judicial, respecto la importancia de contar con números reales del circulante y de suministrar información real, y consecuencia dispuso realizar la siguiente comunicación: </w:t>
      </w:r>
    </w:p>
    <w:p w:rsidR="00AC42B7" w:rsidRDefault="00AC42B7" w:rsidP="00AC42B7">
      <w:pPr>
        <w:autoSpaceDE w:val="0"/>
        <w:autoSpaceDN w:val="0"/>
        <w:adjustRightInd w:val="0"/>
        <w:spacing w:line="360" w:lineRule="auto"/>
        <w:ind w:firstLine="567"/>
        <w:jc w:val="both"/>
        <w:rPr>
          <w:sz w:val="24"/>
          <w:szCs w:val="24"/>
        </w:rPr>
      </w:pPr>
    </w:p>
    <w:p w:rsidR="00AC42B7" w:rsidRDefault="00AC42B7" w:rsidP="00AC42B7">
      <w:pPr>
        <w:ind w:left="851" w:right="567" w:firstLine="567"/>
        <w:jc w:val="both"/>
        <w:rPr>
          <w:i/>
          <w:sz w:val="24"/>
          <w:szCs w:val="24"/>
        </w:rPr>
      </w:pPr>
      <w:r>
        <w:rPr>
          <w:i/>
          <w:sz w:val="24"/>
          <w:szCs w:val="24"/>
        </w:rPr>
        <w:t>“El Consejo Superior, en sesión Nº 94-15 celebrada el 22 de octubre del presente año, artículo XXXIV, conoció y aprobó el oficio Nº 1495-PLA-2015 del 18 de setiembre 2015, de la Dirección de Planificación, relacionado con elaborar un plan de trabajo que comprenda, la realización de un inventario anual, y en el que se involucre a todos los sectores del Poder Judicial, con el fin de concientizar a los jueces y juezas y al personal de los despachos judiciales, de la importancia de contar con números reales del circulante y de suministrar información actualizada.</w:t>
      </w:r>
    </w:p>
    <w:p w:rsidR="00AC42B7" w:rsidRDefault="00AC42B7" w:rsidP="00AC42B7">
      <w:pPr>
        <w:ind w:left="851" w:right="567"/>
        <w:jc w:val="both"/>
        <w:rPr>
          <w:i/>
          <w:sz w:val="24"/>
          <w:szCs w:val="24"/>
        </w:rPr>
      </w:pPr>
    </w:p>
    <w:p w:rsidR="00AC42B7" w:rsidRDefault="00AC42B7" w:rsidP="00AC42B7">
      <w:pPr>
        <w:ind w:left="851" w:right="567" w:firstLine="567"/>
        <w:jc w:val="both"/>
        <w:rPr>
          <w:i/>
          <w:sz w:val="24"/>
          <w:szCs w:val="24"/>
        </w:rPr>
      </w:pPr>
      <w:r>
        <w:rPr>
          <w:i/>
          <w:sz w:val="24"/>
          <w:szCs w:val="24"/>
        </w:rPr>
        <w:t xml:space="preserve">En acatamiento a lo dispuesto, se informa a todos los despachos judiciales de primera y segunda instancia, que a partir del año 2016 y siguientes, </w:t>
      </w:r>
      <w:r>
        <w:rPr>
          <w:b/>
          <w:i/>
          <w:sz w:val="24"/>
          <w:szCs w:val="24"/>
        </w:rPr>
        <w:t>es obligación realizar al menos un inventario anual de expedientes</w:t>
      </w:r>
      <w:r>
        <w:rPr>
          <w:i/>
          <w:sz w:val="24"/>
          <w:szCs w:val="24"/>
        </w:rPr>
        <w:t xml:space="preserve"> en todas las materias en los que son competentes, mismo que se deberá realizar  antes del 31 de  agosto de cada año y remitir constancia del mismo a la Sección de Estadística en la Dirección de Planificación. </w:t>
      </w:r>
    </w:p>
    <w:p w:rsidR="00AC42B7" w:rsidRDefault="00AC42B7" w:rsidP="00AC42B7">
      <w:pPr>
        <w:ind w:left="851" w:right="567"/>
        <w:jc w:val="both"/>
        <w:rPr>
          <w:i/>
          <w:sz w:val="24"/>
          <w:szCs w:val="24"/>
        </w:rPr>
      </w:pPr>
    </w:p>
    <w:p w:rsidR="00AC42B7" w:rsidRDefault="00AC42B7" w:rsidP="00AC42B7">
      <w:pPr>
        <w:ind w:left="851" w:right="567"/>
        <w:jc w:val="both"/>
        <w:rPr>
          <w:i/>
          <w:sz w:val="24"/>
          <w:szCs w:val="24"/>
        </w:rPr>
      </w:pPr>
    </w:p>
    <w:p w:rsidR="00AC42B7" w:rsidRDefault="00AC42B7" w:rsidP="00AC42B7">
      <w:pPr>
        <w:autoSpaceDE w:val="0"/>
        <w:autoSpaceDN w:val="0"/>
        <w:adjustRightInd w:val="0"/>
        <w:spacing w:line="360" w:lineRule="auto"/>
        <w:ind w:firstLine="567"/>
        <w:jc w:val="both"/>
        <w:rPr>
          <w:sz w:val="24"/>
          <w:szCs w:val="24"/>
        </w:rPr>
      </w:pPr>
      <w:r>
        <w:rPr>
          <w:rFonts w:ascii="Georgia" w:hAnsi="Georgia" w:cs="Arial"/>
          <w:color w:val="000000"/>
          <w:sz w:val="24"/>
          <w:szCs w:val="24"/>
        </w:rPr>
        <w:lastRenderedPageBreak/>
        <w:t> </w:t>
      </w:r>
      <w:r>
        <w:rPr>
          <w:sz w:val="24"/>
          <w:szCs w:val="24"/>
        </w:rPr>
        <w:t xml:space="preserve">De conformidad con lo anterior, se adjunta el cronograma de visita establecidas por circuito, en la que se refieren el día donde la persona profesional designada por parte de la Sección de Estadística, brindarán el acompañamiento por medio de un Taller de Capacitación a las Administraciones Regionales y a las personas coordinadoras judiciales para solventar dudas al respecto. </w:t>
      </w:r>
    </w:p>
    <w:p w:rsidR="00AC42B7" w:rsidRDefault="00AC42B7" w:rsidP="00AC42B7">
      <w:pPr>
        <w:spacing w:line="360" w:lineRule="auto"/>
        <w:ind w:right="277"/>
        <w:jc w:val="both"/>
        <w:rPr>
          <w:rFonts w:ascii="Arial" w:hAnsi="Arial" w:cs="Arial"/>
          <w:color w:val="000000"/>
          <w:sz w:val="24"/>
          <w:szCs w:val="24"/>
        </w:rPr>
      </w:pPr>
    </w:p>
    <w:p w:rsidR="00AC42B7" w:rsidRDefault="00AC42B7" w:rsidP="00AC42B7">
      <w:pPr>
        <w:spacing w:line="360" w:lineRule="auto"/>
        <w:ind w:firstLine="567"/>
        <w:jc w:val="both"/>
        <w:rPr>
          <w:sz w:val="24"/>
          <w:szCs w:val="24"/>
          <w:lang w:val="es-ES"/>
        </w:rPr>
      </w:pPr>
      <w:r>
        <w:rPr>
          <w:sz w:val="24"/>
          <w:szCs w:val="24"/>
        </w:rPr>
        <w:t xml:space="preserve">Además, se adjuntan los nuevos manuales de procedimientos para la confección de inventarios físicos o electrónicos en las materias Penales y No Penales. De surgir alguna duda sobre estos documentos, se podrá hacer la consulta directamente a los correos oficiales de la Sección de Estadística, o a través de las extensiones 4440, 4442 o 4443”.  O ingresando al sitio Interno (Intranet): </w:t>
      </w:r>
      <w:hyperlink r:id="rId7" w:history="1">
        <w:r>
          <w:rPr>
            <w:rStyle w:val="Hipervnculo"/>
            <w:sz w:val="24"/>
            <w:szCs w:val="24"/>
          </w:rPr>
          <w:t>http://intranet/planificacion/</w:t>
        </w:r>
      </w:hyperlink>
      <w:r>
        <w:rPr>
          <w:sz w:val="24"/>
          <w:szCs w:val="24"/>
        </w:rPr>
        <w:t xml:space="preserve"> ; o Externo (Internet): </w:t>
      </w:r>
      <w:hyperlink r:id="rId8" w:history="1">
        <w:r>
          <w:rPr>
            <w:rStyle w:val="Hipervnculo"/>
            <w:sz w:val="24"/>
            <w:szCs w:val="24"/>
          </w:rPr>
          <w:t>https://www.poder-judicial.go.cr/planificacion/</w:t>
        </w:r>
      </w:hyperlink>
      <w:r>
        <w:rPr>
          <w:color w:val="0000FF"/>
          <w:sz w:val="24"/>
          <w:szCs w:val="24"/>
          <w:u w:val="single"/>
        </w:rPr>
        <w:t>.</w:t>
      </w:r>
    </w:p>
    <w:p w:rsidR="00AC42B7" w:rsidRDefault="00AC42B7" w:rsidP="00AC42B7">
      <w:pPr>
        <w:spacing w:line="360" w:lineRule="auto"/>
        <w:jc w:val="both"/>
        <w:rPr>
          <w:sz w:val="24"/>
          <w:szCs w:val="24"/>
        </w:rPr>
      </w:pPr>
    </w:p>
    <w:p w:rsidR="00AC42B7" w:rsidRDefault="00AC42B7" w:rsidP="00AC42B7">
      <w:pPr>
        <w:autoSpaceDE w:val="0"/>
        <w:autoSpaceDN w:val="0"/>
        <w:adjustRightInd w:val="0"/>
        <w:spacing w:line="360" w:lineRule="auto"/>
        <w:ind w:firstLine="567"/>
        <w:jc w:val="both"/>
        <w:rPr>
          <w:sz w:val="40"/>
          <w:szCs w:val="40"/>
        </w:rPr>
      </w:pPr>
    </w:p>
    <w:p w:rsidR="00AC42B7" w:rsidRDefault="00AC42B7" w:rsidP="00AC42B7">
      <w:pPr>
        <w:pStyle w:val="NormalWeb"/>
        <w:shd w:val="clear" w:color="auto" w:fill="FFFFFF"/>
        <w:spacing w:line="360" w:lineRule="auto"/>
        <w:jc w:val="both"/>
      </w:pPr>
    </w:p>
    <w:tbl>
      <w:tblPr>
        <w:tblW w:w="10560" w:type="dxa"/>
        <w:tblCellMar>
          <w:left w:w="70" w:type="dxa"/>
          <w:right w:w="70" w:type="dxa"/>
        </w:tblCellMar>
        <w:tblLook w:val="04A0" w:firstRow="1" w:lastRow="0" w:firstColumn="1" w:lastColumn="0" w:noHBand="0" w:noVBand="1"/>
      </w:tblPr>
      <w:tblGrid>
        <w:gridCol w:w="4688"/>
        <w:gridCol w:w="5872"/>
      </w:tblGrid>
      <w:tr w:rsidR="00AC42B7" w:rsidTr="00AC42B7">
        <w:tc>
          <w:tcPr>
            <w:tcW w:w="4688" w:type="dxa"/>
            <w:hideMark/>
          </w:tcPr>
          <w:p w:rsidR="00AC42B7" w:rsidRDefault="00AC42B7">
            <w:pPr>
              <w:pStyle w:val="Textoindependiente"/>
              <w:rPr>
                <w:sz w:val="24"/>
                <w:szCs w:val="24"/>
                <w:lang w:val="es-ES"/>
              </w:rPr>
            </w:pPr>
            <w:r>
              <w:rPr>
                <w:sz w:val="24"/>
                <w:szCs w:val="24"/>
              </w:rPr>
              <w:t>Ana Erika Rodríguez Araya, Jefa a.i.</w:t>
            </w:r>
          </w:p>
        </w:tc>
        <w:tc>
          <w:tcPr>
            <w:tcW w:w="5872" w:type="dxa"/>
            <w:hideMark/>
          </w:tcPr>
          <w:p w:rsidR="00AC42B7" w:rsidRDefault="00254E42" w:rsidP="00C92675">
            <w:pPr>
              <w:pStyle w:val="Textoindependiente"/>
              <w:rPr>
                <w:sz w:val="24"/>
                <w:szCs w:val="24"/>
                <w:lang w:val="es-ES"/>
              </w:rPr>
            </w:pPr>
            <w:r>
              <w:rPr>
                <w:sz w:val="24"/>
                <w:szCs w:val="24"/>
              </w:rPr>
              <w:t xml:space="preserve">     Elías Muñoz Jiménez</w:t>
            </w:r>
            <w:bookmarkStart w:id="0" w:name="_GoBack"/>
            <w:bookmarkEnd w:id="0"/>
            <w:r>
              <w:rPr>
                <w:sz w:val="24"/>
                <w:szCs w:val="24"/>
              </w:rPr>
              <w:t>, Subd</w:t>
            </w:r>
            <w:r w:rsidR="00AC42B7">
              <w:rPr>
                <w:sz w:val="24"/>
                <w:szCs w:val="24"/>
              </w:rPr>
              <w:t>irector a.i.</w:t>
            </w:r>
          </w:p>
        </w:tc>
      </w:tr>
      <w:tr w:rsidR="00AC42B7" w:rsidTr="00AC42B7">
        <w:tc>
          <w:tcPr>
            <w:tcW w:w="4688" w:type="dxa"/>
            <w:hideMark/>
          </w:tcPr>
          <w:p w:rsidR="00AC42B7" w:rsidRDefault="00AC42B7">
            <w:pPr>
              <w:pStyle w:val="Textoindependiente"/>
              <w:rPr>
                <w:sz w:val="24"/>
                <w:szCs w:val="24"/>
                <w:lang w:val="es-ES"/>
              </w:rPr>
            </w:pPr>
            <w:r>
              <w:rPr>
                <w:sz w:val="24"/>
                <w:szCs w:val="24"/>
              </w:rPr>
              <w:t xml:space="preserve">      Sección de Estadística</w:t>
            </w:r>
          </w:p>
        </w:tc>
        <w:tc>
          <w:tcPr>
            <w:tcW w:w="5872" w:type="dxa"/>
            <w:hideMark/>
          </w:tcPr>
          <w:p w:rsidR="00AC42B7" w:rsidRDefault="00AC42B7">
            <w:pPr>
              <w:pStyle w:val="Textoindependiente"/>
              <w:rPr>
                <w:sz w:val="24"/>
                <w:szCs w:val="24"/>
                <w:lang w:val="es-ES"/>
              </w:rPr>
            </w:pPr>
            <w:r>
              <w:rPr>
                <w:sz w:val="24"/>
                <w:szCs w:val="24"/>
              </w:rPr>
              <w:t xml:space="preserve">          Dirección de Planificación</w:t>
            </w:r>
          </w:p>
        </w:tc>
      </w:tr>
    </w:tbl>
    <w:p w:rsidR="00AC42B7" w:rsidRDefault="00AC42B7" w:rsidP="00AC42B7">
      <w:pPr>
        <w:pStyle w:val="Textoindependiente"/>
        <w:rPr>
          <w:sz w:val="24"/>
          <w:szCs w:val="24"/>
          <w:lang w:val="es-ES"/>
        </w:rPr>
      </w:pPr>
      <w:r>
        <w:rPr>
          <w:sz w:val="24"/>
          <w:szCs w:val="24"/>
        </w:rPr>
        <w:t xml:space="preserve">                                                                   </w:t>
      </w:r>
    </w:p>
    <w:p w:rsidR="00AC42B7" w:rsidRDefault="00AC42B7" w:rsidP="00AC42B7">
      <w:pPr>
        <w:pStyle w:val="Textoindependiente"/>
        <w:rPr>
          <w:sz w:val="24"/>
          <w:szCs w:val="24"/>
        </w:rPr>
      </w:pPr>
    </w:p>
    <w:p w:rsidR="00AC42B7" w:rsidRDefault="00AC42B7" w:rsidP="00AC42B7">
      <w:pPr>
        <w:pStyle w:val="Textoindependiente"/>
        <w:rPr>
          <w:sz w:val="24"/>
          <w:szCs w:val="24"/>
        </w:rPr>
      </w:pPr>
    </w:p>
    <w:p w:rsidR="00AC42B7" w:rsidRDefault="00AC42B7" w:rsidP="00AC42B7">
      <w:pPr>
        <w:jc w:val="both"/>
        <w:rPr>
          <w:sz w:val="24"/>
          <w:szCs w:val="24"/>
        </w:rPr>
      </w:pPr>
    </w:p>
    <w:p w:rsidR="00AC42B7" w:rsidRDefault="00AC42B7" w:rsidP="00AC42B7">
      <w:pPr>
        <w:jc w:val="both"/>
        <w:rPr>
          <w:rFonts w:ascii="Book Antiqua" w:hAnsi="Book Antiqua" w:cs="Arial"/>
        </w:rPr>
      </w:pPr>
      <w:r>
        <w:rPr>
          <w:rFonts w:ascii="Book Antiqua" w:hAnsi="Book Antiqua" w:cs="Arial"/>
        </w:rPr>
        <w:t>c. Archivo</w:t>
      </w:r>
    </w:p>
    <w:p w:rsidR="00AC42B7" w:rsidRDefault="00AC42B7" w:rsidP="00AC42B7">
      <w:pPr>
        <w:jc w:val="both"/>
        <w:rPr>
          <w:rFonts w:ascii="Book Antiqua" w:hAnsi="Book Antiqua" w:cs="Arial"/>
        </w:rPr>
      </w:pPr>
    </w:p>
    <w:p w:rsidR="00AC42B7" w:rsidRDefault="00AC42B7" w:rsidP="00AC42B7">
      <w:pPr>
        <w:jc w:val="both"/>
        <w:rPr>
          <w:rFonts w:ascii="Book Antiqua" w:hAnsi="Book Antiqua" w:cs="Arial"/>
        </w:rPr>
      </w:pPr>
    </w:p>
    <w:p w:rsidR="00AC42B7" w:rsidRDefault="00EA2F1D" w:rsidP="00AC42B7">
      <w:pPr>
        <w:jc w:val="both"/>
        <w:rPr>
          <w:rFonts w:ascii="Book Antiqua" w:hAnsi="Book Antiqua" w:cs="Arial"/>
        </w:rPr>
      </w:pPr>
      <w:r>
        <w:rPr>
          <w:rFonts w:ascii="Book Antiqua" w:hAnsi="Book Antiqua" w:cs="Arial"/>
        </w:rPr>
        <w:t>EMJ</w:t>
      </w:r>
      <w:r w:rsidR="00AC42B7">
        <w:rPr>
          <w:rFonts w:ascii="Book Antiqua" w:hAnsi="Book Antiqua" w:cs="Arial"/>
        </w:rPr>
        <w:t>/</w:t>
      </w:r>
      <w:r w:rsidR="003D70AC">
        <w:rPr>
          <w:rFonts w:ascii="Book Antiqua" w:hAnsi="Book Antiqua" w:cs="Arial"/>
        </w:rPr>
        <w:t>Aera</w:t>
      </w:r>
      <w:r w:rsidR="00AC42B7">
        <w:rPr>
          <w:rFonts w:ascii="Book Antiqua" w:hAnsi="Book Antiqua" w:cs="Arial"/>
        </w:rPr>
        <w:t>/pvv</w:t>
      </w:r>
    </w:p>
    <w:p w:rsidR="00AC42B7" w:rsidRPr="00E63928" w:rsidRDefault="00AC42B7" w:rsidP="00AC42B7">
      <w:pPr>
        <w:jc w:val="both"/>
        <w:rPr>
          <w:rFonts w:ascii="Book Antiqua" w:hAnsi="Book Antiqua" w:cs="Arial"/>
          <w:b/>
        </w:rPr>
      </w:pPr>
      <w:r>
        <w:rPr>
          <w:rFonts w:ascii="Book Antiqua" w:hAnsi="Book Antiqua" w:cs="Arial"/>
        </w:rPr>
        <w:t xml:space="preserve">Ref. </w:t>
      </w:r>
      <w:r w:rsidRPr="00E63928">
        <w:rPr>
          <w:rFonts w:ascii="Book Antiqua" w:hAnsi="Book Antiqua" w:cs="Arial"/>
          <w:b/>
        </w:rPr>
        <w:t>837-16</w:t>
      </w:r>
    </w:p>
    <w:p w:rsidR="00AC42B7" w:rsidRDefault="00AC42B7" w:rsidP="00AC42B7">
      <w:pPr>
        <w:jc w:val="both"/>
        <w:rPr>
          <w:rFonts w:ascii="Book Antiqua" w:hAnsi="Book Antiqua" w:cs="Arial"/>
        </w:rPr>
      </w:pPr>
    </w:p>
    <w:p w:rsidR="00D4010F" w:rsidRPr="000C1448" w:rsidRDefault="00D4010F" w:rsidP="00AC42B7">
      <w:pPr>
        <w:jc w:val="both"/>
      </w:pPr>
    </w:p>
    <w:sectPr w:rsidR="00D4010F" w:rsidRPr="000C1448" w:rsidSect="008729A2">
      <w:headerReference w:type="default" r:id="rId9"/>
      <w:footerReference w:type="default" r:id="rId10"/>
      <w:pgSz w:w="12240" w:h="15840"/>
      <w:pgMar w:top="2268" w:right="1701" w:bottom="1134" w:left="1701"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AA5" w:rsidRDefault="00D84AA5">
      <w:r>
        <w:separator/>
      </w:r>
    </w:p>
  </w:endnote>
  <w:endnote w:type="continuationSeparator" w:id="0">
    <w:p w:rsidR="00D84AA5" w:rsidRDefault="00D8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A2" w:rsidRDefault="0060755C" w:rsidP="008729A2">
    <w:pPr>
      <w:pStyle w:val="Piedepgina"/>
      <w:framePr w:wrap="auto" w:vAnchor="text" w:hAnchor="page" w:x="10702" w:y="49"/>
      <w:rPr>
        <w:rStyle w:val="Nmerodepgina"/>
      </w:rPr>
    </w:pPr>
    <w:r>
      <w:rPr>
        <w:rStyle w:val="Nmerodepgina"/>
      </w:rPr>
      <w:fldChar w:fldCharType="begin"/>
    </w:r>
    <w:r w:rsidR="008729A2">
      <w:rPr>
        <w:rStyle w:val="Nmerodepgina"/>
      </w:rPr>
      <w:instrText xml:space="preserve">PAGE  </w:instrText>
    </w:r>
    <w:r>
      <w:rPr>
        <w:rStyle w:val="Nmerodepgina"/>
      </w:rPr>
      <w:fldChar w:fldCharType="separate"/>
    </w:r>
    <w:r w:rsidR="00C92675">
      <w:rPr>
        <w:rStyle w:val="Nmerodepgina"/>
        <w:noProof/>
      </w:rPr>
      <w:t>2</w:t>
    </w:r>
    <w:r>
      <w:rPr>
        <w:rStyle w:val="Nmerodepgina"/>
      </w:rPr>
      <w:fldChar w:fldCharType="end"/>
    </w:r>
  </w:p>
  <w:p w:rsidR="00F64821" w:rsidRPr="0036463A" w:rsidRDefault="00F64821" w:rsidP="00F64821">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AA5" w:rsidRDefault="00D84AA5">
      <w:r>
        <w:separator/>
      </w:r>
    </w:p>
  </w:footnote>
  <w:footnote w:type="continuationSeparator" w:id="0">
    <w:p w:rsidR="00D84AA5" w:rsidRDefault="00D8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A2" w:rsidRDefault="008729A2" w:rsidP="008729A2">
    <w:pPr>
      <w:framePr w:w="640" w:hSpace="141" w:wrap="auto" w:vAnchor="text" w:hAnchor="margin" w:x="8456" w:y="-91"/>
    </w:pPr>
  </w:p>
  <w:p w:rsidR="008729A2" w:rsidRDefault="008729A2" w:rsidP="008729A2">
    <w:pPr>
      <w:pStyle w:val="Encabezado"/>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Pr="0060755C">
      <w:rPr>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2.4pt">
          <v:imagedata r:id="rId1" o:title=""/>
        </v:shape>
        <o:OLEObject Type="Embed" ProgID="PBrush" ShapeID="_x0000_i1025" DrawAspect="Content" ObjectID="_1550063260" r:id="rId2"/>
      </w:object>
    </w:r>
  </w:p>
  <w:p w:rsidR="008729A2" w:rsidRDefault="008729A2" w:rsidP="008729A2">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rsidR="008729A2" w:rsidRPr="005B3B0C" w:rsidRDefault="008729A2" w:rsidP="008729A2">
    <w:pPr>
      <w:pStyle w:val="Encabezado"/>
      <w:jc w:val="center"/>
      <w:rPr>
        <w:lang w:val="en-US"/>
      </w:rPr>
    </w:pPr>
    <w:r w:rsidRPr="00EA2F1D">
      <w:rPr>
        <w:rFonts w:ascii="Book Antiqua" w:hAnsi="Book Antiqua" w:cs="Book Antiqua"/>
        <w:i/>
        <w:iCs/>
        <w:sz w:val="18"/>
        <w:szCs w:val="18"/>
      </w:rPr>
      <w:t xml:space="preserve">Telf.   </w:t>
    </w:r>
    <w:r w:rsidRPr="005B3B0C">
      <w:rPr>
        <w:rFonts w:ascii="Book Antiqua" w:hAnsi="Book Antiqua" w:cs="Book Antiqua"/>
        <w:i/>
        <w:iCs/>
        <w:sz w:val="18"/>
        <w:szCs w:val="18"/>
        <w:lang w:val="en-US"/>
      </w:rPr>
      <w:t>2295-3600 / 3599  Fax. 2257-</w:t>
    </w:r>
    <w:r>
      <w:rPr>
        <w:rFonts w:ascii="Book Antiqua" w:hAnsi="Book Antiqua" w:cs="Book Antiqua"/>
        <w:i/>
        <w:iCs/>
        <w:sz w:val="18"/>
        <w:szCs w:val="18"/>
        <w:lang w:val="en-US"/>
      </w:rPr>
      <w:t xml:space="preserve">5633   / Apdo.  95-1003  / </w:t>
    </w:r>
    <w:r w:rsidRPr="005B3B0C">
      <w:rPr>
        <w:rFonts w:ascii="Book Antiqua" w:hAnsi="Book Antiqua" w:cs="Book Antiqua"/>
        <w:i/>
        <w:iCs/>
        <w:sz w:val="18"/>
        <w:szCs w:val="18"/>
        <w:lang w:val="en-US"/>
      </w:rPr>
      <w:t>planificacion@poder-judicial.go.cr</w:t>
    </w:r>
  </w:p>
  <w:p w:rsidR="008729A2" w:rsidRPr="005B3B0C" w:rsidRDefault="008729A2" w:rsidP="008729A2">
    <w:pPr>
      <w:pBdr>
        <w:bottom w:val="single" w:sz="6" w:space="0" w:color="auto"/>
      </w:pBdr>
      <w:spacing w:after="2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5" w15:restartNumberingAfterBreak="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20"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cs="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4" w15:restartNumberingAfterBreak="0">
    <w:nsid w:val="7C1926E8"/>
    <w:multiLevelType w:val="hybridMultilevel"/>
    <w:tmpl w:val="ED34A7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6"/>
  </w:num>
  <w:num w:numId="4">
    <w:abstractNumId w:val="18"/>
  </w:num>
  <w:num w:numId="5">
    <w:abstractNumId w:val="8"/>
  </w:num>
  <w:num w:numId="6">
    <w:abstractNumId w:val="11"/>
  </w:num>
  <w:num w:numId="7">
    <w:abstractNumId w:val="23"/>
  </w:num>
  <w:num w:numId="8">
    <w:abstractNumId w:val="16"/>
  </w:num>
  <w:num w:numId="9">
    <w:abstractNumId w:val="13"/>
  </w:num>
  <w:num w:numId="10">
    <w:abstractNumId w:val="9"/>
  </w:num>
  <w:num w:numId="11">
    <w:abstractNumId w:val="12"/>
  </w:num>
  <w:num w:numId="12">
    <w:abstractNumId w:val="20"/>
  </w:num>
  <w:num w:numId="13">
    <w:abstractNumId w:val="14"/>
  </w:num>
  <w:num w:numId="14">
    <w:abstractNumId w:val="10"/>
  </w:num>
  <w:num w:numId="15">
    <w:abstractNumId w:val="2"/>
  </w:num>
  <w:num w:numId="16">
    <w:abstractNumId w:val="17"/>
  </w:num>
  <w:num w:numId="17">
    <w:abstractNumId w:val="3"/>
  </w:num>
  <w:num w:numId="18">
    <w:abstractNumId w:val="19"/>
  </w:num>
  <w:num w:numId="19">
    <w:abstractNumId w:val="7"/>
  </w:num>
  <w:num w:numId="20">
    <w:abstractNumId w:val="4"/>
  </w:num>
  <w:num w:numId="21">
    <w:abstractNumId w:val="5"/>
  </w:num>
  <w:num w:numId="22">
    <w:abstractNumId w:val="15"/>
  </w:num>
  <w:num w:numId="23">
    <w:abstractNumId w:val="2"/>
  </w:num>
  <w:num w:numId="24">
    <w:abstractNumId w:val="21"/>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E8"/>
    <w:rsid w:val="000131C6"/>
    <w:rsid w:val="00030A80"/>
    <w:rsid w:val="0003358A"/>
    <w:rsid w:val="00044B65"/>
    <w:rsid w:val="00054A79"/>
    <w:rsid w:val="00057F01"/>
    <w:rsid w:val="00073E27"/>
    <w:rsid w:val="000745D1"/>
    <w:rsid w:val="0007632F"/>
    <w:rsid w:val="00077A41"/>
    <w:rsid w:val="00083A70"/>
    <w:rsid w:val="000920EF"/>
    <w:rsid w:val="0009367A"/>
    <w:rsid w:val="000A326D"/>
    <w:rsid w:val="000A5E79"/>
    <w:rsid w:val="000B1F7E"/>
    <w:rsid w:val="000C1448"/>
    <w:rsid w:val="000D5362"/>
    <w:rsid w:val="000E0040"/>
    <w:rsid w:val="000E1624"/>
    <w:rsid w:val="001018BE"/>
    <w:rsid w:val="001020D5"/>
    <w:rsid w:val="00132550"/>
    <w:rsid w:val="00135450"/>
    <w:rsid w:val="00140C56"/>
    <w:rsid w:val="00145106"/>
    <w:rsid w:val="001458F9"/>
    <w:rsid w:val="0014657C"/>
    <w:rsid w:val="00170E9E"/>
    <w:rsid w:val="001739BF"/>
    <w:rsid w:val="001874A4"/>
    <w:rsid w:val="0019575A"/>
    <w:rsid w:val="001A233B"/>
    <w:rsid w:val="001C21DB"/>
    <w:rsid w:val="001E0BF7"/>
    <w:rsid w:val="001E3252"/>
    <w:rsid w:val="001E517B"/>
    <w:rsid w:val="001F1A91"/>
    <w:rsid w:val="001F561E"/>
    <w:rsid w:val="0022401C"/>
    <w:rsid w:val="00227F17"/>
    <w:rsid w:val="00254E42"/>
    <w:rsid w:val="002557CB"/>
    <w:rsid w:val="00261C36"/>
    <w:rsid w:val="002727AA"/>
    <w:rsid w:val="00273333"/>
    <w:rsid w:val="00282497"/>
    <w:rsid w:val="00283912"/>
    <w:rsid w:val="00283B2B"/>
    <w:rsid w:val="002A4E48"/>
    <w:rsid w:val="002B047F"/>
    <w:rsid w:val="002C4CD7"/>
    <w:rsid w:val="002C7CA1"/>
    <w:rsid w:val="002D5A56"/>
    <w:rsid w:val="002D61DE"/>
    <w:rsid w:val="002E000C"/>
    <w:rsid w:val="002E35AC"/>
    <w:rsid w:val="002F6410"/>
    <w:rsid w:val="00300509"/>
    <w:rsid w:val="003014A8"/>
    <w:rsid w:val="00311915"/>
    <w:rsid w:val="00323785"/>
    <w:rsid w:val="00331C96"/>
    <w:rsid w:val="00344AEA"/>
    <w:rsid w:val="0036094C"/>
    <w:rsid w:val="00362450"/>
    <w:rsid w:val="00364509"/>
    <w:rsid w:val="0036463A"/>
    <w:rsid w:val="00364898"/>
    <w:rsid w:val="003722A7"/>
    <w:rsid w:val="00372DAA"/>
    <w:rsid w:val="0038346A"/>
    <w:rsid w:val="003A43CF"/>
    <w:rsid w:val="003B219A"/>
    <w:rsid w:val="003D2F3D"/>
    <w:rsid w:val="003D70AC"/>
    <w:rsid w:val="003E3D38"/>
    <w:rsid w:val="003E3EEA"/>
    <w:rsid w:val="003E724E"/>
    <w:rsid w:val="003F1345"/>
    <w:rsid w:val="004129F5"/>
    <w:rsid w:val="00430D8E"/>
    <w:rsid w:val="00447FE6"/>
    <w:rsid w:val="00463FC9"/>
    <w:rsid w:val="00470D03"/>
    <w:rsid w:val="00485903"/>
    <w:rsid w:val="00490E2C"/>
    <w:rsid w:val="00493F2D"/>
    <w:rsid w:val="004B616A"/>
    <w:rsid w:val="004C72AE"/>
    <w:rsid w:val="004D1BCF"/>
    <w:rsid w:val="004D75FB"/>
    <w:rsid w:val="004E301B"/>
    <w:rsid w:val="004E343C"/>
    <w:rsid w:val="00516FCD"/>
    <w:rsid w:val="005212AB"/>
    <w:rsid w:val="00526C96"/>
    <w:rsid w:val="00534174"/>
    <w:rsid w:val="005354B5"/>
    <w:rsid w:val="00540814"/>
    <w:rsid w:val="00544065"/>
    <w:rsid w:val="005442E3"/>
    <w:rsid w:val="005523FD"/>
    <w:rsid w:val="00555F52"/>
    <w:rsid w:val="005729BE"/>
    <w:rsid w:val="00583731"/>
    <w:rsid w:val="00587A31"/>
    <w:rsid w:val="00592114"/>
    <w:rsid w:val="005B3B0C"/>
    <w:rsid w:val="005C3BEB"/>
    <w:rsid w:val="005C5393"/>
    <w:rsid w:val="005C7E81"/>
    <w:rsid w:val="005D215B"/>
    <w:rsid w:val="005E0D5D"/>
    <w:rsid w:val="005E56E9"/>
    <w:rsid w:val="005E5F8F"/>
    <w:rsid w:val="0060020A"/>
    <w:rsid w:val="0060755C"/>
    <w:rsid w:val="00617990"/>
    <w:rsid w:val="0062351B"/>
    <w:rsid w:val="00626C2B"/>
    <w:rsid w:val="00633218"/>
    <w:rsid w:val="00641214"/>
    <w:rsid w:val="00650A25"/>
    <w:rsid w:val="006756E4"/>
    <w:rsid w:val="00677280"/>
    <w:rsid w:val="00677737"/>
    <w:rsid w:val="00693F61"/>
    <w:rsid w:val="006968D2"/>
    <w:rsid w:val="006A7461"/>
    <w:rsid w:val="006B3982"/>
    <w:rsid w:val="006B7CEA"/>
    <w:rsid w:val="006C42AF"/>
    <w:rsid w:val="006D2D82"/>
    <w:rsid w:val="006D6954"/>
    <w:rsid w:val="006E0146"/>
    <w:rsid w:val="006E3B1A"/>
    <w:rsid w:val="00707EB6"/>
    <w:rsid w:val="00710209"/>
    <w:rsid w:val="007323A3"/>
    <w:rsid w:val="007412EE"/>
    <w:rsid w:val="00752F2E"/>
    <w:rsid w:val="007530F7"/>
    <w:rsid w:val="007552C6"/>
    <w:rsid w:val="007614EF"/>
    <w:rsid w:val="0076603E"/>
    <w:rsid w:val="0077233C"/>
    <w:rsid w:val="00776526"/>
    <w:rsid w:val="0078001A"/>
    <w:rsid w:val="00794407"/>
    <w:rsid w:val="007B033C"/>
    <w:rsid w:val="007C3294"/>
    <w:rsid w:val="007C6C79"/>
    <w:rsid w:val="007D24FD"/>
    <w:rsid w:val="007E300C"/>
    <w:rsid w:val="007F79C9"/>
    <w:rsid w:val="00802F46"/>
    <w:rsid w:val="00822EE0"/>
    <w:rsid w:val="00841DD1"/>
    <w:rsid w:val="008428CD"/>
    <w:rsid w:val="00844B08"/>
    <w:rsid w:val="00845711"/>
    <w:rsid w:val="0086065C"/>
    <w:rsid w:val="008729A2"/>
    <w:rsid w:val="008737C7"/>
    <w:rsid w:val="008A3B13"/>
    <w:rsid w:val="008A3EE3"/>
    <w:rsid w:val="008A634E"/>
    <w:rsid w:val="008B7460"/>
    <w:rsid w:val="009102F7"/>
    <w:rsid w:val="00913C2E"/>
    <w:rsid w:val="00914A07"/>
    <w:rsid w:val="00924666"/>
    <w:rsid w:val="00951321"/>
    <w:rsid w:val="009533E7"/>
    <w:rsid w:val="00954BF3"/>
    <w:rsid w:val="00964019"/>
    <w:rsid w:val="00972E96"/>
    <w:rsid w:val="009772DD"/>
    <w:rsid w:val="00981A9B"/>
    <w:rsid w:val="009B5351"/>
    <w:rsid w:val="009B6E83"/>
    <w:rsid w:val="009C0A09"/>
    <w:rsid w:val="009C2C5A"/>
    <w:rsid w:val="009C3901"/>
    <w:rsid w:val="009E4A9B"/>
    <w:rsid w:val="009E798F"/>
    <w:rsid w:val="00A108DA"/>
    <w:rsid w:val="00A1099D"/>
    <w:rsid w:val="00A1430C"/>
    <w:rsid w:val="00A30127"/>
    <w:rsid w:val="00A31967"/>
    <w:rsid w:val="00A36EF8"/>
    <w:rsid w:val="00A37E82"/>
    <w:rsid w:val="00A57D85"/>
    <w:rsid w:val="00A603DF"/>
    <w:rsid w:val="00A6538A"/>
    <w:rsid w:val="00A66753"/>
    <w:rsid w:val="00A82381"/>
    <w:rsid w:val="00AA235C"/>
    <w:rsid w:val="00AA53CF"/>
    <w:rsid w:val="00AB61B4"/>
    <w:rsid w:val="00AC42B7"/>
    <w:rsid w:val="00AD10B4"/>
    <w:rsid w:val="00AE2928"/>
    <w:rsid w:val="00AF32D3"/>
    <w:rsid w:val="00AF6104"/>
    <w:rsid w:val="00B00DDF"/>
    <w:rsid w:val="00B02F59"/>
    <w:rsid w:val="00B15CB4"/>
    <w:rsid w:val="00B216DB"/>
    <w:rsid w:val="00B32783"/>
    <w:rsid w:val="00B4039C"/>
    <w:rsid w:val="00B44293"/>
    <w:rsid w:val="00B5157C"/>
    <w:rsid w:val="00B53F3E"/>
    <w:rsid w:val="00B54D5A"/>
    <w:rsid w:val="00B65838"/>
    <w:rsid w:val="00B76087"/>
    <w:rsid w:val="00B7674C"/>
    <w:rsid w:val="00BC1B05"/>
    <w:rsid w:val="00BC2295"/>
    <w:rsid w:val="00BD2A83"/>
    <w:rsid w:val="00BE10B9"/>
    <w:rsid w:val="00BE43F8"/>
    <w:rsid w:val="00BF0EE8"/>
    <w:rsid w:val="00BF7474"/>
    <w:rsid w:val="00C03413"/>
    <w:rsid w:val="00C148F1"/>
    <w:rsid w:val="00C22C27"/>
    <w:rsid w:val="00C24077"/>
    <w:rsid w:val="00C30095"/>
    <w:rsid w:val="00C340AA"/>
    <w:rsid w:val="00C34357"/>
    <w:rsid w:val="00C644CA"/>
    <w:rsid w:val="00C6557F"/>
    <w:rsid w:val="00C65CC2"/>
    <w:rsid w:val="00C6653B"/>
    <w:rsid w:val="00C7629D"/>
    <w:rsid w:val="00C85334"/>
    <w:rsid w:val="00C92675"/>
    <w:rsid w:val="00CA0A88"/>
    <w:rsid w:val="00CA5CA6"/>
    <w:rsid w:val="00CA6DFA"/>
    <w:rsid w:val="00CB33F0"/>
    <w:rsid w:val="00CC695F"/>
    <w:rsid w:val="00CD1CC6"/>
    <w:rsid w:val="00CD5D96"/>
    <w:rsid w:val="00CE28FF"/>
    <w:rsid w:val="00CE6E5F"/>
    <w:rsid w:val="00D03FFD"/>
    <w:rsid w:val="00D140B7"/>
    <w:rsid w:val="00D23D78"/>
    <w:rsid w:val="00D32651"/>
    <w:rsid w:val="00D4010F"/>
    <w:rsid w:val="00D434E4"/>
    <w:rsid w:val="00D51E66"/>
    <w:rsid w:val="00D61566"/>
    <w:rsid w:val="00D64A23"/>
    <w:rsid w:val="00D733DB"/>
    <w:rsid w:val="00D84911"/>
    <w:rsid w:val="00D84AA5"/>
    <w:rsid w:val="00D9736B"/>
    <w:rsid w:val="00DB48C2"/>
    <w:rsid w:val="00DB5355"/>
    <w:rsid w:val="00DC3AD4"/>
    <w:rsid w:val="00DE7517"/>
    <w:rsid w:val="00E043DC"/>
    <w:rsid w:val="00E108B2"/>
    <w:rsid w:val="00E12B71"/>
    <w:rsid w:val="00E148E1"/>
    <w:rsid w:val="00E2682D"/>
    <w:rsid w:val="00E32CA8"/>
    <w:rsid w:val="00E34864"/>
    <w:rsid w:val="00E417C5"/>
    <w:rsid w:val="00E43E6D"/>
    <w:rsid w:val="00E63928"/>
    <w:rsid w:val="00E67A54"/>
    <w:rsid w:val="00E70C34"/>
    <w:rsid w:val="00E713E7"/>
    <w:rsid w:val="00E736B7"/>
    <w:rsid w:val="00E751CA"/>
    <w:rsid w:val="00E800B5"/>
    <w:rsid w:val="00E806CF"/>
    <w:rsid w:val="00E814A8"/>
    <w:rsid w:val="00E8247C"/>
    <w:rsid w:val="00EA2F1D"/>
    <w:rsid w:val="00EA4E61"/>
    <w:rsid w:val="00EB5E80"/>
    <w:rsid w:val="00EB7D9B"/>
    <w:rsid w:val="00ED79A1"/>
    <w:rsid w:val="00EE6E61"/>
    <w:rsid w:val="00EF7391"/>
    <w:rsid w:val="00F10B98"/>
    <w:rsid w:val="00F16861"/>
    <w:rsid w:val="00F274F6"/>
    <w:rsid w:val="00F310CE"/>
    <w:rsid w:val="00F34152"/>
    <w:rsid w:val="00F35C6E"/>
    <w:rsid w:val="00F37AEB"/>
    <w:rsid w:val="00F40A2F"/>
    <w:rsid w:val="00F42F3A"/>
    <w:rsid w:val="00F47EE8"/>
    <w:rsid w:val="00F51758"/>
    <w:rsid w:val="00F55EF4"/>
    <w:rsid w:val="00F64821"/>
    <w:rsid w:val="00F75A7A"/>
    <w:rsid w:val="00F823F7"/>
    <w:rsid w:val="00FC0F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C8C61F-1E96-4CB2-847C-BE476BB3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4010F"/>
    <w:rPr>
      <w:lang w:eastAsia="es-ES"/>
    </w:rPr>
  </w:style>
  <w:style w:type="paragraph" w:styleId="Ttulo1">
    <w:name w:val="heading 1"/>
    <w:aliases w:val="Título Principal"/>
    <w:basedOn w:val="Normal"/>
    <w:next w:val="Normal"/>
    <w:qFormat/>
    <w:rsid w:val="000131C6"/>
    <w:pPr>
      <w:keepNext/>
      <w:widowControl w:val="0"/>
      <w:tabs>
        <w:tab w:val="center" w:pos="4680"/>
      </w:tabs>
      <w:autoSpaceDE w:val="0"/>
      <w:autoSpaceDN w:val="0"/>
      <w:adjustRightInd w:val="0"/>
      <w:jc w:val="both"/>
      <w:outlineLvl w:val="0"/>
    </w:pPr>
    <w:rPr>
      <w:rFonts w:ascii="Arial" w:hAnsi="Arial" w:cs="Arial"/>
      <w:b/>
      <w:bCs/>
      <w:i/>
      <w:iCs/>
      <w:color w:val="000000"/>
      <w:spacing w:val="-3"/>
      <w:sz w:val="24"/>
      <w:szCs w:val="24"/>
      <w:u w:color="000000"/>
      <w:lang w:val="es-ES"/>
    </w:rPr>
  </w:style>
  <w:style w:type="paragraph" w:styleId="Ttulo2">
    <w:name w:val="heading 2"/>
    <w:basedOn w:val="Normal"/>
    <w:next w:val="Normal"/>
    <w:qFormat/>
    <w:rsid w:val="000131C6"/>
    <w:pPr>
      <w:keepNext/>
      <w:widowControl w:val="0"/>
      <w:autoSpaceDE w:val="0"/>
      <w:autoSpaceDN w:val="0"/>
      <w:adjustRightInd w:val="0"/>
      <w:spacing w:before="240" w:after="60"/>
      <w:outlineLvl w:val="1"/>
    </w:pPr>
    <w:rPr>
      <w:rFonts w:ascii="Arial" w:hAnsi="Arial" w:cs="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60755C"/>
    <w:rPr>
      <w:rFonts w:ascii="Tahoma" w:hAnsi="Tahoma" w:cs="Tahoma"/>
      <w:sz w:val="16"/>
      <w:szCs w:val="16"/>
      <w:lang w:val="es-ES"/>
    </w:rPr>
  </w:style>
  <w:style w:type="paragraph" w:styleId="Textoindependiente2">
    <w:name w:val="Body Text 2"/>
    <w:basedOn w:val="Normal"/>
    <w:rsid w:val="00BF0EE8"/>
    <w:pPr>
      <w:jc w:val="both"/>
    </w:pPr>
    <w:rPr>
      <w:rFonts w:ascii="Bookman Old Style" w:hAnsi="Bookman Old Style" w:cs="Bookman Old Style"/>
      <w:sz w:val="24"/>
      <w:szCs w:val="24"/>
      <w:lang w:val="es-ES_tradnl"/>
    </w:rPr>
  </w:style>
  <w:style w:type="character" w:styleId="Hipervnculo">
    <w:name w:val="Hyperlink"/>
    <w:rsid w:val="00BF0EE8"/>
    <w:rPr>
      <w:rFonts w:cs="Times New Roman"/>
      <w:color w:val="0000FF"/>
      <w:u w:val="single"/>
    </w:rPr>
  </w:style>
  <w:style w:type="paragraph" w:customStyle="1" w:styleId="Car">
    <w:name w:val="Car"/>
    <w:basedOn w:val="Normal"/>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rsid w:val="00BF0EE8"/>
    <w:pPr>
      <w:tabs>
        <w:tab w:val="center" w:pos="4252"/>
        <w:tab w:val="right" w:pos="8504"/>
      </w:tabs>
    </w:pPr>
  </w:style>
  <w:style w:type="character" w:customStyle="1" w:styleId="EncabezadoCar">
    <w:name w:val="Encabezado Car"/>
    <w:aliases w:val="encabezado Car"/>
    <w:link w:val="Encabezado"/>
    <w:locked/>
    <w:rsid w:val="009772DD"/>
    <w:rPr>
      <w:lang w:val="es-CR" w:eastAsia="es-ES"/>
    </w:rPr>
  </w:style>
  <w:style w:type="paragraph" w:styleId="Piedepgina">
    <w:name w:val="footer"/>
    <w:basedOn w:val="Normal"/>
    <w:rsid w:val="00BF0EE8"/>
    <w:pPr>
      <w:tabs>
        <w:tab w:val="center" w:pos="4252"/>
        <w:tab w:val="right" w:pos="8504"/>
      </w:tabs>
    </w:pPr>
  </w:style>
  <w:style w:type="character" w:styleId="Nmerodepgina">
    <w:name w:val="page number"/>
    <w:rsid w:val="002F6410"/>
    <w:rPr>
      <w:rFonts w:cs="Times New Roman"/>
    </w:rPr>
  </w:style>
  <w:style w:type="paragraph" w:styleId="NormalWeb">
    <w:name w:val="Normal (Web)"/>
    <w:basedOn w:val="Normal"/>
    <w:uiPriority w:val="99"/>
    <w:rsid w:val="009772DD"/>
    <w:pPr>
      <w:widowControl w:val="0"/>
      <w:autoSpaceDE w:val="0"/>
      <w:autoSpaceDN w:val="0"/>
      <w:adjustRightInd w:val="0"/>
    </w:pPr>
    <w:rPr>
      <w:rFonts w:ascii="Arial Unicode MS" w:eastAsia="Arial Unicode MS" w:hAnsi="Arial" w:cs="Arial Unicode MS"/>
      <w:color w:val="000000"/>
      <w:sz w:val="24"/>
      <w:szCs w:val="24"/>
      <w:u w:color="000000"/>
      <w:lang w:val="es-ES"/>
    </w:rPr>
  </w:style>
  <w:style w:type="table" w:styleId="Tablaconcuadrcula">
    <w:name w:val="Table Grid"/>
    <w:basedOn w:val="Tablanormal"/>
    <w:rsid w:val="0097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B15CB4"/>
    <w:pPr>
      <w:spacing w:after="120"/>
    </w:pPr>
  </w:style>
  <w:style w:type="paragraph" w:styleId="Textonotapie">
    <w:name w:val="footnote text"/>
    <w:basedOn w:val="Normal"/>
    <w:link w:val="TextonotapieCar"/>
    <w:semiHidden/>
    <w:rsid w:val="00B15CB4"/>
    <w:rPr>
      <w:lang w:val="es-ES"/>
    </w:rPr>
  </w:style>
  <w:style w:type="character" w:customStyle="1" w:styleId="TextonotapieCar">
    <w:name w:val="Texto nota pie Car"/>
    <w:link w:val="Textonotapie"/>
    <w:semiHidden/>
    <w:locked/>
    <w:rsid w:val="000131C6"/>
    <w:rPr>
      <w:rFonts w:cs="Times New Roman"/>
      <w:lang w:val="es-ES" w:eastAsia="es-ES"/>
    </w:rPr>
  </w:style>
  <w:style w:type="character" w:styleId="Refdenotaalpie">
    <w:name w:val="footnote reference"/>
    <w:semiHidden/>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val="es-ES" w:eastAsia="es-ES"/>
    </w:rPr>
  </w:style>
  <w:style w:type="paragraph" w:styleId="Textoindependiente3">
    <w:name w:val="Body Text 3"/>
    <w:basedOn w:val="Normal"/>
    <w:rsid w:val="000131C6"/>
    <w:pPr>
      <w:widowControl w:val="0"/>
      <w:autoSpaceDE w:val="0"/>
      <w:autoSpaceDN w:val="0"/>
      <w:adjustRightInd w:val="0"/>
      <w:jc w:val="both"/>
    </w:pPr>
    <w:rPr>
      <w:rFonts w:ascii="Book Antiqua" w:hAnsi="Book Antiqua" w:cs="Book Antiqua"/>
      <w:sz w:val="24"/>
      <w:szCs w:val="24"/>
      <w:lang w:val="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val="es-ES"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basedOn w:val="Normal"/>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Prrafodelista2">
    <w:name w:val="Párrafo de lista2"/>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styleId="Descripcin">
    <w:name w:val="caption"/>
    <w:basedOn w:val="Normal"/>
    <w:next w:val="Normal"/>
    <w:qFormat/>
    <w:rsid w:val="00364509"/>
    <w:pPr>
      <w:widowControl w:val="0"/>
      <w:autoSpaceDE w:val="0"/>
      <w:autoSpaceDN w:val="0"/>
      <w:adjustRightInd w:val="0"/>
    </w:pPr>
    <w:rPr>
      <w:rFonts w:ascii="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7179">
      <w:bodyDiv w:val="1"/>
      <w:marLeft w:val="0"/>
      <w:marRight w:val="0"/>
      <w:marTop w:val="0"/>
      <w:marBottom w:val="0"/>
      <w:divBdr>
        <w:top w:val="none" w:sz="0" w:space="0" w:color="auto"/>
        <w:left w:val="none" w:sz="0" w:space="0" w:color="auto"/>
        <w:bottom w:val="none" w:sz="0" w:space="0" w:color="auto"/>
        <w:right w:val="none" w:sz="0" w:space="0" w:color="auto"/>
      </w:divBdr>
    </w:div>
    <w:div w:id="231896105">
      <w:bodyDiv w:val="1"/>
      <w:marLeft w:val="0"/>
      <w:marRight w:val="0"/>
      <w:marTop w:val="0"/>
      <w:marBottom w:val="0"/>
      <w:divBdr>
        <w:top w:val="none" w:sz="0" w:space="0" w:color="auto"/>
        <w:left w:val="none" w:sz="0" w:space="0" w:color="auto"/>
        <w:bottom w:val="none" w:sz="0" w:space="0" w:color="auto"/>
        <w:right w:val="none" w:sz="0" w:space="0" w:color="auto"/>
      </w:divBdr>
    </w:div>
    <w:div w:id="19174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er-judicial.go.cr/planificacion/" TargetMode="External"/><Relationship Id="rId3" Type="http://schemas.openxmlformats.org/officeDocument/2006/relationships/settings" Target="settings.xml"/><Relationship Id="rId7" Type="http://schemas.openxmlformats.org/officeDocument/2006/relationships/hyperlink" Target="http://intranet/planific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creator>xbarrientos</dc:creator>
  <cp:lastModifiedBy>Carolina Chacon Mejia</cp:lastModifiedBy>
  <cp:revision>33</cp:revision>
  <dcterms:created xsi:type="dcterms:W3CDTF">2017-03-01T15:34:00Z</dcterms:created>
  <dcterms:modified xsi:type="dcterms:W3CDTF">2017-03-03T22:21:00Z</dcterms:modified>
</cp:coreProperties>
</file>