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936B" w14:textId="2264A367" w:rsidR="004E3DB7" w:rsidRPr="00CC7D56" w:rsidRDefault="00980332" w:rsidP="00085DAD">
      <w:pPr>
        <w:ind w:right="51"/>
        <w:jc w:val="right"/>
        <w:rPr>
          <w:rFonts w:ascii="Arial" w:hAnsi="Arial" w:cs="Arial"/>
          <w:sz w:val="22"/>
          <w:szCs w:val="22"/>
          <w:lang w:val="pt-BR"/>
        </w:rPr>
      </w:pPr>
      <w:r>
        <w:rPr>
          <w:rFonts w:ascii="Arial" w:hAnsi="Arial" w:cs="Arial"/>
          <w:sz w:val="22"/>
          <w:szCs w:val="22"/>
          <w:lang w:val="pt-BR"/>
        </w:rPr>
        <w:t>54</w:t>
      </w:r>
      <w:r w:rsidR="004E3DB7" w:rsidRPr="00CC7D56">
        <w:rPr>
          <w:rFonts w:ascii="Arial" w:hAnsi="Arial" w:cs="Arial"/>
          <w:sz w:val="22"/>
          <w:szCs w:val="22"/>
          <w:lang w:val="pt-BR"/>
        </w:rPr>
        <w:t>-PLA-EV-202</w:t>
      </w:r>
      <w:r w:rsidR="00D527D2" w:rsidRPr="00CC7D56">
        <w:rPr>
          <w:rFonts w:ascii="Arial" w:hAnsi="Arial" w:cs="Arial"/>
          <w:sz w:val="22"/>
          <w:szCs w:val="22"/>
          <w:lang w:val="pt-BR"/>
        </w:rPr>
        <w:t>2</w:t>
      </w:r>
    </w:p>
    <w:p w14:paraId="50F55A7E" w14:textId="2DEA6598" w:rsidR="004E3DB7" w:rsidRPr="00CC7D56" w:rsidRDefault="004E3DB7" w:rsidP="00085DAD">
      <w:pPr>
        <w:ind w:right="51"/>
        <w:jc w:val="right"/>
        <w:rPr>
          <w:rFonts w:ascii="Arial" w:hAnsi="Arial" w:cs="Arial"/>
          <w:sz w:val="22"/>
          <w:szCs w:val="22"/>
        </w:rPr>
      </w:pPr>
      <w:r w:rsidRPr="00CC7D56">
        <w:rPr>
          <w:rFonts w:ascii="Arial" w:hAnsi="Arial" w:cs="Arial"/>
          <w:sz w:val="22"/>
          <w:szCs w:val="22"/>
        </w:rPr>
        <w:t xml:space="preserve">Ref. SICE: </w:t>
      </w:r>
      <w:r w:rsidR="00F16C41" w:rsidRPr="00CC7D56">
        <w:rPr>
          <w:rFonts w:ascii="Arial" w:hAnsi="Arial" w:cs="Arial"/>
          <w:sz w:val="22"/>
          <w:szCs w:val="22"/>
        </w:rPr>
        <w:t>2</w:t>
      </w:r>
      <w:r w:rsidR="00452A0B" w:rsidRPr="00CC7D56">
        <w:rPr>
          <w:rFonts w:ascii="Arial" w:hAnsi="Arial" w:cs="Arial"/>
          <w:sz w:val="22"/>
          <w:szCs w:val="22"/>
        </w:rPr>
        <w:t>504</w:t>
      </w:r>
      <w:r w:rsidRPr="00CC7D56">
        <w:rPr>
          <w:rFonts w:ascii="Arial" w:hAnsi="Arial" w:cs="Arial"/>
          <w:sz w:val="22"/>
          <w:szCs w:val="22"/>
        </w:rPr>
        <w:t>-202</w:t>
      </w:r>
      <w:r w:rsidR="00D527D2" w:rsidRPr="00CC7D56">
        <w:rPr>
          <w:rFonts w:ascii="Arial" w:hAnsi="Arial" w:cs="Arial"/>
          <w:sz w:val="22"/>
          <w:szCs w:val="22"/>
        </w:rPr>
        <w:t>1</w:t>
      </w:r>
    </w:p>
    <w:p w14:paraId="6F9D7FD1" w14:textId="77777777" w:rsidR="004E3DB7" w:rsidRPr="00CC7D56" w:rsidRDefault="004E3DB7" w:rsidP="00085DAD">
      <w:pPr>
        <w:ind w:right="51"/>
        <w:jc w:val="right"/>
        <w:rPr>
          <w:rFonts w:ascii="Arial" w:hAnsi="Arial" w:cs="Arial"/>
          <w:sz w:val="22"/>
          <w:szCs w:val="22"/>
          <w:lang w:val="pt-BR"/>
        </w:rPr>
      </w:pPr>
    </w:p>
    <w:p w14:paraId="083D7249" w14:textId="1645D4A9" w:rsidR="004E3DB7" w:rsidRPr="00CC7D56" w:rsidRDefault="002267D8" w:rsidP="00085DAD">
      <w:pPr>
        <w:ind w:right="51"/>
        <w:rPr>
          <w:rFonts w:ascii="Arial" w:hAnsi="Arial" w:cs="Arial"/>
          <w:sz w:val="22"/>
          <w:szCs w:val="22"/>
          <w:lang w:val="pt-BR"/>
        </w:rPr>
      </w:pPr>
      <w:r>
        <w:rPr>
          <w:rFonts w:ascii="Arial" w:hAnsi="Arial" w:cs="Arial"/>
          <w:sz w:val="22"/>
          <w:szCs w:val="22"/>
          <w:lang w:val="pt-BR"/>
        </w:rPr>
        <w:t>20</w:t>
      </w:r>
      <w:r w:rsidR="004E3DB7" w:rsidRPr="00CC7D56">
        <w:rPr>
          <w:rFonts w:ascii="Arial" w:hAnsi="Arial" w:cs="Arial"/>
          <w:sz w:val="22"/>
          <w:szCs w:val="22"/>
          <w:lang w:val="pt-BR"/>
        </w:rPr>
        <w:t xml:space="preserve"> de enero de 202</w:t>
      </w:r>
      <w:r w:rsidR="00452A0B" w:rsidRPr="00CC7D56">
        <w:rPr>
          <w:rFonts w:ascii="Arial" w:hAnsi="Arial" w:cs="Arial"/>
          <w:sz w:val="22"/>
          <w:szCs w:val="22"/>
          <w:lang w:val="pt-BR"/>
        </w:rPr>
        <w:t>2</w:t>
      </w:r>
    </w:p>
    <w:p w14:paraId="385609A6" w14:textId="77777777" w:rsidR="004E3DB7" w:rsidRPr="00CC7D56" w:rsidRDefault="004E3DB7" w:rsidP="00085DAD">
      <w:pPr>
        <w:ind w:right="51"/>
        <w:rPr>
          <w:rFonts w:ascii="Arial" w:hAnsi="Arial" w:cs="Arial"/>
          <w:sz w:val="22"/>
          <w:szCs w:val="22"/>
          <w:lang w:val="pt-BR"/>
        </w:rPr>
      </w:pPr>
    </w:p>
    <w:p w14:paraId="57BD08CF" w14:textId="68E33D3F" w:rsidR="004E3DB7" w:rsidRDefault="004E3DB7" w:rsidP="00085DAD">
      <w:pPr>
        <w:ind w:right="51"/>
        <w:rPr>
          <w:rFonts w:ascii="Arial" w:hAnsi="Arial" w:cs="Arial"/>
          <w:sz w:val="22"/>
          <w:szCs w:val="22"/>
          <w:lang w:val="pt-BR"/>
        </w:rPr>
      </w:pPr>
    </w:p>
    <w:p w14:paraId="70B18807" w14:textId="56075923" w:rsidR="00980332" w:rsidRDefault="00980332" w:rsidP="00085DAD">
      <w:pPr>
        <w:ind w:right="51"/>
        <w:rPr>
          <w:rFonts w:ascii="Arial" w:hAnsi="Arial" w:cs="Arial"/>
          <w:sz w:val="22"/>
          <w:szCs w:val="22"/>
          <w:lang w:val="pt-BR"/>
        </w:rPr>
      </w:pPr>
    </w:p>
    <w:p w14:paraId="72F36B4E" w14:textId="77777777" w:rsidR="00085DAD" w:rsidRPr="00CC7D56" w:rsidRDefault="00085DAD" w:rsidP="00085DAD">
      <w:pPr>
        <w:ind w:right="51"/>
        <w:rPr>
          <w:rFonts w:ascii="Arial" w:hAnsi="Arial" w:cs="Arial"/>
          <w:sz w:val="22"/>
          <w:szCs w:val="22"/>
          <w:lang w:val="pt-BR"/>
        </w:rPr>
      </w:pPr>
    </w:p>
    <w:p w14:paraId="68AD8DD1" w14:textId="77777777" w:rsidR="004E3DB7" w:rsidRPr="00CC7D56" w:rsidRDefault="004E3DB7" w:rsidP="00085DAD">
      <w:pPr>
        <w:ind w:right="51"/>
        <w:rPr>
          <w:rFonts w:ascii="Arial" w:hAnsi="Arial" w:cs="Arial"/>
          <w:sz w:val="22"/>
          <w:szCs w:val="22"/>
          <w:lang w:val="pt-BR"/>
        </w:rPr>
      </w:pPr>
      <w:r w:rsidRPr="00CC7D56">
        <w:rPr>
          <w:rFonts w:ascii="Arial" w:hAnsi="Arial" w:cs="Arial"/>
          <w:sz w:val="22"/>
          <w:szCs w:val="22"/>
          <w:lang w:val="pt-BR"/>
        </w:rPr>
        <w:t>Licenciada</w:t>
      </w:r>
    </w:p>
    <w:p w14:paraId="6526897A" w14:textId="77777777" w:rsidR="004E3DB7" w:rsidRPr="00CC7D56" w:rsidRDefault="004E3DB7" w:rsidP="00085DAD">
      <w:pPr>
        <w:ind w:right="51"/>
        <w:rPr>
          <w:rFonts w:ascii="Arial" w:hAnsi="Arial" w:cs="Arial"/>
          <w:sz w:val="22"/>
          <w:szCs w:val="22"/>
          <w:lang w:val="pt-BR"/>
        </w:rPr>
      </w:pPr>
      <w:r w:rsidRPr="00CC7D56">
        <w:rPr>
          <w:rFonts w:ascii="Arial" w:hAnsi="Arial" w:cs="Arial"/>
          <w:sz w:val="22"/>
          <w:szCs w:val="22"/>
          <w:lang w:val="pt-BR"/>
        </w:rPr>
        <w:t xml:space="preserve">Silvia Navarro Romanini </w:t>
      </w:r>
    </w:p>
    <w:p w14:paraId="12750582" w14:textId="77777777" w:rsidR="004E3DB7" w:rsidRPr="00CC7D56" w:rsidRDefault="004E3DB7" w:rsidP="00085DAD">
      <w:pPr>
        <w:ind w:right="51"/>
        <w:rPr>
          <w:rFonts w:ascii="Arial" w:hAnsi="Arial" w:cs="Arial"/>
          <w:sz w:val="22"/>
          <w:szCs w:val="22"/>
        </w:rPr>
      </w:pPr>
      <w:r w:rsidRPr="00CC7D56">
        <w:rPr>
          <w:rFonts w:ascii="Arial" w:hAnsi="Arial" w:cs="Arial"/>
          <w:sz w:val="22"/>
          <w:szCs w:val="22"/>
        </w:rPr>
        <w:t>Secretaría General de la Corte</w:t>
      </w:r>
    </w:p>
    <w:p w14:paraId="2E610D31" w14:textId="77777777" w:rsidR="004E3DB7" w:rsidRPr="00CC7D56" w:rsidRDefault="004E3DB7" w:rsidP="00085DAD">
      <w:pPr>
        <w:ind w:right="51"/>
        <w:rPr>
          <w:rFonts w:ascii="Arial" w:hAnsi="Arial" w:cs="Arial"/>
          <w:sz w:val="22"/>
          <w:szCs w:val="22"/>
        </w:rPr>
      </w:pPr>
    </w:p>
    <w:p w14:paraId="5C43D6C8" w14:textId="77777777" w:rsidR="004E3DB7" w:rsidRPr="00CC7D56" w:rsidRDefault="004E3DB7" w:rsidP="00085DAD">
      <w:pPr>
        <w:ind w:right="51"/>
        <w:rPr>
          <w:rFonts w:ascii="Arial" w:hAnsi="Arial" w:cs="Arial"/>
          <w:snapToGrid w:val="0"/>
          <w:sz w:val="22"/>
          <w:szCs w:val="22"/>
          <w:lang w:val="pt-BR"/>
        </w:rPr>
      </w:pPr>
    </w:p>
    <w:p w14:paraId="3193A986" w14:textId="77777777" w:rsidR="004E3DB7" w:rsidRPr="00CC7D56" w:rsidRDefault="004E3DB7" w:rsidP="00085DAD">
      <w:pPr>
        <w:ind w:right="51"/>
        <w:rPr>
          <w:rFonts w:ascii="Arial" w:hAnsi="Arial" w:cs="Arial"/>
          <w:snapToGrid w:val="0"/>
          <w:sz w:val="22"/>
          <w:szCs w:val="22"/>
          <w:lang w:val="pt-BR"/>
        </w:rPr>
      </w:pPr>
      <w:r w:rsidRPr="00CC7D56">
        <w:rPr>
          <w:rFonts w:ascii="Arial" w:hAnsi="Arial" w:cs="Arial"/>
          <w:snapToGrid w:val="0"/>
          <w:sz w:val="22"/>
          <w:szCs w:val="22"/>
          <w:lang w:val="pt-BR"/>
        </w:rPr>
        <w:t>Estimada señora:</w:t>
      </w:r>
    </w:p>
    <w:p w14:paraId="08DB3E9E" w14:textId="77777777" w:rsidR="004E3DB7" w:rsidRPr="00CC7D56" w:rsidRDefault="004E3DB7" w:rsidP="00085DAD">
      <w:pPr>
        <w:ind w:right="51"/>
        <w:jc w:val="both"/>
        <w:rPr>
          <w:rFonts w:ascii="Arial" w:hAnsi="Arial" w:cs="Arial"/>
          <w:snapToGrid w:val="0"/>
          <w:sz w:val="22"/>
          <w:szCs w:val="22"/>
          <w:lang w:val="pt-BR"/>
        </w:rPr>
      </w:pPr>
    </w:p>
    <w:p w14:paraId="712FE9CD" w14:textId="04DB3DAC" w:rsidR="004E3DB7" w:rsidRPr="00CC7D56" w:rsidRDefault="004E3DB7" w:rsidP="00085DAD">
      <w:pPr>
        <w:ind w:right="51"/>
        <w:jc w:val="both"/>
        <w:rPr>
          <w:rFonts w:ascii="Arial" w:hAnsi="Arial" w:cs="Arial"/>
          <w:sz w:val="22"/>
          <w:szCs w:val="22"/>
        </w:rPr>
      </w:pPr>
      <w:r w:rsidRPr="00CC7D56">
        <w:rPr>
          <w:rFonts w:ascii="Arial" w:hAnsi="Arial" w:cs="Arial"/>
          <w:sz w:val="22"/>
          <w:szCs w:val="22"/>
          <w:lang w:val="pt-BR"/>
        </w:rPr>
        <w:t>L</w:t>
      </w:r>
      <w:r w:rsidRPr="00CC7D56">
        <w:rPr>
          <w:rFonts w:ascii="Arial" w:hAnsi="Arial" w:cs="Arial"/>
          <w:sz w:val="22"/>
          <w:szCs w:val="22"/>
        </w:rPr>
        <w:t xml:space="preserve">e remito el informe suscrito por </w:t>
      </w:r>
      <w:r w:rsidR="00E520E2" w:rsidRPr="00CC7D56">
        <w:rPr>
          <w:rFonts w:ascii="Arial" w:hAnsi="Arial" w:cs="Arial"/>
          <w:sz w:val="22"/>
          <w:szCs w:val="22"/>
        </w:rPr>
        <w:t>la</w:t>
      </w:r>
      <w:r w:rsidRPr="00CC7D56">
        <w:rPr>
          <w:rFonts w:ascii="Arial" w:hAnsi="Arial" w:cs="Arial"/>
          <w:sz w:val="22"/>
          <w:szCs w:val="22"/>
        </w:rPr>
        <w:t xml:space="preserve"> </w:t>
      </w:r>
      <w:r w:rsidRPr="00CC7D56">
        <w:rPr>
          <w:rFonts w:ascii="Arial" w:hAnsi="Arial" w:cs="Arial"/>
          <w:snapToGrid w:val="0"/>
          <w:sz w:val="22"/>
          <w:szCs w:val="22"/>
          <w:lang w:val="pt-BR"/>
        </w:rPr>
        <w:t>Ing</w:t>
      </w:r>
      <w:r w:rsidR="00E520E2" w:rsidRPr="00CC7D56">
        <w:rPr>
          <w:rFonts w:ascii="Arial" w:hAnsi="Arial" w:cs="Arial"/>
          <w:snapToGrid w:val="0"/>
          <w:sz w:val="22"/>
          <w:szCs w:val="22"/>
          <w:lang w:val="pt-BR"/>
        </w:rPr>
        <w:t>a</w:t>
      </w:r>
      <w:r w:rsidRPr="00CC7D56">
        <w:rPr>
          <w:rFonts w:ascii="Arial" w:hAnsi="Arial" w:cs="Arial"/>
          <w:snapToGrid w:val="0"/>
          <w:sz w:val="22"/>
          <w:szCs w:val="22"/>
          <w:lang w:val="pt-BR"/>
        </w:rPr>
        <w:t xml:space="preserve">. </w:t>
      </w:r>
      <w:r w:rsidR="00E520E2" w:rsidRPr="00CC7D56">
        <w:rPr>
          <w:rFonts w:ascii="Arial" w:hAnsi="Arial" w:cs="Arial"/>
          <w:snapToGrid w:val="0"/>
          <w:sz w:val="22"/>
          <w:szCs w:val="22"/>
          <w:lang w:val="pt-BR"/>
        </w:rPr>
        <w:t>Elena Gabriela Picado González</w:t>
      </w:r>
      <w:r w:rsidRPr="00CC7D56">
        <w:rPr>
          <w:rFonts w:ascii="Arial" w:hAnsi="Arial" w:cs="Arial"/>
          <w:snapToGrid w:val="0"/>
          <w:sz w:val="22"/>
          <w:szCs w:val="22"/>
          <w:lang w:val="pt-BR"/>
        </w:rPr>
        <w:t>, Jef</w:t>
      </w:r>
      <w:r w:rsidR="00E520E2" w:rsidRPr="00CC7D56">
        <w:rPr>
          <w:rFonts w:ascii="Arial" w:hAnsi="Arial" w:cs="Arial"/>
          <w:snapToGrid w:val="0"/>
          <w:sz w:val="22"/>
          <w:szCs w:val="22"/>
          <w:lang w:val="pt-BR"/>
        </w:rPr>
        <w:t>a</w:t>
      </w:r>
      <w:r w:rsidR="00980332">
        <w:rPr>
          <w:rFonts w:ascii="Arial" w:hAnsi="Arial" w:cs="Arial"/>
          <w:snapToGrid w:val="0"/>
          <w:sz w:val="22"/>
          <w:szCs w:val="22"/>
          <w:lang w:val="pt-BR"/>
        </w:rPr>
        <w:t xml:space="preserve"> a.i.</w:t>
      </w:r>
      <w:r w:rsidR="00F36D07" w:rsidRPr="00CC7D56">
        <w:rPr>
          <w:rFonts w:ascii="Arial" w:hAnsi="Arial" w:cs="Arial"/>
          <w:snapToGrid w:val="0"/>
          <w:sz w:val="22"/>
          <w:szCs w:val="22"/>
          <w:lang w:val="pt-BR"/>
        </w:rPr>
        <w:t xml:space="preserve"> </w:t>
      </w:r>
      <w:r w:rsidRPr="00CC7D56">
        <w:rPr>
          <w:rFonts w:ascii="Arial" w:hAnsi="Arial" w:cs="Arial"/>
          <w:snapToGrid w:val="0"/>
          <w:sz w:val="22"/>
          <w:szCs w:val="22"/>
          <w:lang w:val="pt-BR"/>
        </w:rPr>
        <w:t xml:space="preserve">del Subproceso de Evaluación, </w:t>
      </w:r>
      <w:r w:rsidRPr="00CC7D56">
        <w:rPr>
          <w:rFonts w:ascii="Arial" w:hAnsi="Arial" w:cs="Arial"/>
          <w:sz w:val="22"/>
          <w:szCs w:val="22"/>
        </w:rPr>
        <w:t>relacionado con los “</w:t>
      </w:r>
      <w:r w:rsidRPr="00CC7D56">
        <w:rPr>
          <w:rFonts w:ascii="Arial" w:hAnsi="Arial" w:cs="Arial"/>
          <w:i/>
          <w:sz w:val="22"/>
          <w:szCs w:val="22"/>
        </w:rPr>
        <w:t>Lineamientos sobre Formulación, Ejecución y Evaluación del Presupuesto de la República</w:t>
      </w:r>
      <w:r w:rsidRPr="00CC7D56">
        <w:rPr>
          <w:rFonts w:ascii="Arial" w:hAnsi="Arial" w:cs="Arial"/>
          <w:sz w:val="22"/>
          <w:szCs w:val="22"/>
        </w:rPr>
        <w:t>”</w:t>
      </w:r>
      <w:r w:rsidR="001C4899" w:rsidRPr="00CC7D56">
        <w:rPr>
          <w:rFonts w:ascii="Arial" w:hAnsi="Arial" w:cs="Arial"/>
          <w:sz w:val="22"/>
          <w:szCs w:val="22"/>
        </w:rPr>
        <w:t xml:space="preserve">, específicamente el </w:t>
      </w:r>
      <w:r w:rsidR="001C4899" w:rsidRPr="00CC7D56">
        <w:rPr>
          <w:rFonts w:ascii="Arial" w:hAnsi="Arial" w:cs="Arial"/>
          <w:i/>
          <w:iCs/>
          <w:sz w:val="22"/>
          <w:szCs w:val="22"/>
        </w:rPr>
        <w:t>“Informe de Evaluación Anual de la Ejecución del Presupuesto 20</w:t>
      </w:r>
      <w:r w:rsidR="0086133D" w:rsidRPr="00CC7D56">
        <w:rPr>
          <w:rFonts w:ascii="Arial" w:hAnsi="Arial" w:cs="Arial"/>
          <w:i/>
          <w:iCs/>
          <w:sz w:val="22"/>
          <w:szCs w:val="22"/>
        </w:rPr>
        <w:t>2</w:t>
      </w:r>
      <w:r w:rsidR="005575F1" w:rsidRPr="00CC7D56">
        <w:rPr>
          <w:rFonts w:ascii="Arial" w:hAnsi="Arial" w:cs="Arial"/>
          <w:i/>
          <w:iCs/>
          <w:sz w:val="22"/>
          <w:szCs w:val="22"/>
        </w:rPr>
        <w:t>1</w:t>
      </w:r>
      <w:r w:rsidR="001C4899" w:rsidRPr="00CC7D56">
        <w:rPr>
          <w:rFonts w:ascii="Arial" w:hAnsi="Arial" w:cs="Arial"/>
          <w:i/>
          <w:iCs/>
          <w:sz w:val="22"/>
          <w:szCs w:val="22"/>
        </w:rPr>
        <w:t>”</w:t>
      </w:r>
      <w:r w:rsidR="001C4899" w:rsidRPr="00CC7D56">
        <w:rPr>
          <w:rFonts w:ascii="Arial" w:hAnsi="Arial" w:cs="Arial"/>
          <w:sz w:val="22"/>
          <w:szCs w:val="22"/>
        </w:rPr>
        <w:t xml:space="preserve"> con el resultado de la evaluación realizada a los programas presupuestarios del Título 301 </w:t>
      </w:r>
      <w:r w:rsidR="00980332">
        <w:rPr>
          <w:rFonts w:ascii="Arial" w:hAnsi="Arial" w:cs="Arial"/>
          <w:sz w:val="22"/>
          <w:szCs w:val="22"/>
        </w:rPr>
        <w:t xml:space="preserve">del </w:t>
      </w:r>
      <w:r w:rsidR="001C4899" w:rsidRPr="00CC7D56">
        <w:rPr>
          <w:rFonts w:ascii="Arial" w:hAnsi="Arial" w:cs="Arial"/>
          <w:sz w:val="22"/>
          <w:szCs w:val="22"/>
        </w:rPr>
        <w:t>Poder Judicial con corte al 31 de diciembre del 20</w:t>
      </w:r>
      <w:r w:rsidR="0086133D" w:rsidRPr="00CC7D56">
        <w:rPr>
          <w:rFonts w:ascii="Arial" w:hAnsi="Arial" w:cs="Arial"/>
          <w:sz w:val="22"/>
          <w:szCs w:val="22"/>
        </w:rPr>
        <w:t>2</w:t>
      </w:r>
      <w:r w:rsidR="005575F1" w:rsidRPr="00CC7D56">
        <w:rPr>
          <w:rFonts w:ascii="Arial" w:hAnsi="Arial" w:cs="Arial"/>
          <w:sz w:val="22"/>
          <w:szCs w:val="22"/>
        </w:rPr>
        <w:t>1</w:t>
      </w:r>
      <w:r w:rsidR="001C4899" w:rsidRPr="00CC7D56">
        <w:rPr>
          <w:rFonts w:ascii="Arial" w:hAnsi="Arial" w:cs="Arial"/>
          <w:sz w:val="22"/>
          <w:szCs w:val="22"/>
        </w:rPr>
        <w:t>.</w:t>
      </w:r>
    </w:p>
    <w:p w14:paraId="28E98C1C" w14:textId="77777777" w:rsidR="00694F94" w:rsidRPr="00CC7D56" w:rsidRDefault="00694F94" w:rsidP="00085DAD">
      <w:pPr>
        <w:ind w:right="51" w:firstLine="708"/>
        <w:jc w:val="both"/>
        <w:rPr>
          <w:rFonts w:ascii="Arial" w:hAnsi="Arial" w:cs="Arial"/>
          <w:sz w:val="22"/>
          <w:szCs w:val="22"/>
        </w:rPr>
      </w:pPr>
    </w:p>
    <w:p w14:paraId="3441FE46" w14:textId="36C51692" w:rsidR="00D83D66" w:rsidRDefault="00694F94" w:rsidP="00085DAD">
      <w:pPr>
        <w:ind w:right="51"/>
        <w:jc w:val="both"/>
        <w:rPr>
          <w:rFonts w:ascii="Arial" w:hAnsi="Arial" w:cs="Arial"/>
          <w:color w:val="000000"/>
          <w:sz w:val="22"/>
          <w:szCs w:val="22"/>
          <w:lang w:val="es-CR" w:eastAsia="es-CR"/>
        </w:rPr>
      </w:pPr>
      <w:r w:rsidRPr="00262D3C">
        <w:rPr>
          <w:rFonts w:ascii="Arial" w:hAnsi="Arial" w:cs="Arial"/>
          <w:sz w:val="22"/>
          <w:szCs w:val="22"/>
          <w:lang w:val="pt-BR"/>
        </w:rPr>
        <w:t xml:space="preserve">Se considera importante indicar al Consejo Superior </w:t>
      </w:r>
      <w:r w:rsidR="008423B0">
        <w:rPr>
          <w:rFonts w:ascii="Arial" w:hAnsi="Arial" w:cs="Arial"/>
          <w:color w:val="000000"/>
          <w:sz w:val="22"/>
          <w:szCs w:val="22"/>
          <w:lang w:val="es-CR" w:eastAsia="es-CR"/>
        </w:rPr>
        <w:t>que</w:t>
      </w:r>
      <w:r w:rsidR="00353FB2">
        <w:rPr>
          <w:rFonts w:ascii="Arial" w:hAnsi="Arial" w:cs="Arial"/>
          <w:color w:val="000000"/>
          <w:sz w:val="22"/>
          <w:szCs w:val="22"/>
          <w:lang w:val="es-CR" w:eastAsia="es-CR"/>
        </w:rPr>
        <w:t xml:space="preserve"> </w:t>
      </w:r>
      <w:r w:rsidR="00711670" w:rsidRPr="006750CC">
        <w:rPr>
          <w:rFonts w:ascii="Arial" w:hAnsi="Arial" w:cs="Arial"/>
          <w:sz w:val="22"/>
          <w:szCs w:val="22"/>
          <w:lang w:val="pt-BR"/>
        </w:rPr>
        <w:t xml:space="preserve">al igual que en el informe de seguimiento semestral 2021, </w:t>
      </w:r>
      <w:r w:rsidR="00A964AF">
        <w:rPr>
          <w:rFonts w:ascii="Arial" w:hAnsi="Arial" w:cs="Arial"/>
          <w:sz w:val="22"/>
          <w:szCs w:val="22"/>
          <w:lang w:val="pt-BR"/>
        </w:rPr>
        <w:t>en el</w:t>
      </w:r>
      <w:r w:rsidR="008423B0" w:rsidRPr="006750CC">
        <w:rPr>
          <w:rFonts w:ascii="Arial" w:hAnsi="Arial" w:cs="Arial"/>
          <w:sz w:val="22"/>
          <w:szCs w:val="22"/>
          <w:lang w:val="pt-BR"/>
        </w:rPr>
        <w:t xml:space="preserve"> apartado 1.2 Normas de Ejecución, </w:t>
      </w:r>
      <w:r w:rsidR="00A964AF">
        <w:rPr>
          <w:rFonts w:ascii="Arial" w:hAnsi="Arial" w:cs="Arial"/>
          <w:sz w:val="22"/>
          <w:szCs w:val="22"/>
          <w:lang w:val="pt-BR"/>
        </w:rPr>
        <w:t xml:space="preserve">concretamente em cuanto al </w:t>
      </w:r>
      <w:r w:rsidR="008423B0" w:rsidRPr="006750CC">
        <w:rPr>
          <w:rFonts w:ascii="Arial" w:hAnsi="Arial" w:cs="Arial"/>
          <w:sz w:val="22"/>
          <w:szCs w:val="22"/>
          <w:lang w:val="pt-BR"/>
        </w:rPr>
        <w:t xml:space="preserve">cumplimiento de la norma 20 de ejecución presupuestaria 2021, </w:t>
      </w:r>
      <w:r w:rsidR="00A964AF">
        <w:rPr>
          <w:rFonts w:ascii="Arial" w:hAnsi="Arial" w:cs="Arial"/>
          <w:color w:val="000000"/>
          <w:sz w:val="22"/>
          <w:szCs w:val="22"/>
          <w:lang w:val="es-CR" w:eastAsia="es-CR"/>
        </w:rPr>
        <w:t xml:space="preserve">se </w:t>
      </w:r>
      <w:r w:rsidRPr="00CC7D56">
        <w:rPr>
          <w:rFonts w:ascii="Arial" w:hAnsi="Arial" w:cs="Arial"/>
          <w:color w:val="000000"/>
          <w:sz w:val="22"/>
          <w:szCs w:val="22"/>
          <w:lang w:val="es-CR" w:eastAsia="es-CR"/>
        </w:rPr>
        <w:t>incluyó l</w:t>
      </w:r>
      <w:r w:rsidR="00791278">
        <w:rPr>
          <w:rFonts w:ascii="Arial" w:hAnsi="Arial" w:cs="Arial"/>
          <w:color w:val="000000"/>
          <w:sz w:val="22"/>
          <w:szCs w:val="22"/>
          <w:lang w:val="es-CR" w:eastAsia="es-CR"/>
        </w:rPr>
        <w:t>a</w:t>
      </w:r>
      <w:r w:rsidRPr="00CC7D56">
        <w:rPr>
          <w:rFonts w:ascii="Arial" w:hAnsi="Arial" w:cs="Arial"/>
          <w:color w:val="000000"/>
          <w:sz w:val="22"/>
          <w:szCs w:val="22"/>
          <w:lang w:val="es-CR" w:eastAsia="es-CR"/>
        </w:rPr>
        <w:t xml:space="preserve"> </w:t>
      </w:r>
      <w:r w:rsidR="00791278">
        <w:rPr>
          <w:rFonts w:ascii="Arial" w:hAnsi="Arial" w:cs="Arial"/>
          <w:color w:val="000000"/>
          <w:sz w:val="22"/>
          <w:szCs w:val="22"/>
          <w:lang w:val="es-CR" w:eastAsia="es-CR"/>
        </w:rPr>
        <w:t xml:space="preserve">información </w:t>
      </w:r>
      <w:r w:rsidRPr="00CC7D56">
        <w:rPr>
          <w:rFonts w:ascii="Arial" w:hAnsi="Arial" w:cs="Arial"/>
          <w:color w:val="000000"/>
          <w:sz w:val="22"/>
          <w:szCs w:val="22"/>
          <w:lang w:val="es-CR" w:eastAsia="es-CR"/>
        </w:rPr>
        <w:t>relativ</w:t>
      </w:r>
      <w:r w:rsidR="00791278">
        <w:rPr>
          <w:rFonts w:ascii="Arial" w:hAnsi="Arial" w:cs="Arial"/>
          <w:color w:val="000000"/>
          <w:sz w:val="22"/>
          <w:szCs w:val="22"/>
          <w:lang w:val="es-CR" w:eastAsia="es-CR"/>
        </w:rPr>
        <w:t>a</w:t>
      </w:r>
      <w:r w:rsidRPr="00CC7D56">
        <w:rPr>
          <w:rFonts w:ascii="Arial" w:hAnsi="Arial" w:cs="Arial"/>
          <w:color w:val="000000"/>
          <w:sz w:val="22"/>
          <w:szCs w:val="22"/>
          <w:lang w:val="es-CR" w:eastAsia="es-CR"/>
        </w:rPr>
        <w:t xml:space="preserve"> al proyecto 002842 Consultoría y Construcción de un Complejo Judicial para el Poder Judicial en Buenos Aires de Puntarenas, el cual está compuesto por dos edificaciones, en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w:t>
      </w:r>
    </w:p>
    <w:p w14:paraId="44EBA85B" w14:textId="77777777" w:rsidR="00D83D66" w:rsidRDefault="00D83D66" w:rsidP="00085DAD">
      <w:pPr>
        <w:ind w:right="51"/>
        <w:jc w:val="both"/>
        <w:rPr>
          <w:rFonts w:ascii="Arial" w:hAnsi="Arial" w:cs="Arial"/>
          <w:color w:val="000000"/>
          <w:sz w:val="22"/>
          <w:szCs w:val="22"/>
          <w:lang w:val="es-CR" w:eastAsia="es-CR"/>
        </w:rPr>
      </w:pPr>
    </w:p>
    <w:p w14:paraId="39C558F1" w14:textId="7F687622" w:rsidR="00694F94" w:rsidRDefault="00694F94" w:rsidP="00085DAD">
      <w:pPr>
        <w:ind w:right="51"/>
        <w:jc w:val="both"/>
        <w:rPr>
          <w:rFonts w:ascii="Arial" w:hAnsi="Arial" w:cs="Arial"/>
          <w:color w:val="000000"/>
          <w:sz w:val="22"/>
          <w:szCs w:val="22"/>
          <w:lang w:val="es-CR" w:eastAsia="es-CR"/>
        </w:rPr>
      </w:pPr>
      <w:r w:rsidRPr="00CC7D56">
        <w:rPr>
          <w:rFonts w:ascii="Arial" w:hAnsi="Arial" w:cs="Arial"/>
          <w:color w:val="000000"/>
          <w:sz w:val="22"/>
          <w:szCs w:val="22"/>
          <w:lang w:val="es-CR" w:eastAsia="es-CR"/>
        </w:rPr>
        <w:t>Es importante destacar que este proyecto se encuentra incorporado dentro del Banco de Proyectos de MIDEPLAN porque será financiado mediante un empréstito soberano, por cuanto el Poder Judicial no cuenta con presupuesto para realizar estas etapas por medio de un empréstito con el Banco.</w:t>
      </w:r>
    </w:p>
    <w:p w14:paraId="6588FEA5" w14:textId="77777777" w:rsidR="00085DAD" w:rsidRPr="00CC7D56" w:rsidRDefault="00085DAD" w:rsidP="00085DAD">
      <w:pPr>
        <w:ind w:right="51"/>
        <w:jc w:val="both"/>
        <w:rPr>
          <w:rFonts w:ascii="Arial" w:hAnsi="Arial" w:cs="Arial"/>
          <w:color w:val="000000"/>
          <w:sz w:val="22"/>
          <w:szCs w:val="22"/>
          <w:lang w:val="es-CR" w:eastAsia="es-CR"/>
        </w:rPr>
      </w:pPr>
    </w:p>
    <w:p w14:paraId="57619A65" w14:textId="2DE9BF58" w:rsidR="00694F94" w:rsidRPr="00CC7D56" w:rsidRDefault="00694F94" w:rsidP="00085DAD">
      <w:pPr>
        <w:ind w:right="51"/>
        <w:jc w:val="both"/>
        <w:rPr>
          <w:rFonts w:ascii="Arial" w:hAnsi="Arial" w:cs="Arial"/>
          <w:color w:val="000000"/>
          <w:sz w:val="22"/>
          <w:szCs w:val="22"/>
          <w:lang w:val="es-CR" w:eastAsia="es-CR"/>
        </w:rPr>
      </w:pPr>
      <w:r w:rsidRPr="00CC7D56">
        <w:rPr>
          <w:rFonts w:ascii="Arial" w:hAnsi="Arial" w:cs="Arial"/>
          <w:color w:val="000000"/>
          <w:sz w:val="22"/>
          <w:szCs w:val="22"/>
          <w:lang w:val="es-CR" w:eastAsia="es-CR"/>
        </w:rPr>
        <w:t xml:space="preserve">Adicionalmente, </w:t>
      </w:r>
      <w:r w:rsidR="001D60A6">
        <w:rPr>
          <w:rFonts w:ascii="Arial" w:hAnsi="Arial" w:cs="Arial"/>
          <w:color w:val="000000"/>
          <w:sz w:val="22"/>
          <w:szCs w:val="22"/>
          <w:lang w:val="es-CR" w:eastAsia="es-CR"/>
        </w:rPr>
        <w:t>se incorpora</w:t>
      </w:r>
      <w:r w:rsidRPr="00CC7D56">
        <w:rPr>
          <w:rFonts w:ascii="Arial" w:hAnsi="Arial" w:cs="Arial"/>
          <w:color w:val="000000"/>
          <w:sz w:val="22"/>
          <w:szCs w:val="22"/>
          <w:lang w:val="es-CR" w:eastAsia="es-CR"/>
        </w:rPr>
        <w:t xml:space="preserve"> como parte del documento, la información relativa a los diferentes procedimientos de compra relacionados con los proyectos de inversión del Portafolio de Proyectos Institucional y las diferentes compras o labores operativas financiadas con los recursos de la partida 5 </w:t>
      </w:r>
      <w:r w:rsidR="001762DD">
        <w:rPr>
          <w:rFonts w:ascii="Arial" w:hAnsi="Arial" w:cs="Arial"/>
          <w:color w:val="000000"/>
          <w:sz w:val="22"/>
          <w:szCs w:val="22"/>
          <w:lang w:val="es-CR" w:eastAsia="es-CR"/>
        </w:rPr>
        <w:t>“</w:t>
      </w:r>
      <w:r w:rsidRPr="00CC7D56">
        <w:rPr>
          <w:rFonts w:ascii="Arial" w:hAnsi="Arial" w:cs="Arial"/>
          <w:color w:val="000000"/>
          <w:sz w:val="22"/>
          <w:szCs w:val="22"/>
          <w:lang w:val="es-CR" w:eastAsia="es-CR"/>
        </w:rPr>
        <w:t>Bienes Duraderos</w:t>
      </w:r>
      <w:r w:rsidR="001762DD">
        <w:rPr>
          <w:rFonts w:ascii="Arial" w:hAnsi="Arial" w:cs="Arial"/>
          <w:color w:val="000000"/>
          <w:sz w:val="22"/>
          <w:szCs w:val="22"/>
          <w:lang w:val="es-CR" w:eastAsia="es-CR"/>
        </w:rPr>
        <w:t>”</w:t>
      </w:r>
      <w:r w:rsidRPr="00CC7D56">
        <w:rPr>
          <w:rFonts w:ascii="Arial" w:hAnsi="Arial" w:cs="Arial"/>
          <w:color w:val="000000"/>
          <w:sz w:val="22"/>
          <w:szCs w:val="22"/>
          <w:lang w:val="es-CR" w:eastAsia="es-CR"/>
        </w:rPr>
        <w:t>.</w:t>
      </w:r>
      <w:r w:rsidR="00CA7C6F">
        <w:rPr>
          <w:rFonts w:ascii="Arial" w:hAnsi="Arial" w:cs="Arial"/>
          <w:color w:val="000000"/>
          <w:sz w:val="22"/>
          <w:szCs w:val="22"/>
          <w:lang w:val="es-CR" w:eastAsia="es-CR"/>
        </w:rPr>
        <w:t xml:space="preserve">  </w:t>
      </w:r>
      <w:r w:rsidRPr="00CC7D56">
        <w:rPr>
          <w:rFonts w:ascii="Arial" w:hAnsi="Arial" w:cs="Arial"/>
          <w:color w:val="000000"/>
          <w:sz w:val="22"/>
          <w:szCs w:val="22"/>
          <w:lang w:val="es-CR" w:eastAsia="es-CR"/>
        </w:rPr>
        <w:t xml:space="preserve">Si bien, esta información no es parte del Banco de Proyectos de MIDEPLAN, se suministra de manera adicional con el fin de visualizar la gestión de proyectos y recursos de gasto de capital que realiza actualmente el Poder Judicial. (Esta información se agrega también como parte del apartado </w:t>
      </w:r>
      <w:r w:rsidR="00F218AF" w:rsidRPr="00CC7D56">
        <w:rPr>
          <w:rFonts w:ascii="Arial" w:hAnsi="Arial" w:cs="Arial"/>
          <w:color w:val="000000"/>
          <w:sz w:val="22"/>
          <w:szCs w:val="22"/>
          <w:lang w:val="es-CR" w:eastAsia="es-CR"/>
        </w:rPr>
        <w:t>1.</w:t>
      </w:r>
      <w:r w:rsidR="000F383B" w:rsidRPr="00CC7D56">
        <w:rPr>
          <w:rFonts w:ascii="Arial" w:hAnsi="Arial" w:cs="Arial"/>
          <w:color w:val="000000"/>
          <w:sz w:val="22"/>
          <w:szCs w:val="22"/>
          <w:lang w:val="es-CR" w:eastAsia="es-CR"/>
        </w:rPr>
        <w:t>2</w:t>
      </w:r>
      <w:r w:rsidRPr="00CC7D56">
        <w:rPr>
          <w:rFonts w:ascii="Arial" w:hAnsi="Arial" w:cs="Arial"/>
          <w:color w:val="000000"/>
          <w:sz w:val="22"/>
          <w:szCs w:val="22"/>
          <w:lang w:val="es-CR" w:eastAsia="es-CR"/>
        </w:rPr>
        <w:t xml:space="preserve"> y como </w:t>
      </w:r>
      <w:r w:rsidR="00433507" w:rsidRPr="00CC7D56">
        <w:rPr>
          <w:rFonts w:ascii="Arial" w:hAnsi="Arial" w:cs="Arial"/>
          <w:color w:val="000000"/>
          <w:sz w:val="22"/>
          <w:szCs w:val="22"/>
          <w:lang w:val="es-CR" w:eastAsia="es-CR"/>
        </w:rPr>
        <w:t>anexo 1</w:t>
      </w:r>
      <w:r w:rsidR="005F3203" w:rsidRPr="00CC7D56">
        <w:rPr>
          <w:rFonts w:ascii="Arial" w:hAnsi="Arial" w:cs="Arial"/>
          <w:color w:val="000000"/>
          <w:sz w:val="22"/>
          <w:szCs w:val="22"/>
          <w:lang w:val="es-CR" w:eastAsia="es-CR"/>
        </w:rPr>
        <w:t xml:space="preserve"> </w:t>
      </w:r>
      <w:r w:rsidRPr="00CC7D56">
        <w:rPr>
          <w:rFonts w:ascii="Arial" w:hAnsi="Arial" w:cs="Arial"/>
          <w:color w:val="000000"/>
          <w:sz w:val="22"/>
          <w:szCs w:val="22"/>
          <w:lang w:val="es-CR" w:eastAsia="es-CR"/>
        </w:rPr>
        <w:t xml:space="preserve">del informe). </w:t>
      </w:r>
    </w:p>
    <w:p w14:paraId="74D90E41" w14:textId="77777777" w:rsidR="00694F94" w:rsidRPr="00CC7D56" w:rsidRDefault="00694F94" w:rsidP="00085DAD">
      <w:pPr>
        <w:ind w:right="51"/>
        <w:jc w:val="both"/>
        <w:rPr>
          <w:rFonts w:ascii="Arial" w:hAnsi="Arial" w:cs="Arial"/>
          <w:sz w:val="22"/>
          <w:szCs w:val="22"/>
        </w:rPr>
      </w:pPr>
    </w:p>
    <w:p w14:paraId="11ABFCFB" w14:textId="7F177275" w:rsidR="0085178D" w:rsidRPr="00CA7C6F" w:rsidRDefault="00B83284" w:rsidP="00085DAD">
      <w:pPr>
        <w:pStyle w:val="Default"/>
        <w:ind w:right="51"/>
        <w:jc w:val="both"/>
        <w:rPr>
          <w:sz w:val="22"/>
          <w:szCs w:val="22"/>
        </w:rPr>
      </w:pPr>
      <w:r w:rsidRPr="00CC7D56">
        <w:rPr>
          <w:sz w:val="22"/>
          <w:szCs w:val="22"/>
          <w:lang w:eastAsia="es-CR"/>
        </w:rPr>
        <w:lastRenderedPageBreak/>
        <w:t xml:space="preserve">Cabe señalar que una vez conocido y aprobado este informe por el Consejo Superior, debe ser firmado por el </w:t>
      </w:r>
      <w:r w:rsidR="00CA7C6F">
        <w:rPr>
          <w:sz w:val="22"/>
          <w:szCs w:val="22"/>
          <w:lang w:eastAsia="es-CR"/>
        </w:rPr>
        <w:t>P</w:t>
      </w:r>
      <w:r w:rsidRPr="00CC7D56">
        <w:rPr>
          <w:sz w:val="22"/>
          <w:szCs w:val="22"/>
          <w:lang w:eastAsia="es-CR"/>
        </w:rPr>
        <w:t>residente de la Corte y remitirse a la Dirección General de Presupuesto Nacional, con copia a la Contraloría General de la República, División de Fiscalización Operativa y Evaluativa, Área de Fiscalización del Sistema de Administración Financiera de la República</w:t>
      </w:r>
      <w:r w:rsidR="00CA7C6F">
        <w:rPr>
          <w:sz w:val="22"/>
          <w:szCs w:val="22"/>
          <w:lang w:eastAsia="es-CR"/>
        </w:rPr>
        <w:t xml:space="preserve">, al siguiente correo electrónico:  </w:t>
      </w:r>
      <w:hyperlink r:id="rId8" w:history="1">
        <w:r w:rsidR="0085178D" w:rsidRPr="00CA7C6F">
          <w:rPr>
            <w:rStyle w:val="Hipervnculo"/>
            <w:b/>
            <w:bCs/>
            <w:color w:val="auto"/>
            <w:sz w:val="22"/>
            <w:szCs w:val="22"/>
            <w:u w:val="none"/>
          </w:rPr>
          <w:t>notifica_presupuesto_nacional@hacienda.go.cr</w:t>
        </w:r>
      </w:hyperlink>
    </w:p>
    <w:p w14:paraId="0E14EC3F" w14:textId="77777777" w:rsidR="0085178D" w:rsidRPr="00CC7D56" w:rsidRDefault="0085178D" w:rsidP="00085DAD">
      <w:pPr>
        <w:ind w:right="-374"/>
        <w:rPr>
          <w:rFonts w:ascii="Arial" w:hAnsi="Arial" w:cs="Arial"/>
          <w:sz w:val="22"/>
          <w:szCs w:val="22"/>
        </w:rPr>
      </w:pPr>
    </w:p>
    <w:p w14:paraId="6245BD13" w14:textId="1F0F660F" w:rsidR="0085178D" w:rsidRPr="00CC7D56" w:rsidRDefault="0085178D" w:rsidP="00085DAD">
      <w:pPr>
        <w:pStyle w:val="Default"/>
        <w:ind w:right="-374"/>
        <w:jc w:val="both"/>
        <w:rPr>
          <w:b/>
          <w:bCs/>
          <w:color w:val="auto"/>
          <w:sz w:val="22"/>
          <w:szCs w:val="22"/>
        </w:rPr>
      </w:pPr>
      <w:r w:rsidRPr="00CC7D56">
        <w:rPr>
          <w:b/>
          <w:bCs/>
          <w:color w:val="auto"/>
          <w:sz w:val="22"/>
          <w:szCs w:val="22"/>
        </w:rPr>
        <w:t xml:space="preserve">El plazo </w:t>
      </w:r>
      <w:r w:rsidR="00EA3BF8" w:rsidRPr="00CC7D56">
        <w:rPr>
          <w:b/>
          <w:bCs/>
          <w:color w:val="auto"/>
          <w:sz w:val="22"/>
          <w:szCs w:val="22"/>
        </w:rPr>
        <w:t xml:space="preserve">máximo </w:t>
      </w:r>
      <w:r w:rsidRPr="00CC7D56">
        <w:rPr>
          <w:b/>
          <w:bCs/>
          <w:color w:val="auto"/>
          <w:sz w:val="22"/>
          <w:szCs w:val="22"/>
        </w:rPr>
        <w:t>de presentación</w:t>
      </w:r>
      <w:r w:rsidR="00D14F1D" w:rsidRPr="00CC7D56">
        <w:rPr>
          <w:b/>
          <w:bCs/>
          <w:color w:val="auto"/>
          <w:sz w:val="22"/>
          <w:szCs w:val="22"/>
        </w:rPr>
        <w:t xml:space="preserve"> </w:t>
      </w:r>
      <w:r w:rsidRPr="00CC7D56">
        <w:rPr>
          <w:b/>
          <w:bCs/>
          <w:color w:val="auto"/>
          <w:sz w:val="22"/>
          <w:szCs w:val="22"/>
        </w:rPr>
        <w:t xml:space="preserve">ante el Ministerio de Hacienda es el </w:t>
      </w:r>
      <w:r w:rsidR="00A26B3C">
        <w:rPr>
          <w:b/>
          <w:bCs/>
          <w:color w:val="auto"/>
          <w:sz w:val="22"/>
          <w:szCs w:val="22"/>
        </w:rPr>
        <w:t>lunes</w:t>
      </w:r>
      <w:r w:rsidRPr="00CC7D56">
        <w:rPr>
          <w:b/>
          <w:bCs/>
          <w:color w:val="auto"/>
          <w:sz w:val="22"/>
          <w:szCs w:val="22"/>
        </w:rPr>
        <w:t xml:space="preserve"> </w:t>
      </w:r>
      <w:r w:rsidR="00F50167" w:rsidRPr="00CC7D56">
        <w:rPr>
          <w:b/>
          <w:bCs/>
          <w:color w:val="auto"/>
          <w:sz w:val="22"/>
          <w:szCs w:val="22"/>
        </w:rPr>
        <w:t>31</w:t>
      </w:r>
      <w:r w:rsidRPr="00CC7D56">
        <w:rPr>
          <w:b/>
          <w:bCs/>
          <w:color w:val="auto"/>
          <w:sz w:val="22"/>
          <w:szCs w:val="22"/>
        </w:rPr>
        <w:t xml:space="preserve"> de enero del 202</w:t>
      </w:r>
      <w:r w:rsidR="00F50167" w:rsidRPr="00CC7D56">
        <w:rPr>
          <w:b/>
          <w:bCs/>
          <w:color w:val="auto"/>
          <w:sz w:val="22"/>
          <w:szCs w:val="22"/>
        </w:rPr>
        <w:t>2</w:t>
      </w:r>
      <w:r w:rsidRPr="00CC7D56">
        <w:rPr>
          <w:b/>
          <w:bCs/>
          <w:color w:val="auto"/>
          <w:sz w:val="22"/>
          <w:szCs w:val="22"/>
        </w:rPr>
        <w:t xml:space="preserve">. </w:t>
      </w:r>
    </w:p>
    <w:p w14:paraId="1026A9EE" w14:textId="77777777" w:rsidR="00F36D07" w:rsidRPr="00CC7D56" w:rsidRDefault="00F36D07" w:rsidP="00085DAD">
      <w:pPr>
        <w:widowControl w:val="0"/>
        <w:ind w:right="-374"/>
        <w:rPr>
          <w:rFonts w:ascii="Arial" w:hAnsi="Arial" w:cs="Arial"/>
          <w:snapToGrid w:val="0"/>
          <w:sz w:val="22"/>
          <w:szCs w:val="22"/>
          <w:lang w:val="pt-BR"/>
        </w:rPr>
      </w:pPr>
    </w:p>
    <w:p w14:paraId="6C0E846D" w14:textId="77777777" w:rsidR="00085DAD" w:rsidRDefault="00085DAD" w:rsidP="00085DAD">
      <w:pPr>
        <w:widowControl w:val="0"/>
        <w:ind w:right="-374"/>
        <w:rPr>
          <w:rFonts w:ascii="Arial" w:hAnsi="Arial" w:cs="Arial"/>
          <w:snapToGrid w:val="0"/>
          <w:sz w:val="22"/>
          <w:szCs w:val="22"/>
          <w:lang w:val="pt-BR"/>
        </w:rPr>
      </w:pPr>
    </w:p>
    <w:p w14:paraId="0BD34969" w14:textId="539DE95D" w:rsidR="004E3DB7" w:rsidRPr="00CC7D56" w:rsidRDefault="004E3DB7" w:rsidP="00085DAD">
      <w:pPr>
        <w:widowControl w:val="0"/>
        <w:ind w:right="-374"/>
        <w:rPr>
          <w:rFonts w:ascii="Arial" w:hAnsi="Arial" w:cs="Arial"/>
          <w:snapToGrid w:val="0"/>
          <w:sz w:val="22"/>
          <w:szCs w:val="22"/>
          <w:lang w:val="pt-BR"/>
        </w:rPr>
      </w:pPr>
      <w:r w:rsidRPr="00CC7D56">
        <w:rPr>
          <w:rFonts w:ascii="Arial" w:hAnsi="Arial" w:cs="Arial"/>
          <w:snapToGrid w:val="0"/>
          <w:sz w:val="22"/>
          <w:szCs w:val="22"/>
          <w:lang w:val="pt-BR"/>
        </w:rPr>
        <w:t>Atentamente,</w:t>
      </w:r>
    </w:p>
    <w:p w14:paraId="43B3E81B" w14:textId="77777777" w:rsidR="004E3DB7" w:rsidRPr="00CC7D56" w:rsidRDefault="004E3DB7" w:rsidP="00085DAD">
      <w:pPr>
        <w:widowControl w:val="0"/>
        <w:ind w:right="-374"/>
        <w:jc w:val="center"/>
        <w:rPr>
          <w:rFonts w:ascii="Arial" w:hAnsi="Arial" w:cs="Arial"/>
          <w:b/>
          <w:bCs/>
          <w:snapToGrid w:val="0"/>
          <w:sz w:val="22"/>
          <w:szCs w:val="22"/>
          <w:lang w:val="pt-BR"/>
        </w:rPr>
      </w:pPr>
    </w:p>
    <w:p w14:paraId="35D4E6EB" w14:textId="77777777" w:rsidR="004E3DB7" w:rsidRPr="00CC7D56" w:rsidRDefault="004E3DB7" w:rsidP="00085DAD">
      <w:pPr>
        <w:ind w:right="-374"/>
        <w:rPr>
          <w:rFonts w:ascii="Arial" w:hAnsi="Arial" w:cs="Arial"/>
          <w:snapToGrid w:val="0"/>
          <w:sz w:val="22"/>
          <w:szCs w:val="22"/>
          <w:lang w:val="pt-BR"/>
        </w:rPr>
      </w:pPr>
    </w:p>
    <w:p w14:paraId="43AB8F8D" w14:textId="46F8AD0E" w:rsidR="004E3DB7" w:rsidRPr="00CC7D56" w:rsidRDefault="00F36D07" w:rsidP="00085DAD">
      <w:pPr>
        <w:ind w:right="-374"/>
        <w:rPr>
          <w:rFonts w:ascii="Arial" w:hAnsi="Arial" w:cs="Arial"/>
          <w:snapToGrid w:val="0"/>
          <w:sz w:val="22"/>
          <w:szCs w:val="22"/>
          <w:lang w:val="pt-BR"/>
        </w:rPr>
      </w:pPr>
      <w:r w:rsidRPr="00CC7D56">
        <w:rPr>
          <w:rFonts w:ascii="Arial" w:hAnsi="Arial" w:cs="Arial"/>
          <w:snapToGrid w:val="0"/>
          <w:sz w:val="22"/>
          <w:szCs w:val="22"/>
          <w:lang w:val="pt-BR"/>
        </w:rPr>
        <w:t xml:space="preserve">Máster </w:t>
      </w:r>
      <w:r w:rsidR="004E3DB7" w:rsidRPr="00CC7D56">
        <w:rPr>
          <w:rFonts w:ascii="Arial" w:hAnsi="Arial" w:cs="Arial"/>
          <w:snapToGrid w:val="0"/>
          <w:sz w:val="22"/>
          <w:szCs w:val="22"/>
          <w:lang w:val="pt-BR"/>
        </w:rPr>
        <w:t xml:space="preserve">Erick Antonio Mora Leiva, Jefe </w:t>
      </w:r>
    </w:p>
    <w:p w14:paraId="27AEE752" w14:textId="77777777" w:rsidR="004E3DB7" w:rsidRPr="00CC7D56" w:rsidRDefault="004E3DB7" w:rsidP="00085DAD">
      <w:pPr>
        <w:ind w:right="-374"/>
        <w:rPr>
          <w:rFonts w:ascii="Arial" w:hAnsi="Arial" w:cs="Arial"/>
          <w:snapToGrid w:val="0"/>
          <w:sz w:val="22"/>
          <w:szCs w:val="22"/>
          <w:lang w:val="pt-BR"/>
        </w:rPr>
      </w:pPr>
      <w:r w:rsidRPr="00CC7D56">
        <w:rPr>
          <w:rFonts w:ascii="Arial" w:hAnsi="Arial" w:cs="Arial"/>
          <w:snapToGrid w:val="0"/>
          <w:sz w:val="22"/>
          <w:szCs w:val="22"/>
          <w:lang w:val="pt-BR"/>
        </w:rPr>
        <w:t>Proceso Planeación y Evaluación</w:t>
      </w:r>
    </w:p>
    <w:p w14:paraId="7BECF91F" w14:textId="77777777" w:rsidR="004E3DB7" w:rsidRPr="00CC7D56" w:rsidRDefault="004E3DB7" w:rsidP="00085DAD">
      <w:pPr>
        <w:ind w:right="-374"/>
        <w:rPr>
          <w:rFonts w:ascii="Arial" w:hAnsi="Arial" w:cs="Arial"/>
          <w:snapToGrid w:val="0"/>
          <w:sz w:val="22"/>
          <w:szCs w:val="22"/>
          <w:lang w:val="pt-BR"/>
        </w:rPr>
      </w:pPr>
    </w:p>
    <w:p w14:paraId="583FE6C1" w14:textId="77777777" w:rsidR="00085DAD" w:rsidRDefault="00085DAD" w:rsidP="00085DAD">
      <w:pPr>
        <w:ind w:right="-374"/>
        <w:rPr>
          <w:rFonts w:ascii="Arial" w:hAnsi="Arial" w:cs="Arial"/>
          <w:sz w:val="22"/>
          <w:szCs w:val="22"/>
        </w:rPr>
      </w:pPr>
    </w:p>
    <w:p w14:paraId="590A718C" w14:textId="03FB3C2B" w:rsidR="00BA0837" w:rsidRDefault="004E3DB7" w:rsidP="00085DAD">
      <w:pPr>
        <w:ind w:right="-374"/>
        <w:rPr>
          <w:rFonts w:ascii="Arial" w:hAnsi="Arial" w:cs="Arial"/>
          <w:sz w:val="22"/>
          <w:szCs w:val="22"/>
        </w:rPr>
      </w:pPr>
      <w:r w:rsidRPr="00CC7D56">
        <w:rPr>
          <w:rFonts w:ascii="Arial" w:hAnsi="Arial" w:cs="Arial"/>
          <w:sz w:val="22"/>
          <w:szCs w:val="22"/>
        </w:rPr>
        <w:t>Copia</w:t>
      </w:r>
      <w:r w:rsidR="004A3B20" w:rsidRPr="00CC7D56">
        <w:rPr>
          <w:rFonts w:ascii="Arial" w:hAnsi="Arial" w:cs="Arial"/>
          <w:sz w:val="22"/>
          <w:szCs w:val="22"/>
        </w:rPr>
        <w:t>s</w:t>
      </w:r>
      <w:r w:rsidRPr="00CC7D56">
        <w:rPr>
          <w:rFonts w:ascii="Arial" w:hAnsi="Arial" w:cs="Arial"/>
          <w:sz w:val="22"/>
          <w:szCs w:val="22"/>
        </w:rPr>
        <w:t xml:space="preserve">: </w:t>
      </w:r>
    </w:p>
    <w:p w14:paraId="74A1C2BF" w14:textId="77777777" w:rsidR="00085DAD" w:rsidRPr="00CC7D56" w:rsidRDefault="00085DAD" w:rsidP="00085DAD">
      <w:pPr>
        <w:ind w:right="-374"/>
        <w:rPr>
          <w:rFonts w:ascii="Arial" w:hAnsi="Arial" w:cs="Arial"/>
          <w:sz w:val="22"/>
          <w:szCs w:val="22"/>
        </w:rPr>
      </w:pPr>
    </w:p>
    <w:p w14:paraId="0E6BF956" w14:textId="77777777" w:rsidR="00BA0837" w:rsidRPr="00085DAD" w:rsidRDefault="00BA0837" w:rsidP="00085DAD">
      <w:pPr>
        <w:pStyle w:val="Prrafodelista"/>
        <w:numPr>
          <w:ilvl w:val="0"/>
          <w:numId w:val="29"/>
        </w:numPr>
        <w:ind w:right="-374"/>
        <w:rPr>
          <w:rFonts w:ascii="Arial" w:hAnsi="Arial" w:cs="Arial"/>
          <w:sz w:val="22"/>
          <w:szCs w:val="22"/>
        </w:rPr>
      </w:pPr>
      <w:r w:rsidRPr="00085DAD">
        <w:rPr>
          <w:rFonts w:ascii="Arial" w:hAnsi="Arial" w:cs="Arial"/>
          <w:sz w:val="22"/>
          <w:szCs w:val="22"/>
        </w:rPr>
        <w:t>Dirección Ejecutiva</w:t>
      </w:r>
    </w:p>
    <w:p w14:paraId="5F4920B2" w14:textId="77777777" w:rsidR="00BA0837" w:rsidRPr="00085DAD" w:rsidRDefault="00BA0837" w:rsidP="00085DAD">
      <w:pPr>
        <w:pStyle w:val="Prrafodelista"/>
        <w:numPr>
          <w:ilvl w:val="0"/>
          <w:numId w:val="29"/>
        </w:numPr>
        <w:ind w:right="-374"/>
        <w:rPr>
          <w:rFonts w:ascii="Arial" w:hAnsi="Arial" w:cs="Arial"/>
          <w:sz w:val="22"/>
          <w:szCs w:val="22"/>
        </w:rPr>
      </w:pPr>
      <w:r w:rsidRPr="00085DAD">
        <w:rPr>
          <w:rFonts w:ascii="Arial" w:hAnsi="Arial" w:cs="Arial"/>
          <w:sz w:val="22"/>
          <w:szCs w:val="22"/>
        </w:rPr>
        <w:t>Organismo de Investigación Judicial</w:t>
      </w:r>
    </w:p>
    <w:p w14:paraId="13783F4F" w14:textId="77777777" w:rsidR="00BA0837" w:rsidRPr="00085DAD" w:rsidRDefault="00BA0837" w:rsidP="00085DAD">
      <w:pPr>
        <w:pStyle w:val="Prrafodelista"/>
        <w:numPr>
          <w:ilvl w:val="0"/>
          <w:numId w:val="29"/>
        </w:numPr>
        <w:ind w:right="-374"/>
        <w:rPr>
          <w:rFonts w:ascii="Arial" w:hAnsi="Arial" w:cs="Arial"/>
          <w:sz w:val="22"/>
          <w:szCs w:val="22"/>
        </w:rPr>
      </w:pPr>
      <w:r w:rsidRPr="00085DAD">
        <w:rPr>
          <w:rFonts w:ascii="Arial" w:hAnsi="Arial" w:cs="Arial"/>
          <w:sz w:val="22"/>
          <w:szCs w:val="22"/>
        </w:rPr>
        <w:t>Ministerio Público</w:t>
      </w:r>
    </w:p>
    <w:p w14:paraId="3ECFD1FA" w14:textId="77777777" w:rsidR="00085DAD" w:rsidRPr="00085DAD" w:rsidRDefault="00BA0837" w:rsidP="00085DAD">
      <w:pPr>
        <w:pStyle w:val="Prrafodelista"/>
        <w:numPr>
          <w:ilvl w:val="0"/>
          <w:numId w:val="29"/>
        </w:numPr>
        <w:ind w:right="-374"/>
        <w:rPr>
          <w:rFonts w:ascii="Arial" w:hAnsi="Arial" w:cs="Arial"/>
          <w:sz w:val="22"/>
          <w:szCs w:val="22"/>
        </w:rPr>
      </w:pPr>
      <w:r w:rsidRPr="00085DAD">
        <w:rPr>
          <w:rFonts w:ascii="Arial" w:hAnsi="Arial" w:cs="Arial"/>
          <w:sz w:val="22"/>
          <w:szCs w:val="22"/>
        </w:rPr>
        <w:t>Defensa Pública</w:t>
      </w:r>
    </w:p>
    <w:p w14:paraId="27E1EEF8" w14:textId="330E1887" w:rsidR="00BA0837" w:rsidRPr="00085DAD" w:rsidRDefault="00BA0837" w:rsidP="00085DAD">
      <w:pPr>
        <w:pStyle w:val="Prrafodelista"/>
        <w:numPr>
          <w:ilvl w:val="0"/>
          <w:numId w:val="29"/>
        </w:numPr>
        <w:ind w:right="-374"/>
        <w:rPr>
          <w:rFonts w:ascii="Arial" w:hAnsi="Arial" w:cs="Arial"/>
          <w:sz w:val="22"/>
          <w:szCs w:val="22"/>
        </w:rPr>
      </w:pPr>
      <w:r w:rsidRPr="00085DAD">
        <w:rPr>
          <w:rFonts w:ascii="Arial" w:hAnsi="Arial" w:cs="Arial"/>
          <w:sz w:val="22"/>
          <w:szCs w:val="22"/>
        </w:rPr>
        <w:t>Servicio de Atención y Protección de Víctimas y Testigos</w:t>
      </w:r>
    </w:p>
    <w:p w14:paraId="2199773D" w14:textId="598849CE" w:rsidR="00BA0837" w:rsidRPr="00085DAD" w:rsidRDefault="00BA0837" w:rsidP="00085DAD">
      <w:pPr>
        <w:pStyle w:val="Prrafodelista"/>
        <w:numPr>
          <w:ilvl w:val="0"/>
          <w:numId w:val="29"/>
        </w:numPr>
        <w:ind w:right="-374"/>
        <w:rPr>
          <w:rFonts w:ascii="Arial" w:hAnsi="Arial" w:cs="Arial"/>
          <w:sz w:val="22"/>
          <w:szCs w:val="22"/>
        </w:rPr>
      </w:pPr>
      <w:r w:rsidRPr="00085DAD">
        <w:rPr>
          <w:rFonts w:ascii="Arial" w:hAnsi="Arial" w:cs="Arial"/>
          <w:sz w:val="22"/>
          <w:szCs w:val="22"/>
        </w:rPr>
        <w:t>Centro de Apoyo, Coordinación y Mejoramiento de la Función Jurisdiccional</w:t>
      </w:r>
    </w:p>
    <w:p w14:paraId="5C8437E7" w14:textId="29AD7DE5" w:rsidR="00650573" w:rsidRPr="00085DAD" w:rsidRDefault="00650573" w:rsidP="00085DAD">
      <w:pPr>
        <w:pStyle w:val="Prrafodelista"/>
        <w:numPr>
          <w:ilvl w:val="0"/>
          <w:numId w:val="29"/>
        </w:numPr>
        <w:ind w:right="-374"/>
        <w:rPr>
          <w:rFonts w:ascii="Arial" w:hAnsi="Arial" w:cs="Arial"/>
          <w:sz w:val="22"/>
          <w:szCs w:val="22"/>
        </w:rPr>
      </w:pPr>
      <w:r w:rsidRPr="00085DAD">
        <w:rPr>
          <w:rFonts w:ascii="Arial" w:hAnsi="Arial" w:cs="Arial"/>
          <w:sz w:val="22"/>
          <w:szCs w:val="22"/>
        </w:rPr>
        <w:t xml:space="preserve">Centro de Conciliación del Poder Judicial </w:t>
      </w:r>
    </w:p>
    <w:p w14:paraId="28C4D877" w14:textId="36C9AEA6" w:rsidR="00BA0837" w:rsidRPr="00085DAD" w:rsidRDefault="00BA0837" w:rsidP="00085DAD">
      <w:pPr>
        <w:pStyle w:val="Prrafodelista"/>
        <w:numPr>
          <w:ilvl w:val="0"/>
          <w:numId w:val="29"/>
        </w:numPr>
        <w:ind w:right="-374"/>
        <w:rPr>
          <w:rFonts w:ascii="Arial" w:eastAsiaTheme="minorHAnsi" w:hAnsi="Arial" w:cs="Arial"/>
          <w:sz w:val="22"/>
          <w:szCs w:val="22"/>
          <w:lang w:eastAsia="es-CR"/>
        </w:rPr>
      </w:pPr>
      <w:r w:rsidRPr="00085DAD">
        <w:rPr>
          <w:rFonts w:ascii="Arial" w:hAnsi="Arial" w:cs="Arial"/>
          <w:sz w:val="22"/>
          <w:szCs w:val="22"/>
        </w:rPr>
        <w:t>Archivo</w:t>
      </w:r>
    </w:p>
    <w:p w14:paraId="723DD9E3" w14:textId="1F025432" w:rsidR="00085DAD" w:rsidRDefault="00085DAD" w:rsidP="00085DAD">
      <w:pPr>
        <w:ind w:right="-374"/>
        <w:rPr>
          <w:rFonts w:ascii="Arial" w:hAnsi="Arial" w:cs="Arial"/>
          <w:sz w:val="22"/>
          <w:szCs w:val="22"/>
        </w:rPr>
      </w:pPr>
    </w:p>
    <w:p w14:paraId="41BA3997" w14:textId="77777777" w:rsidR="00085DAD" w:rsidRDefault="00085DAD" w:rsidP="00085DAD">
      <w:pPr>
        <w:ind w:right="-374"/>
        <w:rPr>
          <w:rFonts w:ascii="Arial" w:hAnsi="Arial" w:cs="Arial"/>
          <w:sz w:val="22"/>
          <w:szCs w:val="22"/>
        </w:rPr>
      </w:pPr>
      <w:r>
        <w:rPr>
          <w:rFonts w:ascii="Arial" w:hAnsi="Arial" w:cs="Arial"/>
          <w:sz w:val="22"/>
          <w:szCs w:val="22"/>
        </w:rPr>
        <w:t xml:space="preserve"> </w:t>
      </w:r>
    </w:p>
    <w:p w14:paraId="5B751A2F" w14:textId="313496B1" w:rsidR="00085DAD" w:rsidRDefault="00085DAD" w:rsidP="00085DAD">
      <w:pPr>
        <w:ind w:right="-374"/>
        <w:rPr>
          <w:rFonts w:ascii="Arial" w:hAnsi="Arial" w:cs="Arial"/>
          <w:sz w:val="22"/>
          <w:szCs w:val="22"/>
        </w:rPr>
      </w:pPr>
      <w:r>
        <w:rPr>
          <w:rFonts w:ascii="Arial" w:hAnsi="Arial" w:cs="Arial"/>
          <w:sz w:val="22"/>
          <w:szCs w:val="22"/>
        </w:rPr>
        <w:t xml:space="preserve">  rqp</w:t>
      </w:r>
    </w:p>
    <w:p w14:paraId="38A1889A" w14:textId="2CE7A2EA" w:rsidR="00085DAD" w:rsidRPr="00085DAD" w:rsidRDefault="00085DAD" w:rsidP="00085DAD">
      <w:pPr>
        <w:ind w:right="-374"/>
        <w:rPr>
          <w:rFonts w:ascii="Arial" w:hAnsi="Arial" w:cs="Arial"/>
          <w:sz w:val="22"/>
          <w:szCs w:val="22"/>
        </w:rPr>
      </w:pPr>
      <w:r>
        <w:rPr>
          <w:rFonts w:ascii="Arial" w:hAnsi="Arial" w:cs="Arial"/>
          <w:sz w:val="22"/>
          <w:szCs w:val="22"/>
        </w:rPr>
        <w:t xml:space="preserve">  Ref.2504-2021</w:t>
      </w:r>
    </w:p>
    <w:p w14:paraId="63906D9B" w14:textId="47E8DBAA" w:rsidR="00085DAD" w:rsidRDefault="00085DAD" w:rsidP="00085DAD">
      <w:pPr>
        <w:ind w:right="-374"/>
        <w:rPr>
          <w:rFonts w:ascii="Arial" w:eastAsiaTheme="minorHAnsi" w:hAnsi="Arial" w:cs="Arial"/>
          <w:sz w:val="22"/>
          <w:szCs w:val="22"/>
          <w:lang w:eastAsia="es-CR"/>
        </w:rPr>
      </w:pPr>
    </w:p>
    <w:p w14:paraId="40F3539F" w14:textId="7CB91610" w:rsidR="009F4D5B" w:rsidRDefault="00E23C0F" w:rsidP="00085DAD">
      <w:pPr>
        <w:ind w:right="-374"/>
        <w:rPr>
          <w:rFonts w:ascii="Arial" w:eastAsiaTheme="minorHAnsi" w:hAnsi="Arial" w:cs="Arial"/>
          <w:sz w:val="22"/>
          <w:szCs w:val="22"/>
          <w:lang w:eastAsia="es-CR"/>
        </w:rPr>
      </w:pPr>
      <w:r>
        <w:rPr>
          <w:rFonts w:ascii="Arial" w:eastAsiaTheme="minorHAnsi" w:hAnsi="Arial" w:cs="Arial"/>
          <w:sz w:val="22"/>
          <w:szCs w:val="22"/>
          <w:lang w:eastAsia="es-CR"/>
        </w:rPr>
        <w:br w:type="page"/>
      </w:r>
    </w:p>
    <w:p w14:paraId="20F1DAC9" w14:textId="77777777" w:rsidR="00FB7E09" w:rsidRDefault="00FB7E09" w:rsidP="00FB7E09">
      <w:pPr>
        <w:rPr>
          <w:rFonts w:ascii="Arial" w:hAnsi="Arial" w:cs="Arial"/>
          <w:snapToGrid w:val="0"/>
          <w:sz w:val="22"/>
          <w:szCs w:val="22"/>
        </w:rPr>
      </w:pPr>
    </w:p>
    <w:p w14:paraId="65B55C7D" w14:textId="2ACD4C38" w:rsidR="00490068" w:rsidRPr="00CC7D56" w:rsidRDefault="00A71051" w:rsidP="00FB7E09">
      <w:pPr>
        <w:rPr>
          <w:rFonts w:ascii="Arial" w:hAnsi="Arial" w:cs="Arial"/>
          <w:snapToGrid w:val="0"/>
          <w:sz w:val="22"/>
          <w:szCs w:val="22"/>
        </w:rPr>
      </w:pPr>
      <w:r>
        <w:rPr>
          <w:rFonts w:ascii="Arial" w:hAnsi="Arial" w:cs="Arial"/>
          <w:snapToGrid w:val="0"/>
          <w:sz w:val="22"/>
          <w:szCs w:val="22"/>
        </w:rPr>
        <w:t xml:space="preserve">20 </w:t>
      </w:r>
      <w:r w:rsidR="00490068" w:rsidRPr="00CC7D56">
        <w:rPr>
          <w:rFonts w:ascii="Arial" w:hAnsi="Arial" w:cs="Arial"/>
          <w:snapToGrid w:val="0"/>
          <w:sz w:val="22"/>
          <w:szCs w:val="22"/>
        </w:rPr>
        <w:t>de enero de 202</w:t>
      </w:r>
      <w:r w:rsidR="00001FD4" w:rsidRPr="00CC7D56">
        <w:rPr>
          <w:rFonts w:ascii="Arial" w:hAnsi="Arial" w:cs="Arial"/>
          <w:snapToGrid w:val="0"/>
          <w:sz w:val="22"/>
          <w:szCs w:val="22"/>
        </w:rPr>
        <w:t>2</w:t>
      </w:r>
    </w:p>
    <w:p w14:paraId="79AA02BF" w14:textId="77777777" w:rsidR="00490068" w:rsidRDefault="00490068" w:rsidP="00FB7E09">
      <w:pPr>
        <w:widowControl w:val="0"/>
        <w:rPr>
          <w:rFonts w:ascii="Arial" w:hAnsi="Arial" w:cs="Arial"/>
          <w:snapToGrid w:val="0"/>
          <w:sz w:val="22"/>
          <w:szCs w:val="22"/>
        </w:rPr>
      </w:pPr>
    </w:p>
    <w:p w14:paraId="0FCFAF54" w14:textId="7AC7D459" w:rsidR="00A71051" w:rsidRDefault="00A71051" w:rsidP="00FB7E09">
      <w:pPr>
        <w:rPr>
          <w:rFonts w:ascii="Arial" w:hAnsi="Arial" w:cs="Arial"/>
          <w:snapToGrid w:val="0"/>
          <w:sz w:val="22"/>
          <w:szCs w:val="22"/>
          <w:lang w:val="pt-BR"/>
        </w:rPr>
      </w:pPr>
    </w:p>
    <w:p w14:paraId="5F2A64A6" w14:textId="78641A21" w:rsidR="00085DAD" w:rsidRDefault="00085DAD" w:rsidP="00FB7E09">
      <w:pPr>
        <w:rPr>
          <w:rFonts w:ascii="Arial" w:hAnsi="Arial" w:cs="Arial"/>
          <w:snapToGrid w:val="0"/>
          <w:sz w:val="22"/>
          <w:szCs w:val="22"/>
          <w:lang w:val="pt-BR"/>
        </w:rPr>
      </w:pPr>
    </w:p>
    <w:p w14:paraId="334B5E6C" w14:textId="77777777" w:rsidR="00085DAD" w:rsidRDefault="00085DAD" w:rsidP="00FB7E09">
      <w:pPr>
        <w:rPr>
          <w:rFonts w:ascii="Arial" w:hAnsi="Arial" w:cs="Arial"/>
          <w:snapToGrid w:val="0"/>
          <w:sz w:val="22"/>
          <w:szCs w:val="22"/>
          <w:lang w:val="pt-BR"/>
        </w:rPr>
      </w:pPr>
    </w:p>
    <w:p w14:paraId="0A384357" w14:textId="3CE3F235" w:rsidR="00490068" w:rsidRPr="00CC7D56" w:rsidRDefault="00490068" w:rsidP="00FB7E09">
      <w:pPr>
        <w:rPr>
          <w:rFonts w:ascii="Arial" w:hAnsi="Arial" w:cs="Arial"/>
          <w:snapToGrid w:val="0"/>
          <w:sz w:val="22"/>
          <w:szCs w:val="22"/>
          <w:lang w:val="pt-BR"/>
        </w:rPr>
      </w:pPr>
      <w:r w:rsidRPr="00CC7D56">
        <w:rPr>
          <w:rFonts w:ascii="Arial" w:hAnsi="Arial" w:cs="Arial"/>
          <w:snapToGrid w:val="0"/>
          <w:sz w:val="22"/>
          <w:szCs w:val="22"/>
          <w:lang w:val="pt-BR"/>
        </w:rPr>
        <w:t>Máster</w:t>
      </w:r>
    </w:p>
    <w:p w14:paraId="2B7C0E17" w14:textId="77777777" w:rsidR="00490068" w:rsidRPr="00CC7D56" w:rsidRDefault="00490068" w:rsidP="00FB7E09">
      <w:pPr>
        <w:rPr>
          <w:rFonts w:ascii="Arial" w:hAnsi="Arial" w:cs="Arial"/>
          <w:snapToGrid w:val="0"/>
          <w:sz w:val="22"/>
          <w:szCs w:val="22"/>
          <w:lang w:val="pt-BR"/>
        </w:rPr>
      </w:pPr>
      <w:r w:rsidRPr="00CC7D56">
        <w:rPr>
          <w:rFonts w:ascii="Arial" w:hAnsi="Arial" w:cs="Arial"/>
          <w:snapToGrid w:val="0"/>
          <w:sz w:val="22"/>
          <w:szCs w:val="22"/>
          <w:lang w:val="pt-BR"/>
        </w:rPr>
        <w:t xml:space="preserve">Erick Antonio Mora Leiva, Jefe </w:t>
      </w:r>
    </w:p>
    <w:p w14:paraId="513545A5" w14:textId="77777777" w:rsidR="00490068" w:rsidRPr="00CC7D56" w:rsidRDefault="00490068" w:rsidP="00FB7E09">
      <w:pPr>
        <w:rPr>
          <w:rFonts w:ascii="Arial" w:hAnsi="Arial" w:cs="Arial"/>
          <w:snapToGrid w:val="0"/>
          <w:sz w:val="22"/>
          <w:szCs w:val="22"/>
          <w:lang w:val="pt-BR"/>
        </w:rPr>
      </w:pPr>
      <w:r w:rsidRPr="00CC7D56">
        <w:rPr>
          <w:rFonts w:ascii="Arial" w:hAnsi="Arial" w:cs="Arial"/>
          <w:snapToGrid w:val="0"/>
          <w:sz w:val="22"/>
          <w:szCs w:val="22"/>
          <w:lang w:val="pt-BR"/>
        </w:rPr>
        <w:t>Proceso Planeación y Evaluación</w:t>
      </w:r>
    </w:p>
    <w:p w14:paraId="03BDBB1D" w14:textId="77777777" w:rsidR="00490068" w:rsidRPr="00CC7D56" w:rsidRDefault="00490068" w:rsidP="00FB7E09">
      <w:pPr>
        <w:widowControl w:val="0"/>
        <w:rPr>
          <w:rFonts w:ascii="Arial" w:hAnsi="Arial" w:cs="Arial"/>
          <w:snapToGrid w:val="0"/>
          <w:sz w:val="22"/>
          <w:szCs w:val="22"/>
          <w:lang w:val="pt-BR"/>
        </w:rPr>
      </w:pPr>
    </w:p>
    <w:p w14:paraId="02569B24" w14:textId="77777777" w:rsidR="00A71051" w:rsidRDefault="00A71051" w:rsidP="00FB7E09">
      <w:pPr>
        <w:widowControl w:val="0"/>
        <w:rPr>
          <w:rFonts w:ascii="Arial" w:hAnsi="Arial" w:cs="Arial"/>
          <w:snapToGrid w:val="0"/>
          <w:sz w:val="22"/>
          <w:szCs w:val="22"/>
        </w:rPr>
      </w:pPr>
    </w:p>
    <w:p w14:paraId="20BFF7CB" w14:textId="2D85D55A" w:rsidR="00490068" w:rsidRPr="00CC7D56" w:rsidRDefault="00490068" w:rsidP="00FB7E09">
      <w:pPr>
        <w:widowControl w:val="0"/>
        <w:rPr>
          <w:rFonts w:ascii="Arial" w:hAnsi="Arial" w:cs="Arial"/>
          <w:snapToGrid w:val="0"/>
          <w:sz w:val="22"/>
          <w:szCs w:val="22"/>
        </w:rPr>
      </w:pPr>
      <w:r w:rsidRPr="00CC7D56">
        <w:rPr>
          <w:rFonts w:ascii="Arial" w:hAnsi="Arial" w:cs="Arial"/>
          <w:snapToGrid w:val="0"/>
          <w:sz w:val="22"/>
          <w:szCs w:val="22"/>
        </w:rPr>
        <w:t>Estimado señor:</w:t>
      </w:r>
    </w:p>
    <w:p w14:paraId="7F91D952" w14:textId="77777777" w:rsidR="00490068" w:rsidRPr="00CC7D56" w:rsidRDefault="00490068" w:rsidP="00FB7E09">
      <w:pPr>
        <w:widowControl w:val="0"/>
        <w:jc w:val="both"/>
        <w:rPr>
          <w:rFonts w:ascii="Arial" w:hAnsi="Arial" w:cs="Arial"/>
          <w:sz w:val="22"/>
          <w:szCs w:val="22"/>
        </w:rPr>
      </w:pPr>
    </w:p>
    <w:p w14:paraId="194B0FEF" w14:textId="439E7B88" w:rsidR="00490068" w:rsidRPr="00262D3C" w:rsidRDefault="00490068" w:rsidP="00FB7E09">
      <w:pPr>
        <w:jc w:val="both"/>
        <w:rPr>
          <w:rFonts w:ascii="Arial" w:hAnsi="Arial" w:cs="Arial"/>
          <w:color w:val="000000"/>
          <w:sz w:val="22"/>
          <w:szCs w:val="22"/>
          <w:lang w:val="es-CR" w:eastAsia="es-CR"/>
        </w:rPr>
      </w:pPr>
      <w:r w:rsidRPr="00262D3C">
        <w:rPr>
          <w:rFonts w:ascii="Arial" w:hAnsi="Arial" w:cs="Arial"/>
          <w:color w:val="000000"/>
          <w:sz w:val="22"/>
          <w:szCs w:val="22"/>
          <w:lang w:val="es-CR" w:eastAsia="es-CR"/>
        </w:rPr>
        <w:t xml:space="preserve">Con fundamento en los artículos 55 y 56 de la Ley de Administración Financiera de la República y Presupuestos Públicos (LAFRPP), Ley 8131, referentes a la evaluación de los resultados de la gestión institucional para garantizar, tanto el cumplimiento de objetivos y metas, como del uso racional de los recursos públicos y la presentación de informes periódicos para tales fines, se solicita el </w:t>
      </w:r>
      <w:r w:rsidRPr="00262D3C">
        <w:rPr>
          <w:rFonts w:ascii="Arial" w:hAnsi="Arial" w:cs="Arial"/>
          <w:i/>
          <w:color w:val="000000"/>
          <w:sz w:val="22"/>
          <w:szCs w:val="22"/>
          <w:lang w:val="es-CR" w:eastAsia="es-CR"/>
        </w:rPr>
        <w:t>“Informe de Evaluación Anual de la Ejecución del Presupuesto 202</w:t>
      </w:r>
      <w:r w:rsidR="00001FD4" w:rsidRPr="00262D3C">
        <w:rPr>
          <w:rFonts w:ascii="Arial" w:hAnsi="Arial" w:cs="Arial"/>
          <w:i/>
          <w:color w:val="000000"/>
          <w:sz w:val="22"/>
          <w:szCs w:val="22"/>
          <w:lang w:val="es-CR" w:eastAsia="es-CR"/>
        </w:rPr>
        <w:t>1</w:t>
      </w:r>
      <w:r w:rsidRPr="00262D3C">
        <w:rPr>
          <w:rFonts w:ascii="Arial" w:hAnsi="Arial" w:cs="Arial"/>
          <w:i/>
          <w:color w:val="000000"/>
          <w:sz w:val="22"/>
          <w:szCs w:val="22"/>
          <w:lang w:val="es-CR" w:eastAsia="es-CR"/>
        </w:rPr>
        <w:t>”</w:t>
      </w:r>
      <w:r w:rsidRPr="00262D3C">
        <w:rPr>
          <w:rFonts w:ascii="Arial" w:hAnsi="Arial" w:cs="Arial"/>
          <w:color w:val="000000"/>
          <w:sz w:val="22"/>
          <w:szCs w:val="22"/>
          <w:lang w:val="es-CR" w:eastAsia="es-CR"/>
        </w:rPr>
        <w:t>, le remito el informe suscrito por la Inga. Elena Gabriela Picado González, Jefa a.i. del Subproceso de Evaluación, con el resultado de la evaluación realizada a los programas presupuestarios del Título 301 Poder Judicial con corte al 31 de diciembre del 202</w:t>
      </w:r>
      <w:r w:rsidR="003D0CE7" w:rsidRPr="00262D3C">
        <w:rPr>
          <w:rFonts w:ascii="Arial" w:hAnsi="Arial" w:cs="Arial"/>
          <w:color w:val="000000"/>
          <w:sz w:val="22"/>
          <w:szCs w:val="22"/>
          <w:lang w:val="es-CR" w:eastAsia="es-CR"/>
        </w:rPr>
        <w:t>1</w:t>
      </w:r>
      <w:r w:rsidRPr="00262D3C">
        <w:rPr>
          <w:rFonts w:ascii="Arial" w:hAnsi="Arial" w:cs="Arial"/>
          <w:color w:val="000000"/>
          <w:sz w:val="22"/>
          <w:szCs w:val="22"/>
          <w:lang w:val="es-CR" w:eastAsia="es-CR"/>
        </w:rPr>
        <w:t>, atendiendo la metodología incorporada en el instrumento suministrado por la Dirección General de Presupuesto Nacional del Ministerio de Hacienda.</w:t>
      </w:r>
    </w:p>
    <w:p w14:paraId="6FAF0216" w14:textId="77777777" w:rsidR="00490068" w:rsidRPr="00262D3C" w:rsidRDefault="00490068" w:rsidP="00FB7E09">
      <w:pPr>
        <w:jc w:val="both"/>
        <w:rPr>
          <w:rFonts w:ascii="Arial" w:hAnsi="Arial" w:cs="Arial"/>
          <w:color w:val="000000"/>
          <w:sz w:val="22"/>
          <w:szCs w:val="22"/>
          <w:lang w:val="es-CR" w:eastAsia="es-CR"/>
        </w:rPr>
      </w:pPr>
    </w:p>
    <w:p w14:paraId="0136150C" w14:textId="41E43DE3" w:rsidR="00490068" w:rsidRPr="00262D3C" w:rsidRDefault="00490068" w:rsidP="00FB7E09">
      <w:pPr>
        <w:jc w:val="both"/>
        <w:rPr>
          <w:rFonts w:ascii="Arial" w:hAnsi="Arial" w:cs="Arial"/>
          <w:color w:val="000000"/>
          <w:sz w:val="22"/>
          <w:szCs w:val="22"/>
          <w:lang w:val="es-CR" w:eastAsia="es-CR"/>
        </w:rPr>
      </w:pPr>
      <w:r w:rsidRPr="00262D3C">
        <w:rPr>
          <w:rFonts w:ascii="Arial" w:hAnsi="Arial" w:cs="Arial"/>
          <w:color w:val="000000"/>
          <w:sz w:val="22"/>
          <w:szCs w:val="22"/>
          <w:lang w:val="es-CR" w:eastAsia="es-CR"/>
        </w:rPr>
        <w:t xml:space="preserve">Se adjuntan los archivos </w:t>
      </w:r>
      <w:r w:rsidR="002649E5" w:rsidRPr="00262D3C">
        <w:rPr>
          <w:rFonts w:ascii="Arial" w:hAnsi="Arial" w:cs="Arial"/>
          <w:color w:val="000000"/>
          <w:sz w:val="22"/>
          <w:szCs w:val="22"/>
          <w:lang w:val="es-CR" w:eastAsia="es-CR"/>
        </w:rPr>
        <w:t>en formato</w:t>
      </w:r>
      <w:r w:rsidRPr="00262D3C">
        <w:rPr>
          <w:rFonts w:ascii="Arial" w:hAnsi="Arial" w:cs="Arial"/>
          <w:color w:val="000000"/>
          <w:sz w:val="22"/>
          <w:szCs w:val="22"/>
          <w:lang w:val="es-CR" w:eastAsia="es-CR"/>
        </w:rPr>
        <w:t xml:space="preserve"> PDF</w:t>
      </w:r>
      <w:r w:rsidR="002649E5" w:rsidRPr="00262D3C">
        <w:rPr>
          <w:rFonts w:ascii="Arial" w:hAnsi="Arial" w:cs="Arial"/>
          <w:color w:val="000000"/>
          <w:sz w:val="22"/>
          <w:szCs w:val="22"/>
          <w:lang w:val="es-CR" w:eastAsia="es-CR"/>
        </w:rPr>
        <w:t>,</w:t>
      </w:r>
      <w:r w:rsidRPr="00262D3C">
        <w:rPr>
          <w:rFonts w:ascii="Arial" w:hAnsi="Arial" w:cs="Arial"/>
          <w:color w:val="000000"/>
          <w:sz w:val="22"/>
          <w:szCs w:val="22"/>
          <w:lang w:val="es-CR" w:eastAsia="es-CR"/>
        </w:rPr>
        <w:t xml:space="preserve"> que remitieron los encargados de los distintos programas institucionales</w:t>
      </w:r>
      <w:r w:rsidR="004A3397" w:rsidRPr="00262D3C">
        <w:rPr>
          <w:rFonts w:ascii="Arial" w:hAnsi="Arial" w:cs="Arial"/>
          <w:color w:val="000000"/>
          <w:sz w:val="22"/>
          <w:szCs w:val="22"/>
          <w:lang w:val="es-CR" w:eastAsia="es-CR"/>
        </w:rPr>
        <w:t xml:space="preserve"> en el apartado </w:t>
      </w:r>
      <w:r w:rsidR="003D4FC9">
        <w:rPr>
          <w:rFonts w:ascii="Arial" w:hAnsi="Arial" w:cs="Arial"/>
          <w:color w:val="000000"/>
          <w:sz w:val="22"/>
          <w:szCs w:val="22"/>
          <w:lang w:val="es-CR" w:eastAsia="es-CR"/>
        </w:rPr>
        <w:t>5</w:t>
      </w:r>
      <w:r w:rsidR="00A83E0F" w:rsidRPr="00262D3C">
        <w:rPr>
          <w:rFonts w:ascii="Arial" w:hAnsi="Arial" w:cs="Arial"/>
          <w:color w:val="000000"/>
          <w:sz w:val="22"/>
          <w:szCs w:val="22"/>
          <w:lang w:val="es-CR" w:eastAsia="es-CR"/>
        </w:rPr>
        <w:t xml:space="preserve"> A</w:t>
      </w:r>
      <w:r w:rsidR="004A3397" w:rsidRPr="00262D3C">
        <w:rPr>
          <w:rFonts w:ascii="Arial" w:hAnsi="Arial" w:cs="Arial"/>
          <w:color w:val="000000"/>
          <w:sz w:val="22"/>
          <w:szCs w:val="22"/>
          <w:lang w:val="es-CR" w:eastAsia="es-CR"/>
        </w:rPr>
        <w:t>nexos.</w:t>
      </w:r>
    </w:p>
    <w:p w14:paraId="4B6AE1BB" w14:textId="77777777" w:rsidR="00490068" w:rsidRPr="00262D3C" w:rsidRDefault="00490068" w:rsidP="00FB7E09">
      <w:pPr>
        <w:jc w:val="both"/>
        <w:rPr>
          <w:rFonts w:ascii="Arial" w:hAnsi="Arial" w:cs="Arial"/>
          <w:color w:val="000000"/>
          <w:sz w:val="22"/>
          <w:szCs w:val="22"/>
          <w:lang w:val="es-CR" w:eastAsia="es-CR"/>
        </w:rPr>
      </w:pPr>
    </w:p>
    <w:p w14:paraId="5E62AA68" w14:textId="79630DB5" w:rsidR="00490068" w:rsidRDefault="00490068" w:rsidP="00FB7E09">
      <w:pPr>
        <w:jc w:val="both"/>
        <w:rPr>
          <w:rFonts w:ascii="Arial" w:hAnsi="Arial" w:cs="Arial"/>
          <w:color w:val="000000"/>
          <w:sz w:val="22"/>
          <w:szCs w:val="22"/>
          <w:lang w:val="es-CR" w:eastAsia="es-CR"/>
        </w:rPr>
      </w:pPr>
      <w:r w:rsidRPr="00262D3C">
        <w:rPr>
          <w:rFonts w:ascii="Arial" w:hAnsi="Arial" w:cs="Arial"/>
          <w:color w:val="000000"/>
          <w:sz w:val="22"/>
          <w:szCs w:val="22"/>
          <w:lang w:val="es-CR" w:eastAsia="es-CR"/>
        </w:rPr>
        <w:t>Se adjunta documento de Excel con las pestañas de Programación y Financiero debidamente completadas, con base en los datos de liquidación presupuestaria suministrados por el Ministerio de Hacienda.</w:t>
      </w:r>
    </w:p>
    <w:p w14:paraId="6811DDE6" w14:textId="77777777" w:rsidR="00FB7E09" w:rsidRPr="00262D3C" w:rsidRDefault="00FB7E09" w:rsidP="00FB7E09">
      <w:pPr>
        <w:jc w:val="both"/>
        <w:rPr>
          <w:rFonts w:ascii="Arial" w:hAnsi="Arial" w:cs="Arial"/>
          <w:color w:val="000000"/>
          <w:sz w:val="22"/>
          <w:szCs w:val="22"/>
          <w:lang w:val="es-CR" w:eastAsia="es-CR"/>
        </w:rPr>
      </w:pPr>
    </w:p>
    <w:p w14:paraId="6E02B57F" w14:textId="1F33CA08" w:rsidR="003A499A" w:rsidRPr="00DA79A8" w:rsidRDefault="00FB7E09" w:rsidP="00FB7E09">
      <w:pPr>
        <w:jc w:val="center"/>
        <w:rPr>
          <w:rFonts w:ascii="Book Antiqua" w:hAnsi="Book Antiqua" w:cs="Arial"/>
        </w:rPr>
      </w:pPr>
      <w:r>
        <w:rPr>
          <w:rFonts w:ascii="Book Antiqua" w:hAnsi="Book Antiqua" w:cs="Arial"/>
        </w:rPr>
        <w:object w:dxaOrig="1376" w:dyaOrig="899" w14:anchorId="34FA6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pt;height:44.25pt" o:ole="">
            <v:imagedata r:id="rId9" o:title=""/>
          </v:shape>
          <o:OLEObject Type="Embed" ProgID="Excel.Sheet.12" ShapeID="_x0000_i1025" DrawAspect="Icon" ObjectID="_1704196147" r:id="rId10"/>
        </w:object>
      </w:r>
    </w:p>
    <w:p w14:paraId="55723B0F" w14:textId="77777777" w:rsidR="00D11E4D" w:rsidRDefault="00D11E4D" w:rsidP="00FB7E09">
      <w:pPr>
        <w:widowControl w:val="0"/>
        <w:rPr>
          <w:rFonts w:ascii="Arial" w:hAnsi="Arial" w:cs="Arial"/>
          <w:snapToGrid w:val="0"/>
          <w:sz w:val="22"/>
          <w:szCs w:val="22"/>
          <w:lang w:val="pt-BR"/>
        </w:rPr>
      </w:pPr>
    </w:p>
    <w:p w14:paraId="591CD9E1" w14:textId="5259ADED" w:rsidR="00D11E4D" w:rsidRPr="00CC7D56" w:rsidRDefault="00D11E4D" w:rsidP="00FB7E09">
      <w:pPr>
        <w:widowControl w:val="0"/>
        <w:rPr>
          <w:rFonts w:ascii="Arial" w:hAnsi="Arial" w:cs="Arial"/>
          <w:snapToGrid w:val="0"/>
          <w:sz w:val="22"/>
          <w:szCs w:val="22"/>
          <w:lang w:val="pt-BR"/>
        </w:rPr>
      </w:pPr>
      <w:r w:rsidRPr="00CC7D56">
        <w:rPr>
          <w:rFonts w:ascii="Arial" w:hAnsi="Arial" w:cs="Arial"/>
          <w:snapToGrid w:val="0"/>
          <w:sz w:val="22"/>
          <w:szCs w:val="22"/>
          <w:lang w:val="pt-BR"/>
        </w:rPr>
        <w:t>Atentamente,</w:t>
      </w:r>
    </w:p>
    <w:p w14:paraId="11017B56" w14:textId="107AB838" w:rsidR="00D11E4D" w:rsidRDefault="00D11E4D" w:rsidP="00FB7E09">
      <w:pPr>
        <w:rPr>
          <w:rFonts w:ascii="Arial" w:hAnsi="Arial" w:cs="Arial"/>
          <w:snapToGrid w:val="0"/>
          <w:sz w:val="22"/>
          <w:szCs w:val="22"/>
          <w:lang w:val="pt-BR"/>
        </w:rPr>
      </w:pPr>
    </w:p>
    <w:p w14:paraId="4EF9F2E4" w14:textId="65E7F7A8" w:rsidR="00FB7E09" w:rsidRDefault="00FB7E09" w:rsidP="00FB7E09">
      <w:pPr>
        <w:rPr>
          <w:rFonts w:ascii="Arial" w:hAnsi="Arial" w:cs="Arial"/>
          <w:snapToGrid w:val="0"/>
          <w:sz w:val="22"/>
          <w:szCs w:val="22"/>
          <w:lang w:val="pt-BR"/>
        </w:rPr>
      </w:pPr>
    </w:p>
    <w:p w14:paraId="0F14D847" w14:textId="77777777" w:rsidR="00FB7E09" w:rsidRPr="00CC7D56" w:rsidRDefault="00FB7E09" w:rsidP="00FB7E09">
      <w:pPr>
        <w:rPr>
          <w:rFonts w:ascii="Arial" w:hAnsi="Arial" w:cs="Arial"/>
          <w:snapToGrid w:val="0"/>
          <w:sz w:val="22"/>
          <w:szCs w:val="22"/>
          <w:lang w:val="pt-BR"/>
        </w:rPr>
      </w:pPr>
    </w:p>
    <w:p w14:paraId="00E543C6" w14:textId="77777777" w:rsidR="00D11E4D" w:rsidRPr="00CC7D56" w:rsidRDefault="00D11E4D" w:rsidP="00FB7E09">
      <w:pPr>
        <w:rPr>
          <w:rFonts w:ascii="Arial" w:hAnsi="Arial" w:cs="Arial"/>
          <w:snapToGrid w:val="0"/>
          <w:sz w:val="22"/>
          <w:szCs w:val="22"/>
          <w:lang w:val="pt-BR"/>
        </w:rPr>
      </w:pPr>
      <w:r w:rsidRPr="00CC7D56">
        <w:rPr>
          <w:rFonts w:ascii="Arial" w:hAnsi="Arial" w:cs="Arial"/>
          <w:snapToGrid w:val="0"/>
          <w:sz w:val="22"/>
          <w:szCs w:val="22"/>
          <w:lang w:val="pt-BR"/>
        </w:rPr>
        <w:t xml:space="preserve">Inga. </w:t>
      </w:r>
      <w:r w:rsidRPr="00CC7D56">
        <w:rPr>
          <w:rFonts w:ascii="Arial" w:hAnsi="Arial" w:cs="Arial"/>
          <w:sz w:val="22"/>
          <w:szCs w:val="22"/>
        </w:rPr>
        <w:t>Elena Gabriela Picado Gonzalez</w:t>
      </w:r>
      <w:r w:rsidRPr="00CC7D56">
        <w:rPr>
          <w:rFonts w:ascii="Arial" w:hAnsi="Arial" w:cs="Arial"/>
          <w:snapToGrid w:val="0"/>
          <w:sz w:val="22"/>
          <w:szCs w:val="22"/>
          <w:lang w:val="pt-BR"/>
        </w:rPr>
        <w:t>, Jefa a.i.</w:t>
      </w:r>
    </w:p>
    <w:p w14:paraId="20CDDEE6" w14:textId="605689AC" w:rsidR="00BA208E" w:rsidRDefault="00D11E4D" w:rsidP="00FB7E09">
      <w:pPr>
        <w:rPr>
          <w:rFonts w:ascii="Arial" w:hAnsi="Arial" w:cs="Arial"/>
          <w:snapToGrid w:val="0"/>
          <w:sz w:val="22"/>
          <w:szCs w:val="22"/>
          <w:lang w:val="pt-BR"/>
        </w:rPr>
      </w:pPr>
      <w:r w:rsidRPr="00CC7D56">
        <w:rPr>
          <w:rFonts w:ascii="Arial" w:hAnsi="Arial" w:cs="Arial"/>
          <w:snapToGrid w:val="0"/>
          <w:sz w:val="22"/>
          <w:szCs w:val="22"/>
          <w:lang w:val="pt-BR"/>
        </w:rPr>
        <w:t>Subproceso de Evaluación</w:t>
      </w:r>
      <w:r w:rsidR="00BA208E">
        <w:rPr>
          <w:rFonts w:ascii="Arial" w:hAnsi="Arial" w:cs="Arial"/>
          <w:snapToGrid w:val="0"/>
          <w:sz w:val="22"/>
          <w:szCs w:val="22"/>
          <w:lang w:val="pt-BR"/>
        </w:rPr>
        <w:br w:type="page"/>
      </w:r>
    </w:p>
    <w:p w14:paraId="79796516" w14:textId="77777777" w:rsidR="00D14F1D" w:rsidRDefault="00D14F1D" w:rsidP="00936D34">
      <w:pPr>
        <w:tabs>
          <w:tab w:val="left" w:pos="2385"/>
        </w:tabs>
        <w:jc w:val="center"/>
        <w:rPr>
          <w:rFonts w:asciiTheme="majorHAnsi" w:eastAsiaTheme="majorEastAsia" w:hAnsiTheme="majorHAnsi" w:cstheme="majorBidi"/>
        </w:rPr>
      </w:pPr>
    </w:p>
    <w:p w14:paraId="36B8F272" w14:textId="77777777" w:rsidR="00D14F1D" w:rsidRDefault="00D14F1D" w:rsidP="00936D34">
      <w:pPr>
        <w:tabs>
          <w:tab w:val="left" w:pos="2385"/>
        </w:tabs>
        <w:jc w:val="center"/>
        <w:rPr>
          <w:rFonts w:asciiTheme="majorHAnsi" w:eastAsiaTheme="majorEastAsia" w:hAnsiTheme="majorHAnsi" w:cstheme="majorBidi"/>
        </w:rPr>
      </w:pPr>
    </w:p>
    <w:p w14:paraId="7528519A" w14:textId="77777777" w:rsidR="00D14F1D" w:rsidRDefault="00D14F1D" w:rsidP="00936D34">
      <w:pPr>
        <w:tabs>
          <w:tab w:val="left" w:pos="2385"/>
        </w:tabs>
        <w:jc w:val="center"/>
        <w:rPr>
          <w:rFonts w:asciiTheme="majorHAnsi" w:eastAsiaTheme="majorEastAsia" w:hAnsiTheme="majorHAnsi" w:cstheme="majorBidi"/>
        </w:rPr>
      </w:pPr>
    </w:p>
    <w:p w14:paraId="01EADCEF" w14:textId="77777777" w:rsidR="00D14F1D" w:rsidRPr="004E3DB7" w:rsidRDefault="00D14F1D" w:rsidP="00936D34">
      <w:pPr>
        <w:tabs>
          <w:tab w:val="left" w:pos="2385"/>
        </w:tabs>
        <w:jc w:val="center"/>
        <w:rPr>
          <w:rFonts w:asciiTheme="majorHAnsi" w:eastAsiaTheme="majorEastAsia" w:hAnsiTheme="majorHAnsi" w:cstheme="majorBidi"/>
        </w:rPr>
      </w:pPr>
    </w:p>
    <w:p w14:paraId="6CDFC89E" w14:textId="77777777" w:rsidR="00010415" w:rsidRDefault="00010415" w:rsidP="00936D34">
      <w:pPr>
        <w:tabs>
          <w:tab w:val="left" w:pos="2385"/>
        </w:tabs>
        <w:jc w:val="center"/>
        <w:rPr>
          <w:rFonts w:asciiTheme="majorHAnsi" w:eastAsiaTheme="majorEastAsia" w:hAnsiTheme="majorHAnsi" w:cstheme="majorBidi"/>
        </w:rPr>
      </w:pPr>
      <w:bookmarkStart w:id="0" w:name="_Toc530474645"/>
    </w:p>
    <w:sdt>
      <w:sdtPr>
        <w:id w:val="-1380236537"/>
        <w:docPartObj>
          <w:docPartGallery w:val="Cover Pages"/>
          <w:docPartUnique/>
        </w:docPartObj>
      </w:sdtPr>
      <w:sdtEndPr>
        <w:rPr>
          <w:rFonts w:cs="Arial"/>
          <w:bCs/>
          <w:smallCaps/>
          <w:szCs w:val="28"/>
        </w:rPr>
      </w:sdtEndPr>
      <w:sdtContent>
        <w:p w14:paraId="780B95E6" w14:textId="11650E3C" w:rsidR="00010415" w:rsidRDefault="00936D34" w:rsidP="00936D34">
          <w:pPr>
            <w:tabs>
              <w:tab w:val="left" w:pos="2385"/>
            </w:tabs>
            <w:jc w:val="center"/>
          </w:pPr>
          <w:r>
            <w:rPr>
              <w:noProof/>
            </w:rPr>
            <mc:AlternateContent>
              <mc:Choice Requires="wpg">
                <w:drawing>
                  <wp:anchor distT="0" distB="0" distL="114300" distR="114300" simplePos="0" relativeHeight="251658240" behindDoc="1" locked="0" layoutInCell="1" allowOverlap="1" wp14:anchorId="00EE936F" wp14:editId="71F9CB3D">
                    <wp:simplePos x="0" y="0"/>
                    <wp:positionH relativeFrom="margin">
                      <wp:posOffset>-727710</wp:posOffset>
                    </wp:positionH>
                    <wp:positionV relativeFrom="page">
                      <wp:posOffset>361950</wp:posOffset>
                    </wp:positionV>
                    <wp:extent cx="7115175" cy="8524875"/>
                    <wp:effectExtent l="0" t="0" r="952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15175" cy="8524875"/>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3FD6167" w14:textId="54472F3F" w:rsidR="00010415" w:rsidRPr="00DC6996" w:rsidRDefault="00010415">
                                  <w:pPr>
                                    <w:rPr>
                                      <w:rFonts w:ascii="Arial" w:hAnsi="Arial" w:cs="Arial"/>
                                      <w:color w:val="FFFFFF" w:themeColor="background1"/>
                                      <w:sz w:val="52"/>
                                      <w:szCs w:val="5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0EE936F" id="Grupo 125" o:spid="_x0000_s1026" style="position:absolute;left:0;text-align:left;margin-left:-57.3pt;margin-top:28.5pt;width:560.25pt;height:671.25pt;z-index:-251658240;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NXcAUAAKkTAAAOAAAAZHJzL2Uyb0RvYy54bWzsWNtu20YQfS/Qf1jwsUAjUuJFEmwHqVMb&#10;BdI2aNwPWFG8NRSXXVKWnK/PmVmSIiXaUt2gT32RucuZs7NzPebV2/0mF4+RrjJVXFvOG9sSURGq&#10;dVYk19afD3c/zi1R1bJYy1wV0bX1FFXW25vvv7valctoqlKVryMtAFJUy115baV1XS4nkypMo42s&#10;3qgyKvAyVnojayx1MllruQP6Jp9Mbduf7JRel1qFUVVh9715ad0wfhxHYf17HFdRLfJrC7bV/Kv5&#10;d0W/k5sruUy0LNMsbMyQr7BiI7MCh3ZQ72UtxVZnJ1CbLNSqUnH9JlSbiYrjLIz4DriNYx/d5l6r&#10;bcl3SZa7pOzcBNce+enVsOFvjx+1yNaI3dSzRCE3CNK93pZK0AbcsyuTJaTudfmp/KjNHfH4QYWf&#10;K1Go21QWSfSuKuFqgJDG5FiF1slBfx/rDeHg9mLPoXjqQhHtaxFiM3AczwlgUYh3c2/qzrHgYIUp&#10;InqiF6Y/N5qe5zuzGWJNmp5ru+6cNSdyaQ5m8zpzdiUSrzr4tvp3vv2UyjLikFXktc63fuvbO0pl&#10;kWcrHQmH848sgGjr3cq41vix94bEKkRArHa/qjWiJLe14py7xJ+e5wXe9AWvyGW4rer7SHFo5OOH&#10;qmZ3J2s8cdTXTXY8ACXe5CiTHybCFjsRALeRbUWcgUgqAvtEZDoQGUWZ9UR81xWjOG5PyHFm4/Yg&#10;kTqTfd8bR0KMOiHcaRwp6Ak9axOa3nmkRU/Id4Jxm5AiF0A5F/jbucDhTt/j9sEi1E6XBzJtUyPc&#10;F01u4EmgDVAVU6qUqqICpURBDT6YpoAE2xf09hlhmEfCM+4g54QRdBJuC/tlZMSVhIOLkBE6El5c&#10;JEzRIWn4n+r1nNUUAhYfXNKoNZ7UaKPHs0pbArNqRUfAt7KmALSPYodeSXWd4i+KjPY36jF6UCxR&#10;HzVKnHV4G25XWfhT9OVUFondnNYDeGmT7jBAG65Khpkiu3B932t6gdn1jVN8b94/EpVshP0uxufx&#10;AcwHmIYPX/GxbmASoOtBZpu9RuaYu150g07H4WRqT7hs+x+dMHBRi//85kXYxjsDkJe3jlCxpOzj&#10;RO/SkGUOgyPnEi/UXZbnpiRoByPXDC+iE3iqn/KI8jMv/ohisA9mAbRRhTpZ3eZaGIrGHYWSn43G&#10;UaxAgjHwO13Htmec+UwbI9J/lCB868/Tpi4bcdKMmBV2uqZkzp3bKfHZqqg7/Y38S2k+pXczeqz3&#10;qz08QI8rtX7C4NbK0E/QZTykSn+xxA7U89qq/t5KHVki/6UA/1g4rotSFjWvHHsRTOdY6uFyNVzK&#10;IgQitQl0Ynq8rY0Pt6XOkpS5GRlfqHfgDXFG053DYoxrFmBCxuT/gBJhkhq6OaBE3EnJad+SEs0D&#10;f0YeRbmjGyyCOTdg5ELDGV1/7tkdZ7QXC7vtOi23ehU58u0AJAK/prMlHYM6Hte+fyyBptgxCCfw&#10;x2H609ojAnGK02dHxGhGjOlzI3c+itJnRlPPGccZMCN/FKfPi551Tp8XTcdvNWBFzwKdsCLjHrSR&#10;/8nMCFsbJzPU3zue9xp2QhlH7ATOp/5zoB/N+KfXqMu2wx/ej1EItxnxQ37S1rY3mMooG0Y2uzyn&#10;+nxnDB69tqfSjne32WyahrG76SZMWi7Cxv3pnkc0x2vYT9MADDZKjGW7fB3aOlwZlRlwmfsMgFya&#10;G3ToYJcjgt1px4jPUqtWZUAezm8eOQbLswSiUnm2JvZAyXI0z1eJwzkk8zKVZsQj9OZfS2B30sxQ&#10;BkAX0ZLXjOl2SrsekzQzo3mAg7TzhG7efMP5zB8w8D2Ir9l8u6IPTv01z/PDF7abrwAAAP//AwBQ&#10;SwMEFAAGAAgAAAAhAJBCutDjAAAADQEAAA8AAABkcnMvZG93bnJldi54bWxMj8FOwzAMhu9IvENk&#10;JG5bEkYHLU2naQJOExIbEuKWNV5brXGqJmu7tyc7wc2WP/3+/nw12ZYN2PvGkQI5F8CQSmcaqhR8&#10;7d9mz8B80GR06wgVXNDDqri9yXVm3EifOOxCxWII+UwrqEPoMs59WaPVfu46pHg7ut7qENe+4qbX&#10;Ywy3LX8QYsmtbih+qHWHmxrL0+5sFbyPelwv5OuwPR03l5998vG9lajU/d20fgEWcAp/MFz1ozoU&#10;0engzmQ8axXMpHxcRlZB8hRLXQkhkhTYIU6LNE2AFzn/36L4BQAA//8DAFBLAQItABQABgAIAAAA&#10;IQC2gziS/gAAAOEBAAATAAAAAAAAAAAAAAAAAAAAAABbQ29udGVudF9UeXBlc10ueG1sUEsBAi0A&#10;FAAGAAgAAAAhADj9If/WAAAAlAEAAAsAAAAAAAAAAAAAAAAALwEAAF9yZWxzLy5yZWxzUEsBAi0A&#10;FAAGAAgAAAAhAFk/k1dwBQAAqRMAAA4AAAAAAAAAAAAAAAAALgIAAGRycy9lMm9Eb2MueG1sUEsB&#10;Ai0AFAAGAAgAAAAhAJBCutDjAAAADQEAAA8AAAAAAAAAAAAAAAAAygcAAGRycy9kb3ducmV2Lnht&#10;bFBLBQYAAAAABAAEAPMAAADaCA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13FD6167" w14:textId="54472F3F" w:rsidR="00010415" w:rsidRPr="00DC6996" w:rsidRDefault="00010415">
                            <w:pPr>
                              <w:rPr>
                                <w:rFonts w:ascii="Arial" w:hAnsi="Arial" w:cs="Arial"/>
                                <w:color w:val="FFFFFF" w:themeColor="background1"/>
                                <w:sz w:val="52"/>
                                <w:szCs w:val="52"/>
                              </w:rPr>
                            </w:pP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sdt>
            <w:sdtPr>
              <w:rPr>
                <w:rFonts w:ascii="Arial" w:hAnsi="Arial" w:cs="Arial"/>
                <w:color w:val="FFFFFF" w:themeColor="background1"/>
                <w:sz w:val="52"/>
                <w:szCs w:val="5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olor w:val="FFFFFF" w:themeColor="background1"/>
                  <w:sz w:val="52"/>
                  <w:szCs w:val="52"/>
                </w:rPr>
                <w:t>INFORME FINAL DE EVALUACIÓN FÍSICA Y FINANCIERA DE LA EJECUCIÓN DEL PRESUPUESTO 2021</w:t>
              </w:r>
            </w:sdtContent>
          </w:sdt>
          <w:r>
            <w:rPr>
              <w:noProof/>
            </w:rPr>
            <w:t xml:space="preserve"> </w:t>
          </w:r>
        </w:p>
        <w:p w14:paraId="4B0CD2B9" w14:textId="12F6EC01" w:rsidR="00010415" w:rsidRDefault="00936D34">
          <w:pPr>
            <w:rPr>
              <w:rFonts w:ascii="Arial" w:hAnsi="Arial" w:cs="Arial"/>
              <w:sz w:val="28"/>
              <w:szCs w:val="28"/>
            </w:rPr>
          </w:pPr>
          <w:r>
            <w:rPr>
              <w:noProof/>
            </w:rPr>
            <mc:AlternateContent>
              <mc:Choice Requires="wps">
                <w:drawing>
                  <wp:anchor distT="0" distB="0" distL="114300" distR="114300" simplePos="0" relativeHeight="251658242" behindDoc="0" locked="0" layoutInCell="1" allowOverlap="1" wp14:anchorId="5E1C9207" wp14:editId="25C8A247">
                    <wp:simplePos x="0" y="0"/>
                    <wp:positionH relativeFrom="margin">
                      <wp:align>center</wp:align>
                    </wp:positionH>
                    <wp:positionV relativeFrom="page">
                      <wp:posOffset>4114800</wp:posOffset>
                    </wp:positionV>
                    <wp:extent cx="6048375" cy="625475"/>
                    <wp:effectExtent l="0" t="0" r="0" b="317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6048375" cy="62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FFFFFF" w:themeColor="background1"/>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3256C2" w14:textId="03B59EE7" w:rsidR="00010415" w:rsidRPr="00936D34" w:rsidRDefault="00694F94" w:rsidP="00DC6DB6">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PODER JUDICIAL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C9207" id="_x0000_t202" coordsize="21600,21600" o:spt="202" path="m,l,21600r21600,l21600,xe">
                    <v:stroke joinstyle="miter"/>
                    <v:path gradientshapeok="t" o:connecttype="rect"/>
                  </v:shapetype>
                  <v:shape id="Cuadro de texto 129" o:spid="_x0000_s1029" type="#_x0000_t202" style="position:absolute;margin-left:0;margin-top:324pt;width:476.25pt;height:49.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XbhwIAAG8FAAAOAAAAZHJzL2Uyb0RvYy54bWysVF1P2zAUfZ+0/2D5fSQt5asiRV0R0yQE&#10;aDDx7Do2jeb4erbbhv36HTtNQWwvTHtJrn3PPb7f5xdda9hG+dCQrfjooORMWUl1Y58q/v3h6tMp&#10;ZyEKWwtDVlX8WQV+Mfv44XzrpmpMKzK18gwkNky3ruKrGN20KIJcqVaEA3LKQqnJtyLi6J+K2ost&#10;2FtTjMvyuNiSr50nqULA7WWv5LPMr7WS8VbroCIzFYdvMX99/i7Tt5idi+mTF27VyJ0b4h+8aEVj&#10;8eie6lJEwda++YOqbaSnQDoeSGoL0rqRKseAaEblm2juV8KpHAuSE9w+TeH/0cqbzZ1nTY3ajc84&#10;s6JFkRZrUXtitWJRdZFYUiFRWxemwN87WMTuM3UwGu4DLlP8nfZt+iMyBj1S/rxPM7iYxOVxOTk9&#10;PDniTEJ3PD6aQAZ98WLtfIhfFLUsCRX3KGPOrthch9hDB0h6zNJVY0wupbFsC9LDozIb7DUgNzZh&#10;VW6KHU2KqPc8S/HZqIQx9pvSSEoOIF3kdlQL49lGoJGElMrGHHvmBTqhNJx4j+EO/+LVe4z7OIaX&#10;yca9cdtY8jn6N27XPwaXdY9Hzl/FncTYLbu+G4bCLql+Rr099aMTnLxqUJRrEeKd8JgVlBjzH2/x&#10;0YaQfNpJnK3I//rbfcKjhaHlbIvZq3j4uRZecWa+WjT32WgyKdO05hMEn4VReXYyPsVxOdzbdbsg&#10;FGSEJeNkFhM6mkHUntpHbIh5ehAqYSWerXgcxEXslwE2jFTzeQZhMp2I1/beyUSd6pO67aF7FN7t&#10;WjINxg0NAyqmbzqzxyZLS/N1JN3ktk0p7hO6Sz2mOjf+bgOltfH6nFEve3L2GwAA//8DAFBLAwQU&#10;AAYACAAAACEABjPA8uEAAAAIAQAADwAAAGRycy9kb3ducmV2LnhtbEyPQUvDQBCF74L/YRnBm920&#10;NGkbsykqFAIeirUKvW2yYxLMzobston+eseT3t7whve+l20n24kLDr51pGA+i0AgVc60VCs4vu7u&#10;1iB80GR05wgVfKGHbX59lenUuJFe8HIIteAQ8qlW0ITQp1L6qkGr/cz1SOx9uMHqwOdQSzPokcNt&#10;JxdRlEirW+KGRvf41GD1eThbBY+r72eN4/F9/lZEZTHt9qex2Ct1ezM93IMIOIW/Z/jFZ3TImal0&#10;ZzJedAp4SFCQLNcs2N7EixhEqWC1TGKQeSb/D8h/AAAA//8DAFBLAQItABQABgAIAAAAIQC2gziS&#10;/gAAAOEBAAATAAAAAAAAAAAAAAAAAAAAAABbQ29udGVudF9UeXBlc10ueG1sUEsBAi0AFAAGAAgA&#10;AAAhADj9If/WAAAAlAEAAAsAAAAAAAAAAAAAAAAALwEAAF9yZWxzLy5yZWxzUEsBAi0AFAAGAAgA&#10;AAAhAHBO1duHAgAAbwUAAA4AAAAAAAAAAAAAAAAALgIAAGRycy9lMm9Eb2MueG1sUEsBAi0AFAAG&#10;AAgAAAAhAAYzwPLhAAAACAEAAA8AAAAAAAAAAAAAAAAA4QQAAGRycy9kb3ducmV2LnhtbFBLBQYA&#10;AAAABAAEAPMAAADvBQAAAAA=&#10;" filled="f" stroked="f" strokeweight=".5pt">
                    <v:textbox inset="1in,0,86.4pt,0">
                      <w:txbxContent>
                        <w:sdt>
                          <w:sdtPr>
                            <w:rPr>
                              <w:rFonts w:ascii="Arial" w:hAnsi="Arial" w:cs="Arial"/>
                              <w:caps/>
                              <w:color w:val="FFFFFF" w:themeColor="background1"/>
                              <w:sz w:val="40"/>
                              <w:szCs w:val="40"/>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3256C2" w14:textId="03B59EE7" w:rsidR="00010415" w:rsidRPr="00936D34" w:rsidRDefault="00694F94" w:rsidP="00DC6DB6">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PODER JUDICIAL</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8243" behindDoc="0" locked="0" layoutInCell="1" allowOverlap="1" wp14:anchorId="59865EF0" wp14:editId="6D473D19">
                    <wp:simplePos x="0" y="0"/>
                    <wp:positionH relativeFrom="margin">
                      <wp:posOffset>805180</wp:posOffset>
                    </wp:positionH>
                    <wp:positionV relativeFrom="margin">
                      <wp:posOffset>3986530</wp:posOffset>
                    </wp:positionV>
                    <wp:extent cx="4143375" cy="666750"/>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4143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217D7" w14:textId="79A0C880" w:rsidR="00010415" w:rsidRPr="00936D34" w:rsidRDefault="0086726C" w:rsidP="0086726C">
                                <w:pPr>
                                  <w:pStyle w:val="Sinespaciado"/>
                                  <w:jc w:val="center"/>
                                  <w:rPr>
                                    <w:rFonts w:ascii="Arial" w:hAnsi="Arial" w:cs="Arial"/>
                                    <w:caps/>
                                    <w:color w:val="FFFFFF" w:themeColor="background1"/>
                                    <w:sz w:val="40"/>
                                    <w:szCs w:val="40"/>
                                  </w:rPr>
                                </w:pPr>
                                <w:r w:rsidRPr="00936D34">
                                  <w:rPr>
                                    <w:rFonts w:ascii="Arial" w:hAnsi="Arial" w:cs="Arial"/>
                                    <w:caps/>
                                    <w:color w:val="FFFFFF" w:themeColor="background1"/>
                                    <w:sz w:val="40"/>
                                    <w:szCs w:val="40"/>
                                  </w:rPr>
                                  <w:t>ENERO 2022</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5EF0" id="Cuadro de texto 128" o:spid="_x0000_s1030" type="#_x0000_t202" style="position:absolute;margin-left:63.4pt;margin-top:313.9pt;width:326.25pt;height: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XSiAIAAG8FAAAOAAAAZHJzL2Uyb0RvYy54bWysVE1PGzEQvVfqf7B8L5uEECBig9Igqkqo&#10;oELF2fHaZFWvx7WdZNNf32dvNlDaC1Uv9njmzXi+Ly7bxrCN8qEmW/Lh0YAzZSVVtX0q+beH6w9n&#10;nIUobCUMWVXynQr8cvb+3cXWTdWIVmQq5RmM2DDdupKvYnTToghypRoRjsgpC6Em34iIp38qKi+2&#10;sN6YYjQYTIot+cp5kioEcK86IZ9l+1orGW+1DioyU3L4FvPp87lMZzG7ENMnL9yqlns3xD940Yja&#10;4tODqSsRBVv7+g9TTS09BdLxSFJTkNa1VDkGRDMcvIrmfiWcyrEgOcEd0hT+n1n5ZXPnWV2hdiOU&#10;yooGRVqsReWJVYpF1UZiSYREbV2YAn/voBHbj9RCqecHMFP8rfZNuhEZgxwp3x3SDFtMgjkejo+P&#10;T084k5BNJpPTk1yH4lnb+RA/KWpYIkruUcacXbG5CRGeANpD0meWrmtjcimNZVsYPYbJ3yTQMDZx&#10;VG6KvZkUUed5puLOqIQx9qvSSEoOIDFyO6qF8Wwj0EhCSmVjjj3bBTqhNJx4i+Ie/+zVW5S7OPqf&#10;ycaDclNb8jn6V25X33uXdYdHIl/EncjYLtvcDaO+sEuqdqi3p250gpPXNYpyI0K8Ex6zghJj/uMt&#10;Dm0Iyac9xdmK/M+/8RMeLQwpZ1vMXsnDj7XwijPz2aK5z4fj8SBNa36B8JkYDs5PR2d4Lnu+XTcL&#10;QkGGWDJOZjKho+lJ7al5xIaYpw8hElbi25Ive3IRu2WADSPVfJ5BmEwn4o29dzKZTvVJ3fbQPgrv&#10;9i2ZBuML9QMqpq86s8MmTUvzdSRd57ZNKe4Suk89pjp3834DpbXx8p1Rz3ty9gsAAP//AwBQSwME&#10;FAAGAAgAAAAhADyH1QDgAAAACwEAAA8AAABkcnMvZG93bnJldi54bWxMj0FLxDAQhe+C/yGM4EXc&#10;1C60tTZdRFgRFIrrgnibNmNbbJLaZLf13zt70tt7zOPN94rNYgZxpMn3ziq4WUUgyDZO97ZVsH/b&#10;XmcgfECrcXCWFPyQh015flZgrt1sX+m4C63gEutzVNCFMOZS+qYjg37lRrJ8+3STwcB2aqWecOZy&#10;M8g4ihJpsLf8ocORHjpqvnYHo+ApXNUfj/S8d9X8/l25KtO4fVHq8mK5vwMRaAl/YTjhMzqUzFS7&#10;g9VeDOzjhNGDgiROWXAiTW/XIGoW6zgDWRby/4byFwAA//8DAFBLAQItABQABgAIAAAAIQC2gziS&#10;/gAAAOEBAAATAAAAAAAAAAAAAAAAAAAAAABbQ29udGVudF9UeXBlc10ueG1sUEsBAi0AFAAGAAgA&#10;AAAhADj9If/WAAAAlAEAAAsAAAAAAAAAAAAAAAAALwEAAF9yZWxzLy5yZWxzUEsBAi0AFAAGAAgA&#10;AAAhAByMpdKIAgAAbwUAAA4AAAAAAAAAAAAAAAAALgIAAGRycy9lMm9Eb2MueG1sUEsBAi0AFAAG&#10;AAgAAAAhADyH1QDgAAAACwEAAA8AAAAAAAAAAAAAAAAA4gQAAGRycy9kb3ducmV2LnhtbFBLBQYA&#10;AAAABAAEAPMAAADvBQAAAAA=&#10;" filled="f" stroked="f" strokeweight=".5pt">
                    <v:textbox inset="1in,0,86.4pt,0">
                      <w:txbxContent>
                        <w:p w14:paraId="417217D7" w14:textId="79A0C880" w:rsidR="00010415" w:rsidRPr="00936D34" w:rsidRDefault="0086726C" w:rsidP="0086726C">
                          <w:pPr>
                            <w:pStyle w:val="Sinespaciado"/>
                            <w:jc w:val="center"/>
                            <w:rPr>
                              <w:rFonts w:ascii="Arial" w:hAnsi="Arial" w:cs="Arial"/>
                              <w:caps/>
                              <w:color w:val="FFFFFF" w:themeColor="background1"/>
                              <w:sz w:val="40"/>
                              <w:szCs w:val="40"/>
                            </w:rPr>
                          </w:pPr>
                          <w:r w:rsidRPr="00936D34">
                            <w:rPr>
                              <w:rFonts w:ascii="Arial" w:hAnsi="Arial" w:cs="Arial"/>
                              <w:caps/>
                              <w:color w:val="FFFFFF" w:themeColor="background1"/>
                              <w:sz w:val="40"/>
                              <w:szCs w:val="40"/>
                            </w:rPr>
                            <w:t>ENERO 2022</w:t>
                          </w:r>
                        </w:p>
                      </w:txbxContent>
                    </v:textbox>
                    <w10:wrap type="square" anchorx="margin" anchory="margin"/>
                  </v:shape>
                </w:pict>
              </mc:Fallback>
            </mc:AlternateContent>
          </w:r>
          <w:r w:rsidR="00010415">
            <w:rPr>
              <w:noProof/>
            </w:rPr>
            <mc:AlternateContent>
              <mc:Choice Requires="wps">
                <w:drawing>
                  <wp:anchor distT="0" distB="0" distL="114300" distR="114300" simplePos="0" relativeHeight="251658241" behindDoc="0" locked="0" layoutInCell="1" allowOverlap="1" wp14:anchorId="6C0B742C" wp14:editId="0E74B539">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CD761" w14:textId="1CC93D9F" w:rsidR="00010415" w:rsidRDefault="00010415">
                                <w:pPr>
                                  <w:pStyle w:val="Sinespaciado"/>
                                  <w:jc w:val="right"/>
                                  <w:rPr>
                                    <w:color w:val="FFFFFF" w:themeColor="background1"/>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C0B742C" id="Rectángulo 130" o:spid="_x0000_s1031" style="position:absolute;margin-left:-4.4pt;margin-top:0;width:46.8pt;height:77.75pt;z-index:251658241;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IogIAAJIFAAAOAAAAZHJzL2Uyb0RvYy54bWysVEtu2zAQ3RfoHQjuG9lOnI8QOTAcpChg&#10;JEGSImuaIi2hFIclaUvubXqWXqxDUlbcJOiiqBaEOJ83H76Zy6uuUWQrrKtBF3R8NKJEaA5lrdcF&#10;/fp08+mcEueZLpkCLQq6E45ezT5+uGxNLiZQgSqFJQiiXd6aglbemzzLHK9Ew9wRGKFRKcE2zOPV&#10;rrPSshbRG5VNRqPTrAVbGgtcOIfS66Sks4gvpeD+TkonPFEFxdx8PG08V+HMZpcsX1tmqpr3abB/&#10;yKJhtcagA9Q184xsbP0Gqqm5BQfSH3FoMpCy5iLWgNWMR6+qeayYEbEWbI4zQ5vc/4Plt9t7S+oS&#10;3+4Y+6NZg4/0gG379VOvNwpIEGOTWuNytH009zaU6cwS+DdHNCwqptdi7gz6IEiwzf4wDhfXu3XS&#10;NsEd6yZdfITd8Aii84SjcHpxcnyKqXBUXZyfTaeTiMnyvbOxzn8W0JDwU1CLgWPr2XbpfAjP8r1J&#10;iKV0ODXc1EolbZDEHFNaMUG/UyJZPwiJ/cBEJhE1MlEslCVbhhxinAvtx0lVsVIk8XSEX5/n4BFT&#10;URoBA7LE+AN2DxBY/hY7ZdnbB1cRiTw4j/6WWHIePGJk0H5wbmoN9j0AhVX1kZP9vkmpNaFLvlt1&#10;kSvHwTJIVlDukD8W0mA5w29qfJUlc/6eWZwkfEjcDv4OD6mgLSj0f5RUYH+8Jw/2SHDUUtLiZBbU&#10;fd8wKyhRXzRS/2R6NgmjfHixh5fV4UVvmgXgw41xDxkef9HZerX/lRaaZ1wi8xAVVUxzjF3Q1f53&#10;4dO+wCXExXwejXB4DfNL/Wh4gA5dDpx76p6ZNT0xPTL6FvYzzPJX/Ey2wVPDfONB1pG8L13t+4+D&#10;H4nUL6mwWQ7v0epllc5+AwAA//8DAFBLAwQUAAYACAAAACEAD++s0doAAAAEAQAADwAAAGRycy9k&#10;b3ducmV2LnhtbEyPwU7DMBBE70j8g7VI3KjTQCIa4lSAhLiUQwvqeRObOMJeB9tpwt9juMBlpNWM&#10;Zt7W28UadlI+DI4ErFcZMEWdkwP1At5en65ugYWIJNE4UgK+VIBtc35WYyXdTHt1OsSepRIKFQrQ&#10;MY4V56HTymJYuVFR8t6dtxjT6XsuPc6p3BqeZ1nJLQ6UFjSO6lGr7uMwWQE57ma93uUvx8+baSmN&#10;9Q/P1ApxebHc3wGLaol/YfjBT+jQJKbWTSQDMwLSI/FXk7e5LoG1KVMUBfCm5v/hm28AAAD//wMA&#10;UEsBAi0AFAAGAAgAAAAhALaDOJL+AAAA4QEAABMAAAAAAAAAAAAAAAAAAAAAAFtDb250ZW50X1R5&#10;cGVzXS54bWxQSwECLQAUAAYACAAAACEAOP0h/9YAAACUAQAACwAAAAAAAAAAAAAAAAAvAQAAX3Jl&#10;bHMvLnJlbHNQSwECLQAUAAYACAAAACEAP+IwiKICAACSBQAADgAAAAAAAAAAAAAAAAAuAgAAZHJz&#10;L2Uyb0RvYy54bWxQSwECLQAUAAYACAAAACEAD++s0doAAAAEAQAADwAAAAAAAAAAAAAAAAD8BAAA&#10;ZHJzL2Rvd25yZXYueG1sUEsFBgAAAAAEAAQA8wAAAAMGAAAAAA==&#10;" fillcolor="#4f81bd [3204]" stroked="f" strokeweight="2pt">
                    <o:lock v:ext="edit" aspectratio="t"/>
                    <v:textbox inset="3.6pt,,3.6pt">
                      <w:txbxContent>
                        <w:p w14:paraId="51FCD761" w14:textId="1CC93D9F" w:rsidR="00010415" w:rsidRDefault="00010415">
                          <w:pPr>
                            <w:pStyle w:val="Sinespaciado"/>
                            <w:jc w:val="right"/>
                            <w:rPr>
                              <w:color w:val="FFFFFF" w:themeColor="background1"/>
                            </w:rPr>
                          </w:pPr>
                        </w:p>
                      </w:txbxContent>
                    </v:textbox>
                    <w10:wrap anchorx="margin" anchory="page"/>
                  </v:rect>
                </w:pict>
              </mc:Fallback>
            </mc:AlternateContent>
          </w:r>
          <w:r w:rsidR="00010415">
            <w:rPr>
              <w:rFonts w:cs="Arial"/>
              <w:bCs/>
              <w:smallCaps/>
              <w:szCs w:val="28"/>
            </w:rPr>
            <w:br w:type="page"/>
          </w:r>
        </w:p>
      </w:sdtContent>
    </w:sdt>
    <w:p w14:paraId="484359BA" w14:textId="5FFEBFB1" w:rsidR="00621143" w:rsidRPr="0011789E" w:rsidRDefault="00621143" w:rsidP="00621143">
      <w:pPr>
        <w:pStyle w:val="TDC1"/>
        <w:rPr>
          <w:rFonts w:cs="Arial"/>
          <w:sz w:val="32"/>
        </w:rPr>
      </w:pPr>
      <w:r w:rsidRPr="0011789E">
        <w:rPr>
          <w:rFonts w:cs="Arial"/>
          <w:sz w:val="32"/>
        </w:rPr>
        <w:lastRenderedPageBreak/>
        <w:t>Contenido</w:t>
      </w:r>
    </w:p>
    <w:sdt>
      <w:sdtPr>
        <w:rPr>
          <w:rFonts w:ascii="Times New Roman" w:eastAsia="Times New Roman" w:hAnsi="Times New Roman" w:cs="Times New Roman"/>
          <w:b w:val="0"/>
          <w:bCs w:val="0"/>
          <w:color w:val="auto"/>
          <w:sz w:val="22"/>
          <w:szCs w:val="22"/>
          <w:lang w:val="es-ES" w:eastAsia="es-ES"/>
        </w:rPr>
        <w:id w:val="-46917025"/>
        <w:docPartObj>
          <w:docPartGallery w:val="Table of Contents"/>
          <w:docPartUnique/>
        </w:docPartObj>
      </w:sdtPr>
      <w:sdtEndPr>
        <w:rPr>
          <w:sz w:val="24"/>
          <w:szCs w:val="24"/>
        </w:rPr>
      </w:sdtEndPr>
      <w:sdtContent>
        <w:p w14:paraId="4AE3E940" w14:textId="0497C379" w:rsidR="001C3B41" w:rsidRPr="009252F8" w:rsidRDefault="001C3B41">
          <w:pPr>
            <w:pStyle w:val="TtuloTDC"/>
            <w:rPr>
              <w:sz w:val="22"/>
              <w:szCs w:val="22"/>
            </w:rPr>
          </w:pPr>
        </w:p>
        <w:p w14:paraId="438E6E90" w14:textId="4803F480" w:rsidR="009252F8" w:rsidRPr="009252F8" w:rsidRDefault="001C3B41">
          <w:pPr>
            <w:pStyle w:val="TDC2"/>
            <w:tabs>
              <w:tab w:val="left" w:pos="880"/>
              <w:tab w:val="right" w:leader="dot" w:pos="8494"/>
            </w:tabs>
            <w:rPr>
              <w:rFonts w:asciiTheme="minorHAnsi" w:eastAsiaTheme="minorEastAsia" w:hAnsiTheme="minorHAnsi" w:cstheme="minorBidi"/>
              <w:noProof/>
              <w:sz w:val="22"/>
              <w:szCs w:val="22"/>
              <w:lang w:val="es-CR" w:eastAsia="es-CR"/>
            </w:rPr>
          </w:pPr>
          <w:r w:rsidRPr="009252F8">
            <w:rPr>
              <w:sz w:val="22"/>
              <w:szCs w:val="22"/>
            </w:rPr>
            <w:fldChar w:fldCharType="begin"/>
          </w:r>
          <w:r w:rsidRPr="009252F8">
            <w:rPr>
              <w:sz w:val="22"/>
              <w:szCs w:val="22"/>
            </w:rPr>
            <w:instrText xml:space="preserve"> TOC \o "1-3" \h \z \u </w:instrText>
          </w:r>
          <w:r w:rsidRPr="009252F8">
            <w:rPr>
              <w:sz w:val="22"/>
              <w:szCs w:val="22"/>
            </w:rPr>
            <w:fldChar w:fldCharType="separate"/>
          </w:r>
          <w:hyperlink w:anchor="_Toc93420464" w:history="1">
            <w:r w:rsidR="009252F8" w:rsidRPr="009252F8">
              <w:rPr>
                <w:rStyle w:val="Hipervnculo"/>
                <w:rFonts w:ascii="Arial" w:eastAsiaTheme="majorEastAsia" w:hAnsi="Arial" w:cs="Arial"/>
                <w:noProof/>
                <w:spacing w:val="5"/>
                <w:sz w:val="22"/>
                <w:szCs w:val="22"/>
              </w:rPr>
              <w:t>1.</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eastAsiaTheme="majorEastAsia" w:hAnsi="Arial" w:cs="Arial"/>
                <w:noProof/>
                <w:spacing w:val="5"/>
                <w:sz w:val="22"/>
                <w:szCs w:val="22"/>
              </w:rPr>
              <w:t>Análisis Institucional</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_Toc93420464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6</w:t>
            </w:r>
            <w:r w:rsidR="009252F8" w:rsidRPr="009252F8">
              <w:rPr>
                <w:noProof/>
                <w:webHidden/>
                <w:sz w:val="22"/>
                <w:szCs w:val="22"/>
              </w:rPr>
              <w:fldChar w:fldCharType="end"/>
            </w:r>
          </w:hyperlink>
        </w:p>
        <w:p w14:paraId="4A345BC2" w14:textId="24FCAE3D"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65" w:history="1">
            <w:r w:rsidR="009252F8" w:rsidRPr="009252F8">
              <w:rPr>
                <w:rStyle w:val="Hipervnculo"/>
                <w:rFonts w:ascii="Arial" w:hAnsi="Arial" w:cs="Arial"/>
                <w:noProof/>
                <w:sz w:val="22"/>
                <w:szCs w:val="22"/>
              </w:rPr>
              <w:t>1.1</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noProof/>
                <w:sz w:val="22"/>
                <w:szCs w:val="22"/>
              </w:rPr>
              <w:t>Ejecución del Presupuesto institucional 2021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_Toc93420465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7</w:t>
            </w:r>
            <w:r w:rsidR="009252F8" w:rsidRPr="009252F8">
              <w:rPr>
                <w:noProof/>
                <w:webHidden/>
                <w:sz w:val="22"/>
                <w:szCs w:val="22"/>
              </w:rPr>
              <w:fldChar w:fldCharType="end"/>
            </w:r>
          </w:hyperlink>
        </w:p>
        <w:p w14:paraId="55B10C53" w14:textId="3463A20F"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66" w:history="1">
            <w:r w:rsidR="009252F8" w:rsidRPr="009252F8">
              <w:rPr>
                <w:rStyle w:val="Hipervnculo"/>
                <w:rFonts w:ascii="Arial" w:hAnsi="Arial" w:cs="Arial"/>
                <w:noProof/>
                <w:sz w:val="22"/>
                <w:szCs w:val="22"/>
              </w:rPr>
              <w:t>1.2</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noProof/>
                <w:sz w:val="22"/>
                <w:szCs w:val="22"/>
              </w:rPr>
              <w:t>Normas de ejecución</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_Toc93420466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11</w:t>
            </w:r>
            <w:r w:rsidR="009252F8" w:rsidRPr="009252F8">
              <w:rPr>
                <w:noProof/>
                <w:webHidden/>
                <w:sz w:val="22"/>
                <w:szCs w:val="22"/>
              </w:rPr>
              <w:fldChar w:fldCharType="end"/>
            </w:r>
          </w:hyperlink>
        </w:p>
        <w:p w14:paraId="0432A6BF" w14:textId="49BF24F0"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67" w:history="1">
            <w:r w:rsidR="009252F8" w:rsidRPr="009252F8">
              <w:rPr>
                <w:rStyle w:val="Hipervnculo"/>
                <w:rFonts w:ascii="Arial" w:eastAsiaTheme="majorEastAsia" w:hAnsi="Arial" w:cs="Arial"/>
                <w:noProof/>
                <w:spacing w:val="5"/>
                <w:sz w:val="22"/>
                <w:szCs w:val="22"/>
              </w:rPr>
              <w:t>2.</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eastAsiaTheme="majorEastAsia" w:hAnsi="Arial" w:cs="Arial"/>
                <w:noProof/>
                <w:spacing w:val="5"/>
                <w:sz w:val="22"/>
                <w:szCs w:val="22"/>
              </w:rPr>
              <w:t>Apartado Financiero Centro Gestor</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_Toc93420467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21</w:t>
            </w:r>
            <w:r w:rsidR="009252F8" w:rsidRPr="009252F8">
              <w:rPr>
                <w:noProof/>
                <w:webHidden/>
                <w:sz w:val="22"/>
                <w:szCs w:val="22"/>
              </w:rPr>
              <w:fldChar w:fldCharType="end"/>
            </w:r>
          </w:hyperlink>
        </w:p>
        <w:p w14:paraId="263391A7" w14:textId="68B1619B" w:rsidR="009252F8" w:rsidRPr="009252F8" w:rsidRDefault="006521AB">
          <w:pPr>
            <w:pStyle w:val="TDC2"/>
            <w:tabs>
              <w:tab w:val="right" w:leader="dot" w:pos="8494"/>
            </w:tabs>
            <w:rPr>
              <w:rFonts w:asciiTheme="minorHAnsi" w:eastAsiaTheme="minorEastAsia" w:hAnsiTheme="minorHAnsi" w:cstheme="minorBidi"/>
              <w:noProof/>
              <w:sz w:val="22"/>
              <w:szCs w:val="22"/>
              <w:lang w:val="es-CR" w:eastAsia="es-CR"/>
            </w:rPr>
          </w:pPr>
          <w:hyperlink w:anchor="_Toc93420468" w:history="1">
            <w:r w:rsidR="009252F8" w:rsidRPr="009252F8">
              <w:rPr>
                <w:rStyle w:val="Hipervnculo"/>
                <w:rFonts w:ascii="Arial" w:eastAsiaTheme="majorEastAsia" w:hAnsi="Arial" w:cs="Arial"/>
                <w:noProof/>
                <w:spacing w:val="5"/>
                <w:sz w:val="22"/>
                <w:szCs w:val="22"/>
              </w:rPr>
              <w:t>Apartado Financiero: Centro Gestor: 926- Dirección y Administración</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_Toc93420468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21</w:t>
            </w:r>
            <w:r w:rsidR="009252F8" w:rsidRPr="009252F8">
              <w:rPr>
                <w:noProof/>
                <w:webHidden/>
                <w:sz w:val="22"/>
                <w:szCs w:val="22"/>
              </w:rPr>
              <w:fldChar w:fldCharType="end"/>
            </w:r>
          </w:hyperlink>
        </w:p>
        <w:p w14:paraId="23678A36" w14:textId="1FA86902"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69" w:history="1">
            <w:r w:rsidR="009252F8" w:rsidRPr="009252F8">
              <w:rPr>
                <w:rStyle w:val="Hipervnculo"/>
                <w:rFonts w:ascii="Arial" w:hAnsi="Arial" w:cs="Arial"/>
                <w:iCs/>
                <w:smallCaps/>
                <w:noProof/>
                <w:spacing w:val="15"/>
                <w:sz w:val="22"/>
                <w:szCs w:val="22"/>
              </w:rPr>
              <w:t>2.1</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Ejecución del Presupuesto 2021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_Toc93420469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21</w:t>
            </w:r>
            <w:r w:rsidR="009252F8" w:rsidRPr="009252F8">
              <w:rPr>
                <w:noProof/>
                <w:webHidden/>
                <w:sz w:val="22"/>
                <w:szCs w:val="22"/>
              </w:rPr>
              <w:fldChar w:fldCharType="end"/>
            </w:r>
          </w:hyperlink>
        </w:p>
        <w:p w14:paraId="562E0B96" w14:textId="27D584F1"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0" w:history="1">
            <w:r w:rsidR="009252F8" w:rsidRPr="009252F8">
              <w:rPr>
                <w:rStyle w:val="Hipervnculo"/>
                <w:rFonts w:ascii="Arial" w:hAnsi="Arial" w:cs="Arial"/>
                <w:noProof/>
                <w:sz w:val="22"/>
                <w:szCs w:val="22"/>
              </w:rPr>
              <w:t>2.2</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Factores y acciones correctivas de la ejecución financiera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_Toc93420470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24</w:t>
            </w:r>
            <w:r w:rsidR="009252F8" w:rsidRPr="009252F8">
              <w:rPr>
                <w:noProof/>
                <w:webHidden/>
                <w:sz w:val="22"/>
                <w:szCs w:val="22"/>
              </w:rPr>
              <w:fldChar w:fldCharType="end"/>
            </w:r>
          </w:hyperlink>
        </w:p>
        <w:p w14:paraId="3F7F6EC1" w14:textId="5A022480" w:rsidR="009252F8" w:rsidRPr="009252F8" w:rsidRDefault="006521AB">
          <w:pPr>
            <w:pStyle w:val="TDC2"/>
            <w:tabs>
              <w:tab w:val="right" w:leader="dot" w:pos="8494"/>
            </w:tabs>
            <w:rPr>
              <w:rFonts w:asciiTheme="minorHAnsi" w:eastAsiaTheme="minorEastAsia" w:hAnsiTheme="minorHAnsi" w:cstheme="minorBidi"/>
              <w:noProof/>
              <w:sz w:val="22"/>
              <w:szCs w:val="22"/>
              <w:lang w:val="es-CR" w:eastAsia="es-CR"/>
            </w:rPr>
          </w:pPr>
          <w:hyperlink w:anchor="_Toc93420471" w:history="1">
            <w:r w:rsidR="009252F8" w:rsidRPr="009252F8">
              <w:rPr>
                <w:rStyle w:val="Hipervnculo"/>
                <w:rFonts w:ascii="Arial" w:eastAsiaTheme="majorEastAsia" w:hAnsi="Arial" w:cs="Arial"/>
                <w:noProof/>
                <w:spacing w:val="5"/>
                <w:sz w:val="22"/>
                <w:szCs w:val="22"/>
              </w:rPr>
              <w:t>Apartado financiero por Centro Gestor:927 -Servicio Jurisdiccional</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_Toc93420471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35</w:t>
            </w:r>
            <w:r w:rsidR="009252F8" w:rsidRPr="009252F8">
              <w:rPr>
                <w:noProof/>
                <w:webHidden/>
                <w:sz w:val="22"/>
                <w:szCs w:val="22"/>
              </w:rPr>
              <w:fldChar w:fldCharType="end"/>
            </w:r>
          </w:hyperlink>
        </w:p>
        <w:p w14:paraId="16C8C638" w14:textId="3FCEC5C6"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2" w:history="1">
            <w:r w:rsidR="009252F8" w:rsidRPr="009252F8">
              <w:rPr>
                <w:rStyle w:val="Hipervnculo"/>
                <w:rFonts w:ascii="Arial" w:hAnsi="Arial" w:cs="Arial"/>
                <w:iCs/>
                <w:smallCaps/>
                <w:noProof/>
                <w:spacing w:val="15"/>
                <w:sz w:val="22"/>
                <w:szCs w:val="22"/>
              </w:rPr>
              <w:t>2.3</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Ejecución del Presupuesto 2021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_Toc93420472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35</w:t>
            </w:r>
            <w:r w:rsidR="009252F8" w:rsidRPr="009252F8">
              <w:rPr>
                <w:noProof/>
                <w:webHidden/>
                <w:sz w:val="22"/>
                <w:szCs w:val="22"/>
              </w:rPr>
              <w:fldChar w:fldCharType="end"/>
            </w:r>
          </w:hyperlink>
        </w:p>
        <w:p w14:paraId="2F691F99" w14:textId="2AC01D65"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3" w:history="1">
            <w:r w:rsidR="009252F8" w:rsidRPr="009252F8">
              <w:rPr>
                <w:rStyle w:val="Hipervnculo"/>
                <w:rFonts w:ascii="Arial" w:hAnsi="Arial" w:cs="Arial"/>
                <w:iCs/>
                <w:noProof/>
                <w:spacing w:val="15"/>
                <w:sz w:val="22"/>
                <w:szCs w:val="22"/>
              </w:rPr>
              <w:t>2.4</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Factores y acciones correctivas de la ejecución financiera.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_Toc93420473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37</w:t>
            </w:r>
            <w:r w:rsidR="009252F8" w:rsidRPr="009252F8">
              <w:rPr>
                <w:noProof/>
                <w:webHidden/>
                <w:sz w:val="22"/>
                <w:szCs w:val="22"/>
              </w:rPr>
              <w:fldChar w:fldCharType="end"/>
            </w:r>
          </w:hyperlink>
        </w:p>
        <w:p w14:paraId="6EEDEE78" w14:textId="68BAE9D0" w:rsidR="009252F8" w:rsidRPr="009252F8" w:rsidRDefault="006521AB">
          <w:pPr>
            <w:pStyle w:val="TDC2"/>
            <w:tabs>
              <w:tab w:val="right" w:leader="dot" w:pos="8494"/>
            </w:tabs>
            <w:rPr>
              <w:rFonts w:asciiTheme="minorHAnsi" w:eastAsiaTheme="minorEastAsia" w:hAnsiTheme="minorHAnsi" w:cstheme="minorBidi"/>
              <w:noProof/>
              <w:sz w:val="22"/>
              <w:szCs w:val="22"/>
              <w:lang w:val="es-CR" w:eastAsia="es-CR"/>
            </w:rPr>
          </w:pPr>
          <w:hyperlink w:anchor="_Toc93420474" w:history="1">
            <w:r w:rsidR="009252F8" w:rsidRPr="009252F8">
              <w:rPr>
                <w:rStyle w:val="Hipervnculo"/>
                <w:rFonts w:ascii="Arial" w:eastAsiaTheme="majorEastAsia" w:hAnsi="Arial" w:cs="Arial"/>
                <w:noProof/>
                <w:spacing w:val="5"/>
                <w:sz w:val="22"/>
                <w:szCs w:val="22"/>
              </w:rPr>
              <w:t>Apartado financiero por Centro Gestor: Programa 928 -Organismo de Investigación Judicial</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_Toc93420474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47</w:t>
            </w:r>
            <w:r w:rsidR="009252F8" w:rsidRPr="009252F8">
              <w:rPr>
                <w:noProof/>
                <w:webHidden/>
                <w:sz w:val="22"/>
                <w:szCs w:val="22"/>
              </w:rPr>
              <w:fldChar w:fldCharType="end"/>
            </w:r>
          </w:hyperlink>
        </w:p>
        <w:p w14:paraId="38E27325" w14:textId="6BA2F793"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5" w:history="1">
            <w:r w:rsidR="009252F8" w:rsidRPr="009252F8">
              <w:rPr>
                <w:rStyle w:val="Hipervnculo"/>
                <w:rFonts w:ascii="Arial" w:hAnsi="Arial" w:cs="Arial"/>
                <w:iCs/>
                <w:smallCaps/>
                <w:noProof/>
                <w:spacing w:val="15"/>
                <w:sz w:val="22"/>
                <w:szCs w:val="22"/>
              </w:rPr>
              <w:t>2.5</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Ejecución del Presupuesto 2021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_Toc93420475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47</w:t>
            </w:r>
            <w:r w:rsidR="009252F8" w:rsidRPr="009252F8">
              <w:rPr>
                <w:noProof/>
                <w:webHidden/>
                <w:sz w:val="22"/>
                <w:szCs w:val="22"/>
              </w:rPr>
              <w:fldChar w:fldCharType="end"/>
            </w:r>
          </w:hyperlink>
        </w:p>
        <w:p w14:paraId="62682E87" w14:textId="2B99AA93"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6" w:history="1">
            <w:r w:rsidR="009252F8" w:rsidRPr="009252F8">
              <w:rPr>
                <w:rStyle w:val="Hipervnculo"/>
                <w:rFonts w:ascii="Arial" w:hAnsi="Arial" w:cs="Arial"/>
                <w:iCs/>
                <w:noProof/>
                <w:spacing w:val="15"/>
                <w:sz w:val="22"/>
                <w:szCs w:val="22"/>
              </w:rPr>
              <w:t>2.6</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Factores y acciones correctivas de la ejecución financiera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_Toc93420476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48</w:t>
            </w:r>
            <w:r w:rsidR="009252F8" w:rsidRPr="009252F8">
              <w:rPr>
                <w:noProof/>
                <w:webHidden/>
                <w:sz w:val="22"/>
                <w:szCs w:val="22"/>
              </w:rPr>
              <w:fldChar w:fldCharType="end"/>
            </w:r>
          </w:hyperlink>
        </w:p>
        <w:p w14:paraId="51CDD3F3" w14:textId="6D87F095" w:rsidR="009252F8" w:rsidRPr="009252F8" w:rsidRDefault="006521AB">
          <w:pPr>
            <w:pStyle w:val="TDC2"/>
            <w:tabs>
              <w:tab w:val="right" w:leader="dot" w:pos="8494"/>
            </w:tabs>
            <w:rPr>
              <w:rFonts w:asciiTheme="minorHAnsi" w:eastAsiaTheme="minorEastAsia" w:hAnsiTheme="minorHAnsi" w:cstheme="minorBidi"/>
              <w:noProof/>
              <w:sz w:val="22"/>
              <w:szCs w:val="22"/>
              <w:lang w:val="es-CR" w:eastAsia="es-CR"/>
            </w:rPr>
          </w:pPr>
          <w:hyperlink w:anchor="_Toc93420477" w:history="1">
            <w:r w:rsidR="009252F8" w:rsidRPr="009252F8">
              <w:rPr>
                <w:rStyle w:val="Hipervnculo"/>
                <w:rFonts w:ascii="Arial" w:eastAsiaTheme="majorEastAsia" w:hAnsi="Arial" w:cs="Arial"/>
                <w:noProof/>
                <w:spacing w:val="5"/>
                <w:sz w:val="22"/>
                <w:szCs w:val="22"/>
              </w:rPr>
              <w:t>Apartado financiero por Centro Gestor: Programa 929 Ministerio Público</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_Toc93420477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59</w:t>
            </w:r>
            <w:r w:rsidR="009252F8" w:rsidRPr="009252F8">
              <w:rPr>
                <w:noProof/>
                <w:webHidden/>
                <w:sz w:val="22"/>
                <w:szCs w:val="22"/>
              </w:rPr>
              <w:fldChar w:fldCharType="end"/>
            </w:r>
          </w:hyperlink>
        </w:p>
        <w:p w14:paraId="6048E220" w14:textId="758C1175"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8" w:history="1">
            <w:r w:rsidR="009252F8" w:rsidRPr="009252F8">
              <w:rPr>
                <w:rStyle w:val="Hipervnculo"/>
                <w:rFonts w:ascii="Arial" w:hAnsi="Arial" w:cs="Arial"/>
                <w:iCs/>
                <w:noProof/>
                <w:spacing w:val="15"/>
                <w:sz w:val="22"/>
                <w:szCs w:val="22"/>
              </w:rPr>
              <w:t>2.7</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Ejecución del Presupuesto 2021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_Toc93420478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59</w:t>
            </w:r>
            <w:r w:rsidR="009252F8" w:rsidRPr="009252F8">
              <w:rPr>
                <w:noProof/>
                <w:webHidden/>
                <w:sz w:val="22"/>
                <w:szCs w:val="22"/>
              </w:rPr>
              <w:fldChar w:fldCharType="end"/>
            </w:r>
          </w:hyperlink>
        </w:p>
        <w:p w14:paraId="6717BF16" w14:textId="56597563"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79" w:history="1">
            <w:r w:rsidR="009252F8" w:rsidRPr="009252F8">
              <w:rPr>
                <w:rStyle w:val="Hipervnculo"/>
                <w:rFonts w:ascii="Arial" w:hAnsi="Arial" w:cs="Arial"/>
                <w:iCs/>
                <w:noProof/>
                <w:spacing w:val="15"/>
                <w:sz w:val="22"/>
                <w:szCs w:val="22"/>
              </w:rPr>
              <w:t>2.8</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Factores y acciones correctivas de la ejecución financiera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_Toc93420479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61</w:t>
            </w:r>
            <w:r w:rsidR="009252F8" w:rsidRPr="009252F8">
              <w:rPr>
                <w:noProof/>
                <w:webHidden/>
                <w:sz w:val="22"/>
                <w:szCs w:val="22"/>
              </w:rPr>
              <w:fldChar w:fldCharType="end"/>
            </w:r>
          </w:hyperlink>
        </w:p>
        <w:p w14:paraId="150AAA8D" w14:textId="5A018E3D" w:rsidR="009252F8" w:rsidRPr="009252F8" w:rsidRDefault="006521AB">
          <w:pPr>
            <w:pStyle w:val="TDC2"/>
            <w:tabs>
              <w:tab w:val="right" w:leader="dot" w:pos="8494"/>
            </w:tabs>
            <w:rPr>
              <w:rFonts w:asciiTheme="minorHAnsi" w:eastAsiaTheme="minorEastAsia" w:hAnsiTheme="minorHAnsi" w:cstheme="minorBidi"/>
              <w:noProof/>
              <w:sz w:val="22"/>
              <w:szCs w:val="22"/>
              <w:lang w:val="es-CR" w:eastAsia="es-CR"/>
            </w:rPr>
          </w:pPr>
          <w:hyperlink w:anchor="_Toc93420480" w:history="1">
            <w:r w:rsidR="009252F8" w:rsidRPr="009252F8">
              <w:rPr>
                <w:rStyle w:val="Hipervnculo"/>
                <w:rFonts w:ascii="Arial" w:eastAsiaTheme="majorEastAsia" w:hAnsi="Arial" w:cs="Arial"/>
                <w:noProof/>
                <w:spacing w:val="5"/>
                <w:sz w:val="22"/>
                <w:szCs w:val="22"/>
              </w:rPr>
              <w:t>Apartado financiero por Centro Gestor: Programa 930- Defensa Pública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_Toc93420480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67</w:t>
            </w:r>
            <w:r w:rsidR="009252F8" w:rsidRPr="009252F8">
              <w:rPr>
                <w:noProof/>
                <w:webHidden/>
                <w:sz w:val="22"/>
                <w:szCs w:val="22"/>
              </w:rPr>
              <w:fldChar w:fldCharType="end"/>
            </w:r>
          </w:hyperlink>
        </w:p>
        <w:p w14:paraId="553DAADA" w14:textId="1AC26BF4"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81" w:history="1">
            <w:r w:rsidR="009252F8" w:rsidRPr="009252F8">
              <w:rPr>
                <w:rStyle w:val="Hipervnculo"/>
                <w:rFonts w:ascii="Arial" w:hAnsi="Arial" w:cs="Arial"/>
                <w:iCs/>
                <w:noProof/>
                <w:spacing w:val="15"/>
                <w:sz w:val="22"/>
                <w:szCs w:val="22"/>
              </w:rPr>
              <w:t>2.9</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Ejecución del Presupuesto 2020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_Toc93420481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67</w:t>
            </w:r>
            <w:r w:rsidR="009252F8" w:rsidRPr="009252F8">
              <w:rPr>
                <w:noProof/>
                <w:webHidden/>
                <w:sz w:val="22"/>
                <w:szCs w:val="22"/>
              </w:rPr>
              <w:fldChar w:fldCharType="end"/>
            </w:r>
          </w:hyperlink>
        </w:p>
        <w:p w14:paraId="39D05FE9" w14:textId="722C1B8C" w:rsidR="009252F8" w:rsidRPr="009252F8" w:rsidRDefault="006521AB">
          <w:pPr>
            <w:pStyle w:val="TDC2"/>
            <w:tabs>
              <w:tab w:val="left" w:pos="1100"/>
              <w:tab w:val="right" w:leader="dot" w:pos="8494"/>
            </w:tabs>
            <w:rPr>
              <w:rFonts w:asciiTheme="minorHAnsi" w:eastAsiaTheme="minorEastAsia" w:hAnsiTheme="minorHAnsi" w:cstheme="minorBidi"/>
              <w:noProof/>
              <w:sz w:val="22"/>
              <w:szCs w:val="22"/>
              <w:lang w:val="es-CR" w:eastAsia="es-CR"/>
            </w:rPr>
          </w:pPr>
          <w:hyperlink w:anchor="_Toc93420482" w:history="1">
            <w:r w:rsidR="009252F8" w:rsidRPr="009252F8">
              <w:rPr>
                <w:rStyle w:val="Hipervnculo"/>
                <w:rFonts w:ascii="Arial" w:hAnsi="Arial" w:cs="Arial"/>
                <w:iCs/>
                <w:noProof/>
                <w:spacing w:val="15"/>
                <w:sz w:val="22"/>
                <w:szCs w:val="22"/>
              </w:rPr>
              <w:t>2.10</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Factores y acciones correctivas de la ejecución financiera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_Toc93420482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69</w:t>
            </w:r>
            <w:r w:rsidR="009252F8" w:rsidRPr="009252F8">
              <w:rPr>
                <w:noProof/>
                <w:webHidden/>
                <w:sz w:val="22"/>
                <w:szCs w:val="22"/>
              </w:rPr>
              <w:fldChar w:fldCharType="end"/>
            </w:r>
          </w:hyperlink>
        </w:p>
        <w:p w14:paraId="09FC4B02" w14:textId="76EFDD04" w:rsidR="009252F8" w:rsidRPr="009252F8" w:rsidRDefault="006521AB">
          <w:pPr>
            <w:pStyle w:val="TDC2"/>
            <w:tabs>
              <w:tab w:val="right" w:leader="dot" w:pos="8494"/>
            </w:tabs>
            <w:rPr>
              <w:rFonts w:asciiTheme="minorHAnsi" w:eastAsiaTheme="minorEastAsia" w:hAnsiTheme="minorHAnsi" w:cstheme="minorBidi"/>
              <w:noProof/>
              <w:sz w:val="22"/>
              <w:szCs w:val="22"/>
              <w:lang w:val="es-CR" w:eastAsia="es-CR"/>
            </w:rPr>
          </w:pPr>
          <w:hyperlink w:anchor="_Toc93420483" w:history="1">
            <w:r w:rsidR="009252F8" w:rsidRPr="009252F8">
              <w:rPr>
                <w:rStyle w:val="Hipervnculo"/>
                <w:rFonts w:ascii="Arial" w:eastAsiaTheme="majorEastAsia" w:hAnsi="Arial" w:cs="Arial"/>
                <w:noProof/>
                <w:spacing w:val="5"/>
                <w:sz w:val="22"/>
                <w:szCs w:val="22"/>
              </w:rPr>
              <w:t>Apartado financiero por centro gestor: Programa 950 -Servicio de Atención y Protección de Víctimas y Testigos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_Toc93420483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73</w:t>
            </w:r>
            <w:r w:rsidR="009252F8" w:rsidRPr="009252F8">
              <w:rPr>
                <w:noProof/>
                <w:webHidden/>
                <w:sz w:val="22"/>
                <w:szCs w:val="22"/>
              </w:rPr>
              <w:fldChar w:fldCharType="end"/>
            </w:r>
          </w:hyperlink>
        </w:p>
        <w:p w14:paraId="2ED64BA4" w14:textId="6F14C58E" w:rsidR="009252F8" w:rsidRPr="009252F8" w:rsidRDefault="006521AB">
          <w:pPr>
            <w:pStyle w:val="TDC2"/>
            <w:tabs>
              <w:tab w:val="left" w:pos="1100"/>
              <w:tab w:val="right" w:leader="dot" w:pos="8494"/>
            </w:tabs>
            <w:rPr>
              <w:rFonts w:asciiTheme="minorHAnsi" w:eastAsiaTheme="minorEastAsia" w:hAnsiTheme="minorHAnsi" w:cstheme="minorBidi"/>
              <w:noProof/>
              <w:sz w:val="22"/>
              <w:szCs w:val="22"/>
              <w:lang w:val="es-CR" w:eastAsia="es-CR"/>
            </w:rPr>
          </w:pPr>
          <w:hyperlink w:anchor="_Toc93420484" w:history="1">
            <w:r w:rsidR="009252F8" w:rsidRPr="009252F8">
              <w:rPr>
                <w:rStyle w:val="Hipervnculo"/>
                <w:rFonts w:ascii="Arial" w:hAnsi="Arial" w:cs="Arial"/>
                <w:iCs/>
                <w:noProof/>
                <w:spacing w:val="15"/>
                <w:sz w:val="22"/>
                <w:szCs w:val="22"/>
              </w:rPr>
              <w:t>2.11</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Ejecución del Presupuesto 2021 asociado a recursos internos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_Toc93420484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73</w:t>
            </w:r>
            <w:r w:rsidR="009252F8" w:rsidRPr="009252F8">
              <w:rPr>
                <w:noProof/>
                <w:webHidden/>
                <w:sz w:val="22"/>
                <w:szCs w:val="22"/>
              </w:rPr>
              <w:fldChar w:fldCharType="end"/>
            </w:r>
          </w:hyperlink>
        </w:p>
        <w:p w14:paraId="6E20AA18" w14:textId="193E9E7E" w:rsidR="009252F8" w:rsidRPr="009252F8" w:rsidRDefault="006521AB">
          <w:pPr>
            <w:pStyle w:val="TDC2"/>
            <w:tabs>
              <w:tab w:val="left" w:pos="1100"/>
              <w:tab w:val="right" w:leader="dot" w:pos="8494"/>
            </w:tabs>
            <w:rPr>
              <w:rFonts w:asciiTheme="minorHAnsi" w:eastAsiaTheme="minorEastAsia" w:hAnsiTheme="minorHAnsi" w:cstheme="minorBidi"/>
              <w:noProof/>
              <w:sz w:val="22"/>
              <w:szCs w:val="22"/>
              <w:lang w:val="es-CR" w:eastAsia="es-CR"/>
            </w:rPr>
          </w:pPr>
          <w:hyperlink w:anchor="_Toc93420485" w:history="1">
            <w:r w:rsidR="009252F8" w:rsidRPr="009252F8">
              <w:rPr>
                <w:rStyle w:val="Hipervnculo"/>
                <w:rFonts w:ascii="Arial" w:hAnsi="Arial" w:cs="Arial"/>
                <w:iCs/>
                <w:noProof/>
                <w:spacing w:val="15"/>
                <w:sz w:val="22"/>
                <w:szCs w:val="22"/>
              </w:rPr>
              <w:t>2.12</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Factores y acciones correctivas de la ejecución financiera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_Toc93420485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76</w:t>
            </w:r>
            <w:r w:rsidR="009252F8" w:rsidRPr="009252F8">
              <w:rPr>
                <w:noProof/>
                <w:webHidden/>
                <w:sz w:val="22"/>
                <w:szCs w:val="22"/>
              </w:rPr>
              <w:fldChar w:fldCharType="end"/>
            </w:r>
          </w:hyperlink>
        </w:p>
        <w:p w14:paraId="762A3A8D" w14:textId="5BCC5A2B"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86" w:history="1">
            <w:r w:rsidR="009252F8" w:rsidRPr="009252F8">
              <w:rPr>
                <w:rStyle w:val="Hipervnculo"/>
                <w:rFonts w:ascii="Arial" w:eastAsiaTheme="majorEastAsia" w:hAnsi="Arial" w:cs="Arial"/>
                <w:noProof/>
                <w:spacing w:val="5"/>
                <w:sz w:val="22"/>
                <w:szCs w:val="22"/>
              </w:rPr>
              <w:t>3.</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eastAsiaTheme="majorEastAsia" w:hAnsi="Arial" w:cs="Arial"/>
                <w:noProof/>
                <w:spacing w:val="5"/>
                <w:sz w:val="22"/>
                <w:szCs w:val="22"/>
              </w:rPr>
              <w:t>Apartado de Gestión: Centro Gestor</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_Toc93420486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85</w:t>
            </w:r>
            <w:r w:rsidR="009252F8" w:rsidRPr="009252F8">
              <w:rPr>
                <w:noProof/>
                <w:webHidden/>
                <w:sz w:val="22"/>
                <w:szCs w:val="22"/>
              </w:rPr>
              <w:fldChar w:fldCharType="end"/>
            </w:r>
          </w:hyperlink>
        </w:p>
        <w:p w14:paraId="4D151959" w14:textId="7AC69FA4"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87" w:history="1">
            <w:r w:rsidR="009252F8" w:rsidRPr="009252F8">
              <w:rPr>
                <w:rStyle w:val="Hipervnculo"/>
                <w:rFonts w:ascii="Arial" w:hAnsi="Arial" w:cs="Arial"/>
                <w:iCs/>
                <w:noProof/>
                <w:spacing w:val="15"/>
                <w:sz w:val="22"/>
                <w:szCs w:val="22"/>
              </w:rPr>
              <w:t>3.1</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Análisis de los logros obtenidos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_Toc93420487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85</w:t>
            </w:r>
            <w:r w:rsidR="009252F8" w:rsidRPr="009252F8">
              <w:rPr>
                <w:noProof/>
                <w:webHidden/>
                <w:sz w:val="22"/>
                <w:szCs w:val="22"/>
              </w:rPr>
              <w:fldChar w:fldCharType="end"/>
            </w:r>
          </w:hyperlink>
        </w:p>
        <w:p w14:paraId="3D7A5B5A" w14:textId="535C8245"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90" w:history="1">
            <w:r w:rsidR="009252F8" w:rsidRPr="009252F8">
              <w:rPr>
                <w:rStyle w:val="Hipervnculo"/>
                <w:rFonts w:ascii="Arial" w:hAnsi="Arial" w:cs="Arial"/>
                <w:iCs/>
                <w:smallCaps/>
                <w:noProof/>
                <w:spacing w:val="15"/>
                <w:sz w:val="22"/>
                <w:szCs w:val="22"/>
              </w:rPr>
              <w:t>3.2</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Análisis de Unidades de Medida</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_Toc93420490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92</w:t>
            </w:r>
            <w:r w:rsidR="009252F8" w:rsidRPr="009252F8">
              <w:rPr>
                <w:noProof/>
                <w:webHidden/>
                <w:sz w:val="22"/>
                <w:szCs w:val="22"/>
              </w:rPr>
              <w:fldChar w:fldCharType="end"/>
            </w:r>
          </w:hyperlink>
        </w:p>
        <w:p w14:paraId="1A0F5461" w14:textId="2B79EC83"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91" w:history="1">
            <w:r w:rsidR="009252F8" w:rsidRPr="009252F8">
              <w:rPr>
                <w:rStyle w:val="Hipervnculo"/>
                <w:rFonts w:ascii="Arial" w:hAnsi="Arial" w:cs="Arial"/>
                <w:iCs/>
                <w:smallCaps/>
                <w:noProof/>
                <w:spacing w:val="15"/>
                <w:sz w:val="22"/>
                <w:szCs w:val="22"/>
              </w:rPr>
              <w:t>3.3</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hAnsi="Arial" w:cs="Arial"/>
                <w:iCs/>
                <w:noProof/>
                <w:spacing w:val="15"/>
                <w:sz w:val="22"/>
                <w:szCs w:val="22"/>
              </w:rPr>
              <w:t>Análisis de indicadores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_Toc93420491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96</w:t>
            </w:r>
            <w:r w:rsidR="009252F8" w:rsidRPr="009252F8">
              <w:rPr>
                <w:noProof/>
                <w:webHidden/>
                <w:sz w:val="22"/>
                <w:szCs w:val="22"/>
              </w:rPr>
              <w:fldChar w:fldCharType="end"/>
            </w:r>
          </w:hyperlink>
        </w:p>
        <w:p w14:paraId="5924C80E" w14:textId="6C82989C" w:rsidR="009252F8" w:rsidRPr="009252F8" w:rsidRDefault="006521AB">
          <w:pPr>
            <w:pStyle w:val="TDC2"/>
            <w:tabs>
              <w:tab w:val="left" w:pos="880"/>
              <w:tab w:val="right" w:leader="dot" w:pos="8494"/>
            </w:tabs>
            <w:rPr>
              <w:rFonts w:asciiTheme="minorHAnsi" w:eastAsiaTheme="minorEastAsia" w:hAnsiTheme="minorHAnsi" w:cstheme="minorBidi"/>
              <w:noProof/>
              <w:sz w:val="22"/>
              <w:szCs w:val="22"/>
              <w:lang w:val="es-CR" w:eastAsia="es-CR"/>
            </w:rPr>
          </w:pPr>
          <w:hyperlink w:anchor="_Toc93420492" w:history="1">
            <w:r w:rsidR="009252F8" w:rsidRPr="009252F8">
              <w:rPr>
                <w:rStyle w:val="Hipervnculo"/>
                <w:rFonts w:ascii="Arial" w:eastAsiaTheme="majorEastAsia" w:hAnsi="Arial" w:cs="Arial"/>
                <w:noProof/>
                <w:spacing w:val="5"/>
                <w:sz w:val="22"/>
                <w:szCs w:val="22"/>
              </w:rPr>
              <w:t>4.</w:t>
            </w:r>
            <w:r w:rsidR="009252F8" w:rsidRPr="009252F8">
              <w:rPr>
                <w:rFonts w:asciiTheme="minorHAnsi" w:eastAsiaTheme="minorEastAsia" w:hAnsiTheme="minorHAnsi" w:cstheme="minorBidi"/>
                <w:noProof/>
                <w:sz w:val="22"/>
                <w:szCs w:val="22"/>
                <w:lang w:val="es-CR" w:eastAsia="es-CR"/>
              </w:rPr>
              <w:tab/>
            </w:r>
            <w:r w:rsidR="009252F8" w:rsidRPr="009252F8">
              <w:rPr>
                <w:rStyle w:val="Hipervnculo"/>
                <w:rFonts w:ascii="Arial" w:eastAsiaTheme="majorEastAsia" w:hAnsi="Arial" w:cs="Arial"/>
                <w:noProof/>
                <w:spacing w:val="5"/>
                <w:sz w:val="22"/>
                <w:szCs w:val="22"/>
              </w:rPr>
              <w:t>Anexos</w:t>
            </w:r>
            <w:r w:rsidR="009252F8" w:rsidRPr="009252F8">
              <w:rPr>
                <w:noProof/>
                <w:webHidden/>
                <w:sz w:val="22"/>
                <w:szCs w:val="22"/>
              </w:rPr>
              <w:tab/>
            </w:r>
            <w:r w:rsidR="009252F8" w:rsidRPr="009252F8">
              <w:rPr>
                <w:noProof/>
                <w:webHidden/>
                <w:sz w:val="22"/>
                <w:szCs w:val="22"/>
              </w:rPr>
              <w:fldChar w:fldCharType="begin"/>
            </w:r>
            <w:r w:rsidR="009252F8" w:rsidRPr="009252F8">
              <w:rPr>
                <w:noProof/>
                <w:webHidden/>
                <w:sz w:val="22"/>
                <w:szCs w:val="22"/>
              </w:rPr>
              <w:instrText xml:space="preserve"> PAGEREF _Toc93420492 \h </w:instrText>
            </w:r>
            <w:r w:rsidR="009252F8" w:rsidRPr="009252F8">
              <w:rPr>
                <w:noProof/>
                <w:webHidden/>
                <w:sz w:val="22"/>
                <w:szCs w:val="22"/>
              </w:rPr>
            </w:r>
            <w:r w:rsidR="009252F8" w:rsidRPr="009252F8">
              <w:rPr>
                <w:noProof/>
                <w:webHidden/>
                <w:sz w:val="22"/>
                <w:szCs w:val="22"/>
              </w:rPr>
              <w:fldChar w:fldCharType="separate"/>
            </w:r>
            <w:r w:rsidR="006B2DB6">
              <w:rPr>
                <w:noProof/>
                <w:webHidden/>
                <w:sz w:val="22"/>
                <w:szCs w:val="22"/>
              </w:rPr>
              <w:t>124</w:t>
            </w:r>
            <w:r w:rsidR="009252F8" w:rsidRPr="009252F8">
              <w:rPr>
                <w:noProof/>
                <w:webHidden/>
                <w:sz w:val="22"/>
                <w:szCs w:val="22"/>
              </w:rPr>
              <w:fldChar w:fldCharType="end"/>
            </w:r>
          </w:hyperlink>
        </w:p>
        <w:p w14:paraId="2478065B" w14:textId="731BB17A" w:rsidR="001C3B41" w:rsidRDefault="001C3B41">
          <w:r w:rsidRPr="009252F8">
            <w:rPr>
              <w:b/>
              <w:bCs/>
              <w:sz w:val="22"/>
              <w:szCs w:val="22"/>
            </w:rPr>
            <w:fldChar w:fldCharType="end"/>
          </w:r>
        </w:p>
      </w:sdtContent>
    </w:sdt>
    <w:p w14:paraId="06C825CE" w14:textId="475F0B41" w:rsidR="00FB0B6C" w:rsidRDefault="00FB0B6C" w:rsidP="00F2368B">
      <w:pPr>
        <w:rPr>
          <w:lang w:val="es-MX"/>
        </w:rPr>
      </w:pPr>
    </w:p>
    <w:p w14:paraId="3482B099" w14:textId="72987CA2" w:rsidR="003F4419" w:rsidRPr="005A2272" w:rsidRDefault="003F4419" w:rsidP="00BE5AA1">
      <w:pPr>
        <w:pStyle w:val="Ttulo2"/>
        <w:keepLines/>
        <w:numPr>
          <w:ilvl w:val="0"/>
          <w:numId w:val="14"/>
        </w:numPr>
        <w:spacing w:before="360" w:line="259" w:lineRule="auto"/>
        <w:rPr>
          <w:rStyle w:val="Ttulodellibro"/>
          <w:rFonts w:eastAsiaTheme="majorEastAsia" w:cs="Arial"/>
          <w:b/>
          <w:smallCaps w:val="0"/>
          <w:color w:val="002060"/>
          <w:sz w:val="28"/>
          <w:szCs w:val="28"/>
          <w:lang w:val="es-ES"/>
        </w:rPr>
      </w:pPr>
      <w:bookmarkStart w:id="1" w:name="_Toc25758870"/>
      <w:bookmarkStart w:id="2" w:name="_Toc56690429"/>
      <w:bookmarkStart w:id="3" w:name="_Toc93420464"/>
      <w:r w:rsidRPr="005A2272">
        <w:rPr>
          <w:rStyle w:val="Ttulodellibro"/>
          <w:rFonts w:eastAsiaTheme="majorEastAsia" w:cs="Arial"/>
          <w:b/>
          <w:smallCaps w:val="0"/>
          <w:color w:val="002060"/>
          <w:sz w:val="28"/>
          <w:szCs w:val="28"/>
          <w:lang w:val="es-ES"/>
        </w:rPr>
        <w:lastRenderedPageBreak/>
        <w:t>Análisis Institucional</w:t>
      </w:r>
      <w:bookmarkEnd w:id="1"/>
      <w:bookmarkEnd w:id="2"/>
      <w:bookmarkEnd w:id="3"/>
    </w:p>
    <w:p w14:paraId="743E68FA" w14:textId="77777777" w:rsidR="00493BA9" w:rsidRDefault="00493BA9" w:rsidP="0035654B">
      <w:pPr>
        <w:spacing w:after="160" w:line="360" w:lineRule="auto"/>
        <w:jc w:val="both"/>
        <w:rPr>
          <w:rFonts w:ascii="Arial" w:hAnsi="Arial" w:cs="Arial"/>
          <w:sz w:val="20"/>
          <w:szCs w:val="20"/>
          <w:lang w:val="es-ES_tradnl"/>
        </w:rPr>
      </w:pPr>
      <w:bookmarkStart w:id="4" w:name="_Hlk61507648"/>
    </w:p>
    <w:p w14:paraId="406D9420" w14:textId="2242B59F" w:rsidR="0035654B" w:rsidRPr="0035654B" w:rsidRDefault="0035654B" w:rsidP="0035654B">
      <w:pPr>
        <w:spacing w:after="160" w:line="360" w:lineRule="auto"/>
        <w:jc w:val="both"/>
        <w:rPr>
          <w:rFonts w:ascii="Arial" w:hAnsi="Arial" w:cs="Arial"/>
          <w:sz w:val="20"/>
          <w:szCs w:val="20"/>
          <w:lang w:val="es-ES_tradnl"/>
        </w:rPr>
      </w:pPr>
      <w:r w:rsidRPr="0035654B">
        <w:rPr>
          <w:rFonts w:ascii="Arial" w:hAnsi="Arial" w:cs="Arial"/>
          <w:sz w:val="20"/>
          <w:szCs w:val="20"/>
          <w:lang w:val="es-ES_tradnl"/>
        </w:rPr>
        <w:t>El Poder Judicial ha procurado contribuir con el fortalecimiento de la capacidad del Estado para definir prioridades, asignar recursos y así contribuir a enfrentar los principales desafíos que tiene el país, tal como lo estable el Plan Nacional de Desarrollo.</w:t>
      </w:r>
    </w:p>
    <w:p w14:paraId="46D87394" w14:textId="77777777" w:rsidR="0035654B" w:rsidRPr="0035654B" w:rsidRDefault="0035654B" w:rsidP="0035654B">
      <w:pPr>
        <w:spacing w:after="160" w:line="360" w:lineRule="auto"/>
        <w:jc w:val="both"/>
        <w:rPr>
          <w:rFonts w:ascii="Arial" w:hAnsi="Arial" w:cs="Arial"/>
          <w:sz w:val="20"/>
          <w:szCs w:val="20"/>
          <w:lang w:val="es-ES_tradnl"/>
        </w:rPr>
      </w:pPr>
      <w:r w:rsidRPr="0035654B">
        <w:rPr>
          <w:rFonts w:ascii="Arial" w:hAnsi="Arial" w:cs="Arial"/>
          <w:sz w:val="20"/>
          <w:szCs w:val="20"/>
          <w:lang w:val="es-ES_tradnl"/>
        </w:rPr>
        <w:t>Al cierre del periodo 2021 el Poder Judicial tuvo una ejecución óptima del 97,26% a pesar de los factores externos presentados durante el período presupuestario, tales como la pandemia nacional producto del COVID y las limitaciones establecidas en las normas de ejecución presupuestaria, incorporadas en la  Ley de Presupuesto No. 9926, reduciendo las posibilidades de contar con un presupuesto flexible, en el cual se pueda hacer frente a las nuevas necesidades, así como la imposibilidad de enfrentar con mayor solvencia la crisis provocadas por la pandemia mundial, considerando los recortes solicitados en las normas de ejecución en la Ley de Presupuesto. Este porcentaje de ejecución óptimo es producto del esfuerzo que se realiza en cada período presupuestario, para ejecutar los recursos de forma transparente, eficiente, eficaz y oportuna, además, contribuye de manera positiva al Plan Estratégico Institucional, dado que va de la mano con la obtención de las metas y objetivos propuestos por la Institución, ya que al ejecutar de manera efectiva los recursos presupuestados, se garantiza el cumplimiento de los proyectos estratégicos y la toma de decisiones estratégicas para las diferentes actividades que se realizan en la Institución, así como sus necesidades primordiales planificadas o no previstas.</w:t>
      </w:r>
    </w:p>
    <w:bookmarkEnd w:id="4"/>
    <w:p w14:paraId="566E6E02" w14:textId="0623EAAA" w:rsidR="0035654B" w:rsidRDefault="0035654B" w:rsidP="0035654B">
      <w:pPr>
        <w:rPr>
          <w:lang w:val="es-MX"/>
        </w:rPr>
      </w:pPr>
    </w:p>
    <w:p w14:paraId="2AEE2ABE" w14:textId="0DEA789B" w:rsidR="00ED7ABE" w:rsidRDefault="00ED7ABE" w:rsidP="0035654B">
      <w:pPr>
        <w:rPr>
          <w:lang w:val="es-MX"/>
        </w:rPr>
      </w:pPr>
    </w:p>
    <w:p w14:paraId="77217ABB" w14:textId="28E3EEB5" w:rsidR="00ED7ABE" w:rsidRDefault="00ED7ABE" w:rsidP="0035654B">
      <w:pPr>
        <w:rPr>
          <w:lang w:val="es-MX"/>
        </w:rPr>
      </w:pPr>
    </w:p>
    <w:p w14:paraId="4B4957B1" w14:textId="2BFB38E3" w:rsidR="00ED7ABE" w:rsidRDefault="00ED7ABE" w:rsidP="0035654B">
      <w:pPr>
        <w:rPr>
          <w:lang w:val="es-MX"/>
        </w:rPr>
      </w:pPr>
    </w:p>
    <w:p w14:paraId="5FC23328" w14:textId="4F2A129B" w:rsidR="00ED7ABE" w:rsidRDefault="00ED7ABE" w:rsidP="0035654B">
      <w:pPr>
        <w:rPr>
          <w:lang w:val="es-MX"/>
        </w:rPr>
      </w:pPr>
    </w:p>
    <w:p w14:paraId="1C18B0E2" w14:textId="780E551B" w:rsidR="00ED7ABE" w:rsidRDefault="00ED7ABE" w:rsidP="0035654B">
      <w:pPr>
        <w:rPr>
          <w:lang w:val="es-MX"/>
        </w:rPr>
      </w:pPr>
    </w:p>
    <w:p w14:paraId="58E3E7EA" w14:textId="2F4550C3" w:rsidR="00ED7ABE" w:rsidRDefault="00ED7ABE" w:rsidP="0035654B">
      <w:pPr>
        <w:rPr>
          <w:lang w:val="es-MX"/>
        </w:rPr>
      </w:pPr>
    </w:p>
    <w:p w14:paraId="11381E43" w14:textId="3700C80B" w:rsidR="00ED7ABE" w:rsidRDefault="00ED7ABE" w:rsidP="0035654B">
      <w:pPr>
        <w:rPr>
          <w:lang w:val="es-MX"/>
        </w:rPr>
      </w:pPr>
    </w:p>
    <w:p w14:paraId="340724EA" w14:textId="4E31FADF" w:rsidR="00ED7ABE" w:rsidRDefault="00ED7ABE" w:rsidP="0035654B">
      <w:pPr>
        <w:rPr>
          <w:lang w:val="es-MX"/>
        </w:rPr>
      </w:pPr>
    </w:p>
    <w:p w14:paraId="6E721F04" w14:textId="157103D5" w:rsidR="00ED7ABE" w:rsidRDefault="00ED7ABE" w:rsidP="0035654B">
      <w:pPr>
        <w:rPr>
          <w:lang w:val="es-MX"/>
        </w:rPr>
      </w:pPr>
    </w:p>
    <w:p w14:paraId="2BACC9CA" w14:textId="336C36D0" w:rsidR="00ED7ABE" w:rsidRDefault="00ED7ABE" w:rsidP="0035654B">
      <w:pPr>
        <w:rPr>
          <w:lang w:val="es-MX"/>
        </w:rPr>
      </w:pPr>
    </w:p>
    <w:p w14:paraId="597FABA4" w14:textId="3A035AEB" w:rsidR="00ED7ABE" w:rsidRDefault="00ED7ABE" w:rsidP="0035654B">
      <w:pPr>
        <w:rPr>
          <w:lang w:val="es-MX"/>
        </w:rPr>
      </w:pPr>
    </w:p>
    <w:p w14:paraId="2DC3B161" w14:textId="77777777" w:rsidR="00ED7ABE" w:rsidRPr="0035654B" w:rsidRDefault="00ED7ABE" w:rsidP="0035654B">
      <w:pPr>
        <w:rPr>
          <w:lang w:val="es-MX"/>
        </w:rPr>
      </w:pPr>
    </w:p>
    <w:p w14:paraId="13379517" w14:textId="4FFCDA24" w:rsidR="0064503A" w:rsidRPr="00FD1113" w:rsidRDefault="009B7478" w:rsidP="00BE5AA1">
      <w:pPr>
        <w:pStyle w:val="Ttulo2"/>
        <w:keepLines/>
        <w:numPr>
          <w:ilvl w:val="1"/>
          <w:numId w:val="5"/>
        </w:numPr>
        <w:spacing w:before="360" w:line="259" w:lineRule="auto"/>
        <w:jc w:val="both"/>
        <w:rPr>
          <w:rFonts w:ascii="Arial" w:eastAsiaTheme="minorEastAsia" w:hAnsi="Arial" w:cs="Arial"/>
          <w:bCs w:val="0"/>
          <w:color w:val="002060"/>
          <w:sz w:val="22"/>
          <w:szCs w:val="22"/>
          <w:lang w:val="es-ES"/>
        </w:rPr>
      </w:pPr>
      <w:bookmarkStart w:id="5" w:name="_Toc93420465"/>
      <w:r w:rsidRPr="00FD1113">
        <w:rPr>
          <w:rFonts w:ascii="Arial" w:eastAsiaTheme="minorEastAsia" w:hAnsi="Arial" w:cs="Arial"/>
          <w:bCs w:val="0"/>
          <w:color w:val="002060"/>
          <w:sz w:val="22"/>
          <w:szCs w:val="22"/>
          <w:lang w:val="es-ES"/>
        </w:rPr>
        <w:lastRenderedPageBreak/>
        <w:t>Ejecución</w:t>
      </w:r>
      <w:r w:rsidR="00D740CC" w:rsidRPr="00FD1113">
        <w:rPr>
          <w:rFonts w:ascii="Arial" w:eastAsiaTheme="minorEastAsia" w:hAnsi="Arial" w:cs="Arial"/>
          <w:bCs w:val="0"/>
          <w:color w:val="002060"/>
          <w:sz w:val="22"/>
          <w:szCs w:val="22"/>
          <w:lang w:val="es-ES"/>
        </w:rPr>
        <w:t xml:space="preserve"> del Presupuesto institucional 202</w:t>
      </w:r>
      <w:r w:rsidR="0064503A" w:rsidRPr="00FD1113">
        <w:rPr>
          <w:rFonts w:ascii="Arial" w:eastAsiaTheme="minorEastAsia" w:hAnsi="Arial" w:cs="Arial"/>
          <w:bCs w:val="0"/>
          <w:color w:val="002060"/>
          <w:sz w:val="22"/>
          <w:szCs w:val="22"/>
          <w:lang w:val="es-ES"/>
        </w:rPr>
        <w:t>1</w:t>
      </w:r>
      <w:r w:rsidR="00D740CC" w:rsidRPr="00FD1113">
        <w:rPr>
          <w:rFonts w:ascii="Arial" w:eastAsiaTheme="minorEastAsia" w:hAnsi="Arial" w:cs="Arial"/>
          <w:bCs w:val="0"/>
          <w:color w:val="002060"/>
          <w:sz w:val="22"/>
          <w:szCs w:val="22"/>
          <w:lang w:val="es-ES"/>
        </w:rPr>
        <w:t xml:space="preserve"> asociado a recursos internos</w:t>
      </w:r>
      <w:bookmarkEnd w:id="5"/>
    </w:p>
    <w:p w14:paraId="530360AD" w14:textId="77777777" w:rsidR="0064503A" w:rsidRPr="0064503A" w:rsidRDefault="0064503A" w:rsidP="0064503A">
      <w:pPr>
        <w:spacing w:before="240" w:after="160" w:line="360" w:lineRule="auto"/>
        <w:jc w:val="both"/>
        <w:rPr>
          <w:rFonts w:ascii="Arial" w:eastAsiaTheme="minorEastAsia" w:hAnsi="Arial" w:cs="Arial"/>
          <w:sz w:val="20"/>
          <w:szCs w:val="20"/>
        </w:rPr>
      </w:pPr>
      <w:r w:rsidRPr="0064503A">
        <w:rPr>
          <w:rFonts w:ascii="Arial" w:eastAsiaTheme="minorEastAsia" w:hAnsi="Arial" w:cs="Arial"/>
          <w:sz w:val="20"/>
          <w:szCs w:val="20"/>
        </w:rPr>
        <w:t xml:space="preserve">A continuación, se presenta el análisis de la ejecución financiera por objeto de gasto del ejercicio presupuestario 2021. </w:t>
      </w:r>
    </w:p>
    <w:p w14:paraId="2C43AE3E" w14:textId="3518D39E" w:rsidR="009B17B2" w:rsidRPr="009B17B2" w:rsidRDefault="00CC2F03" w:rsidP="009B17B2">
      <w:pPr>
        <w:keepNext/>
        <w:spacing w:before="240"/>
        <w:jc w:val="center"/>
        <w:rPr>
          <w:rFonts w:ascii="Arial" w:hAnsi="Arial" w:cs="Arial"/>
          <w:b/>
          <w:sz w:val="20"/>
          <w:szCs w:val="20"/>
          <w:lang w:val="es-ES_tradnl"/>
        </w:rPr>
      </w:pPr>
      <w:r>
        <w:rPr>
          <w:rFonts w:ascii="Arial" w:hAnsi="Arial" w:cs="Arial"/>
          <w:b/>
          <w:sz w:val="20"/>
          <w:szCs w:val="20"/>
          <w:lang w:val="es-ES_tradnl"/>
        </w:rPr>
        <w:t>C</w:t>
      </w:r>
      <w:r w:rsidR="009B17B2" w:rsidRPr="009B17B2">
        <w:rPr>
          <w:rFonts w:ascii="Arial" w:hAnsi="Arial" w:cs="Arial"/>
          <w:b/>
          <w:sz w:val="20"/>
          <w:szCs w:val="20"/>
          <w:lang w:val="es-ES_tradnl"/>
        </w:rPr>
        <w:t xml:space="preserve">uadro  </w:t>
      </w:r>
      <w:r w:rsidR="009B17B2" w:rsidRPr="009B17B2">
        <w:rPr>
          <w:rFonts w:ascii="Arial" w:hAnsi="Arial" w:cs="Arial"/>
          <w:b/>
          <w:sz w:val="20"/>
          <w:szCs w:val="20"/>
          <w:lang w:val="es-ES_tradnl"/>
        </w:rPr>
        <w:fldChar w:fldCharType="begin"/>
      </w:r>
      <w:r w:rsidR="009B17B2" w:rsidRPr="009B17B2">
        <w:rPr>
          <w:rFonts w:ascii="Arial" w:hAnsi="Arial" w:cs="Arial"/>
          <w:b/>
          <w:sz w:val="20"/>
          <w:szCs w:val="20"/>
          <w:lang w:val="es-ES_tradnl"/>
        </w:rPr>
        <w:instrText xml:space="preserve"> SEQ cuadro_ \* ARABIC </w:instrText>
      </w:r>
      <w:r w:rsidR="009B17B2" w:rsidRPr="009B17B2">
        <w:rPr>
          <w:rFonts w:ascii="Arial" w:hAnsi="Arial" w:cs="Arial"/>
          <w:b/>
          <w:sz w:val="20"/>
          <w:szCs w:val="20"/>
          <w:lang w:val="es-ES_tradnl"/>
        </w:rPr>
        <w:fldChar w:fldCharType="separate"/>
      </w:r>
      <w:r w:rsidR="00150A2C">
        <w:rPr>
          <w:rFonts w:ascii="Arial" w:hAnsi="Arial" w:cs="Arial"/>
          <w:b/>
          <w:noProof/>
          <w:sz w:val="20"/>
          <w:szCs w:val="20"/>
          <w:lang w:val="es-ES_tradnl"/>
        </w:rPr>
        <w:t>1</w:t>
      </w:r>
      <w:r w:rsidR="009B17B2" w:rsidRPr="009B17B2">
        <w:rPr>
          <w:rFonts w:ascii="Arial" w:hAnsi="Arial" w:cs="Arial"/>
          <w:b/>
          <w:sz w:val="20"/>
          <w:szCs w:val="20"/>
          <w:lang w:val="es-ES_tradnl"/>
        </w:rPr>
        <w:fldChar w:fldCharType="end"/>
      </w:r>
    </w:p>
    <w:p w14:paraId="09A17B35" w14:textId="77777777" w:rsidR="00D740CC" w:rsidRPr="006C21FE" w:rsidRDefault="00D740CC" w:rsidP="00D740CC">
      <w:pPr>
        <w:jc w:val="center"/>
        <w:rPr>
          <w:rFonts w:ascii="Arial" w:hAnsi="Arial" w:cs="Arial"/>
          <w:sz w:val="20"/>
          <w:szCs w:val="20"/>
          <w:lang w:val="es-ES_tradnl"/>
        </w:rPr>
      </w:pPr>
      <w:r w:rsidRPr="006C21FE">
        <w:rPr>
          <w:rFonts w:ascii="Arial" w:hAnsi="Arial" w:cs="Arial"/>
          <w:sz w:val="20"/>
          <w:szCs w:val="20"/>
          <w:lang w:val="es-ES_tradnl"/>
        </w:rPr>
        <w:t>Poder Judicial</w:t>
      </w:r>
    </w:p>
    <w:p w14:paraId="13004FFC" w14:textId="77777777" w:rsidR="00D740CC" w:rsidRPr="0011789E" w:rsidRDefault="00D740CC" w:rsidP="00D740CC">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institucional por clasificación objeto del gasto</w:t>
      </w:r>
    </w:p>
    <w:p w14:paraId="0E094513" w14:textId="39782078" w:rsidR="00D740CC" w:rsidRPr="0011789E" w:rsidRDefault="00D740CC" w:rsidP="00D740CC">
      <w:pPr>
        <w:jc w:val="center"/>
        <w:rPr>
          <w:rFonts w:ascii="Arial" w:hAnsi="Arial" w:cs="Arial"/>
          <w:sz w:val="20"/>
          <w:szCs w:val="20"/>
          <w:lang w:val="es-ES_tradnl"/>
        </w:rPr>
      </w:pPr>
      <w:r w:rsidRPr="0011789E">
        <w:rPr>
          <w:rFonts w:ascii="Arial" w:hAnsi="Arial" w:cs="Arial"/>
          <w:sz w:val="20"/>
          <w:szCs w:val="20"/>
          <w:lang w:val="es-ES_tradnl"/>
        </w:rPr>
        <w:t>Al 31 de diciembre 202</w:t>
      </w:r>
      <w:r w:rsidR="00DE7009">
        <w:rPr>
          <w:rFonts w:ascii="Arial" w:hAnsi="Arial" w:cs="Arial"/>
          <w:sz w:val="20"/>
          <w:szCs w:val="20"/>
          <w:lang w:val="es-ES_tradnl"/>
        </w:rPr>
        <w:t>1</w:t>
      </w:r>
    </w:p>
    <w:p w14:paraId="14ABAB2B" w14:textId="77777777" w:rsidR="00D740CC" w:rsidRDefault="00D740CC" w:rsidP="00D740CC">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p w14:paraId="3F326138" w14:textId="77777777" w:rsidR="0070011B" w:rsidRDefault="0070011B" w:rsidP="00D740CC">
      <w:pPr>
        <w:jc w:val="center"/>
        <w:rPr>
          <w:rFonts w:ascii="Arial" w:hAnsi="Arial" w:cs="Arial"/>
          <w:i/>
          <w:sz w:val="20"/>
          <w:szCs w:val="20"/>
          <w:lang w:val="es-ES_tradnl"/>
        </w:rPr>
      </w:pPr>
    </w:p>
    <w:tbl>
      <w:tblPr>
        <w:tblW w:w="7320" w:type="dxa"/>
        <w:jc w:val="center"/>
        <w:tblCellMar>
          <w:left w:w="70" w:type="dxa"/>
          <w:right w:w="70" w:type="dxa"/>
        </w:tblCellMar>
        <w:tblLook w:val="04A0" w:firstRow="1" w:lastRow="0" w:firstColumn="1" w:lastColumn="0" w:noHBand="0" w:noVBand="1"/>
      </w:tblPr>
      <w:tblGrid>
        <w:gridCol w:w="2540"/>
        <w:gridCol w:w="1600"/>
        <w:gridCol w:w="1740"/>
        <w:gridCol w:w="1440"/>
      </w:tblGrid>
      <w:tr w:rsidR="00857055" w:rsidRPr="00857055" w14:paraId="27D4C577" w14:textId="77777777" w:rsidTr="00465D52">
        <w:trPr>
          <w:trHeight w:val="555"/>
          <w:jc w:val="center"/>
        </w:trPr>
        <w:tc>
          <w:tcPr>
            <w:tcW w:w="2540" w:type="dxa"/>
            <w:tcBorders>
              <w:top w:val="single" w:sz="8" w:space="0" w:color="4F81BD"/>
              <w:left w:val="single" w:sz="8" w:space="0" w:color="4F81BD"/>
              <w:bottom w:val="nil"/>
              <w:right w:val="nil"/>
            </w:tcBorders>
            <w:shd w:val="clear" w:color="000000" w:fill="4F81BD"/>
            <w:vAlign w:val="center"/>
            <w:hideMark/>
          </w:tcPr>
          <w:p w14:paraId="500D8A26" w14:textId="77777777" w:rsidR="00857055" w:rsidRPr="00857055" w:rsidRDefault="00857055" w:rsidP="00857055">
            <w:pPr>
              <w:spacing w:line="360" w:lineRule="auto"/>
              <w:rPr>
                <w:rFonts w:ascii="Arial" w:hAnsi="Arial" w:cs="Arial"/>
                <w:b/>
                <w:bCs/>
                <w:color w:val="FFFFFF"/>
                <w:sz w:val="20"/>
                <w:szCs w:val="20"/>
                <w:lang w:val="es-CR" w:eastAsia="es-CR"/>
              </w:rPr>
            </w:pPr>
            <w:r w:rsidRPr="00857055">
              <w:rPr>
                <w:rFonts w:ascii="Arial" w:hAnsi="Arial" w:cs="Arial"/>
                <w:b/>
                <w:bCs/>
                <w:color w:val="FFFFFF"/>
                <w:sz w:val="20"/>
                <w:szCs w:val="20"/>
                <w:lang w:val="es-CR" w:eastAsia="es-CR"/>
              </w:rPr>
              <w:t>Partida</w:t>
            </w:r>
          </w:p>
        </w:tc>
        <w:tc>
          <w:tcPr>
            <w:tcW w:w="1600" w:type="dxa"/>
            <w:tcBorders>
              <w:top w:val="single" w:sz="8" w:space="0" w:color="4F81BD"/>
              <w:left w:val="single" w:sz="8" w:space="0" w:color="4F81BD"/>
              <w:bottom w:val="nil"/>
              <w:right w:val="single" w:sz="8" w:space="0" w:color="4F81BD"/>
            </w:tcBorders>
            <w:shd w:val="clear" w:color="000000" w:fill="4F81BD"/>
            <w:vAlign w:val="center"/>
            <w:hideMark/>
          </w:tcPr>
          <w:p w14:paraId="3279C46C" w14:textId="77777777" w:rsidR="00857055" w:rsidRPr="00857055" w:rsidRDefault="00857055" w:rsidP="00857055">
            <w:pPr>
              <w:spacing w:line="360" w:lineRule="auto"/>
              <w:jc w:val="center"/>
              <w:rPr>
                <w:rFonts w:ascii="Arial" w:hAnsi="Arial" w:cs="Arial"/>
                <w:b/>
                <w:bCs/>
                <w:color w:val="FFFFFF"/>
                <w:sz w:val="20"/>
                <w:szCs w:val="20"/>
                <w:lang w:val="es-CR" w:eastAsia="es-CR"/>
              </w:rPr>
            </w:pPr>
            <w:r w:rsidRPr="00857055">
              <w:rPr>
                <w:rFonts w:ascii="Arial" w:hAnsi="Arial" w:cs="Arial"/>
                <w:b/>
                <w:bCs/>
                <w:color w:val="FFFFFF"/>
                <w:sz w:val="20"/>
                <w:szCs w:val="20"/>
                <w:lang w:val="es-CR" w:eastAsia="es-CR"/>
              </w:rPr>
              <w:t>Presupuesto</w:t>
            </w:r>
            <w:r w:rsidRPr="00857055">
              <w:rPr>
                <w:rFonts w:ascii="Arial" w:hAnsi="Arial" w:cs="Arial"/>
                <w:color w:val="FFFFFF"/>
                <w:sz w:val="20"/>
                <w:szCs w:val="20"/>
                <w:lang w:val="es-CR" w:eastAsia="es-CR"/>
              </w:rPr>
              <w:t xml:space="preserve"> </w:t>
            </w:r>
            <w:r w:rsidRPr="00857055">
              <w:rPr>
                <w:rFonts w:ascii="Arial" w:hAnsi="Arial" w:cs="Arial"/>
                <w:b/>
                <w:bCs/>
                <w:color w:val="FFFFFF"/>
                <w:sz w:val="20"/>
                <w:szCs w:val="20"/>
                <w:lang w:val="es-CR" w:eastAsia="es-CR"/>
              </w:rPr>
              <w:t>actual</w:t>
            </w:r>
            <w:r w:rsidRPr="00857055">
              <w:rPr>
                <w:rFonts w:ascii="Arial" w:hAnsi="Arial" w:cs="Arial"/>
                <w:b/>
                <w:bCs/>
                <w:color w:val="FFFFFF"/>
                <w:sz w:val="20"/>
                <w:szCs w:val="20"/>
                <w:vertAlign w:val="superscript"/>
                <w:lang w:val="es-CR" w:eastAsia="es-CR"/>
              </w:rPr>
              <w:t>/1</w:t>
            </w:r>
            <w:r w:rsidRPr="00857055">
              <w:rPr>
                <w:rFonts w:ascii="Arial" w:hAnsi="Arial" w:cs="Arial"/>
                <w:b/>
                <w:bCs/>
                <w:color w:val="FFFFFF"/>
                <w:sz w:val="20"/>
                <w:szCs w:val="20"/>
                <w:lang w:val="es-CR" w:eastAsia="es-CR"/>
              </w:rPr>
              <w:t xml:space="preserve"> 2021</w:t>
            </w:r>
          </w:p>
        </w:tc>
        <w:tc>
          <w:tcPr>
            <w:tcW w:w="1740" w:type="dxa"/>
            <w:tcBorders>
              <w:top w:val="single" w:sz="8" w:space="0" w:color="4F81BD"/>
              <w:left w:val="nil"/>
              <w:bottom w:val="nil"/>
              <w:right w:val="nil"/>
            </w:tcBorders>
            <w:shd w:val="clear" w:color="000000" w:fill="4F81BD"/>
            <w:vAlign w:val="center"/>
            <w:hideMark/>
          </w:tcPr>
          <w:p w14:paraId="04713D4D" w14:textId="77777777" w:rsidR="00857055" w:rsidRPr="00857055" w:rsidRDefault="00857055" w:rsidP="00857055">
            <w:pPr>
              <w:spacing w:line="360" w:lineRule="auto"/>
              <w:jc w:val="center"/>
              <w:rPr>
                <w:rFonts w:ascii="Arial" w:hAnsi="Arial" w:cs="Arial"/>
                <w:b/>
                <w:bCs/>
                <w:color w:val="FFFFFF"/>
                <w:sz w:val="20"/>
                <w:szCs w:val="20"/>
                <w:lang w:val="es-CR" w:eastAsia="es-CR"/>
              </w:rPr>
            </w:pPr>
            <w:r w:rsidRPr="00857055">
              <w:rPr>
                <w:rFonts w:ascii="Arial" w:hAnsi="Arial" w:cs="Arial"/>
                <w:b/>
                <w:bCs/>
                <w:color w:val="FFFFFF"/>
                <w:sz w:val="20"/>
                <w:szCs w:val="20"/>
                <w:lang w:val="es-CR" w:eastAsia="es-CR"/>
              </w:rPr>
              <w:t>Presupuesto</w:t>
            </w:r>
            <w:r w:rsidRPr="00857055">
              <w:rPr>
                <w:rFonts w:ascii="Arial" w:hAnsi="Arial" w:cs="Arial"/>
                <w:color w:val="FFFFFF"/>
                <w:sz w:val="20"/>
                <w:szCs w:val="20"/>
                <w:lang w:val="es-CR" w:eastAsia="es-CR"/>
              </w:rPr>
              <w:t xml:space="preserve"> </w:t>
            </w:r>
            <w:r w:rsidRPr="00857055">
              <w:rPr>
                <w:rFonts w:ascii="Arial" w:hAnsi="Arial" w:cs="Arial"/>
                <w:b/>
                <w:bCs/>
                <w:color w:val="FFFFFF"/>
                <w:sz w:val="20"/>
                <w:szCs w:val="20"/>
                <w:lang w:val="es-CR" w:eastAsia="es-CR"/>
              </w:rPr>
              <w:t>ejecutado</w:t>
            </w:r>
            <w:r w:rsidRPr="00857055">
              <w:rPr>
                <w:rFonts w:ascii="Arial" w:hAnsi="Arial" w:cs="Arial"/>
                <w:b/>
                <w:bCs/>
                <w:color w:val="FFFFFF"/>
                <w:sz w:val="20"/>
                <w:szCs w:val="20"/>
                <w:vertAlign w:val="superscript"/>
                <w:lang w:val="es-CR" w:eastAsia="es-CR"/>
              </w:rPr>
              <w:t>/2</w:t>
            </w:r>
            <w:r w:rsidRPr="00857055">
              <w:rPr>
                <w:rFonts w:ascii="Arial" w:hAnsi="Arial" w:cs="Arial"/>
                <w:b/>
                <w:bCs/>
                <w:color w:val="FFFFFF"/>
                <w:sz w:val="20"/>
                <w:szCs w:val="20"/>
                <w:lang w:val="es-CR" w:eastAsia="es-CR"/>
              </w:rPr>
              <w:t xml:space="preserve"> 2021</w:t>
            </w:r>
          </w:p>
        </w:tc>
        <w:tc>
          <w:tcPr>
            <w:tcW w:w="1440" w:type="dxa"/>
            <w:tcBorders>
              <w:top w:val="single" w:sz="8" w:space="0" w:color="4F81BD"/>
              <w:left w:val="single" w:sz="8" w:space="0" w:color="4F81BD"/>
              <w:bottom w:val="nil"/>
              <w:right w:val="single" w:sz="8" w:space="0" w:color="4F81BD"/>
            </w:tcBorders>
            <w:shd w:val="clear" w:color="000000" w:fill="4F81BD"/>
            <w:vAlign w:val="center"/>
            <w:hideMark/>
          </w:tcPr>
          <w:p w14:paraId="07497331" w14:textId="77777777" w:rsidR="00857055" w:rsidRPr="00857055" w:rsidRDefault="00857055" w:rsidP="00857055">
            <w:pPr>
              <w:spacing w:line="360" w:lineRule="auto"/>
              <w:jc w:val="center"/>
              <w:rPr>
                <w:rFonts w:ascii="Arial" w:hAnsi="Arial" w:cs="Arial"/>
                <w:b/>
                <w:bCs/>
                <w:color w:val="FFFFFF"/>
                <w:sz w:val="20"/>
                <w:szCs w:val="20"/>
                <w:lang w:val="es-CR" w:eastAsia="es-CR"/>
              </w:rPr>
            </w:pPr>
            <w:r w:rsidRPr="00857055">
              <w:rPr>
                <w:rFonts w:ascii="Arial" w:hAnsi="Arial" w:cs="Arial"/>
                <w:b/>
                <w:bCs/>
                <w:color w:val="FFFFFF"/>
                <w:sz w:val="20"/>
                <w:szCs w:val="20"/>
                <w:lang w:val="es-CR" w:eastAsia="es-CR"/>
              </w:rPr>
              <w:t>Nivel de ejecución</w:t>
            </w:r>
          </w:p>
        </w:tc>
      </w:tr>
      <w:tr w:rsidR="00857055" w:rsidRPr="00857055" w14:paraId="1EC213BC"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28A83595" w14:textId="77777777" w:rsidR="00857055" w:rsidRPr="00857055" w:rsidRDefault="00857055" w:rsidP="00857055">
            <w:pPr>
              <w:spacing w:line="360" w:lineRule="auto"/>
              <w:rPr>
                <w:rFonts w:ascii="Arial" w:hAnsi="Arial" w:cs="Arial"/>
                <w:b/>
                <w:bCs/>
                <w:color w:val="000000"/>
                <w:sz w:val="20"/>
                <w:szCs w:val="20"/>
                <w:lang w:val="es-CR" w:eastAsia="es-CR"/>
              </w:rPr>
            </w:pPr>
            <w:r w:rsidRPr="00857055">
              <w:rPr>
                <w:rFonts w:ascii="Arial" w:hAnsi="Arial" w:cs="Arial"/>
                <w:b/>
                <w:bCs/>
                <w:color w:val="000000"/>
                <w:sz w:val="20"/>
                <w:szCs w:val="20"/>
                <w:lang w:val="es-CR" w:eastAsia="es-CR"/>
              </w:rPr>
              <w:t>TOTAL</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81C5651" w14:textId="77777777" w:rsidR="00857055" w:rsidRPr="00857055" w:rsidRDefault="00857055" w:rsidP="00857055">
            <w:pPr>
              <w:spacing w:line="360" w:lineRule="auto"/>
              <w:rPr>
                <w:rFonts w:ascii="Arial" w:hAnsi="Arial" w:cs="Arial"/>
                <w:b/>
                <w:bCs/>
                <w:sz w:val="20"/>
                <w:szCs w:val="20"/>
                <w:lang w:val="es-CR" w:eastAsia="es-CR"/>
              </w:rPr>
            </w:pPr>
            <w:r w:rsidRPr="00857055">
              <w:rPr>
                <w:rFonts w:ascii="Arial" w:hAnsi="Arial" w:cs="Arial"/>
                <w:b/>
                <w:bCs/>
                <w:sz w:val="20"/>
                <w:szCs w:val="20"/>
                <w:lang w:val="es-CR" w:eastAsia="es-CR"/>
              </w:rPr>
              <w:t xml:space="preserve">        461.945,15 </w:t>
            </w:r>
          </w:p>
        </w:tc>
        <w:tc>
          <w:tcPr>
            <w:tcW w:w="1740" w:type="dxa"/>
            <w:tcBorders>
              <w:top w:val="single" w:sz="8" w:space="0" w:color="4F81BD"/>
              <w:left w:val="nil"/>
              <w:bottom w:val="single" w:sz="8" w:space="0" w:color="4F81BD"/>
              <w:right w:val="single" w:sz="8" w:space="0" w:color="4F81BD"/>
            </w:tcBorders>
            <w:shd w:val="clear" w:color="auto" w:fill="auto"/>
            <w:noWrap/>
            <w:vAlign w:val="center"/>
            <w:hideMark/>
          </w:tcPr>
          <w:p w14:paraId="52283C50" w14:textId="77777777" w:rsidR="00857055" w:rsidRPr="00857055" w:rsidRDefault="00857055" w:rsidP="00857055">
            <w:pPr>
              <w:spacing w:line="360" w:lineRule="auto"/>
              <w:rPr>
                <w:rFonts w:ascii="Arial" w:hAnsi="Arial" w:cs="Arial"/>
                <w:b/>
                <w:bCs/>
                <w:sz w:val="20"/>
                <w:szCs w:val="20"/>
                <w:lang w:val="es-CR" w:eastAsia="es-CR"/>
              </w:rPr>
            </w:pPr>
            <w:r w:rsidRPr="00857055">
              <w:rPr>
                <w:rFonts w:ascii="Arial" w:hAnsi="Arial" w:cs="Arial"/>
                <w:b/>
                <w:bCs/>
                <w:sz w:val="20"/>
                <w:szCs w:val="20"/>
                <w:lang w:val="es-CR" w:eastAsia="es-CR"/>
              </w:rPr>
              <w:t xml:space="preserve">          449.278,75 </w:t>
            </w:r>
          </w:p>
        </w:tc>
        <w:tc>
          <w:tcPr>
            <w:tcW w:w="1440" w:type="dxa"/>
            <w:tcBorders>
              <w:top w:val="single" w:sz="8" w:space="0" w:color="4F81BD"/>
              <w:left w:val="nil"/>
              <w:bottom w:val="single" w:sz="8" w:space="0" w:color="4F81BD"/>
              <w:right w:val="single" w:sz="8" w:space="0" w:color="4F81BD"/>
            </w:tcBorders>
            <w:shd w:val="clear" w:color="auto" w:fill="auto"/>
            <w:noWrap/>
            <w:vAlign w:val="center"/>
            <w:hideMark/>
          </w:tcPr>
          <w:p w14:paraId="6C9EAF90" w14:textId="77777777" w:rsidR="00857055" w:rsidRPr="00857055" w:rsidRDefault="00857055" w:rsidP="00857055">
            <w:pPr>
              <w:spacing w:line="360" w:lineRule="auto"/>
              <w:jc w:val="right"/>
              <w:rPr>
                <w:rFonts w:ascii="Arial" w:hAnsi="Arial" w:cs="Arial"/>
                <w:b/>
                <w:bCs/>
                <w:sz w:val="20"/>
                <w:szCs w:val="20"/>
                <w:lang w:val="es-CR" w:eastAsia="es-CR"/>
              </w:rPr>
            </w:pPr>
            <w:r w:rsidRPr="00857055">
              <w:rPr>
                <w:rFonts w:ascii="Arial" w:hAnsi="Arial" w:cs="Arial"/>
                <w:b/>
                <w:bCs/>
                <w:sz w:val="20"/>
                <w:szCs w:val="20"/>
                <w:lang w:val="es-CR" w:eastAsia="es-CR"/>
              </w:rPr>
              <w:t>97,26%</w:t>
            </w:r>
          </w:p>
        </w:tc>
      </w:tr>
      <w:tr w:rsidR="00857055" w:rsidRPr="00857055" w14:paraId="29035247" w14:textId="77777777" w:rsidTr="00465D52">
        <w:trPr>
          <w:trHeight w:val="338"/>
          <w:jc w:val="center"/>
        </w:trPr>
        <w:tc>
          <w:tcPr>
            <w:tcW w:w="2540" w:type="dxa"/>
            <w:tcBorders>
              <w:top w:val="nil"/>
              <w:left w:val="single" w:sz="8" w:space="0" w:color="4F81BD"/>
              <w:bottom w:val="nil"/>
              <w:right w:val="nil"/>
            </w:tcBorders>
            <w:shd w:val="clear" w:color="auto" w:fill="auto"/>
            <w:noWrap/>
            <w:vAlign w:val="center"/>
            <w:hideMark/>
          </w:tcPr>
          <w:p w14:paraId="167BE6D8"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Recurso externo</w:t>
            </w:r>
          </w:p>
        </w:tc>
        <w:tc>
          <w:tcPr>
            <w:tcW w:w="1600" w:type="dxa"/>
            <w:tcBorders>
              <w:top w:val="nil"/>
              <w:left w:val="single" w:sz="8" w:space="0" w:color="4F81BD"/>
              <w:bottom w:val="nil"/>
              <w:right w:val="single" w:sz="8" w:space="0" w:color="4F81BD"/>
            </w:tcBorders>
            <w:shd w:val="clear" w:color="auto" w:fill="auto"/>
            <w:noWrap/>
            <w:vAlign w:val="center"/>
            <w:hideMark/>
          </w:tcPr>
          <w:p w14:paraId="2A53B440"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740" w:type="dxa"/>
            <w:tcBorders>
              <w:top w:val="nil"/>
              <w:left w:val="nil"/>
              <w:bottom w:val="nil"/>
              <w:right w:val="nil"/>
            </w:tcBorders>
            <w:shd w:val="clear" w:color="auto" w:fill="auto"/>
            <w:noWrap/>
            <w:vAlign w:val="center"/>
            <w:hideMark/>
          </w:tcPr>
          <w:p w14:paraId="6836D589"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1AAAE441"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w:t>
            </w:r>
          </w:p>
        </w:tc>
      </w:tr>
      <w:tr w:rsidR="00857055" w:rsidRPr="00857055" w14:paraId="3D5638B9"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7F783E43" w14:textId="77777777" w:rsidR="00857055" w:rsidRPr="00857055" w:rsidRDefault="00857055" w:rsidP="00857055">
            <w:pPr>
              <w:spacing w:line="360" w:lineRule="auto"/>
              <w:rPr>
                <w:rFonts w:ascii="Arial" w:hAnsi="Arial" w:cs="Arial"/>
                <w:b/>
                <w:bCs/>
                <w:color w:val="000000"/>
                <w:sz w:val="20"/>
                <w:szCs w:val="20"/>
                <w:lang w:val="es-CR" w:eastAsia="es-CR"/>
              </w:rPr>
            </w:pPr>
            <w:r w:rsidRPr="00857055">
              <w:rPr>
                <w:rFonts w:ascii="Arial" w:hAnsi="Arial" w:cs="Arial"/>
                <w:b/>
                <w:bCs/>
                <w:color w:val="000000"/>
                <w:sz w:val="20"/>
                <w:szCs w:val="20"/>
                <w:lang w:val="es-CR" w:eastAsia="es-CR"/>
              </w:rPr>
              <w:t>SUBTOTAL</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42F993B0" w14:textId="77777777" w:rsidR="00857055" w:rsidRPr="00857055" w:rsidRDefault="00857055" w:rsidP="00857055">
            <w:pPr>
              <w:spacing w:line="360" w:lineRule="auto"/>
              <w:rPr>
                <w:rFonts w:ascii="Arial" w:hAnsi="Arial" w:cs="Arial"/>
                <w:b/>
                <w:bCs/>
                <w:sz w:val="20"/>
                <w:szCs w:val="20"/>
                <w:lang w:val="es-CR" w:eastAsia="es-CR"/>
              </w:rPr>
            </w:pPr>
            <w:r w:rsidRPr="00857055">
              <w:rPr>
                <w:rFonts w:ascii="Arial" w:hAnsi="Arial" w:cs="Arial"/>
                <w:b/>
                <w:bCs/>
                <w:sz w:val="20"/>
                <w:szCs w:val="20"/>
                <w:lang w:val="es-CR" w:eastAsia="es-CR"/>
              </w:rPr>
              <w:t xml:space="preserve">        461.945,15 </w:t>
            </w:r>
          </w:p>
        </w:tc>
        <w:tc>
          <w:tcPr>
            <w:tcW w:w="1740" w:type="dxa"/>
            <w:tcBorders>
              <w:top w:val="single" w:sz="8" w:space="0" w:color="4F81BD"/>
              <w:left w:val="nil"/>
              <w:bottom w:val="single" w:sz="8" w:space="0" w:color="4F81BD"/>
              <w:right w:val="single" w:sz="8" w:space="0" w:color="4F81BD"/>
            </w:tcBorders>
            <w:shd w:val="clear" w:color="auto" w:fill="auto"/>
            <w:noWrap/>
            <w:vAlign w:val="center"/>
            <w:hideMark/>
          </w:tcPr>
          <w:p w14:paraId="7BA3B0CF" w14:textId="77777777" w:rsidR="00857055" w:rsidRPr="00857055" w:rsidRDefault="00857055" w:rsidP="00857055">
            <w:pPr>
              <w:spacing w:line="360" w:lineRule="auto"/>
              <w:rPr>
                <w:rFonts w:ascii="Arial" w:hAnsi="Arial" w:cs="Arial"/>
                <w:b/>
                <w:bCs/>
                <w:sz w:val="20"/>
                <w:szCs w:val="20"/>
                <w:lang w:val="es-CR" w:eastAsia="es-CR"/>
              </w:rPr>
            </w:pPr>
            <w:r w:rsidRPr="00857055">
              <w:rPr>
                <w:rFonts w:ascii="Arial" w:hAnsi="Arial" w:cs="Arial"/>
                <w:b/>
                <w:bCs/>
                <w:sz w:val="20"/>
                <w:szCs w:val="20"/>
                <w:lang w:val="es-CR" w:eastAsia="es-CR"/>
              </w:rPr>
              <w:t xml:space="preserve">          449.278,75 </w:t>
            </w:r>
          </w:p>
        </w:tc>
        <w:tc>
          <w:tcPr>
            <w:tcW w:w="1440" w:type="dxa"/>
            <w:tcBorders>
              <w:top w:val="nil"/>
              <w:left w:val="nil"/>
              <w:bottom w:val="single" w:sz="8" w:space="0" w:color="4F81BD"/>
              <w:right w:val="single" w:sz="8" w:space="0" w:color="4F81BD"/>
            </w:tcBorders>
            <w:shd w:val="clear" w:color="auto" w:fill="auto"/>
            <w:noWrap/>
            <w:vAlign w:val="center"/>
            <w:hideMark/>
          </w:tcPr>
          <w:p w14:paraId="51C2E84A" w14:textId="77777777" w:rsidR="00857055" w:rsidRPr="00857055" w:rsidRDefault="00857055" w:rsidP="00857055">
            <w:pPr>
              <w:spacing w:line="360" w:lineRule="auto"/>
              <w:jc w:val="right"/>
              <w:rPr>
                <w:rFonts w:ascii="Arial" w:hAnsi="Arial" w:cs="Arial"/>
                <w:b/>
                <w:bCs/>
                <w:sz w:val="20"/>
                <w:szCs w:val="20"/>
                <w:lang w:val="es-CR" w:eastAsia="es-CR"/>
              </w:rPr>
            </w:pPr>
            <w:r w:rsidRPr="00857055">
              <w:rPr>
                <w:rFonts w:ascii="Arial" w:hAnsi="Arial" w:cs="Arial"/>
                <w:b/>
                <w:bCs/>
                <w:sz w:val="20"/>
                <w:szCs w:val="20"/>
                <w:lang w:val="es-CR" w:eastAsia="es-CR"/>
              </w:rPr>
              <w:t>97,26%</w:t>
            </w:r>
          </w:p>
        </w:tc>
      </w:tr>
      <w:tr w:rsidR="00857055" w:rsidRPr="00857055" w14:paraId="7E945445" w14:textId="77777777" w:rsidTr="00465D52">
        <w:trPr>
          <w:trHeight w:val="338"/>
          <w:jc w:val="center"/>
        </w:trPr>
        <w:tc>
          <w:tcPr>
            <w:tcW w:w="2540" w:type="dxa"/>
            <w:tcBorders>
              <w:top w:val="nil"/>
              <w:left w:val="single" w:sz="8" w:space="0" w:color="4F81BD"/>
              <w:bottom w:val="nil"/>
              <w:right w:val="nil"/>
            </w:tcBorders>
            <w:shd w:val="clear" w:color="auto" w:fill="auto"/>
            <w:noWrap/>
            <w:vAlign w:val="center"/>
            <w:hideMark/>
          </w:tcPr>
          <w:p w14:paraId="2FCAE2E1"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Remuneraciones</w:t>
            </w:r>
          </w:p>
        </w:tc>
        <w:tc>
          <w:tcPr>
            <w:tcW w:w="1600" w:type="dxa"/>
            <w:tcBorders>
              <w:top w:val="nil"/>
              <w:left w:val="single" w:sz="8" w:space="0" w:color="4F81BD"/>
              <w:bottom w:val="nil"/>
              <w:right w:val="single" w:sz="8" w:space="0" w:color="4F81BD"/>
            </w:tcBorders>
            <w:shd w:val="clear" w:color="auto" w:fill="auto"/>
            <w:noWrap/>
            <w:vAlign w:val="center"/>
            <w:hideMark/>
          </w:tcPr>
          <w:p w14:paraId="156EAB21"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380.395,57 </w:t>
            </w:r>
          </w:p>
        </w:tc>
        <w:tc>
          <w:tcPr>
            <w:tcW w:w="1740" w:type="dxa"/>
            <w:tcBorders>
              <w:top w:val="nil"/>
              <w:left w:val="nil"/>
              <w:bottom w:val="nil"/>
              <w:right w:val="nil"/>
            </w:tcBorders>
            <w:shd w:val="clear" w:color="auto" w:fill="auto"/>
            <w:noWrap/>
            <w:vAlign w:val="center"/>
            <w:hideMark/>
          </w:tcPr>
          <w:p w14:paraId="51A7DF36"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378.047,34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302B0CBC"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99,38%</w:t>
            </w:r>
          </w:p>
        </w:tc>
      </w:tr>
      <w:tr w:rsidR="00857055" w:rsidRPr="00857055" w14:paraId="4CFC79EB"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1B71E251"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Servicios</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7B03EBA7"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40.271,91 </w:t>
            </w:r>
          </w:p>
        </w:tc>
        <w:tc>
          <w:tcPr>
            <w:tcW w:w="1740" w:type="dxa"/>
            <w:tcBorders>
              <w:top w:val="single" w:sz="8" w:space="0" w:color="4F81BD"/>
              <w:left w:val="nil"/>
              <w:bottom w:val="single" w:sz="8" w:space="0" w:color="4F81BD"/>
              <w:right w:val="nil"/>
            </w:tcBorders>
            <w:shd w:val="clear" w:color="auto" w:fill="auto"/>
            <w:noWrap/>
            <w:vAlign w:val="center"/>
            <w:hideMark/>
          </w:tcPr>
          <w:p w14:paraId="607468A4"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36.786,41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6CDF48E5"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91,35%</w:t>
            </w:r>
          </w:p>
        </w:tc>
      </w:tr>
      <w:tr w:rsidR="00857055" w:rsidRPr="00857055" w14:paraId="3BF20698" w14:textId="77777777" w:rsidTr="00465D52">
        <w:trPr>
          <w:trHeight w:val="338"/>
          <w:jc w:val="center"/>
        </w:trPr>
        <w:tc>
          <w:tcPr>
            <w:tcW w:w="2540" w:type="dxa"/>
            <w:tcBorders>
              <w:top w:val="nil"/>
              <w:left w:val="single" w:sz="8" w:space="0" w:color="4F81BD"/>
              <w:bottom w:val="nil"/>
              <w:right w:val="nil"/>
            </w:tcBorders>
            <w:shd w:val="clear" w:color="auto" w:fill="auto"/>
            <w:noWrap/>
            <w:vAlign w:val="center"/>
            <w:hideMark/>
          </w:tcPr>
          <w:p w14:paraId="0CDE089C"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 xml:space="preserve">Materiales </w:t>
            </w:r>
          </w:p>
        </w:tc>
        <w:tc>
          <w:tcPr>
            <w:tcW w:w="1600" w:type="dxa"/>
            <w:tcBorders>
              <w:top w:val="nil"/>
              <w:left w:val="single" w:sz="8" w:space="0" w:color="4F81BD"/>
              <w:bottom w:val="nil"/>
              <w:right w:val="single" w:sz="8" w:space="0" w:color="4F81BD"/>
            </w:tcBorders>
            <w:shd w:val="clear" w:color="auto" w:fill="auto"/>
            <w:noWrap/>
            <w:vAlign w:val="center"/>
            <w:hideMark/>
          </w:tcPr>
          <w:p w14:paraId="3CFD1327"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6.981,81 </w:t>
            </w:r>
          </w:p>
        </w:tc>
        <w:tc>
          <w:tcPr>
            <w:tcW w:w="1740" w:type="dxa"/>
            <w:tcBorders>
              <w:top w:val="nil"/>
              <w:left w:val="nil"/>
              <w:bottom w:val="nil"/>
              <w:right w:val="nil"/>
            </w:tcBorders>
            <w:shd w:val="clear" w:color="auto" w:fill="auto"/>
            <w:noWrap/>
            <w:vAlign w:val="center"/>
            <w:hideMark/>
          </w:tcPr>
          <w:p w14:paraId="53D487C6"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5.839,36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1B699125"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83,64%</w:t>
            </w:r>
          </w:p>
        </w:tc>
      </w:tr>
      <w:tr w:rsidR="00857055" w:rsidRPr="00857055" w14:paraId="3882FC42"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4EF3BA01"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Intereses</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77338875"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740" w:type="dxa"/>
            <w:tcBorders>
              <w:top w:val="single" w:sz="8" w:space="0" w:color="4F81BD"/>
              <w:left w:val="nil"/>
              <w:bottom w:val="single" w:sz="8" w:space="0" w:color="4F81BD"/>
              <w:right w:val="nil"/>
            </w:tcBorders>
            <w:shd w:val="clear" w:color="auto" w:fill="auto"/>
            <w:noWrap/>
            <w:vAlign w:val="center"/>
            <w:hideMark/>
          </w:tcPr>
          <w:p w14:paraId="0F06F761"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194CF5EB"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w:t>
            </w:r>
          </w:p>
        </w:tc>
      </w:tr>
      <w:tr w:rsidR="00857055" w:rsidRPr="00857055" w14:paraId="29BCE569" w14:textId="77777777" w:rsidTr="00465D52">
        <w:trPr>
          <w:trHeight w:val="338"/>
          <w:jc w:val="center"/>
        </w:trPr>
        <w:tc>
          <w:tcPr>
            <w:tcW w:w="2540" w:type="dxa"/>
            <w:tcBorders>
              <w:top w:val="nil"/>
              <w:left w:val="single" w:sz="8" w:space="0" w:color="4F81BD"/>
              <w:bottom w:val="nil"/>
              <w:right w:val="nil"/>
            </w:tcBorders>
            <w:shd w:val="clear" w:color="auto" w:fill="auto"/>
            <w:noWrap/>
            <w:vAlign w:val="center"/>
            <w:hideMark/>
          </w:tcPr>
          <w:p w14:paraId="1414392F"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Activos financieros</w:t>
            </w:r>
          </w:p>
        </w:tc>
        <w:tc>
          <w:tcPr>
            <w:tcW w:w="1600" w:type="dxa"/>
            <w:tcBorders>
              <w:top w:val="nil"/>
              <w:left w:val="single" w:sz="8" w:space="0" w:color="4F81BD"/>
              <w:bottom w:val="nil"/>
              <w:right w:val="single" w:sz="8" w:space="0" w:color="4F81BD"/>
            </w:tcBorders>
            <w:shd w:val="clear" w:color="auto" w:fill="auto"/>
            <w:noWrap/>
            <w:vAlign w:val="center"/>
            <w:hideMark/>
          </w:tcPr>
          <w:p w14:paraId="66E2854E"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740" w:type="dxa"/>
            <w:tcBorders>
              <w:top w:val="nil"/>
              <w:left w:val="nil"/>
              <w:bottom w:val="nil"/>
              <w:right w:val="nil"/>
            </w:tcBorders>
            <w:shd w:val="clear" w:color="auto" w:fill="auto"/>
            <w:noWrap/>
            <w:vAlign w:val="center"/>
            <w:hideMark/>
          </w:tcPr>
          <w:p w14:paraId="1B20FB3F"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5B5367AB"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w:t>
            </w:r>
          </w:p>
        </w:tc>
      </w:tr>
      <w:tr w:rsidR="00857055" w:rsidRPr="00857055" w14:paraId="00FA2631"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4EB9C243"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Bienes duraderos</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475E6B5E"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20.346,65 </w:t>
            </w:r>
          </w:p>
        </w:tc>
        <w:tc>
          <w:tcPr>
            <w:tcW w:w="1740" w:type="dxa"/>
            <w:tcBorders>
              <w:top w:val="single" w:sz="8" w:space="0" w:color="4F81BD"/>
              <w:left w:val="nil"/>
              <w:bottom w:val="single" w:sz="8" w:space="0" w:color="4F81BD"/>
              <w:right w:val="nil"/>
            </w:tcBorders>
            <w:shd w:val="clear" w:color="auto" w:fill="auto"/>
            <w:noWrap/>
            <w:vAlign w:val="center"/>
            <w:hideMark/>
          </w:tcPr>
          <w:p w14:paraId="0C49C5A0"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15.098,95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052F41C0"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74,21%</w:t>
            </w:r>
          </w:p>
        </w:tc>
      </w:tr>
      <w:tr w:rsidR="00857055" w:rsidRPr="00857055" w14:paraId="1EEF49FE" w14:textId="77777777" w:rsidTr="00465D52">
        <w:trPr>
          <w:trHeight w:val="338"/>
          <w:jc w:val="center"/>
        </w:trPr>
        <w:tc>
          <w:tcPr>
            <w:tcW w:w="2540" w:type="dxa"/>
            <w:tcBorders>
              <w:top w:val="nil"/>
              <w:left w:val="single" w:sz="8" w:space="0" w:color="4F81BD"/>
              <w:bottom w:val="nil"/>
              <w:right w:val="nil"/>
            </w:tcBorders>
            <w:shd w:val="clear" w:color="auto" w:fill="auto"/>
            <w:noWrap/>
            <w:vAlign w:val="center"/>
            <w:hideMark/>
          </w:tcPr>
          <w:p w14:paraId="1797C533"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Transferencias corrientes</w:t>
            </w:r>
          </w:p>
        </w:tc>
        <w:tc>
          <w:tcPr>
            <w:tcW w:w="1600" w:type="dxa"/>
            <w:tcBorders>
              <w:top w:val="nil"/>
              <w:left w:val="single" w:sz="8" w:space="0" w:color="4F81BD"/>
              <w:bottom w:val="nil"/>
              <w:right w:val="single" w:sz="8" w:space="0" w:color="4F81BD"/>
            </w:tcBorders>
            <w:shd w:val="clear" w:color="auto" w:fill="auto"/>
            <w:noWrap/>
            <w:vAlign w:val="center"/>
            <w:hideMark/>
          </w:tcPr>
          <w:p w14:paraId="3474ED20"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6.559,10 </w:t>
            </w:r>
          </w:p>
        </w:tc>
        <w:tc>
          <w:tcPr>
            <w:tcW w:w="1740" w:type="dxa"/>
            <w:tcBorders>
              <w:top w:val="nil"/>
              <w:left w:val="nil"/>
              <w:bottom w:val="nil"/>
              <w:right w:val="nil"/>
            </w:tcBorders>
            <w:shd w:val="clear" w:color="auto" w:fill="auto"/>
            <w:noWrap/>
            <w:vAlign w:val="center"/>
            <w:hideMark/>
          </w:tcPr>
          <w:p w14:paraId="04B9C16D"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6.167,38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653E37CB"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94,03%</w:t>
            </w:r>
          </w:p>
        </w:tc>
      </w:tr>
      <w:tr w:rsidR="00857055" w:rsidRPr="00857055" w14:paraId="31AF2051"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5CF64BF8"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Transferencias de capital</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6FCD59DC"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7.164,93 </w:t>
            </w:r>
          </w:p>
        </w:tc>
        <w:tc>
          <w:tcPr>
            <w:tcW w:w="1740" w:type="dxa"/>
            <w:tcBorders>
              <w:top w:val="single" w:sz="8" w:space="0" w:color="4F81BD"/>
              <w:left w:val="nil"/>
              <w:bottom w:val="single" w:sz="8" w:space="0" w:color="4F81BD"/>
              <w:right w:val="nil"/>
            </w:tcBorders>
            <w:shd w:val="clear" w:color="auto" w:fill="auto"/>
            <w:noWrap/>
            <w:vAlign w:val="center"/>
            <w:hideMark/>
          </w:tcPr>
          <w:p w14:paraId="33FD34EC"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7.164,93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13E42012"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100,00%</w:t>
            </w:r>
          </w:p>
        </w:tc>
      </w:tr>
      <w:tr w:rsidR="00857055" w:rsidRPr="00857055" w14:paraId="43BD32DE" w14:textId="77777777" w:rsidTr="00465D52">
        <w:trPr>
          <w:trHeight w:val="338"/>
          <w:jc w:val="center"/>
        </w:trPr>
        <w:tc>
          <w:tcPr>
            <w:tcW w:w="2540" w:type="dxa"/>
            <w:tcBorders>
              <w:top w:val="nil"/>
              <w:left w:val="single" w:sz="8" w:space="0" w:color="4F81BD"/>
              <w:bottom w:val="nil"/>
              <w:right w:val="nil"/>
            </w:tcBorders>
            <w:shd w:val="clear" w:color="auto" w:fill="auto"/>
            <w:noWrap/>
            <w:vAlign w:val="center"/>
            <w:hideMark/>
          </w:tcPr>
          <w:p w14:paraId="26778BBC"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Amortización</w:t>
            </w:r>
          </w:p>
        </w:tc>
        <w:tc>
          <w:tcPr>
            <w:tcW w:w="1600" w:type="dxa"/>
            <w:tcBorders>
              <w:top w:val="nil"/>
              <w:left w:val="single" w:sz="8" w:space="0" w:color="4F81BD"/>
              <w:bottom w:val="nil"/>
              <w:right w:val="single" w:sz="8" w:space="0" w:color="4F81BD"/>
            </w:tcBorders>
            <w:shd w:val="clear" w:color="auto" w:fill="auto"/>
            <w:noWrap/>
            <w:vAlign w:val="center"/>
            <w:hideMark/>
          </w:tcPr>
          <w:p w14:paraId="533869A3"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740" w:type="dxa"/>
            <w:tcBorders>
              <w:top w:val="nil"/>
              <w:left w:val="nil"/>
              <w:bottom w:val="nil"/>
              <w:right w:val="nil"/>
            </w:tcBorders>
            <w:shd w:val="clear" w:color="auto" w:fill="auto"/>
            <w:noWrap/>
            <w:vAlign w:val="center"/>
            <w:hideMark/>
          </w:tcPr>
          <w:p w14:paraId="363970DA"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54AB1E7B"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w:t>
            </w:r>
          </w:p>
        </w:tc>
      </w:tr>
      <w:tr w:rsidR="00857055" w:rsidRPr="00857055" w14:paraId="0DE9A31A" w14:textId="77777777" w:rsidTr="00465D52">
        <w:trPr>
          <w:trHeight w:val="338"/>
          <w:jc w:val="center"/>
        </w:trPr>
        <w:tc>
          <w:tcPr>
            <w:tcW w:w="2540" w:type="dxa"/>
            <w:tcBorders>
              <w:top w:val="single" w:sz="8" w:space="0" w:color="4F81BD"/>
              <w:left w:val="single" w:sz="8" w:space="0" w:color="4F81BD"/>
              <w:bottom w:val="single" w:sz="8" w:space="0" w:color="4F81BD"/>
              <w:right w:val="nil"/>
            </w:tcBorders>
            <w:shd w:val="clear" w:color="auto" w:fill="auto"/>
            <w:noWrap/>
            <w:vAlign w:val="center"/>
            <w:hideMark/>
          </w:tcPr>
          <w:p w14:paraId="4C5554DA" w14:textId="77777777" w:rsidR="00857055" w:rsidRPr="00857055" w:rsidRDefault="00857055" w:rsidP="00857055">
            <w:pPr>
              <w:spacing w:line="360" w:lineRule="auto"/>
              <w:rPr>
                <w:rFonts w:ascii="Arial" w:hAnsi="Arial" w:cs="Arial"/>
                <w:color w:val="000000"/>
                <w:sz w:val="20"/>
                <w:szCs w:val="20"/>
                <w:lang w:val="es-CR" w:eastAsia="es-CR"/>
              </w:rPr>
            </w:pPr>
            <w:r w:rsidRPr="00857055">
              <w:rPr>
                <w:rFonts w:ascii="Arial" w:hAnsi="Arial" w:cs="Arial"/>
                <w:color w:val="000000"/>
                <w:sz w:val="20"/>
                <w:szCs w:val="20"/>
                <w:lang w:val="es-CR" w:eastAsia="es-CR"/>
              </w:rPr>
              <w:t>Cuentas especiales</w:t>
            </w:r>
          </w:p>
        </w:tc>
        <w:tc>
          <w:tcPr>
            <w:tcW w:w="1600"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0A4FFBF"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225,19 </w:t>
            </w:r>
          </w:p>
        </w:tc>
        <w:tc>
          <w:tcPr>
            <w:tcW w:w="1740" w:type="dxa"/>
            <w:tcBorders>
              <w:top w:val="single" w:sz="8" w:space="0" w:color="4F81BD"/>
              <w:left w:val="nil"/>
              <w:bottom w:val="single" w:sz="8" w:space="0" w:color="4F81BD"/>
              <w:right w:val="nil"/>
            </w:tcBorders>
            <w:shd w:val="clear" w:color="auto" w:fill="auto"/>
            <w:noWrap/>
            <w:vAlign w:val="center"/>
            <w:hideMark/>
          </w:tcPr>
          <w:p w14:paraId="54F3FFFA" w14:textId="77777777" w:rsidR="00857055" w:rsidRPr="00857055" w:rsidRDefault="00857055" w:rsidP="00857055">
            <w:pPr>
              <w:spacing w:line="360" w:lineRule="auto"/>
              <w:rPr>
                <w:rFonts w:ascii="Arial" w:hAnsi="Arial" w:cs="Arial"/>
                <w:sz w:val="20"/>
                <w:szCs w:val="20"/>
                <w:lang w:val="es-CR" w:eastAsia="es-CR"/>
              </w:rPr>
            </w:pPr>
            <w:r w:rsidRPr="00857055">
              <w:rPr>
                <w:rFonts w:ascii="Arial" w:hAnsi="Arial" w:cs="Arial"/>
                <w:sz w:val="20"/>
                <w:szCs w:val="20"/>
                <w:lang w:val="es-CR" w:eastAsia="es-CR"/>
              </w:rPr>
              <w:t xml:space="preserve">                 174,36 </w:t>
            </w:r>
          </w:p>
        </w:tc>
        <w:tc>
          <w:tcPr>
            <w:tcW w:w="1440" w:type="dxa"/>
            <w:tcBorders>
              <w:top w:val="nil"/>
              <w:left w:val="single" w:sz="8" w:space="0" w:color="4F81BD"/>
              <w:bottom w:val="single" w:sz="8" w:space="0" w:color="4F81BD"/>
              <w:right w:val="single" w:sz="8" w:space="0" w:color="4F81BD"/>
            </w:tcBorders>
            <w:shd w:val="clear" w:color="auto" w:fill="auto"/>
            <w:noWrap/>
            <w:vAlign w:val="center"/>
            <w:hideMark/>
          </w:tcPr>
          <w:p w14:paraId="2FAFFF80" w14:textId="77777777" w:rsidR="00857055" w:rsidRPr="00857055" w:rsidRDefault="00857055" w:rsidP="00857055">
            <w:pPr>
              <w:spacing w:line="360" w:lineRule="auto"/>
              <w:jc w:val="right"/>
              <w:rPr>
                <w:rFonts w:ascii="Arial" w:hAnsi="Arial" w:cs="Arial"/>
                <w:sz w:val="20"/>
                <w:szCs w:val="20"/>
                <w:lang w:val="es-CR" w:eastAsia="es-CR"/>
              </w:rPr>
            </w:pPr>
            <w:r w:rsidRPr="00857055">
              <w:rPr>
                <w:rFonts w:ascii="Arial" w:hAnsi="Arial" w:cs="Arial"/>
                <w:sz w:val="20"/>
                <w:szCs w:val="20"/>
                <w:lang w:val="es-CR" w:eastAsia="es-CR"/>
              </w:rPr>
              <w:t>77,43%</w:t>
            </w:r>
          </w:p>
        </w:tc>
      </w:tr>
    </w:tbl>
    <w:p w14:paraId="49443F12" w14:textId="77777777" w:rsidR="0070011B" w:rsidRDefault="0070011B" w:rsidP="00D740CC">
      <w:pPr>
        <w:jc w:val="center"/>
        <w:rPr>
          <w:rFonts w:ascii="Arial" w:hAnsi="Arial" w:cs="Arial"/>
          <w:i/>
          <w:sz w:val="20"/>
          <w:szCs w:val="20"/>
          <w:lang w:val="es-ES_tradnl"/>
        </w:rPr>
      </w:pPr>
    </w:p>
    <w:p w14:paraId="03964C75" w14:textId="4E2517AE" w:rsidR="006E5ECF" w:rsidRPr="00857055" w:rsidRDefault="006E5ECF" w:rsidP="006E5ECF">
      <w:pPr>
        <w:jc w:val="both"/>
        <w:rPr>
          <w:rFonts w:ascii="Arial" w:hAnsi="Arial" w:cs="Arial"/>
          <w:color w:val="000000"/>
          <w:sz w:val="16"/>
          <w:szCs w:val="20"/>
          <w:lang w:val="es-CR" w:eastAsia="es-CR"/>
        </w:rPr>
      </w:pPr>
      <w:r w:rsidRPr="00857055">
        <w:rPr>
          <w:rFonts w:ascii="Arial" w:hAnsi="Arial" w:cs="Arial"/>
          <w:b/>
          <w:bCs/>
          <w:color w:val="000000"/>
          <w:sz w:val="16"/>
          <w:szCs w:val="20"/>
          <w:lang w:val="es-CR" w:eastAsia="es-CR"/>
        </w:rPr>
        <w:t>Fuente:</w:t>
      </w:r>
      <w:r w:rsidRPr="00857055">
        <w:rPr>
          <w:rFonts w:ascii="Arial" w:hAnsi="Arial" w:cs="Arial"/>
          <w:color w:val="000000"/>
          <w:sz w:val="16"/>
          <w:szCs w:val="20"/>
          <w:lang w:val="es-CR" w:eastAsia="es-CR"/>
        </w:rPr>
        <w:t xml:space="preserve"> </w:t>
      </w:r>
      <w:r w:rsidR="00857055" w:rsidRPr="00857055">
        <w:rPr>
          <w:rFonts w:ascii="Arial" w:hAnsi="Arial" w:cs="Arial"/>
          <w:color w:val="000000"/>
          <w:sz w:val="16"/>
          <w:szCs w:val="20"/>
          <w:lang w:val="es-CR" w:eastAsia="es-CR"/>
        </w:rPr>
        <w:t>Liquidación Módulo de Poderes al 31 de diciembre 2021</w:t>
      </w:r>
    </w:p>
    <w:p w14:paraId="37FFDA61" w14:textId="77777777" w:rsidR="006E5ECF" w:rsidRPr="006E5ECF" w:rsidRDefault="006E5ECF" w:rsidP="006E5ECF">
      <w:pPr>
        <w:ind w:right="335"/>
        <w:jc w:val="both"/>
        <w:rPr>
          <w:rFonts w:ascii="Arial" w:hAnsi="Arial" w:cs="Arial"/>
          <w:color w:val="000000"/>
          <w:sz w:val="16"/>
          <w:szCs w:val="20"/>
          <w:lang w:val="es-CR" w:eastAsia="es-CR"/>
        </w:rPr>
      </w:pPr>
      <w:r w:rsidRPr="006E5ECF">
        <w:rPr>
          <w:rFonts w:ascii="Arial" w:hAnsi="Arial" w:cs="Arial"/>
          <w:color w:val="000000"/>
          <w:sz w:val="16"/>
          <w:szCs w:val="20"/>
          <w:lang w:val="es-CR" w:eastAsia="es-CR"/>
        </w:rPr>
        <w:t>/1 Corresponde al presupuesto inicial incluyendo las modificaciones presupuestarias realizadas durante el 2021.</w:t>
      </w:r>
    </w:p>
    <w:p w14:paraId="6D6985B7" w14:textId="77777777" w:rsidR="006E5ECF" w:rsidRPr="006E5ECF" w:rsidRDefault="006E5ECF" w:rsidP="006E5ECF">
      <w:pPr>
        <w:ind w:right="335"/>
        <w:jc w:val="both"/>
        <w:rPr>
          <w:rFonts w:ascii="Arial" w:hAnsi="Arial" w:cs="Arial"/>
          <w:color w:val="000000"/>
          <w:sz w:val="16"/>
          <w:szCs w:val="20"/>
          <w:lang w:val="es-CR" w:eastAsia="es-CR"/>
        </w:rPr>
      </w:pPr>
      <w:r w:rsidRPr="006E5ECF">
        <w:rPr>
          <w:rFonts w:ascii="Arial" w:hAnsi="Arial" w:cs="Arial"/>
          <w:color w:val="000000"/>
          <w:sz w:val="16"/>
          <w:szCs w:val="20"/>
          <w:lang w:val="es-CR" w:eastAsia="es-CR"/>
        </w:rPr>
        <w:t xml:space="preserve">/2 Se refiere al devengado, que es el reconocimiento del gasto por la recepción de bienes y servicios independientemente de cuando se efectúe el pago de la obligación. </w:t>
      </w:r>
    </w:p>
    <w:p w14:paraId="2B480F64" w14:textId="77777777" w:rsidR="0070011B" w:rsidRPr="006E5ECF" w:rsidRDefault="0070011B" w:rsidP="00D740CC">
      <w:pPr>
        <w:jc w:val="center"/>
        <w:rPr>
          <w:rFonts w:ascii="Arial" w:hAnsi="Arial" w:cs="Arial"/>
          <w:i/>
          <w:sz w:val="20"/>
          <w:szCs w:val="20"/>
          <w:lang w:val="es-ES_tradnl"/>
        </w:rPr>
      </w:pPr>
    </w:p>
    <w:p w14:paraId="4F83F113" w14:textId="77777777" w:rsidR="008573DE" w:rsidRDefault="008573DE" w:rsidP="00156BFB">
      <w:pPr>
        <w:spacing w:line="360" w:lineRule="auto"/>
        <w:jc w:val="both"/>
        <w:rPr>
          <w:rFonts w:ascii="Arial" w:hAnsi="Arial" w:cs="Arial"/>
          <w:bCs/>
          <w:sz w:val="20"/>
          <w:szCs w:val="20"/>
          <w:lang w:val="es-CR"/>
        </w:rPr>
      </w:pPr>
    </w:p>
    <w:p w14:paraId="6A0408B8" w14:textId="1B456016"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 xml:space="preserve">En la partida de remuneraciones se ejecutan además de los salarios, las cargas y los aportes patronales. Su ejecución varía de acuerdo con los movimientos de personal que se realice y muestra un alto grado de ejecución a nivel general de 99,38%, lo cual se traduce en un correcto aprovechamiento de los recursos asignados. Para atender de forma adecuada las necesidades de la partida de Remuneraciones, se realiza el monitoreo y proyección constante (mensual) de los gastos de cada una de las subpartidas, incluyendo cargas patronales, con el fin de atender </w:t>
      </w:r>
      <w:r>
        <w:rPr>
          <w:rFonts w:ascii="Arial" w:hAnsi="Arial" w:cs="Arial"/>
          <w:bCs/>
          <w:sz w:val="20"/>
          <w:szCs w:val="20"/>
          <w:lang w:val="es-CR"/>
        </w:rPr>
        <w:lastRenderedPageBreak/>
        <w:t xml:space="preserve">de forma satisfactoria los pagos de las planillas salariales. Además, de reuniones periódicas entre el Subproceso de Presupuesto del Macroproceso Financiero Contable y la Unidad de Presupuesto de la Dirección de Gestión Humana, para analizar todas las variables asociadas e informar mensualmente a la Dirección Ejecutiva sobre las proyecciones de gastos para cubrir todo el período presupuestario, cuya atención se realiza de forma satisfactoria.  </w:t>
      </w:r>
    </w:p>
    <w:p w14:paraId="785DC1C4" w14:textId="77777777" w:rsidR="008A7725" w:rsidRDefault="008A7725" w:rsidP="00156BFB">
      <w:pPr>
        <w:spacing w:line="360" w:lineRule="auto"/>
        <w:jc w:val="both"/>
        <w:rPr>
          <w:rFonts w:ascii="Arial" w:hAnsi="Arial" w:cs="Arial"/>
          <w:bCs/>
          <w:sz w:val="20"/>
          <w:szCs w:val="20"/>
          <w:lang w:val="es-CR"/>
        </w:rPr>
      </w:pPr>
    </w:p>
    <w:p w14:paraId="37CF689D" w14:textId="77777777"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En la partida 1 Servicios se ejecutó un 91,35% de los recursos asignados, en esta partida se ejecutan recursos para atender los contratos a nivel institucional tales como servicios de vigilancia, limpieza, jardinería, servicios médicos, alquileres de edificios, equipo de cómputo, así como los mantenimientos de edificios y de equipo entre los más significativos están la Contratación del Servicio de Mantenimiento Preventivo, Calibración y/o Verificación de Equipos de Varias Secciones del Departamento de Ciencias Forenses, el servicio de Mantenimiento Correctivo e Instalación de Insumos, Sensores y otros componentes en el sistema de aire acondicionado VRV, marca Daikin, del edificio Tribunales de Justicia de Pococí, el servicio de recolección y entrega de expedientes a nivel nacional a través del sistema denominado Courier, bajo la modalidad de entrega según demanda, entre otros.  Además, en esta partida se ejecutaron recursos para atender mantenimientos y remodelaciones de la Institución, de los cuales se puede mencionar la remodelación de la cubierta de techo, Sala de Audiencias y Bodega del Edificio del Juzgado Contravencional de Carillo (Filadelfia), la sustitución de tuberías de gases en el Laboratorio de Química, así como la adecuación eléctrica de las celdas del edificio de Tribunales de Justicia I Circuito Judicial de San José, también se ejecutaron recursos para el pago de viáticos a funcionarios, giras y capacitaciones, sin embargo, estas últimas se vieron afectadas en su ejecución por las restricciones debido a la pandemia producto del COVID-19.</w:t>
      </w:r>
    </w:p>
    <w:p w14:paraId="7B21DA0C" w14:textId="77777777" w:rsidR="008A7725" w:rsidRDefault="008A7725" w:rsidP="00156BFB">
      <w:pPr>
        <w:spacing w:line="360" w:lineRule="auto"/>
        <w:jc w:val="both"/>
        <w:rPr>
          <w:rFonts w:ascii="Arial" w:hAnsi="Arial" w:cs="Arial"/>
          <w:bCs/>
          <w:sz w:val="20"/>
          <w:szCs w:val="20"/>
          <w:lang w:val="es-CR"/>
        </w:rPr>
      </w:pPr>
    </w:p>
    <w:p w14:paraId="2AED2CD9" w14:textId="77777777"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En la partida 2 Materiales y Suministros se ejecutó un porcentaje de 83,64%, los recursos se destinaron para atender el contrato por el servicio de alimentación para privados de libertad, además, de contratos según demanda que se ejecutan de acuerdo con las necesidades de las diferentes oficinas de la Institución, tales como la compra de trajes descartables, repuestos para vehículos, compra de reactivos y consumibles para la realización de pruebas de ADN y detección de enfermedades de transmisión sexual, compra de productos de limpieza, compra de productos de papel, tóner para impresora Lexmark bajo la modalidad de entrega según demanda, materiales de cableado estructurado, entre otros.</w:t>
      </w:r>
    </w:p>
    <w:p w14:paraId="28F17485" w14:textId="77777777" w:rsidR="00156BFB" w:rsidRDefault="00156BFB" w:rsidP="00156BFB">
      <w:pPr>
        <w:spacing w:line="360" w:lineRule="auto"/>
        <w:jc w:val="both"/>
        <w:rPr>
          <w:rFonts w:ascii="Arial" w:hAnsi="Arial" w:cs="Arial"/>
          <w:bCs/>
          <w:sz w:val="20"/>
          <w:szCs w:val="20"/>
          <w:lang w:val="es-CR"/>
        </w:rPr>
      </w:pPr>
    </w:p>
    <w:p w14:paraId="67DE4431" w14:textId="5FD18F86"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lastRenderedPageBreak/>
        <w:t xml:space="preserve">En la partida 5 Bienes Duraderos los recursos ejecutados fue de un 74,21% utilizados para atender proyectos de gran impacto para la Institución como mejoras a los edificios, tales como la sustitución de las </w:t>
      </w:r>
      <w:r w:rsidR="008A7725">
        <w:rPr>
          <w:rFonts w:ascii="Arial" w:hAnsi="Arial" w:cs="Arial"/>
          <w:bCs/>
          <w:sz w:val="20"/>
          <w:szCs w:val="20"/>
          <w:lang w:val="es-CR"/>
        </w:rPr>
        <w:t>ventanearías</w:t>
      </w:r>
      <w:r>
        <w:rPr>
          <w:rFonts w:ascii="Arial" w:hAnsi="Arial" w:cs="Arial"/>
          <w:bCs/>
          <w:sz w:val="20"/>
          <w:szCs w:val="20"/>
          <w:lang w:val="es-CR"/>
        </w:rPr>
        <w:t xml:space="preserve"> de las fachadas del Edificio del Organismo de Investigación Judicial, Remodelación del primer nivel de los Tribunales de Justicia de Heredia, Acondicionamiento Eléctrico en el quinto piso del Edificio de Tribunales de San José, Mejoras del sistema de agua potable, cambio de válvulas y sistema de bombeo del edificio del OIJ del Primer Circuito Judicial de San José, así como construcciones de obras significativas como la construcción de la morgue auxiliar de la sala de autopsia existente y baños del área de Patología en la Ciudad Judicial en San Joaquín de Flores, la I Etapa de la contratación del Acondicionamiento eléctrico y unificación de acometidas transformadores de los edificios de los Tribunales de Justicia del Primer Circuito Judicial de San José”, entre otros. También se ejecutaron recursos para la compra de vehículos para el Poder Judicial, por sustitución y aumento de flotilla, bajo la modalidad según demanda. Además, en esta partida se ejecutaron recursos para la compra de licencias y renovación de software para la Institución. </w:t>
      </w:r>
    </w:p>
    <w:p w14:paraId="6B554EB2" w14:textId="77777777" w:rsidR="00156BFB" w:rsidRDefault="00156BFB" w:rsidP="00156BFB">
      <w:pPr>
        <w:spacing w:line="360" w:lineRule="auto"/>
        <w:jc w:val="both"/>
        <w:rPr>
          <w:rFonts w:ascii="Arial" w:hAnsi="Arial" w:cs="Arial"/>
          <w:bCs/>
          <w:sz w:val="20"/>
          <w:szCs w:val="20"/>
          <w:lang w:val="es-CR"/>
        </w:rPr>
      </w:pPr>
    </w:p>
    <w:p w14:paraId="54EAF0F4" w14:textId="77777777"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 xml:space="preserve">Tanto en la partida 2 Materiales y Suministros así como la partida 5 Bienes duraderos, su ejecución corresponde a la naturaleza y a los procesos de contratación a través de licitaciones y compras directas, muchos recursos no se lograron ejecutar y quedaron como compromisos no devengados, debido principalmente a motivos de definición de especificaciones técnicas y la búsqueda de bienes que se ajusten a las necesidades de la institución, así como poco mercado para poder conseguir algunos de ellos en el país, además, que muchas contrataciones se vieron afectadas por las restricciones a nivel mundial producto del COVID-19. </w:t>
      </w:r>
    </w:p>
    <w:p w14:paraId="4AA21F28" w14:textId="77777777" w:rsidR="00156BFB" w:rsidRDefault="00156BFB" w:rsidP="00156BFB">
      <w:pPr>
        <w:spacing w:line="360" w:lineRule="auto"/>
        <w:jc w:val="both"/>
        <w:rPr>
          <w:rFonts w:ascii="Arial" w:hAnsi="Arial" w:cs="Arial"/>
          <w:bCs/>
          <w:color w:val="FF0000"/>
          <w:sz w:val="20"/>
          <w:szCs w:val="20"/>
          <w:lang w:val="es-CR"/>
        </w:rPr>
      </w:pPr>
    </w:p>
    <w:p w14:paraId="542AA2B9" w14:textId="0811AB66"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La partida 6 Transferencias corrientes tuvo un porcentaje de ejecución del 94,03%, en esta partida se utilizan los recursos para atender el aporte estatal al Fondo de Jubilaciones y Pensiones del Poder Judicial, los aportes de la cuota SEM de la Caja Costarricense de Seguro Social, los cuales se cancelan de acuerdo con la planilla de salarios, recursos que son analizados periódicamente para identificar posibles sobrantes o faltantes durante el año  y así optimizar los recursos formulados para su óptima ejecución. También se ejecutan recursos para atender convenios con universidades estatales, becas y ayudas a funcionarios, entre otros, sin embargo, estos gastos también se vieron afectados por la pandemia producto del COVID-19.</w:t>
      </w:r>
    </w:p>
    <w:p w14:paraId="28E92E1D" w14:textId="77777777" w:rsidR="00ED7ABE" w:rsidRDefault="00ED7ABE" w:rsidP="00156BFB">
      <w:pPr>
        <w:spacing w:line="360" w:lineRule="auto"/>
        <w:jc w:val="both"/>
        <w:rPr>
          <w:rFonts w:ascii="Arial" w:hAnsi="Arial" w:cs="Arial"/>
          <w:bCs/>
          <w:sz w:val="20"/>
          <w:szCs w:val="20"/>
          <w:lang w:val="es-CR"/>
        </w:rPr>
      </w:pPr>
    </w:p>
    <w:p w14:paraId="02B16422" w14:textId="13D7DC18"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 xml:space="preserve">Además, se ejecutan recursos para atender los pagos de las indemnizaciones, de acuerdo con los juicios administrativos y judiciales también el gasto por prestaciones legales que son recursos </w:t>
      </w:r>
      <w:r>
        <w:rPr>
          <w:rFonts w:ascii="Arial" w:hAnsi="Arial" w:cs="Arial"/>
          <w:bCs/>
          <w:sz w:val="20"/>
          <w:szCs w:val="20"/>
          <w:lang w:val="es-CR"/>
        </w:rPr>
        <w:lastRenderedPageBreak/>
        <w:t>destinados para atender el pago de ese extremo laboral a los servidores judiciales que se acogieron al derecho de la jubilación, estas subpartidas se monitorean durante el año, con el fin de ser reforzadas en caso de ser necesario y atender los pagos de forma oportuna.</w:t>
      </w:r>
    </w:p>
    <w:p w14:paraId="70DC4B95" w14:textId="77777777" w:rsidR="00156BFB" w:rsidRDefault="00156BFB" w:rsidP="00156BFB">
      <w:pPr>
        <w:spacing w:line="360" w:lineRule="auto"/>
        <w:jc w:val="both"/>
        <w:rPr>
          <w:rFonts w:ascii="Arial" w:hAnsi="Arial" w:cs="Arial"/>
          <w:bCs/>
          <w:sz w:val="20"/>
          <w:szCs w:val="20"/>
          <w:lang w:val="es-CR"/>
        </w:rPr>
      </w:pPr>
    </w:p>
    <w:p w14:paraId="6A5B266B" w14:textId="2A2CC531"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Los recursos también se ejecutaron para el pago de transferencias corrientes a asociaciones como lo es la guardería y centro infantil del Poder Judicial y transferencias corrientes a Organismos Internacionales como la membresía que tiene el Organismo de Investigación Judicial con la Organización Internacional de Policía Criminal (Interpol) y poder acceder a sus servicios como miembro de dicha Organización.</w:t>
      </w:r>
    </w:p>
    <w:p w14:paraId="6B7906C4" w14:textId="77777777" w:rsidR="0026721B" w:rsidRDefault="0026721B" w:rsidP="00156BFB">
      <w:pPr>
        <w:spacing w:line="360" w:lineRule="auto"/>
        <w:jc w:val="both"/>
        <w:rPr>
          <w:rFonts w:ascii="Arial" w:hAnsi="Arial" w:cs="Arial"/>
          <w:bCs/>
          <w:sz w:val="20"/>
          <w:szCs w:val="20"/>
          <w:lang w:val="es-CR"/>
        </w:rPr>
      </w:pPr>
    </w:p>
    <w:p w14:paraId="45DDCE4F" w14:textId="77777777"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 xml:space="preserve">La partida 7 Transferencias de capital se ejecutó en su totalidad, en esta partida se utilizan los recursos 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 </w:t>
      </w:r>
    </w:p>
    <w:p w14:paraId="013EC6AD" w14:textId="77777777" w:rsidR="008A7725" w:rsidRDefault="008A7725" w:rsidP="00156BFB">
      <w:pPr>
        <w:spacing w:line="360" w:lineRule="auto"/>
        <w:jc w:val="both"/>
        <w:rPr>
          <w:rFonts w:ascii="Arial" w:hAnsi="Arial" w:cs="Arial"/>
          <w:bCs/>
          <w:sz w:val="20"/>
          <w:szCs w:val="20"/>
          <w:lang w:val="es-CR"/>
        </w:rPr>
      </w:pPr>
    </w:p>
    <w:p w14:paraId="69408BB5" w14:textId="77777777" w:rsidR="00156BFB" w:rsidRDefault="00156BFB" w:rsidP="00156BFB">
      <w:pPr>
        <w:spacing w:line="360" w:lineRule="auto"/>
        <w:jc w:val="both"/>
        <w:rPr>
          <w:rFonts w:ascii="Arial" w:hAnsi="Arial" w:cs="Arial"/>
          <w:bCs/>
          <w:sz w:val="20"/>
          <w:szCs w:val="20"/>
          <w:lang w:val="es-CR"/>
        </w:rPr>
      </w:pPr>
      <w:r>
        <w:rPr>
          <w:rFonts w:ascii="Arial" w:hAnsi="Arial" w:cs="Arial"/>
          <w:bCs/>
          <w:sz w:val="20"/>
          <w:szCs w:val="20"/>
          <w:lang w:val="es-CR"/>
        </w:rPr>
        <w:t>Durante el año 2021 se incorporaron recursos en esta partida mediante presupuestos extraordinarios Leyes No.10035 y No.10104 con el fin de reforzar el fideicomiso inmobiliario y para atender el faltante que se mostraba en el Fondo de emergencias del Poder Judicial que se utiliza para atender necesidades urgentes o imprevistas originadas por fenómenos naturales, conmoción interna o calamidad pública según lo establecido en la Ley Orgánica del Poder Judicial, artículo No.250.</w:t>
      </w:r>
    </w:p>
    <w:p w14:paraId="3F9B205C" w14:textId="77777777" w:rsidR="008A7725" w:rsidRDefault="008A7725" w:rsidP="00156BFB">
      <w:pPr>
        <w:spacing w:line="360" w:lineRule="auto"/>
        <w:jc w:val="both"/>
        <w:rPr>
          <w:rFonts w:ascii="Arial" w:hAnsi="Arial" w:cs="Arial"/>
          <w:bCs/>
          <w:sz w:val="20"/>
          <w:szCs w:val="20"/>
          <w:lang w:val="es-CR"/>
        </w:rPr>
      </w:pPr>
    </w:p>
    <w:p w14:paraId="3B142A10" w14:textId="706F9177" w:rsidR="00156BFB" w:rsidRPr="0026721B" w:rsidRDefault="00156BFB" w:rsidP="00ED7ABE">
      <w:pPr>
        <w:spacing w:line="360" w:lineRule="auto"/>
        <w:ind w:right="51"/>
        <w:jc w:val="both"/>
        <w:rPr>
          <w:rFonts w:ascii="Arial" w:hAnsi="Arial" w:cs="Arial"/>
          <w:bCs/>
          <w:sz w:val="20"/>
          <w:szCs w:val="20"/>
          <w:lang w:val="es-CR"/>
        </w:rPr>
      </w:pPr>
      <w:r>
        <w:rPr>
          <w:rFonts w:ascii="Arial" w:hAnsi="Arial" w:cs="Arial"/>
          <w:bCs/>
          <w:sz w:val="20"/>
          <w:szCs w:val="20"/>
          <w:lang w:val="es-CR"/>
        </w:rPr>
        <w:t xml:space="preserve">La partida 9 Cuentas Especiales tuvo una ejecución del 77,43% está compuesta por la subpartida 90101 “Gastos Confidenciales” para la Administración del Organismo de Investigación Judicial y la Oficina de Protección de Víctimas y Testigos.  La ejecución se realiza de acuerdo con el reintegro de los gastos en absoluta confidencialidad a una cuenta especial, debido a la naturaleza de las investigaciones y especialidades de esos órganos auxiliares de justicia y depende de las necesidades estrictamente confidenciales que se le presenten al Organismo de Investigación Judicial, en los procesos de investigación que lleven a cabo en el </w:t>
      </w:r>
      <w:r>
        <w:rPr>
          <w:rFonts w:ascii="Arial" w:hAnsi="Arial" w:cs="Arial"/>
          <w:bCs/>
          <w:sz w:val="20"/>
          <w:szCs w:val="20"/>
          <w:lang w:val="es-CR"/>
        </w:rPr>
        <w:lastRenderedPageBreak/>
        <w:t>transcurso del año y a las necesidades de esa naturaleza que le surjan a la Unidad de Protección de Víctimas y Testigos.</w:t>
      </w:r>
    </w:p>
    <w:p w14:paraId="507A77F0" w14:textId="77777777" w:rsidR="006E5ECF" w:rsidRDefault="006E5ECF" w:rsidP="00D740CC">
      <w:pPr>
        <w:jc w:val="center"/>
        <w:rPr>
          <w:rFonts w:ascii="Arial" w:hAnsi="Arial" w:cs="Arial"/>
          <w:bCs/>
          <w:strike/>
          <w:sz w:val="20"/>
          <w:szCs w:val="20"/>
          <w:u w:val="single"/>
          <w:lang w:val="es-MX"/>
        </w:rPr>
      </w:pPr>
    </w:p>
    <w:p w14:paraId="572C4EB2" w14:textId="5E2892CF" w:rsidR="009B17B2" w:rsidRPr="009B17B2" w:rsidRDefault="00CC2F03" w:rsidP="009B17B2">
      <w:pPr>
        <w:keepNext/>
        <w:spacing w:before="240"/>
        <w:jc w:val="center"/>
        <w:rPr>
          <w:rFonts w:ascii="Arial" w:hAnsi="Arial" w:cs="Arial"/>
          <w:b/>
          <w:sz w:val="20"/>
          <w:szCs w:val="20"/>
          <w:lang w:val="es-ES_tradnl"/>
        </w:rPr>
      </w:pPr>
      <w:r>
        <w:rPr>
          <w:rFonts w:ascii="Arial" w:hAnsi="Arial" w:cs="Arial"/>
          <w:b/>
          <w:sz w:val="20"/>
          <w:szCs w:val="20"/>
          <w:lang w:val="es-ES_tradnl"/>
        </w:rPr>
        <w:t>C</w:t>
      </w:r>
      <w:r w:rsidR="009B17B2" w:rsidRPr="009B17B2">
        <w:rPr>
          <w:rFonts w:ascii="Arial" w:hAnsi="Arial" w:cs="Arial"/>
          <w:b/>
          <w:sz w:val="20"/>
          <w:szCs w:val="20"/>
          <w:lang w:val="es-ES_tradnl"/>
        </w:rPr>
        <w:t xml:space="preserve">uadro  </w:t>
      </w:r>
      <w:r w:rsidR="009B17B2" w:rsidRPr="009B17B2">
        <w:rPr>
          <w:rFonts w:ascii="Arial" w:hAnsi="Arial" w:cs="Arial"/>
          <w:b/>
          <w:sz w:val="20"/>
          <w:szCs w:val="20"/>
          <w:lang w:val="es-ES_tradnl"/>
        </w:rPr>
        <w:fldChar w:fldCharType="begin"/>
      </w:r>
      <w:r w:rsidR="009B17B2" w:rsidRPr="009B17B2">
        <w:rPr>
          <w:rFonts w:ascii="Arial" w:hAnsi="Arial" w:cs="Arial"/>
          <w:b/>
          <w:sz w:val="20"/>
          <w:szCs w:val="20"/>
          <w:lang w:val="es-ES_tradnl"/>
        </w:rPr>
        <w:instrText xml:space="preserve"> SEQ cuadro_ \* ARABIC </w:instrText>
      </w:r>
      <w:r w:rsidR="009B17B2" w:rsidRPr="009B17B2">
        <w:rPr>
          <w:rFonts w:ascii="Arial" w:hAnsi="Arial" w:cs="Arial"/>
          <w:b/>
          <w:sz w:val="20"/>
          <w:szCs w:val="20"/>
          <w:lang w:val="es-ES_tradnl"/>
        </w:rPr>
        <w:fldChar w:fldCharType="separate"/>
      </w:r>
      <w:r w:rsidR="00150A2C">
        <w:rPr>
          <w:rFonts w:ascii="Arial" w:hAnsi="Arial" w:cs="Arial"/>
          <w:b/>
          <w:noProof/>
          <w:sz w:val="20"/>
          <w:szCs w:val="20"/>
          <w:lang w:val="es-ES_tradnl"/>
        </w:rPr>
        <w:t>2</w:t>
      </w:r>
      <w:r w:rsidR="009B17B2" w:rsidRPr="009B17B2">
        <w:rPr>
          <w:rFonts w:ascii="Arial" w:hAnsi="Arial" w:cs="Arial"/>
          <w:b/>
          <w:sz w:val="20"/>
          <w:szCs w:val="20"/>
          <w:lang w:val="es-ES_tradnl"/>
        </w:rPr>
        <w:fldChar w:fldCharType="end"/>
      </w:r>
    </w:p>
    <w:p w14:paraId="2303E043" w14:textId="66BF2B4D" w:rsidR="008E12E9" w:rsidRPr="00566303" w:rsidRDefault="008E12E9" w:rsidP="00742104">
      <w:pPr>
        <w:spacing w:before="240"/>
        <w:jc w:val="center"/>
        <w:rPr>
          <w:rFonts w:ascii="Arial" w:hAnsi="Arial" w:cs="Arial"/>
          <w:b/>
          <w:sz w:val="20"/>
          <w:szCs w:val="20"/>
          <w:lang w:val="es-ES_tradnl"/>
        </w:rPr>
      </w:pPr>
      <w:r w:rsidRPr="36557638">
        <w:rPr>
          <w:rFonts w:ascii="Arial" w:hAnsi="Arial" w:cs="Arial"/>
          <w:b/>
          <w:sz w:val="20"/>
          <w:szCs w:val="20"/>
        </w:rPr>
        <w:t xml:space="preserve">Ejecución del presupuesto </w:t>
      </w:r>
      <w:r>
        <w:rPr>
          <w:rFonts w:ascii="Arial" w:hAnsi="Arial" w:cs="Arial"/>
          <w:b/>
          <w:sz w:val="20"/>
          <w:szCs w:val="20"/>
        </w:rPr>
        <w:t>por centro gestor</w:t>
      </w:r>
    </w:p>
    <w:p w14:paraId="712374C6" w14:textId="77777777" w:rsidR="00742104" w:rsidRPr="003B0583" w:rsidRDefault="00742104" w:rsidP="00742104">
      <w:pPr>
        <w:jc w:val="center"/>
        <w:rPr>
          <w:rFonts w:ascii="Arial" w:hAnsi="Arial" w:cs="Arial"/>
          <w:sz w:val="20"/>
          <w:szCs w:val="20"/>
          <w:lang w:val="es-ES_tradnl"/>
        </w:rPr>
      </w:pPr>
      <w:r w:rsidRPr="003B0583">
        <w:rPr>
          <w:rFonts w:ascii="Arial" w:hAnsi="Arial" w:cs="Arial"/>
          <w:sz w:val="20"/>
          <w:szCs w:val="20"/>
          <w:lang w:val="es-ES_tradnl"/>
        </w:rPr>
        <w:t>PODER JUDICIAL</w:t>
      </w:r>
    </w:p>
    <w:p w14:paraId="5D830F70" w14:textId="78C9194C" w:rsidR="00742104" w:rsidRDefault="00742104" w:rsidP="00742104">
      <w:pPr>
        <w:jc w:val="center"/>
        <w:rPr>
          <w:rFonts w:ascii="Arial" w:hAnsi="Arial" w:cs="Arial"/>
          <w:sz w:val="20"/>
          <w:szCs w:val="20"/>
          <w:lang w:val="es-ES_tradnl"/>
        </w:rPr>
      </w:pPr>
      <w:r w:rsidRPr="0011789E">
        <w:rPr>
          <w:rFonts w:ascii="Arial" w:hAnsi="Arial" w:cs="Arial"/>
          <w:sz w:val="20"/>
          <w:szCs w:val="20"/>
          <w:lang w:val="es-ES_tradnl"/>
        </w:rPr>
        <w:t>Al 31 de diciembre 202</w:t>
      </w:r>
      <w:r w:rsidR="00B30CF3">
        <w:rPr>
          <w:rFonts w:ascii="Arial" w:hAnsi="Arial" w:cs="Arial"/>
          <w:sz w:val="20"/>
          <w:szCs w:val="20"/>
          <w:lang w:val="es-ES_tradnl"/>
        </w:rPr>
        <w:t>1</w:t>
      </w:r>
    </w:p>
    <w:p w14:paraId="55DC736A" w14:textId="77777777" w:rsidR="00ED7ABE" w:rsidRDefault="00ED7ABE" w:rsidP="00742104">
      <w:pPr>
        <w:jc w:val="center"/>
        <w:rPr>
          <w:rFonts w:ascii="Arial" w:hAnsi="Arial" w:cs="Arial"/>
          <w:sz w:val="20"/>
          <w:szCs w:val="20"/>
          <w:lang w:val="es-ES_tradnl"/>
        </w:rPr>
      </w:pPr>
    </w:p>
    <w:tbl>
      <w:tblPr>
        <w:tblW w:w="10040" w:type="dxa"/>
        <w:jc w:val="center"/>
        <w:tblCellMar>
          <w:left w:w="70" w:type="dxa"/>
          <w:right w:w="70" w:type="dxa"/>
        </w:tblCellMar>
        <w:tblLook w:val="04A0" w:firstRow="1" w:lastRow="0" w:firstColumn="1" w:lastColumn="0" w:noHBand="0" w:noVBand="1"/>
      </w:tblPr>
      <w:tblGrid>
        <w:gridCol w:w="4526"/>
        <w:gridCol w:w="1985"/>
        <w:gridCol w:w="1843"/>
        <w:gridCol w:w="1686"/>
      </w:tblGrid>
      <w:tr w:rsidR="00A1378C" w:rsidRPr="00A1378C" w14:paraId="4133BB1B" w14:textId="77777777" w:rsidTr="00A53533">
        <w:trPr>
          <w:trHeight w:val="810"/>
          <w:jc w:val="center"/>
        </w:trPr>
        <w:tc>
          <w:tcPr>
            <w:tcW w:w="4526" w:type="dxa"/>
            <w:tcBorders>
              <w:top w:val="single" w:sz="8" w:space="0" w:color="4F81BD"/>
              <w:left w:val="single" w:sz="8" w:space="0" w:color="4F81BD"/>
              <w:bottom w:val="nil"/>
              <w:right w:val="nil"/>
            </w:tcBorders>
            <w:shd w:val="clear" w:color="000000" w:fill="4F81BD"/>
            <w:vAlign w:val="center"/>
            <w:hideMark/>
          </w:tcPr>
          <w:p w14:paraId="5FF0CE8D" w14:textId="77777777" w:rsidR="00A1378C" w:rsidRPr="00A1378C" w:rsidRDefault="00A1378C" w:rsidP="00A1378C">
            <w:pPr>
              <w:spacing w:line="360" w:lineRule="auto"/>
              <w:rPr>
                <w:rFonts w:ascii="Arial" w:hAnsi="Arial" w:cs="Arial"/>
                <w:b/>
                <w:bCs/>
                <w:color w:val="FFFFFF"/>
                <w:sz w:val="20"/>
                <w:szCs w:val="20"/>
                <w:lang w:val="es-CR" w:eastAsia="es-CR"/>
              </w:rPr>
            </w:pPr>
            <w:r w:rsidRPr="00A1378C">
              <w:rPr>
                <w:rFonts w:ascii="Arial" w:hAnsi="Arial" w:cs="Arial"/>
                <w:b/>
                <w:bCs/>
                <w:color w:val="FFFFFF"/>
                <w:sz w:val="20"/>
                <w:szCs w:val="20"/>
                <w:lang w:val="es-CR" w:eastAsia="es-CR"/>
              </w:rPr>
              <w:t>Centro gestor</w:t>
            </w:r>
          </w:p>
        </w:tc>
        <w:tc>
          <w:tcPr>
            <w:tcW w:w="1985" w:type="dxa"/>
            <w:tcBorders>
              <w:top w:val="single" w:sz="8" w:space="0" w:color="4F81BD"/>
              <w:left w:val="single" w:sz="8" w:space="0" w:color="4F81BD"/>
              <w:bottom w:val="nil"/>
              <w:right w:val="single" w:sz="8" w:space="0" w:color="4F81BD"/>
            </w:tcBorders>
            <w:shd w:val="clear" w:color="000000" w:fill="4F81BD"/>
            <w:vAlign w:val="center"/>
            <w:hideMark/>
          </w:tcPr>
          <w:p w14:paraId="3430E691" w14:textId="77777777" w:rsidR="00A1378C" w:rsidRPr="00A1378C" w:rsidRDefault="00A1378C" w:rsidP="00A1378C">
            <w:pPr>
              <w:spacing w:line="360" w:lineRule="auto"/>
              <w:jc w:val="center"/>
              <w:rPr>
                <w:rFonts w:ascii="Arial" w:hAnsi="Arial" w:cs="Arial"/>
                <w:b/>
                <w:bCs/>
                <w:color w:val="FFFFFF"/>
                <w:sz w:val="20"/>
                <w:szCs w:val="20"/>
                <w:lang w:val="es-CR" w:eastAsia="es-CR"/>
              </w:rPr>
            </w:pPr>
            <w:r w:rsidRPr="00A1378C">
              <w:rPr>
                <w:rFonts w:ascii="Arial" w:hAnsi="Arial" w:cs="Arial"/>
                <w:b/>
                <w:bCs/>
                <w:color w:val="FFFFFF"/>
                <w:sz w:val="20"/>
                <w:szCs w:val="20"/>
                <w:lang w:val="es-CR" w:eastAsia="es-CR"/>
              </w:rPr>
              <w:t xml:space="preserve">Presupuesto actual 2021 </w:t>
            </w:r>
            <w:r w:rsidRPr="00A1378C">
              <w:rPr>
                <w:rFonts w:ascii="Arial" w:hAnsi="Arial" w:cs="Arial"/>
                <w:b/>
                <w:bCs/>
                <w:color w:val="FFFFFF"/>
                <w:sz w:val="20"/>
                <w:szCs w:val="20"/>
                <w:vertAlign w:val="superscript"/>
                <w:lang w:val="es-CR" w:eastAsia="es-CR"/>
              </w:rPr>
              <w:t>/1</w:t>
            </w:r>
          </w:p>
        </w:tc>
        <w:tc>
          <w:tcPr>
            <w:tcW w:w="1843" w:type="dxa"/>
            <w:tcBorders>
              <w:top w:val="single" w:sz="8" w:space="0" w:color="4F81BD"/>
              <w:left w:val="nil"/>
              <w:bottom w:val="nil"/>
              <w:right w:val="nil"/>
            </w:tcBorders>
            <w:shd w:val="clear" w:color="000000" w:fill="4F81BD"/>
            <w:vAlign w:val="center"/>
            <w:hideMark/>
          </w:tcPr>
          <w:p w14:paraId="530A1F5E" w14:textId="77777777" w:rsidR="00A1378C" w:rsidRPr="00A1378C" w:rsidRDefault="00A1378C" w:rsidP="00A1378C">
            <w:pPr>
              <w:spacing w:line="360" w:lineRule="auto"/>
              <w:jc w:val="center"/>
              <w:rPr>
                <w:rFonts w:ascii="Arial" w:hAnsi="Arial" w:cs="Arial"/>
                <w:b/>
                <w:bCs/>
                <w:color w:val="FFFFFF"/>
                <w:sz w:val="20"/>
                <w:szCs w:val="20"/>
                <w:lang w:val="es-CR" w:eastAsia="es-CR"/>
              </w:rPr>
            </w:pPr>
            <w:r w:rsidRPr="00A1378C">
              <w:rPr>
                <w:rFonts w:ascii="Arial" w:hAnsi="Arial" w:cs="Arial"/>
                <w:b/>
                <w:bCs/>
                <w:color w:val="FFFFFF"/>
                <w:sz w:val="20"/>
                <w:szCs w:val="20"/>
                <w:lang w:val="es-CR" w:eastAsia="es-CR"/>
              </w:rPr>
              <w:t xml:space="preserve">Presupuesto ejecutado 2021 </w:t>
            </w:r>
            <w:r w:rsidRPr="00A1378C">
              <w:rPr>
                <w:rFonts w:ascii="Arial" w:hAnsi="Arial" w:cs="Arial"/>
                <w:b/>
                <w:bCs/>
                <w:color w:val="FFFFFF"/>
                <w:sz w:val="20"/>
                <w:szCs w:val="20"/>
                <w:vertAlign w:val="superscript"/>
                <w:lang w:val="es-CR" w:eastAsia="es-CR"/>
              </w:rPr>
              <w:t>/2</w:t>
            </w:r>
          </w:p>
        </w:tc>
        <w:tc>
          <w:tcPr>
            <w:tcW w:w="1686" w:type="dxa"/>
            <w:tcBorders>
              <w:top w:val="single" w:sz="8" w:space="0" w:color="4F81BD"/>
              <w:left w:val="single" w:sz="8" w:space="0" w:color="4F81BD"/>
              <w:bottom w:val="nil"/>
              <w:right w:val="single" w:sz="8" w:space="0" w:color="4F81BD"/>
            </w:tcBorders>
            <w:shd w:val="clear" w:color="000000" w:fill="4F81BD"/>
            <w:vAlign w:val="center"/>
            <w:hideMark/>
          </w:tcPr>
          <w:p w14:paraId="4662390E" w14:textId="77777777" w:rsidR="00A1378C" w:rsidRPr="00A1378C" w:rsidRDefault="00A1378C" w:rsidP="00A1378C">
            <w:pPr>
              <w:spacing w:line="360" w:lineRule="auto"/>
              <w:jc w:val="center"/>
              <w:rPr>
                <w:rFonts w:ascii="Arial" w:hAnsi="Arial" w:cs="Arial"/>
                <w:b/>
                <w:bCs/>
                <w:color w:val="FFFFFF"/>
                <w:sz w:val="20"/>
                <w:szCs w:val="20"/>
                <w:lang w:val="es-CR" w:eastAsia="es-CR"/>
              </w:rPr>
            </w:pPr>
            <w:r w:rsidRPr="00A1378C">
              <w:rPr>
                <w:rFonts w:ascii="Arial" w:hAnsi="Arial" w:cs="Arial"/>
                <w:b/>
                <w:bCs/>
                <w:color w:val="FFFFFF"/>
                <w:sz w:val="20"/>
                <w:szCs w:val="20"/>
                <w:lang w:val="es-CR" w:eastAsia="es-CR"/>
              </w:rPr>
              <w:t>Nivel de ejecución</w:t>
            </w:r>
          </w:p>
        </w:tc>
      </w:tr>
      <w:tr w:rsidR="00A1378C" w:rsidRPr="00A1378C" w14:paraId="4E1FC95B" w14:textId="77777777" w:rsidTr="00A53533">
        <w:trPr>
          <w:trHeight w:val="349"/>
          <w:jc w:val="center"/>
        </w:trPr>
        <w:tc>
          <w:tcPr>
            <w:tcW w:w="4526" w:type="dxa"/>
            <w:tcBorders>
              <w:top w:val="single" w:sz="8" w:space="0" w:color="4F81BD"/>
              <w:left w:val="single" w:sz="8" w:space="0" w:color="4F81BD"/>
              <w:bottom w:val="single" w:sz="8" w:space="0" w:color="4F81BD"/>
              <w:right w:val="nil"/>
            </w:tcBorders>
            <w:shd w:val="clear" w:color="auto" w:fill="auto"/>
            <w:noWrap/>
            <w:vAlign w:val="center"/>
            <w:hideMark/>
          </w:tcPr>
          <w:p w14:paraId="789DDFA9" w14:textId="77777777" w:rsidR="00A1378C" w:rsidRPr="00A1378C" w:rsidRDefault="00A1378C" w:rsidP="00A1378C">
            <w:pPr>
              <w:spacing w:line="360" w:lineRule="auto"/>
              <w:rPr>
                <w:rFonts w:ascii="Arial" w:hAnsi="Arial" w:cs="Arial"/>
                <w:b/>
                <w:bCs/>
                <w:sz w:val="20"/>
                <w:szCs w:val="20"/>
                <w:lang w:val="es-CR" w:eastAsia="es-CR"/>
              </w:rPr>
            </w:pPr>
            <w:r w:rsidRPr="00A1378C">
              <w:rPr>
                <w:rFonts w:ascii="Arial" w:hAnsi="Arial" w:cs="Arial"/>
                <w:b/>
                <w:bCs/>
                <w:sz w:val="20"/>
                <w:szCs w:val="20"/>
                <w:lang w:val="es-CR" w:eastAsia="es-CR"/>
              </w:rPr>
              <w:t>TOTAL</w:t>
            </w:r>
          </w:p>
        </w:tc>
        <w:tc>
          <w:tcPr>
            <w:tcW w:w="1985"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B9A42F7" w14:textId="77777777" w:rsidR="00A1378C" w:rsidRPr="00A1378C" w:rsidRDefault="00A1378C" w:rsidP="00A1378C">
            <w:pPr>
              <w:spacing w:line="360" w:lineRule="auto"/>
              <w:rPr>
                <w:rFonts w:ascii="Arial" w:hAnsi="Arial" w:cs="Arial"/>
                <w:b/>
                <w:bCs/>
                <w:sz w:val="20"/>
                <w:szCs w:val="20"/>
                <w:lang w:val="es-CR" w:eastAsia="es-CR"/>
              </w:rPr>
            </w:pPr>
            <w:r w:rsidRPr="00A1378C">
              <w:rPr>
                <w:rFonts w:ascii="Arial" w:hAnsi="Arial" w:cs="Arial"/>
                <w:b/>
                <w:bCs/>
                <w:sz w:val="20"/>
                <w:szCs w:val="20"/>
                <w:lang w:val="es-CR" w:eastAsia="es-CR"/>
              </w:rPr>
              <w:t xml:space="preserve">      461.945,15 </w:t>
            </w:r>
          </w:p>
        </w:tc>
        <w:tc>
          <w:tcPr>
            <w:tcW w:w="1843" w:type="dxa"/>
            <w:tcBorders>
              <w:top w:val="single" w:sz="8" w:space="0" w:color="4F81BD"/>
              <w:left w:val="nil"/>
              <w:bottom w:val="single" w:sz="8" w:space="0" w:color="4F81BD"/>
              <w:right w:val="single" w:sz="8" w:space="0" w:color="4F81BD"/>
            </w:tcBorders>
            <w:shd w:val="clear" w:color="auto" w:fill="auto"/>
            <w:noWrap/>
            <w:vAlign w:val="center"/>
            <w:hideMark/>
          </w:tcPr>
          <w:p w14:paraId="4807DF36" w14:textId="77777777" w:rsidR="00A1378C" w:rsidRPr="00A1378C" w:rsidRDefault="00A1378C" w:rsidP="00A1378C">
            <w:pPr>
              <w:spacing w:line="360" w:lineRule="auto"/>
              <w:rPr>
                <w:rFonts w:ascii="Arial" w:hAnsi="Arial" w:cs="Arial"/>
                <w:b/>
                <w:bCs/>
                <w:sz w:val="20"/>
                <w:szCs w:val="20"/>
                <w:lang w:val="es-CR" w:eastAsia="es-CR"/>
              </w:rPr>
            </w:pPr>
            <w:r w:rsidRPr="00A1378C">
              <w:rPr>
                <w:rFonts w:ascii="Arial" w:hAnsi="Arial" w:cs="Arial"/>
                <w:b/>
                <w:bCs/>
                <w:sz w:val="20"/>
                <w:szCs w:val="20"/>
                <w:lang w:val="es-CR" w:eastAsia="es-CR"/>
              </w:rPr>
              <w:t xml:space="preserve">        449.278,75 </w:t>
            </w:r>
          </w:p>
        </w:tc>
        <w:tc>
          <w:tcPr>
            <w:tcW w:w="1686" w:type="dxa"/>
            <w:tcBorders>
              <w:top w:val="single" w:sz="8" w:space="0" w:color="4F81BD"/>
              <w:left w:val="nil"/>
              <w:bottom w:val="single" w:sz="8" w:space="0" w:color="4F81BD"/>
              <w:right w:val="single" w:sz="8" w:space="0" w:color="4F81BD"/>
            </w:tcBorders>
            <w:shd w:val="clear" w:color="auto" w:fill="auto"/>
            <w:noWrap/>
            <w:vAlign w:val="center"/>
            <w:hideMark/>
          </w:tcPr>
          <w:p w14:paraId="710B0084" w14:textId="77777777" w:rsidR="00A1378C" w:rsidRPr="00A1378C" w:rsidRDefault="00A1378C" w:rsidP="00A1378C">
            <w:pPr>
              <w:spacing w:line="360" w:lineRule="auto"/>
              <w:jc w:val="center"/>
              <w:rPr>
                <w:rFonts w:ascii="Arial" w:hAnsi="Arial" w:cs="Arial"/>
                <w:b/>
                <w:bCs/>
                <w:sz w:val="20"/>
                <w:szCs w:val="20"/>
                <w:lang w:val="es-CR" w:eastAsia="es-CR"/>
              </w:rPr>
            </w:pPr>
            <w:r w:rsidRPr="00A1378C">
              <w:rPr>
                <w:rFonts w:ascii="Arial" w:hAnsi="Arial" w:cs="Arial"/>
                <w:b/>
                <w:bCs/>
                <w:sz w:val="20"/>
                <w:szCs w:val="20"/>
                <w:lang w:val="es-CR" w:eastAsia="es-CR"/>
              </w:rPr>
              <w:t>97,26%</w:t>
            </w:r>
          </w:p>
        </w:tc>
      </w:tr>
      <w:tr w:rsidR="00A1378C" w:rsidRPr="00A1378C" w14:paraId="47FAA7E8" w14:textId="77777777" w:rsidTr="00A53533">
        <w:trPr>
          <w:trHeight w:val="349"/>
          <w:jc w:val="center"/>
        </w:trPr>
        <w:tc>
          <w:tcPr>
            <w:tcW w:w="4526" w:type="dxa"/>
            <w:tcBorders>
              <w:top w:val="nil"/>
              <w:left w:val="single" w:sz="8" w:space="0" w:color="4F81BD"/>
              <w:bottom w:val="nil"/>
              <w:right w:val="single" w:sz="8" w:space="0" w:color="4F81BD"/>
            </w:tcBorders>
            <w:shd w:val="clear" w:color="auto" w:fill="auto"/>
            <w:noWrap/>
            <w:vAlign w:val="center"/>
            <w:hideMark/>
          </w:tcPr>
          <w:p w14:paraId="347C7636"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926 Dirección y Administración</w:t>
            </w:r>
          </w:p>
        </w:tc>
        <w:tc>
          <w:tcPr>
            <w:tcW w:w="1985" w:type="dxa"/>
            <w:tcBorders>
              <w:top w:val="nil"/>
              <w:left w:val="nil"/>
              <w:bottom w:val="single" w:sz="8" w:space="0" w:color="4F81BD"/>
              <w:right w:val="single" w:sz="8" w:space="0" w:color="4F81BD"/>
            </w:tcBorders>
            <w:shd w:val="clear" w:color="auto" w:fill="auto"/>
            <w:noWrap/>
            <w:vAlign w:val="center"/>
            <w:hideMark/>
          </w:tcPr>
          <w:p w14:paraId="25CFBA67"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96.166,66 </w:t>
            </w:r>
          </w:p>
        </w:tc>
        <w:tc>
          <w:tcPr>
            <w:tcW w:w="1843" w:type="dxa"/>
            <w:tcBorders>
              <w:top w:val="nil"/>
              <w:left w:val="nil"/>
              <w:bottom w:val="single" w:sz="8" w:space="0" w:color="4F81BD"/>
              <w:right w:val="single" w:sz="8" w:space="0" w:color="4F81BD"/>
            </w:tcBorders>
            <w:shd w:val="clear" w:color="auto" w:fill="auto"/>
            <w:noWrap/>
            <w:vAlign w:val="center"/>
            <w:hideMark/>
          </w:tcPr>
          <w:p w14:paraId="2D2ED185"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90.633,72 </w:t>
            </w:r>
          </w:p>
        </w:tc>
        <w:tc>
          <w:tcPr>
            <w:tcW w:w="1686" w:type="dxa"/>
            <w:tcBorders>
              <w:top w:val="nil"/>
              <w:left w:val="nil"/>
              <w:bottom w:val="single" w:sz="8" w:space="0" w:color="4F81BD"/>
              <w:right w:val="single" w:sz="8" w:space="0" w:color="4F81BD"/>
            </w:tcBorders>
            <w:shd w:val="clear" w:color="auto" w:fill="auto"/>
            <w:noWrap/>
            <w:vAlign w:val="center"/>
            <w:hideMark/>
          </w:tcPr>
          <w:p w14:paraId="78289575" w14:textId="77777777" w:rsidR="00A1378C" w:rsidRPr="00A1378C" w:rsidRDefault="00A1378C" w:rsidP="00A1378C">
            <w:pPr>
              <w:spacing w:line="360" w:lineRule="auto"/>
              <w:jc w:val="center"/>
              <w:rPr>
                <w:rFonts w:ascii="Arial" w:hAnsi="Arial" w:cs="Arial"/>
                <w:sz w:val="20"/>
                <w:szCs w:val="20"/>
                <w:lang w:val="es-CR" w:eastAsia="es-CR"/>
              </w:rPr>
            </w:pPr>
            <w:r w:rsidRPr="00A1378C">
              <w:rPr>
                <w:rFonts w:ascii="Arial" w:hAnsi="Arial" w:cs="Arial"/>
                <w:sz w:val="20"/>
                <w:szCs w:val="20"/>
                <w:lang w:val="es-CR" w:eastAsia="es-CR"/>
              </w:rPr>
              <w:t>94,25%</w:t>
            </w:r>
          </w:p>
        </w:tc>
      </w:tr>
      <w:tr w:rsidR="00A1378C" w:rsidRPr="00A1378C" w14:paraId="7CA962F7" w14:textId="77777777" w:rsidTr="00A53533">
        <w:trPr>
          <w:trHeight w:val="349"/>
          <w:jc w:val="center"/>
        </w:trPr>
        <w:tc>
          <w:tcPr>
            <w:tcW w:w="4526"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7608599A"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927 Servicio Jurisdiccional</w:t>
            </w:r>
          </w:p>
        </w:tc>
        <w:tc>
          <w:tcPr>
            <w:tcW w:w="1985" w:type="dxa"/>
            <w:tcBorders>
              <w:top w:val="nil"/>
              <w:left w:val="nil"/>
              <w:bottom w:val="single" w:sz="8" w:space="0" w:color="4F81BD"/>
              <w:right w:val="single" w:sz="8" w:space="0" w:color="4F81BD"/>
            </w:tcBorders>
            <w:shd w:val="clear" w:color="auto" w:fill="auto"/>
            <w:noWrap/>
            <w:vAlign w:val="center"/>
            <w:hideMark/>
          </w:tcPr>
          <w:p w14:paraId="39625F7C"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165.112,37 </w:t>
            </w:r>
          </w:p>
        </w:tc>
        <w:tc>
          <w:tcPr>
            <w:tcW w:w="1843" w:type="dxa"/>
            <w:tcBorders>
              <w:top w:val="nil"/>
              <w:left w:val="nil"/>
              <w:bottom w:val="single" w:sz="8" w:space="0" w:color="4F81BD"/>
              <w:right w:val="single" w:sz="8" w:space="0" w:color="4F81BD"/>
            </w:tcBorders>
            <w:shd w:val="clear" w:color="auto" w:fill="auto"/>
            <w:noWrap/>
            <w:vAlign w:val="center"/>
            <w:hideMark/>
          </w:tcPr>
          <w:p w14:paraId="0DF5D950"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163.764,38 </w:t>
            </w:r>
          </w:p>
        </w:tc>
        <w:tc>
          <w:tcPr>
            <w:tcW w:w="1686" w:type="dxa"/>
            <w:tcBorders>
              <w:top w:val="nil"/>
              <w:left w:val="nil"/>
              <w:bottom w:val="single" w:sz="8" w:space="0" w:color="4F81BD"/>
              <w:right w:val="single" w:sz="8" w:space="0" w:color="4F81BD"/>
            </w:tcBorders>
            <w:shd w:val="clear" w:color="auto" w:fill="auto"/>
            <w:noWrap/>
            <w:vAlign w:val="center"/>
            <w:hideMark/>
          </w:tcPr>
          <w:p w14:paraId="2B9E8D8F" w14:textId="77777777" w:rsidR="00A1378C" w:rsidRPr="00A1378C" w:rsidRDefault="00A1378C" w:rsidP="00A1378C">
            <w:pPr>
              <w:spacing w:line="360" w:lineRule="auto"/>
              <w:jc w:val="center"/>
              <w:rPr>
                <w:rFonts w:ascii="Arial" w:hAnsi="Arial" w:cs="Arial"/>
                <w:sz w:val="20"/>
                <w:szCs w:val="20"/>
                <w:lang w:val="es-CR" w:eastAsia="es-CR"/>
              </w:rPr>
            </w:pPr>
            <w:r w:rsidRPr="00A1378C">
              <w:rPr>
                <w:rFonts w:ascii="Arial" w:hAnsi="Arial" w:cs="Arial"/>
                <w:sz w:val="20"/>
                <w:szCs w:val="20"/>
                <w:lang w:val="es-CR" w:eastAsia="es-CR"/>
              </w:rPr>
              <w:t>99,18%</w:t>
            </w:r>
          </w:p>
        </w:tc>
      </w:tr>
      <w:tr w:rsidR="00A1378C" w:rsidRPr="00A1378C" w14:paraId="053242FF" w14:textId="77777777" w:rsidTr="00A53533">
        <w:trPr>
          <w:trHeight w:val="349"/>
          <w:jc w:val="center"/>
        </w:trPr>
        <w:tc>
          <w:tcPr>
            <w:tcW w:w="4526" w:type="dxa"/>
            <w:tcBorders>
              <w:top w:val="nil"/>
              <w:left w:val="single" w:sz="8" w:space="0" w:color="4F81BD"/>
              <w:bottom w:val="nil"/>
              <w:right w:val="single" w:sz="8" w:space="0" w:color="4F81BD"/>
            </w:tcBorders>
            <w:shd w:val="clear" w:color="auto" w:fill="auto"/>
            <w:noWrap/>
            <w:vAlign w:val="center"/>
            <w:hideMark/>
          </w:tcPr>
          <w:p w14:paraId="09468A88"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928 Servicio de Investigación Judicial</w:t>
            </w:r>
          </w:p>
        </w:tc>
        <w:tc>
          <w:tcPr>
            <w:tcW w:w="1985" w:type="dxa"/>
            <w:tcBorders>
              <w:top w:val="nil"/>
              <w:left w:val="nil"/>
              <w:bottom w:val="single" w:sz="8" w:space="0" w:color="4F81BD"/>
              <w:right w:val="single" w:sz="8" w:space="0" w:color="4F81BD"/>
            </w:tcBorders>
            <w:shd w:val="clear" w:color="auto" w:fill="auto"/>
            <w:noWrap/>
            <w:vAlign w:val="center"/>
            <w:hideMark/>
          </w:tcPr>
          <w:p w14:paraId="723D2CFD"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98.382,91 </w:t>
            </w:r>
          </w:p>
        </w:tc>
        <w:tc>
          <w:tcPr>
            <w:tcW w:w="1843" w:type="dxa"/>
            <w:tcBorders>
              <w:top w:val="nil"/>
              <w:left w:val="nil"/>
              <w:bottom w:val="single" w:sz="8" w:space="0" w:color="4F81BD"/>
              <w:right w:val="single" w:sz="8" w:space="0" w:color="4F81BD"/>
            </w:tcBorders>
            <w:shd w:val="clear" w:color="auto" w:fill="auto"/>
            <w:noWrap/>
            <w:vAlign w:val="center"/>
            <w:hideMark/>
          </w:tcPr>
          <w:p w14:paraId="2FF3DED9"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94.417,29 </w:t>
            </w:r>
          </w:p>
        </w:tc>
        <w:tc>
          <w:tcPr>
            <w:tcW w:w="1686" w:type="dxa"/>
            <w:tcBorders>
              <w:top w:val="nil"/>
              <w:left w:val="nil"/>
              <w:bottom w:val="single" w:sz="8" w:space="0" w:color="4F81BD"/>
              <w:right w:val="single" w:sz="8" w:space="0" w:color="4F81BD"/>
            </w:tcBorders>
            <w:shd w:val="clear" w:color="auto" w:fill="auto"/>
            <w:noWrap/>
            <w:vAlign w:val="center"/>
            <w:hideMark/>
          </w:tcPr>
          <w:p w14:paraId="39B8E4E7" w14:textId="77777777" w:rsidR="00A1378C" w:rsidRPr="00A1378C" w:rsidRDefault="00A1378C" w:rsidP="00A1378C">
            <w:pPr>
              <w:spacing w:line="360" w:lineRule="auto"/>
              <w:jc w:val="center"/>
              <w:rPr>
                <w:rFonts w:ascii="Arial" w:hAnsi="Arial" w:cs="Arial"/>
                <w:sz w:val="20"/>
                <w:szCs w:val="20"/>
                <w:lang w:val="es-CR" w:eastAsia="es-CR"/>
              </w:rPr>
            </w:pPr>
            <w:r w:rsidRPr="00A1378C">
              <w:rPr>
                <w:rFonts w:ascii="Arial" w:hAnsi="Arial" w:cs="Arial"/>
                <w:sz w:val="20"/>
                <w:szCs w:val="20"/>
                <w:lang w:val="es-CR" w:eastAsia="es-CR"/>
              </w:rPr>
              <w:t>95,97%</w:t>
            </w:r>
          </w:p>
        </w:tc>
      </w:tr>
      <w:tr w:rsidR="00A1378C" w:rsidRPr="00A1378C" w14:paraId="45B0DB6C" w14:textId="77777777" w:rsidTr="00A53533">
        <w:trPr>
          <w:trHeight w:val="349"/>
          <w:jc w:val="center"/>
        </w:trPr>
        <w:tc>
          <w:tcPr>
            <w:tcW w:w="4526"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7440D247"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929 Servicio Ejercicio de la Acción Penal Pública</w:t>
            </w:r>
          </w:p>
        </w:tc>
        <w:tc>
          <w:tcPr>
            <w:tcW w:w="1985" w:type="dxa"/>
            <w:tcBorders>
              <w:top w:val="nil"/>
              <w:left w:val="nil"/>
              <w:bottom w:val="single" w:sz="8" w:space="0" w:color="4F81BD"/>
              <w:right w:val="single" w:sz="8" w:space="0" w:color="4F81BD"/>
            </w:tcBorders>
            <w:shd w:val="clear" w:color="auto" w:fill="auto"/>
            <w:noWrap/>
            <w:vAlign w:val="center"/>
            <w:hideMark/>
          </w:tcPr>
          <w:p w14:paraId="75CFDCFC"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53.454,50 </w:t>
            </w:r>
          </w:p>
        </w:tc>
        <w:tc>
          <w:tcPr>
            <w:tcW w:w="1843" w:type="dxa"/>
            <w:tcBorders>
              <w:top w:val="nil"/>
              <w:left w:val="nil"/>
              <w:bottom w:val="single" w:sz="8" w:space="0" w:color="4F81BD"/>
              <w:right w:val="single" w:sz="8" w:space="0" w:color="4F81BD"/>
            </w:tcBorders>
            <w:shd w:val="clear" w:color="auto" w:fill="auto"/>
            <w:noWrap/>
            <w:vAlign w:val="center"/>
            <w:hideMark/>
          </w:tcPr>
          <w:p w14:paraId="425D9EAA"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52.851,07 </w:t>
            </w:r>
          </w:p>
        </w:tc>
        <w:tc>
          <w:tcPr>
            <w:tcW w:w="1686" w:type="dxa"/>
            <w:tcBorders>
              <w:top w:val="nil"/>
              <w:left w:val="nil"/>
              <w:bottom w:val="single" w:sz="8" w:space="0" w:color="4F81BD"/>
              <w:right w:val="single" w:sz="8" w:space="0" w:color="4F81BD"/>
            </w:tcBorders>
            <w:shd w:val="clear" w:color="auto" w:fill="auto"/>
            <w:noWrap/>
            <w:vAlign w:val="center"/>
            <w:hideMark/>
          </w:tcPr>
          <w:p w14:paraId="1C9CC7FC" w14:textId="77777777" w:rsidR="00A1378C" w:rsidRPr="00A1378C" w:rsidRDefault="00A1378C" w:rsidP="00A1378C">
            <w:pPr>
              <w:spacing w:line="360" w:lineRule="auto"/>
              <w:jc w:val="center"/>
              <w:rPr>
                <w:rFonts w:ascii="Arial" w:hAnsi="Arial" w:cs="Arial"/>
                <w:sz w:val="20"/>
                <w:szCs w:val="20"/>
                <w:lang w:val="es-CR" w:eastAsia="es-CR"/>
              </w:rPr>
            </w:pPr>
            <w:r w:rsidRPr="00A1378C">
              <w:rPr>
                <w:rFonts w:ascii="Arial" w:hAnsi="Arial" w:cs="Arial"/>
                <w:sz w:val="20"/>
                <w:szCs w:val="20"/>
                <w:lang w:val="es-CR" w:eastAsia="es-CR"/>
              </w:rPr>
              <w:t>98,87%</w:t>
            </w:r>
          </w:p>
        </w:tc>
      </w:tr>
      <w:tr w:rsidR="00A1378C" w:rsidRPr="00A1378C" w14:paraId="75FD75B6" w14:textId="77777777" w:rsidTr="00A53533">
        <w:trPr>
          <w:trHeight w:val="349"/>
          <w:jc w:val="center"/>
        </w:trPr>
        <w:tc>
          <w:tcPr>
            <w:tcW w:w="4526" w:type="dxa"/>
            <w:tcBorders>
              <w:top w:val="nil"/>
              <w:left w:val="single" w:sz="8" w:space="0" w:color="4F81BD"/>
              <w:bottom w:val="single" w:sz="8" w:space="0" w:color="4F81BD"/>
              <w:right w:val="single" w:sz="8" w:space="0" w:color="4F81BD"/>
            </w:tcBorders>
            <w:shd w:val="clear" w:color="auto" w:fill="auto"/>
            <w:noWrap/>
            <w:vAlign w:val="center"/>
            <w:hideMark/>
          </w:tcPr>
          <w:p w14:paraId="2CDEA603"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930 Servicio Defensa Pública</w:t>
            </w:r>
          </w:p>
        </w:tc>
        <w:tc>
          <w:tcPr>
            <w:tcW w:w="1985" w:type="dxa"/>
            <w:tcBorders>
              <w:top w:val="nil"/>
              <w:left w:val="nil"/>
              <w:bottom w:val="single" w:sz="8" w:space="0" w:color="4F81BD"/>
              <w:right w:val="single" w:sz="8" w:space="0" w:color="4F81BD"/>
            </w:tcBorders>
            <w:shd w:val="clear" w:color="auto" w:fill="auto"/>
            <w:noWrap/>
            <w:vAlign w:val="center"/>
            <w:hideMark/>
          </w:tcPr>
          <w:p w14:paraId="74938A84"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39.483,67 </w:t>
            </w:r>
          </w:p>
        </w:tc>
        <w:tc>
          <w:tcPr>
            <w:tcW w:w="1843" w:type="dxa"/>
            <w:tcBorders>
              <w:top w:val="nil"/>
              <w:left w:val="nil"/>
              <w:bottom w:val="single" w:sz="8" w:space="0" w:color="4F81BD"/>
              <w:right w:val="single" w:sz="8" w:space="0" w:color="4F81BD"/>
            </w:tcBorders>
            <w:shd w:val="clear" w:color="auto" w:fill="auto"/>
            <w:noWrap/>
            <w:vAlign w:val="center"/>
            <w:hideMark/>
          </w:tcPr>
          <w:p w14:paraId="5B35EA74"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38.764,03 </w:t>
            </w:r>
          </w:p>
        </w:tc>
        <w:tc>
          <w:tcPr>
            <w:tcW w:w="1686" w:type="dxa"/>
            <w:tcBorders>
              <w:top w:val="nil"/>
              <w:left w:val="nil"/>
              <w:bottom w:val="single" w:sz="8" w:space="0" w:color="4F81BD"/>
              <w:right w:val="single" w:sz="8" w:space="0" w:color="4F81BD"/>
            </w:tcBorders>
            <w:shd w:val="clear" w:color="auto" w:fill="auto"/>
            <w:noWrap/>
            <w:vAlign w:val="center"/>
            <w:hideMark/>
          </w:tcPr>
          <w:p w14:paraId="3E7051C3" w14:textId="77777777" w:rsidR="00A1378C" w:rsidRPr="00A1378C" w:rsidRDefault="00A1378C" w:rsidP="00A1378C">
            <w:pPr>
              <w:spacing w:line="360" w:lineRule="auto"/>
              <w:jc w:val="center"/>
              <w:rPr>
                <w:rFonts w:ascii="Arial" w:hAnsi="Arial" w:cs="Arial"/>
                <w:sz w:val="20"/>
                <w:szCs w:val="20"/>
                <w:lang w:val="es-CR" w:eastAsia="es-CR"/>
              </w:rPr>
            </w:pPr>
            <w:r w:rsidRPr="00A1378C">
              <w:rPr>
                <w:rFonts w:ascii="Arial" w:hAnsi="Arial" w:cs="Arial"/>
                <w:sz w:val="20"/>
                <w:szCs w:val="20"/>
                <w:lang w:val="es-CR" w:eastAsia="es-CR"/>
              </w:rPr>
              <w:t>98,18%</w:t>
            </w:r>
          </w:p>
        </w:tc>
      </w:tr>
      <w:tr w:rsidR="00A1378C" w:rsidRPr="00A1378C" w14:paraId="1F3E7EBD" w14:textId="77777777" w:rsidTr="00A53533">
        <w:trPr>
          <w:trHeight w:val="349"/>
          <w:jc w:val="center"/>
        </w:trPr>
        <w:tc>
          <w:tcPr>
            <w:tcW w:w="4526" w:type="dxa"/>
            <w:tcBorders>
              <w:top w:val="nil"/>
              <w:left w:val="single" w:sz="8" w:space="0" w:color="4F81BD"/>
              <w:bottom w:val="single" w:sz="8" w:space="0" w:color="4F81BD"/>
              <w:right w:val="single" w:sz="8" w:space="0" w:color="4F81BD"/>
            </w:tcBorders>
            <w:shd w:val="clear" w:color="auto" w:fill="auto"/>
            <w:noWrap/>
            <w:vAlign w:val="center"/>
            <w:hideMark/>
          </w:tcPr>
          <w:p w14:paraId="1799B916"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950 Servicio de Atención y Protección de Víctimas y Testigos</w:t>
            </w:r>
          </w:p>
        </w:tc>
        <w:tc>
          <w:tcPr>
            <w:tcW w:w="1985" w:type="dxa"/>
            <w:tcBorders>
              <w:top w:val="nil"/>
              <w:left w:val="nil"/>
              <w:bottom w:val="single" w:sz="8" w:space="0" w:color="4F81BD"/>
              <w:right w:val="single" w:sz="8" w:space="0" w:color="4F81BD"/>
            </w:tcBorders>
            <w:shd w:val="clear" w:color="auto" w:fill="auto"/>
            <w:noWrap/>
            <w:vAlign w:val="center"/>
            <w:hideMark/>
          </w:tcPr>
          <w:p w14:paraId="7F5E3F1B"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9.345,03 </w:t>
            </w:r>
          </w:p>
        </w:tc>
        <w:tc>
          <w:tcPr>
            <w:tcW w:w="1843" w:type="dxa"/>
            <w:tcBorders>
              <w:top w:val="nil"/>
              <w:left w:val="nil"/>
              <w:bottom w:val="single" w:sz="8" w:space="0" w:color="4F81BD"/>
              <w:right w:val="single" w:sz="8" w:space="0" w:color="4F81BD"/>
            </w:tcBorders>
            <w:shd w:val="clear" w:color="auto" w:fill="auto"/>
            <w:noWrap/>
            <w:vAlign w:val="center"/>
            <w:hideMark/>
          </w:tcPr>
          <w:p w14:paraId="5DA7DEE6" w14:textId="77777777" w:rsidR="00A1378C" w:rsidRPr="00A1378C" w:rsidRDefault="00A1378C" w:rsidP="00A1378C">
            <w:pPr>
              <w:spacing w:line="360" w:lineRule="auto"/>
              <w:rPr>
                <w:rFonts w:ascii="Arial" w:hAnsi="Arial" w:cs="Arial"/>
                <w:sz w:val="20"/>
                <w:szCs w:val="20"/>
                <w:lang w:val="es-CR" w:eastAsia="es-CR"/>
              </w:rPr>
            </w:pPr>
            <w:r w:rsidRPr="00A1378C">
              <w:rPr>
                <w:rFonts w:ascii="Arial" w:hAnsi="Arial" w:cs="Arial"/>
                <w:sz w:val="20"/>
                <w:szCs w:val="20"/>
                <w:lang w:val="es-CR" w:eastAsia="es-CR"/>
              </w:rPr>
              <w:t xml:space="preserve">            8.848,26 </w:t>
            </w:r>
          </w:p>
        </w:tc>
        <w:tc>
          <w:tcPr>
            <w:tcW w:w="1686" w:type="dxa"/>
            <w:tcBorders>
              <w:top w:val="nil"/>
              <w:left w:val="nil"/>
              <w:bottom w:val="single" w:sz="8" w:space="0" w:color="4F81BD"/>
              <w:right w:val="single" w:sz="8" w:space="0" w:color="4F81BD"/>
            </w:tcBorders>
            <w:shd w:val="clear" w:color="auto" w:fill="auto"/>
            <w:noWrap/>
            <w:vAlign w:val="center"/>
            <w:hideMark/>
          </w:tcPr>
          <w:p w14:paraId="0C1F1392" w14:textId="77777777" w:rsidR="00A1378C" w:rsidRPr="00A1378C" w:rsidRDefault="00A1378C" w:rsidP="00A1378C">
            <w:pPr>
              <w:spacing w:line="360" w:lineRule="auto"/>
              <w:jc w:val="center"/>
              <w:rPr>
                <w:rFonts w:ascii="Arial" w:hAnsi="Arial" w:cs="Arial"/>
                <w:sz w:val="20"/>
                <w:szCs w:val="20"/>
                <w:lang w:val="es-CR" w:eastAsia="es-CR"/>
              </w:rPr>
            </w:pPr>
            <w:r w:rsidRPr="00A1378C">
              <w:rPr>
                <w:rFonts w:ascii="Arial" w:hAnsi="Arial" w:cs="Arial"/>
                <w:sz w:val="20"/>
                <w:szCs w:val="20"/>
                <w:lang w:val="es-CR" w:eastAsia="es-CR"/>
              </w:rPr>
              <w:t>94,68%</w:t>
            </w:r>
          </w:p>
        </w:tc>
      </w:tr>
    </w:tbl>
    <w:p w14:paraId="7C5456E6" w14:textId="77777777" w:rsidR="00B30CF3" w:rsidRPr="0011789E" w:rsidRDefault="00B30CF3" w:rsidP="00742104">
      <w:pPr>
        <w:jc w:val="center"/>
        <w:rPr>
          <w:rFonts w:ascii="Arial" w:hAnsi="Arial" w:cs="Arial"/>
          <w:sz w:val="20"/>
          <w:szCs w:val="20"/>
          <w:lang w:val="es-ES_tradnl"/>
        </w:rPr>
      </w:pPr>
    </w:p>
    <w:p w14:paraId="52C443BF" w14:textId="77777777" w:rsidR="00742104" w:rsidRDefault="00742104" w:rsidP="00742104">
      <w:pPr>
        <w:ind w:left="-567"/>
        <w:jc w:val="both"/>
        <w:rPr>
          <w:rFonts w:ascii="Arial" w:hAnsi="Arial" w:cs="Arial"/>
          <w:color w:val="000000"/>
          <w:sz w:val="16"/>
          <w:szCs w:val="20"/>
          <w:lang w:val="es-CR" w:eastAsia="es-CR"/>
        </w:rPr>
      </w:pPr>
    </w:p>
    <w:p w14:paraId="2EC8C792" w14:textId="77777777" w:rsidR="00C94BB0" w:rsidRPr="00C94BB0" w:rsidRDefault="00B30CF3" w:rsidP="00C94BB0">
      <w:pPr>
        <w:spacing w:line="360" w:lineRule="auto"/>
        <w:jc w:val="both"/>
        <w:rPr>
          <w:rFonts w:ascii="Arial" w:hAnsi="Arial" w:cs="Arial"/>
          <w:color w:val="000000"/>
          <w:sz w:val="16"/>
          <w:szCs w:val="20"/>
          <w:lang w:val="es-CR" w:eastAsia="es-CR"/>
        </w:rPr>
      </w:pPr>
      <w:r w:rsidRPr="00C94BB0">
        <w:rPr>
          <w:rFonts w:ascii="Arial" w:hAnsi="Arial" w:cs="Arial"/>
          <w:b/>
          <w:bCs/>
          <w:color w:val="000000"/>
          <w:sz w:val="16"/>
          <w:szCs w:val="20"/>
          <w:lang w:val="es-CR" w:eastAsia="es-CR"/>
        </w:rPr>
        <w:t>Fuente</w:t>
      </w:r>
      <w:r w:rsidRPr="00C94BB0">
        <w:rPr>
          <w:rFonts w:ascii="Arial" w:hAnsi="Arial" w:cs="Arial"/>
          <w:color w:val="000000"/>
          <w:sz w:val="16"/>
          <w:szCs w:val="20"/>
          <w:lang w:val="es-CR" w:eastAsia="es-CR"/>
        </w:rPr>
        <w:t xml:space="preserve">: </w:t>
      </w:r>
      <w:r w:rsidR="00C94BB0" w:rsidRPr="00C94BB0">
        <w:rPr>
          <w:rFonts w:ascii="Arial" w:hAnsi="Arial" w:cs="Arial"/>
          <w:color w:val="000000"/>
          <w:sz w:val="16"/>
          <w:szCs w:val="20"/>
          <w:lang w:val="es-CR" w:eastAsia="es-CR"/>
        </w:rPr>
        <w:t>Liquidación Módulo de Poderes al 31 de diciembre 2021</w:t>
      </w:r>
    </w:p>
    <w:p w14:paraId="66D2B4D3" w14:textId="679D0294" w:rsidR="00B30CF3" w:rsidRPr="00C94BB0" w:rsidRDefault="00B30CF3" w:rsidP="00C94BB0">
      <w:pPr>
        <w:jc w:val="both"/>
        <w:rPr>
          <w:rFonts w:ascii="Arial" w:hAnsi="Arial" w:cs="Arial"/>
          <w:color w:val="000000"/>
          <w:sz w:val="16"/>
          <w:szCs w:val="20"/>
          <w:lang w:val="es-CR" w:eastAsia="es-CR"/>
        </w:rPr>
      </w:pPr>
      <w:r w:rsidRPr="00C94BB0">
        <w:rPr>
          <w:rFonts w:ascii="Arial" w:hAnsi="Arial" w:cs="Arial"/>
          <w:color w:val="000000"/>
          <w:sz w:val="16"/>
          <w:szCs w:val="20"/>
          <w:lang w:val="es-CR" w:eastAsia="es-CR"/>
        </w:rPr>
        <w:t>/1 Corresponde al presupuesto inicial incluyendo las modificaciones presupuestarias realizadas durante el 2021.</w:t>
      </w:r>
    </w:p>
    <w:p w14:paraId="3C6FE6C2" w14:textId="77777777" w:rsidR="00B30CF3" w:rsidRPr="00B30CF3" w:rsidRDefault="00B30CF3" w:rsidP="00B30CF3">
      <w:pPr>
        <w:jc w:val="both"/>
        <w:rPr>
          <w:rFonts w:ascii="Arial" w:hAnsi="Arial" w:cs="Arial"/>
          <w:color w:val="000000"/>
          <w:sz w:val="16"/>
          <w:szCs w:val="20"/>
          <w:lang w:val="es-CR" w:eastAsia="es-CR"/>
        </w:rPr>
      </w:pPr>
      <w:r w:rsidRPr="00C94BB0">
        <w:rPr>
          <w:rFonts w:ascii="Arial" w:hAnsi="Arial" w:cs="Arial"/>
          <w:color w:val="000000"/>
          <w:sz w:val="16"/>
          <w:szCs w:val="20"/>
          <w:lang w:val="es-CR" w:eastAsia="es-CR"/>
        </w:rPr>
        <w:t>/2 Se refiere al devengado, que es el reconocimiento del gasto por la recepción de bienes y servicios independientemente de cuando se efectúe el pago de la obligación.</w:t>
      </w:r>
      <w:r w:rsidRPr="00B30CF3">
        <w:rPr>
          <w:rFonts w:ascii="Arial" w:hAnsi="Arial" w:cs="Arial"/>
          <w:color w:val="000000"/>
          <w:sz w:val="16"/>
          <w:szCs w:val="20"/>
          <w:lang w:val="es-CR" w:eastAsia="es-CR"/>
        </w:rPr>
        <w:t xml:space="preserve"> </w:t>
      </w:r>
    </w:p>
    <w:p w14:paraId="4E67E91A" w14:textId="77777777" w:rsidR="00742104" w:rsidRDefault="00742104" w:rsidP="00742104">
      <w:pPr>
        <w:ind w:left="-567"/>
        <w:jc w:val="both"/>
        <w:rPr>
          <w:rFonts w:ascii="Arial" w:hAnsi="Arial" w:cs="Arial"/>
          <w:color w:val="000000"/>
          <w:sz w:val="16"/>
          <w:szCs w:val="20"/>
          <w:lang w:val="es-CR" w:eastAsia="es-CR"/>
        </w:rPr>
      </w:pPr>
    </w:p>
    <w:p w14:paraId="6A4CDDF5" w14:textId="77777777" w:rsidR="00E47A21" w:rsidRDefault="00E47A21" w:rsidP="00742104">
      <w:pPr>
        <w:ind w:left="-567"/>
        <w:jc w:val="both"/>
        <w:rPr>
          <w:rFonts w:ascii="Arial" w:hAnsi="Arial" w:cs="Arial"/>
          <w:color w:val="000000"/>
          <w:sz w:val="16"/>
          <w:szCs w:val="20"/>
          <w:lang w:val="es-CR" w:eastAsia="es-CR"/>
        </w:rPr>
      </w:pPr>
    </w:p>
    <w:p w14:paraId="3A728663" w14:textId="105B9610" w:rsidR="00B33CCC" w:rsidRPr="00FD1113" w:rsidRDefault="00DF31F3" w:rsidP="00BE5AA1">
      <w:pPr>
        <w:pStyle w:val="Ttulo2"/>
        <w:keepLines/>
        <w:numPr>
          <w:ilvl w:val="1"/>
          <w:numId w:val="5"/>
        </w:numPr>
        <w:spacing w:before="360" w:line="259" w:lineRule="auto"/>
        <w:jc w:val="both"/>
        <w:rPr>
          <w:rFonts w:ascii="Arial" w:eastAsiaTheme="minorEastAsia" w:hAnsi="Arial" w:cs="Arial"/>
          <w:bCs w:val="0"/>
          <w:color w:val="002060"/>
          <w:sz w:val="22"/>
          <w:szCs w:val="22"/>
          <w:lang w:val="es-ES"/>
        </w:rPr>
      </w:pPr>
      <w:bookmarkStart w:id="6" w:name="_Toc93420466"/>
      <w:r w:rsidRPr="00FD1113">
        <w:rPr>
          <w:rFonts w:ascii="Arial" w:eastAsiaTheme="minorEastAsia" w:hAnsi="Arial" w:cs="Arial"/>
          <w:bCs w:val="0"/>
          <w:color w:val="002060"/>
          <w:sz w:val="22"/>
          <w:szCs w:val="22"/>
          <w:lang w:val="es-ES"/>
        </w:rPr>
        <w:t>Normas de ejecución</w:t>
      </w:r>
      <w:bookmarkEnd w:id="6"/>
      <w:r w:rsidRPr="00FD1113">
        <w:rPr>
          <w:rFonts w:ascii="Arial" w:eastAsiaTheme="minorEastAsia" w:hAnsi="Arial" w:cs="Arial"/>
          <w:bCs w:val="0"/>
          <w:color w:val="002060"/>
          <w:sz w:val="22"/>
          <w:szCs w:val="22"/>
          <w:lang w:val="es-ES"/>
        </w:rPr>
        <w:t xml:space="preserve"> </w:t>
      </w:r>
    </w:p>
    <w:p w14:paraId="776FE326" w14:textId="77777777" w:rsidR="00B33CCC" w:rsidRDefault="00B33CCC" w:rsidP="00E47A21">
      <w:pPr>
        <w:spacing w:after="160" w:line="360" w:lineRule="auto"/>
        <w:jc w:val="both"/>
        <w:rPr>
          <w:rFonts w:ascii="Arial" w:eastAsiaTheme="minorEastAsia" w:hAnsi="Arial" w:cs="Arial"/>
          <w:sz w:val="20"/>
          <w:szCs w:val="20"/>
        </w:rPr>
      </w:pPr>
    </w:p>
    <w:p w14:paraId="6759B557" w14:textId="77777777" w:rsidR="00DF31F3" w:rsidRPr="00DF31F3" w:rsidRDefault="00DF31F3" w:rsidP="00DF31F3">
      <w:pPr>
        <w:spacing w:after="160" w:line="259" w:lineRule="auto"/>
        <w:rPr>
          <w:rFonts w:ascii="Arial" w:eastAsiaTheme="minorEastAsia" w:hAnsi="Arial" w:cs="Arial"/>
          <w:b/>
          <w:color w:val="002060"/>
          <w:sz w:val="20"/>
          <w:szCs w:val="22"/>
        </w:rPr>
      </w:pPr>
      <w:r w:rsidRPr="00DF31F3">
        <w:rPr>
          <w:rFonts w:ascii="Arial" w:eastAsiaTheme="minorEastAsia" w:hAnsi="Arial" w:cs="Arial"/>
          <w:b/>
          <w:color w:val="002060"/>
          <w:sz w:val="20"/>
          <w:szCs w:val="22"/>
        </w:rPr>
        <w:t>Cumplimiento de la norma de ejecución 10</w:t>
      </w:r>
    </w:p>
    <w:p w14:paraId="2CCB2044" w14:textId="05449EA0" w:rsidR="00BE1714" w:rsidRDefault="00DF31F3" w:rsidP="00BE1714">
      <w:pPr>
        <w:spacing w:before="240" w:after="120" w:line="360" w:lineRule="auto"/>
        <w:jc w:val="both"/>
        <w:rPr>
          <w:rFonts w:ascii="Arial" w:eastAsiaTheme="minorEastAsia" w:hAnsi="Arial" w:cs="Arial"/>
          <w:bCs/>
          <w:sz w:val="20"/>
          <w:szCs w:val="20"/>
        </w:rPr>
      </w:pPr>
      <w:r w:rsidRPr="00DF31F3">
        <w:rPr>
          <w:rFonts w:ascii="Arial" w:eastAsiaTheme="minorEastAsia" w:hAnsi="Arial" w:cs="Arial"/>
          <w:bCs/>
          <w:sz w:val="20"/>
          <w:szCs w:val="20"/>
        </w:rPr>
        <w:t xml:space="preserve">[Se debe remitir, </w:t>
      </w:r>
      <w:r w:rsidRPr="005241A5">
        <w:rPr>
          <w:rFonts w:ascii="Arial" w:eastAsiaTheme="minorEastAsia" w:hAnsi="Arial" w:cs="Arial"/>
          <w:bCs/>
          <w:sz w:val="20"/>
          <w:szCs w:val="20"/>
        </w:rPr>
        <w:t>como parte del proceso de evaluación anual, la información sobre el ahorro que se generó desde el 1° de octubre hasta el 31 de diciembre 2021 y</w:t>
      </w:r>
      <w:r w:rsidRPr="00DF31F3">
        <w:rPr>
          <w:rFonts w:ascii="Arial" w:eastAsiaTheme="minorEastAsia" w:hAnsi="Arial" w:cs="Arial"/>
          <w:bCs/>
          <w:sz w:val="20"/>
          <w:szCs w:val="20"/>
        </w:rPr>
        <w:t xml:space="preserve"> que tendrá que reflejarse en la subejecución de la entidad.]</w:t>
      </w:r>
    </w:p>
    <w:p w14:paraId="34860FEE" w14:textId="77777777" w:rsidR="00ED7ABE" w:rsidRDefault="00ED7ABE" w:rsidP="00BE1714">
      <w:pPr>
        <w:spacing w:before="240" w:after="120" w:line="360" w:lineRule="auto"/>
        <w:jc w:val="both"/>
        <w:rPr>
          <w:rFonts w:ascii="Arial" w:eastAsiaTheme="minorEastAsia" w:hAnsi="Arial" w:cs="Arial"/>
          <w:bCs/>
          <w:sz w:val="20"/>
          <w:szCs w:val="20"/>
        </w:rPr>
      </w:pPr>
    </w:p>
    <w:p w14:paraId="60B5C3A8" w14:textId="77777777" w:rsidR="00BE1714" w:rsidRPr="00BE1714" w:rsidRDefault="00BE1714" w:rsidP="00BE1714">
      <w:pPr>
        <w:spacing w:before="240" w:after="120" w:line="360" w:lineRule="auto"/>
        <w:jc w:val="both"/>
        <w:rPr>
          <w:rFonts w:ascii="Arial" w:eastAsiaTheme="minorEastAsia" w:hAnsi="Arial" w:cs="Arial"/>
          <w:bCs/>
          <w:sz w:val="20"/>
          <w:szCs w:val="20"/>
        </w:rPr>
      </w:pPr>
    </w:p>
    <w:p w14:paraId="15FE5E26" w14:textId="77777777" w:rsidR="00ED7ABE" w:rsidRDefault="00CC2F03" w:rsidP="00834AF4">
      <w:pPr>
        <w:pStyle w:val="Descripcin"/>
        <w:jc w:val="center"/>
        <w:rPr>
          <w:rFonts w:ascii="Arial" w:eastAsiaTheme="minorEastAsia" w:hAnsi="Arial" w:cs="Arial"/>
          <w:color w:val="000000"/>
          <w:sz w:val="20"/>
          <w:szCs w:val="20"/>
          <w:lang w:eastAsia="es-CR"/>
        </w:rPr>
      </w:pPr>
      <w:r w:rsidRPr="00D71A12">
        <w:rPr>
          <w:rFonts w:ascii="Arial" w:eastAsiaTheme="minorEastAsia" w:hAnsi="Arial" w:cs="Arial"/>
          <w:b/>
          <w:i w:val="0"/>
          <w:iCs w:val="0"/>
          <w:color w:val="000000"/>
          <w:sz w:val="20"/>
          <w:szCs w:val="20"/>
          <w:lang w:eastAsia="es-CR"/>
        </w:rPr>
        <w:lastRenderedPageBreak/>
        <w:t>C</w:t>
      </w:r>
      <w:r w:rsidR="00834AF4" w:rsidRPr="00D71A12">
        <w:rPr>
          <w:rFonts w:ascii="Arial" w:eastAsiaTheme="minorEastAsia" w:hAnsi="Arial" w:cs="Arial"/>
          <w:b/>
          <w:i w:val="0"/>
          <w:iCs w:val="0"/>
          <w:color w:val="000000"/>
          <w:sz w:val="20"/>
          <w:szCs w:val="20"/>
          <w:lang w:eastAsia="es-CR"/>
        </w:rPr>
        <w:t xml:space="preserve">uadro  </w:t>
      </w:r>
      <w:r w:rsidR="00834AF4" w:rsidRPr="00D71A12">
        <w:rPr>
          <w:rFonts w:ascii="Arial" w:eastAsiaTheme="minorEastAsia" w:hAnsi="Arial" w:cs="Arial"/>
          <w:b/>
          <w:i w:val="0"/>
          <w:iCs w:val="0"/>
          <w:color w:val="000000"/>
          <w:sz w:val="20"/>
          <w:szCs w:val="20"/>
          <w:lang w:eastAsia="es-CR"/>
        </w:rPr>
        <w:fldChar w:fldCharType="begin"/>
      </w:r>
      <w:r w:rsidR="00834AF4" w:rsidRPr="00D71A12">
        <w:rPr>
          <w:rFonts w:ascii="Arial" w:eastAsiaTheme="minorEastAsia" w:hAnsi="Arial" w:cs="Arial"/>
          <w:b/>
          <w:i w:val="0"/>
          <w:iCs w:val="0"/>
          <w:color w:val="000000"/>
          <w:sz w:val="20"/>
          <w:szCs w:val="20"/>
          <w:lang w:eastAsia="es-CR"/>
        </w:rPr>
        <w:instrText xml:space="preserve"> SEQ cuadro_ \* ARABIC </w:instrText>
      </w:r>
      <w:r w:rsidR="00834AF4" w:rsidRPr="00D71A12">
        <w:rPr>
          <w:rFonts w:ascii="Arial" w:eastAsiaTheme="minorEastAsia" w:hAnsi="Arial" w:cs="Arial"/>
          <w:b/>
          <w:i w:val="0"/>
          <w:iCs w:val="0"/>
          <w:color w:val="000000"/>
          <w:sz w:val="20"/>
          <w:szCs w:val="20"/>
          <w:lang w:eastAsia="es-CR"/>
        </w:rPr>
        <w:fldChar w:fldCharType="separate"/>
      </w:r>
      <w:r w:rsidR="00150A2C" w:rsidRPr="00D71A12">
        <w:rPr>
          <w:rFonts w:ascii="Arial" w:eastAsiaTheme="minorEastAsia" w:hAnsi="Arial" w:cs="Arial"/>
          <w:b/>
          <w:i w:val="0"/>
          <w:iCs w:val="0"/>
          <w:noProof/>
          <w:color w:val="000000"/>
          <w:sz w:val="20"/>
          <w:szCs w:val="20"/>
          <w:lang w:eastAsia="es-CR"/>
        </w:rPr>
        <w:t>3</w:t>
      </w:r>
      <w:r w:rsidR="00834AF4" w:rsidRPr="00D71A12">
        <w:rPr>
          <w:rFonts w:ascii="Arial" w:eastAsiaTheme="minorEastAsia" w:hAnsi="Arial" w:cs="Arial"/>
          <w:b/>
          <w:i w:val="0"/>
          <w:iCs w:val="0"/>
          <w:color w:val="000000"/>
          <w:sz w:val="20"/>
          <w:szCs w:val="20"/>
          <w:lang w:eastAsia="es-CR"/>
        </w:rPr>
        <w:fldChar w:fldCharType="end"/>
      </w:r>
      <w:r w:rsidR="00BE1714" w:rsidRPr="00BE1714">
        <w:rPr>
          <w:rFonts w:ascii="Arial" w:eastAsiaTheme="minorEastAsia" w:hAnsi="Arial" w:cs="Arial"/>
          <w:color w:val="000000"/>
          <w:sz w:val="20"/>
          <w:szCs w:val="20"/>
          <w:lang w:eastAsia="es-CR"/>
        </w:rPr>
        <w:t xml:space="preserve"> </w:t>
      </w:r>
    </w:p>
    <w:p w14:paraId="07A19AF6" w14:textId="161DF2F5" w:rsidR="00BE1714" w:rsidRPr="00BE1714" w:rsidRDefault="00BE1714" w:rsidP="00834AF4">
      <w:pPr>
        <w:pStyle w:val="Descripcin"/>
        <w:jc w:val="center"/>
        <w:rPr>
          <w:rFonts w:ascii="Arial" w:eastAsiaTheme="minorEastAsia" w:hAnsi="Arial" w:cs="Arial"/>
          <w:b/>
          <w:color w:val="000000"/>
          <w:sz w:val="20"/>
          <w:szCs w:val="20"/>
          <w:lang w:eastAsia="es-CR"/>
        </w:rPr>
      </w:pPr>
      <w:r w:rsidRPr="00BE1714">
        <w:rPr>
          <w:rFonts w:ascii="Arial" w:eastAsiaTheme="minorEastAsia" w:hAnsi="Arial" w:cs="Arial"/>
          <w:b/>
          <w:color w:val="000000"/>
          <w:sz w:val="20"/>
          <w:szCs w:val="20"/>
          <w:lang w:eastAsia="es-CR"/>
        </w:rPr>
        <w:t>Ahorros por teletrabajo y digitalización de servicios</w:t>
      </w:r>
    </w:p>
    <w:p w14:paraId="5DC28311" w14:textId="41360FE5" w:rsidR="00BE1714" w:rsidRPr="00BE1714" w:rsidRDefault="00BE1714" w:rsidP="00BE1714">
      <w:pPr>
        <w:ind w:left="55"/>
        <w:contextualSpacing/>
        <w:jc w:val="center"/>
        <w:rPr>
          <w:rFonts w:ascii="Arial" w:eastAsiaTheme="minorEastAsia" w:hAnsi="Arial" w:cs="Arial"/>
          <w:sz w:val="20"/>
          <w:szCs w:val="20"/>
          <w:lang w:eastAsia="es-CR"/>
        </w:rPr>
      </w:pPr>
      <w:r w:rsidRPr="00BE1714">
        <w:rPr>
          <w:rFonts w:ascii="Arial" w:eastAsiaTheme="minorEastAsia" w:hAnsi="Arial" w:cs="Arial"/>
          <w:sz w:val="20"/>
          <w:szCs w:val="20"/>
          <w:lang w:eastAsia="es-CR"/>
        </w:rPr>
        <w:t>P</w:t>
      </w:r>
      <w:r w:rsidR="00E875FC">
        <w:rPr>
          <w:rFonts w:ascii="Arial" w:eastAsiaTheme="minorEastAsia" w:hAnsi="Arial" w:cs="Arial"/>
          <w:sz w:val="20"/>
          <w:szCs w:val="20"/>
          <w:lang w:eastAsia="es-CR"/>
        </w:rPr>
        <w:t>oder</w:t>
      </w:r>
      <w:r w:rsidRPr="00BE1714">
        <w:rPr>
          <w:rFonts w:ascii="Arial" w:eastAsiaTheme="minorEastAsia" w:hAnsi="Arial" w:cs="Arial"/>
          <w:sz w:val="20"/>
          <w:szCs w:val="20"/>
          <w:lang w:eastAsia="es-CR"/>
        </w:rPr>
        <w:t xml:space="preserve"> J</w:t>
      </w:r>
      <w:r w:rsidR="00E875FC">
        <w:rPr>
          <w:rFonts w:ascii="Arial" w:eastAsiaTheme="minorEastAsia" w:hAnsi="Arial" w:cs="Arial"/>
          <w:sz w:val="20"/>
          <w:szCs w:val="20"/>
          <w:lang w:eastAsia="es-CR"/>
        </w:rPr>
        <w:t>udicial</w:t>
      </w:r>
    </w:p>
    <w:p w14:paraId="0A2B09C2" w14:textId="77777777" w:rsidR="00BE1714" w:rsidRPr="00BE1714" w:rsidRDefault="00BE1714" w:rsidP="00BE1714">
      <w:pPr>
        <w:jc w:val="center"/>
        <w:rPr>
          <w:rFonts w:ascii="Arial" w:eastAsiaTheme="minorEastAsia" w:hAnsi="Arial" w:cs="Arial"/>
          <w:sz w:val="20"/>
          <w:szCs w:val="20"/>
          <w:lang w:val="es-ES_tradnl"/>
        </w:rPr>
      </w:pPr>
      <w:r w:rsidRPr="00BE1714">
        <w:rPr>
          <w:rFonts w:ascii="Arial" w:eastAsiaTheme="minorEastAsia" w:hAnsi="Arial" w:cs="Arial"/>
          <w:sz w:val="20"/>
          <w:szCs w:val="20"/>
          <w:lang w:val="es-ES_tradnl"/>
        </w:rPr>
        <w:t xml:space="preserve">En el IV trimestre del 2021 </w:t>
      </w:r>
    </w:p>
    <w:p w14:paraId="3021FE24" w14:textId="77777777" w:rsidR="00BE1714" w:rsidRPr="00BE1714" w:rsidRDefault="00BE1714" w:rsidP="00BE1714">
      <w:pPr>
        <w:jc w:val="center"/>
        <w:rPr>
          <w:rFonts w:ascii="Arial" w:eastAsiaTheme="minorEastAsia" w:hAnsi="Arial" w:cs="Arial"/>
          <w:i/>
          <w:sz w:val="20"/>
          <w:szCs w:val="20"/>
          <w:lang w:eastAsia="es-CR"/>
        </w:rPr>
      </w:pPr>
      <w:r w:rsidRPr="00BE1714">
        <w:rPr>
          <w:rFonts w:ascii="Arial" w:eastAsiaTheme="minorEastAsia" w:hAnsi="Arial" w:cs="Arial"/>
          <w:i/>
          <w:sz w:val="20"/>
          <w:szCs w:val="20"/>
          <w:lang w:eastAsia="es-CR"/>
        </w:rPr>
        <w:t xml:space="preserve"> (en millones de colones)</w:t>
      </w:r>
    </w:p>
    <w:tbl>
      <w:tblPr>
        <w:tblW w:w="9040" w:type="dxa"/>
        <w:tblInd w:w="-10" w:type="dxa"/>
        <w:tblCellMar>
          <w:left w:w="70" w:type="dxa"/>
          <w:right w:w="70" w:type="dxa"/>
        </w:tblCellMar>
        <w:tblLook w:val="04A0" w:firstRow="1" w:lastRow="0" w:firstColumn="1" w:lastColumn="0" w:noHBand="0" w:noVBand="1"/>
      </w:tblPr>
      <w:tblGrid>
        <w:gridCol w:w="4120"/>
        <w:gridCol w:w="2080"/>
        <w:gridCol w:w="2840"/>
      </w:tblGrid>
      <w:tr w:rsidR="00BE1714" w:rsidRPr="00BE1714" w14:paraId="69978FCD" w14:textId="77777777" w:rsidTr="00465D52">
        <w:trPr>
          <w:trHeight w:val="552"/>
        </w:trPr>
        <w:tc>
          <w:tcPr>
            <w:tcW w:w="4120" w:type="dxa"/>
            <w:tcBorders>
              <w:top w:val="single" w:sz="8" w:space="0" w:color="4F81BD"/>
              <w:left w:val="single" w:sz="8" w:space="0" w:color="4F81BD"/>
              <w:bottom w:val="nil"/>
              <w:right w:val="nil"/>
            </w:tcBorders>
            <w:shd w:val="clear" w:color="000000" w:fill="4F81BD"/>
            <w:vAlign w:val="center"/>
            <w:hideMark/>
          </w:tcPr>
          <w:p w14:paraId="231F7A6E" w14:textId="77777777" w:rsidR="00BE1714" w:rsidRPr="00BE1714" w:rsidRDefault="00BE1714" w:rsidP="00BE1714">
            <w:pPr>
              <w:jc w:val="center"/>
              <w:rPr>
                <w:rFonts w:ascii="Arial Narrow" w:hAnsi="Arial Narrow" w:cs="Calibri"/>
                <w:b/>
                <w:bCs/>
                <w:color w:val="FFFFFF"/>
                <w:sz w:val="20"/>
                <w:szCs w:val="20"/>
                <w:lang w:val="es-CR" w:eastAsia="es-CR"/>
              </w:rPr>
            </w:pPr>
            <w:r w:rsidRPr="00BE1714">
              <w:rPr>
                <w:rFonts w:ascii="Arial Narrow" w:hAnsi="Arial Narrow" w:cs="Calibri"/>
                <w:b/>
                <w:bCs/>
                <w:color w:val="FFFFFF"/>
                <w:sz w:val="20"/>
                <w:szCs w:val="20"/>
                <w:lang w:val="es-CR" w:eastAsia="es-CR"/>
              </w:rPr>
              <w:t>Subpartida Objeto del Gasto</w:t>
            </w:r>
          </w:p>
        </w:tc>
        <w:tc>
          <w:tcPr>
            <w:tcW w:w="2080" w:type="dxa"/>
            <w:tcBorders>
              <w:top w:val="single" w:sz="8" w:space="0" w:color="4F81BD"/>
              <w:left w:val="single" w:sz="8" w:space="0" w:color="4F81BD"/>
              <w:bottom w:val="nil"/>
              <w:right w:val="single" w:sz="8" w:space="0" w:color="4F81BD"/>
            </w:tcBorders>
            <w:shd w:val="clear" w:color="000000" w:fill="4F81BD"/>
            <w:vAlign w:val="center"/>
            <w:hideMark/>
          </w:tcPr>
          <w:p w14:paraId="09A88F27" w14:textId="77777777" w:rsidR="00BE1714" w:rsidRPr="00BE1714" w:rsidRDefault="00BE1714" w:rsidP="00BE1714">
            <w:pPr>
              <w:jc w:val="center"/>
              <w:rPr>
                <w:rFonts w:ascii="Arial Narrow" w:hAnsi="Arial Narrow" w:cs="Calibri"/>
                <w:b/>
                <w:bCs/>
                <w:color w:val="FFFFFF"/>
                <w:sz w:val="20"/>
                <w:szCs w:val="20"/>
                <w:lang w:val="es-CR" w:eastAsia="es-CR"/>
              </w:rPr>
            </w:pPr>
            <w:r w:rsidRPr="00BE1714">
              <w:rPr>
                <w:rFonts w:ascii="Arial Narrow" w:hAnsi="Arial Narrow" w:cs="Calibri"/>
                <w:b/>
                <w:bCs/>
                <w:color w:val="FFFFFF"/>
                <w:sz w:val="20"/>
                <w:szCs w:val="20"/>
                <w:lang w:val="es-CR" w:eastAsia="es-CR"/>
              </w:rPr>
              <w:t>Monto del ahorro</w:t>
            </w:r>
          </w:p>
        </w:tc>
        <w:tc>
          <w:tcPr>
            <w:tcW w:w="2840" w:type="dxa"/>
            <w:tcBorders>
              <w:top w:val="single" w:sz="8" w:space="0" w:color="4F81BD"/>
              <w:left w:val="nil"/>
              <w:bottom w:val="nil"/>
              <w:right w:val="single" w:sz="8" w:space="0" w:color="4F81BD"/>
            </w:tcBorders>
            <w:shd w:val="clear" w:color="000000" w:fill="4F81BD"/>
            <w:vAlign w:val="center"/>
            <w:hideMark/>
          </w:tcPr>
          <w:p w14:paraId="22887FB2" w14:textId="77777777" w:rsidR="00BE1714" w:rsidRPr="00BE1714" w:rsidRDefault="00BE1714" w:rsidP="00BE1714">
            <w:pPr>
              <w:jc w:val="center"/>
              <w:rPr>
                <w:rFonts w:ascii="Arial Narrow" w:hAnsi="Arial Narrow" w:cs="Calibri"/>
                <w:b/>
                <w:bCs/>
                <w:color w:val="FFFFFF"/>
                <w:sz w:val="20"/>
                <w:szCs w:val="20"/>
                <w:lang w:val="es-CR" w:eastAsia="es-CR"/>
              </w:rPr>
            </w:pPr>
            <w:r w:rsidRPr="00BE1714">
              <w:rPr>
                <w:rFonts w:ascii="Arial Narrow" w:hAnsi="Arial Narrow" w:cs="Calibri"/>
                <w:b/>
                <w:bCs/>
                <w:color w:val="FFFFFF"/>
                <w:sz w:val="20"/>
                <w:szCs w:val="20"/>
                <w:lang w:val="es-CR" w:eastAsia="es-CR"/>
              </w:rPr>
              <w:t>Indicar: Teletrabajo o Digitalización de servicios</w:t>
            </w:r>
          </w:p>
        </w:tc>
      </w:tr>
      <w:tr w:rsidR="00BE1714" w:rsidRPr="00BE1714" w14:paraId="017DC845" w14:textId="77777777" w:rsidTr="00465D52">
        <w:trPr>
          <w:trHeight w:val="300"/>
        </w:trPr>
        <w:tc>
          <w:tcPr>
            <w:tcW w:w="4120" w:type="dxa"/>
            <w:tcBorders>
              <w:top w:val="nil"/>
              <w:left w:val="single" w:sz="8" w:space="0" w:color="4F81BD"/>
              <w:bottom w:val="single" w:sz="8" w:space="0" w:color="4F81BD"/>
              <w:right w:val="nil"/>
            </w:tcBorders>
            <w:shd w:val="clear" w:color="auto" w:fill="auto"/>
            <w:vAlign w:val="center"/>
            <w:hideMark/>
          </w:tcPr>
          <w:p w14:paraId="767497E4" w14:textId="77777777" w:rsidR="00BE1714" w:rsidRPr="00BE1714" w:rsidRDefault="00BE1714" w:rsidP="00BE1714">
            <w:pPr>
              <w:jc w:val="both"/>
              <w:rPr>
                <w:rFonts w:ascii="Arial" w:hAnsi="Arial" w:cs="Arial"/>
                <w:sz w:val="20"/>
                <w:szCs w:val="20"/>
                <w:lang w:val="es-CR" w:eastAsia="es-CR"/>
              </w:rPr>
            </w:pPr>
            <w:r w:rsidRPr="00BE1714">
              <w:rPr>
                <w:rFonts w:ascii="Arial" w:hAnsi="Arial" w:cs="Arial"/>
                <w:sz w:val="20"/>
                <w:szCs w:val="20"/>
                <w:lang w:val="es-CR" w:eastAsia="es-CR"/>
              </w:rPr>
              <w:t>1.02.01 Servicio de agua y alcantarillado</w:t>
            </w:r>
          </w:p>
        </w:tc>
        <w:tc>
          <w:tcPr>
            <w:tcW w:w="2080" w:type="dxa"/>
            <w:tcBorders>
              <w:top w:val="nil"/>
              <w:left w:val="single" w:sz="8" w:space="0" w:color="4F81BD"/>
              <w:bottom w:val="single" w:sz="8" w:space="0" w:color="4F81BD"/>
              <w:right w:val="single" w:sz="8" w:space="0" w:color="4F81BD"/>
            </w:tcBorders>
            <w:shd w:val="clear" w:color="auto" w:fill="auto"/>
            <w:vAlign w:val="center"/>
            <w:hideMark/>
          </w:tcPr>
          <w:p w14:paraId="71F3FFA9"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13,33</w:t>
            </w:r>
          </w:p>
        </w:tc>
        <w:tc>
          <w:tcPr>
            <w:tcW w:w="2840" w:type="dxa"/>
            <w:tcBorders>
              <w:top w:val="nil"/>
              <w:left w:val="nil"/>
              <w:bottom w:val="single" w:sz="8" w:space="0" w:color="4F81BD"/>
              <w:right w:val="single" w:sz="8" w:space="0" w:color="4F81BD"/>
            </w:tcBorders>
            <w:shd w:val="clear" w:color="auto" w:fill="auto"/>
            <w:vAlign w:val="center"/>
            <w:hideMark/>
          </w:tcPr>
          <w:p w14:paraId="38A3DDB9"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Teletrabajo</w:t>
            </w:r>
          </w:p>
        </w:tc>
      </w:tr>
      <w:tr w:rsidR="00BE1714" w:rsidRPr="00BE1714" w14:paraId="4EF77B4B" w14:textId="77777777" w:rsidTr="00465D52">
        <w:trPr>
          <w:trHeight w:val="300"/>
        </w:trPr>
        <w:tc>
          <w:tcPr>
            <w:tcW w:w="4120" w:type="dxa"/>
            <w:tcBorders>
              <w:top w:val="nil"/>
              <w:left w:val="single" w:sz="8" w:space="0" w:color="4F81BD"/>
              <w:bottom w:val="single" w:sz="8" w:space="0" w:color="4F81BD"/>
              <w:right w:val="nil"/>
            </w:tcBorders>
            <w:shd w:val="clear" w:color="auto" w:fill="auto"/>
            <w:vAlign w:val="center"/>
          </w:tcPr>
          <w:p w14:paraId="5178AC2C" w14:textId="77777777" w:rsidR="00BE1714" w:rsidRPr="00BE1714" w:rsidRDefault="00BE1714" w:rsidP="00BE1714">
            <w:pPr>
              <w:jc w:val="both"/>
              <w:rPr>
                <w:rFonts w:ascii="Arial" w:hAnsi="Arial" w:cs="Arial"/>
                <w:sz w:val="20"/>
                <w:szCs w:val="20"/>
                <w:lang w:val="es-CR" w:eastAsia="es-CR"/>
              </w:rPr>
            </w:pPr>
            <w:r w:rsidRPr="00BE1714">
              <w:rPr>
                <w:rFonts w:ascii="Arial" w:hAnsi="Arial" w:cs="Arial"/>
                <w:sz w:val="20"/>
                <w:szCs w:val="20"/>
                <w:lang w:val="es-CR" w:eastAsia="es-CR"/>
              </w:rPr>
              <w:t>1.02.02 Servicio de energía eléctrica</w:t>
            </w:r>
          </w:p>
        </w:tc>
        <w:tc>
          <w:tcPr>
            <w:tcW w:w="2080" w:type="dxa"/>
            <w:tcBorders>
              <w:top w:val="nil"/>
              <w:left w:val="single" w:sz="8" w:space="0" w:color="4F81BD"/>
              <w:bottom w:val="single" w:sz="8" w:space="0" w:color="4F81BD"/>
              <w:right w:val="single" w:sz="8" w:space="0" w:color="4F81BD"/>
            </w:tcBorders>
            <w:shd w:val="clear" w:color="auto" w:fill="auto"/>
            <w:vAlign w:val="center"/>
          </w:tcPr>
          <w:p w14:paraId="1D71FB2A"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65,82</w:t>
            </w:r>
          </w:p>
        </w:tc>
        <w:tc>
          <w:tcPr>
            <w:tcW w:w="2840" w:type="dxa"/>
            <w:tcBorders>
              <w:top w:val="nil"/>
              <w:left w:val="nil"/>
              <w:bottom w:val="single" w:sz="8" w:space="0" w:color="4F81BD"/>
              <w:right w:val="single" w:sz="8" w:space="0" w:color="4F81BD"/>
            </w:tcBorders>
            <w:shd w:val="clear" w:color="auto" w:fill="auto"/>
            <w:vAlign w:val="center"/>
          </w:tcPr>
          <w:p w14:paraId="38BD3DC5"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Teletrabajo</w:t>
            </w:r>
          </w:p>
        </w:tc>
      </w:tr>
      <w:tr w:rsidR="00BE1714" w:rsidRPr="00BE1714" w14:paraId="29594A08" w14:textId="77777777" w:rsidTr="00465D52">
        <w:trPr>
          <w:trHeight w:val="300"/>
        </w:trPr>
        <w:tc>
          <w:tcPr>
            <w:tcW w:w="4120" w:type="dxa"/>
            <w:tcBorders>
              <w:top w:val="nil"/>
              <w:left w:val="single" w:sz="8" w:space="0" w:color="4F81BD"/>
              <w:bottom w:val="single" w:sz="8" w:space="0" w:color="4F81BD"/>
              <w:right w:val="nil"/>
            </w:tcBorders>
            <w:shd w:val="clear" w:color="auto" w:fill="auto"/>
            <w:vAlign w:val="center"/>
          </w:tcPr>
          <w:p w14:paraId="0741C617" w14:textId="77777777" w:rsidR="00BE1714" w:rsidRPr="00BE1714" w:rsidRDefault="00BE1714" w:rsidP="00BE1714">
            <w:pPr>
              <w:jc w:val="both"/>
              <w:rPr>
                <w:rFonts w:ascii="Arial" w:hAnsi="Arial" w:cs="Arial"/>
                <w:sz w:val="20"/>
                <w:szCs w:val="20"/>
                <w:lang w:val="es-CR" w:eastAsia="es-CR"/>
              </w:rPr>
            </w:pPr>
            <w:r w:rsidRPr="00BE1714">
              <w:rPr>
                <w:rFonts w:ascii="Arial" w:hAnsi="Arial" w:cs="Arial"/>
                <w:sz w:val="20"/>
                <w:szCs w:val="20"/>
                <w:lang w:val="es-CR" w:eastAsia="es-CR"/>
              </w:rPr>
              <w:t>1.02.03 Servicio de correo</w:t>
            </w:r>
          </w:p>
        </w:tc>
        <w:tc>
          <w:tcPr>
            <w:tcW w:w="2080" w:type="dxa"/>
            <w:tcBorders>
              <w:top w:val="nil"/>
              <w:left w:val="single" w:sz="8" w:space="0" w:color="4F81BD"/>
              <w:bottom w:val="single" w:sz="8" w:space="0" w:color="4F81BD"/>
              <w:right w:val="single" w:sz="8" w:space="0" w:color="4F81BD"/>
            </w:tcBorders>
            <w:shd w:val="clear" w:color="auto" w:fill="auto"/>
            <w:vAlign w:val="center"/>
          </w:tcPr>
          <w:p w14:paraId="01590BAB"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1,50</w:t>
            </w:r>
          </w:p>
        </w:tc>
        <w:tc>
          <w:tcPr>
            <w:tcW w:w="2840" w:type="dxa"/>
            <w:tcBorders>
              <w:top w:val="nil"/>
              <w:left w:val="nil"/>
              <w:bottom w:val="single" w:sz="8" w:space="0" w:color="4F81BD"/>
              <w:right w:val="single" w:sz="8" w:space="0" w:color="4F81BD"/>
            </w:tcBorders>
            <w:shd w:val="clear" w:color="auto" w:fill="auto"/>
            <w:vAlign w:val="center"/>
          </w:tcPr>
          <w:p w14:paraId="50215226"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Teletrabajo</w:t>
            </w:r>
          </w:p>
        </w:tc>
      </w:tr>
      <w:tr w:rsidR="00BE1714" w:rsidRPr="00BE1714" w14:paraId="4812263C" w14:textId="77777777" w:rsidTr="00465D52">
        <w:trPr>
          <w:trHeight w:val="300"/>
        </w:trPr>
        <w:tc>
          <w:tcPr>
            <w:tcW w:w="4120" w:type="dxa"/>
            <w:tcBorders>
              <w:top w:val="nil"/>
              <w:left w:val="single" w:sz="8" w:space="0" w:color="4F81BD"/>
              <w:bottom w:val="single" w:sz="8" w:space="0" w:color="4F81BD"/>
              <w:right w:val="nil"/>
            </w:tcBorders>
            <w:shd w:val="clear" w:color="auto" w:fill="auto"/>
            <w:vAlign w:val="center"/>
          </w:tcPr>
          <w:p w14:paraId="6179EC1F" w14:textId="77777777" w:rsidR="00BE1714" w:rsidRPr="00BE1714" w:rsidRDefault="00BE1714" w:rsidP="00BE1714">
            <w:pPr>
              <w:jc w:val="both"/>
              <w:rPr>
                <w:rFonts w:ascii="Arial" w:hAnsi="Arial" w:cs="Arial"/>
                <w:sz w:val="20"/>
                <w:szCs w:val="20"/>
                <w:lang w:val="es-CR" w:eastAsia="es-CR"/>
              </w:rPr>
            </w:pPr>
            <w:r w:rsidRPr="00BE1714">
              <w:rPr>
                <w:rFonts w:ascii="Arial" w:hAnsi="Arial" w:cs="Arial"/>
                <w:sz w:val="20"/>
                <w:szCs w:val="20"/>
                <w:lang w:val="es-CR" w:eastAsia="es-CR"/>
              </w:rPr>
              <w:t>1.02.04 Servicio de telecomunicaciones</w:t>
            </w:r>
          </w:p>
        </w:tc>
        <w:tc>
          <w:tcPr>
            <w:tcW w:w="2080" w:type="dxa"/>
            <w:tcBorders>
              <w:top w:val="nil"/>
              <w:left w:val="single" w:sz="8" w:space="0" w:color="4F81BD"/>
              <w:bottom w:val="single" w:sz="8" w:space="0" w:color="4F81BD"/>
              <w:right w:val="single" w:sz="8" w:space="0" w:color="4F81BD"/>
            </w:tcBorders>
            <w:shd w:val="clear" w:color="auto" w:fill="auto"/>
            <w:vAlign w:val="center"/>
          </w:tcPr>
          <w:p w14:paraId="1D644B96"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334,16</w:t>
            </w:r>
          </w:p>
        </w:tc>
        <w:tc>
          <w:tcPr>
            <w:tcW w:w="2840" w:type="dxa"/>
            <w:tcBorders>
              <w:top w:val="nil"/>
              <w:left w:val="nil"/>
              <w:bottom w:val="single" w:sz="8" w:space="0" w:color="4F81BD"/>
              <w:right w:val="single" w:sz="8" w:space="0" w:color="4F81BD"/>
            </w:tcBorders>
            <w:shd w:val="clear" w:color="auto" w:fill="auto"/>
            <w:vAlign w:val="center"/>
          </w:tcPr>
          <w:p w14:paraId="2BB489AB" w14:textId="77777777" w:rsidR="00BE1714" w:rsidRPr="00BE1714" w:rsidRDefault="00BE1714" w:rsidP="00BE1714">
            <w:pPr>
              <w:jc w:val="center"/>
              <w:rPr>
                <w:rFonts w:ascii="Arial" w:hAnsi="Arial" w:cs="Arial"/>
                <w:sz w:val="20"/>
                <w:szCs w:val="20"/>
                <w:lang w:val="es-CR" w:eastAsia="es-CR"/>
              </w:rPr>
            </w:pPr>
            <w:r w:rsidRPr="00BE1714">
              <w:rPr>
                <w:rFonts w:ascii="Arial" w:hAnsi="Arial" w:cs="Arial"/>
                <w:sz w:val="20"/>
                <w:szCs w:val="20"/>
                <w:lang w:val="es-CR" w:eastAsia="es-CR"/>
              </w:rPr>
              <w:t>Teletrabajo</w:t>
            </w:r>
          </w:p>
        </w:tc>
      </w:tr>
    </w:tbl>
    <w:p w14:paraId="7B519FB7" w14:textId="77777777" w:rsidR="00BE1714" w:rsidRPr="00BE1714" w:rsidRDefault="00BE1714" w:rsidP="00BE1714">
      <w:pPr>
        <w:spacing w:after="160"/>
        <w:jc w:val="both"/>
        <w:rPr>
          <w:rFonts w:ascii="Arial" w:eastAsiaTheme="minorEastAsia" w:hAnsi="Arial" w:cs="Arial"/>
          <w:sz w:val="16"/>
          <w:szCs w:val="16"/>
        </w:rPr>
      </w:pPr>
      <w:r w:rsidRPr="00BE1714">
        <w:rPr>
          <w:rFonts w:ascii="Arial" w:eastAsiaTheme="minorEastAsia" w:hAnsi="Arial" w:cs="Arial"/>
          <w:b/>
          <w:sz w:val="16"/>
          <w:szCs w:val="16"/>
        </w:rPr>
        <w:t>Fuente</w:t>
      </w:r>
      <w:r w:rsidRPr="00BE1714">
        <w:rPr>
          <w:rFonts w:ascii="Arial" w:eastAsiaTheme="minorEastAsia" w:hAnsi="Arial" w:cs="Arial"/>
          <w:i/>
          <w:sz w:val="16"/>
          <w:szCs w:val="16"/>
        </w:rPr>
        <w:t xml:space="preserve">: </w:t>
      </w:r>
      <w:r w:rsidRPr="00BE1714">
        <w:rPr>
          <w:rFonts w:ascii="Arial" w:eastAsiaTheme="minorEastAsia" w:hAnsi="Arial" w:cs="Arial"/>
          <w:sz w:val="16"/>
          <w:szCs w:val="16"/>
        </w:rPr>
        <w:t xml:space="preserve">Datos suministrados por el Sr. Eugenio Solis Rodriguez, Gestor Ambiental del Poder Judicial en correo electrónico del 5 enero 2022, conforme comparativo del gasto 2020 y 2021 en los meses en estudio. </w:t>
      </w:r>
    </w:p>
    <w:p w14:paraId="05691A1B" w14:textId="77777777" w:rsidR="00BE1714" w:rsidRPr="00BE1714" w:rsidRDefault="00BE1714" w:rsidP="00BE1714">
      <w:pPr>
        <w:spacing w:after="160"/>
        <w:jc w:val="both"/>
        <w:rPr>
          <w:rFonts w:ascii="Arial" w:eastAsiaTheme="minorEastAsia" w:hAnsi="Arial" w:cs="Arial"/>
          <w:sz w:val="16"/>
          <w:szCs w:val="16"/>
        </w:rPr>
      </w:pPr>
      <w:r w:rsidRPr="00BE1714">
        <w:rPr>
          <w:rFonts w:ascii="Arial" w:eastAsiaTheme="minorEastAsia" w:hAnsi="Arial" w:cs="Arial"/>
          <w:b/>
          <w:bCs/>
          <w:sz w:val="16"/>
          <w:szCs w:val="16"/>
        </w:rPr>
        <w:t xml:space="preserve">**Nota: </w:t>
      </w:r>
      <w:r w:rsidRPr="00BE1714">
        <w:rPr>
          <w:rFonts w:ascii="Arial" w:eastAsiaTheme="minorEastAsia" w:hAnsi="Arial" w:cs="Arial"/>
          <w:sz w:val="16"/>
          <w:szCs w:val="16"/>
        </w:rPr>
        <w:t>Los ahorros obtenidos fueron utilizados para cubrir faltantes en servicios y en otras necesidades urgentes en la institución debido a la variante en el tipo de cambio; por lo tanto, no sé visualizarán en la subejecución.</w:t>
      </w:r>
    </w:p>
    <w:p w14:paraId="11EF76DA" w14:textId="77777777" w:rsidR="00DB56A4" w:rsidRPr="00DF31F3" w:rsidRDefault="00DB56A4" w:rsidP="00DF31F3">
      <w:pPr>
        <w:spacing w:before="240" w:after="120" w:line="360" w:lineRule="auto"/>
        <w:jc w:val="both"/>
        <w:rPr>
          <w:rFonts w:ascii="Arial" w:eastAsiaTheme="minorEastAsia" w:hAnsi="Arial" w:cs="Arial"/>
          <w:bCs/>
          <w:sz w:val="20"/>
          <w:szCs w:val="20"/>
        </w:rPr>
      </w:pPr>
    </w:p>
    <w:p w14:paraId="243E94BB" w14:textId="77777777" w:rsidR="00DF31F3" w:rsidRDefault="00DF31F3" w:rsidP="00DF31F3">
      <w:pPr>
        <w:spacing w:after="160" w:line="259" w:lineRule="auto"/>
        <w:rPr>
          <w:rFonts w:ascii="Arial" w:eastAsiaTheme="minorEastAsia" w:hAnsi="Arial" w:cs="Arial"/>
          <w:b/>
          <w:color w:val="002060"/>
          <w:sz w:val="20"/>
          <w:szCs w:val="22"/>
        </w:rPr>
      </w:pPr>
      <w:r w:rsidRPr="00DF31F3">
        <w:rPr>
          <w:rFonts w:ascii="Arial" w:eastAsiaTheme="minorEastAsia" w:hAnsi="Arial" w:cs="Arial"/>
          <w:b/>
          <w:color w:val="002060"/>
          <w:sz w:val="20"/>
          <w:szCs w:val="22"/>
        </w:rPr>
        <w:t>Cumplimiento de la norma de ejecución 15</w:t>
      </w:r>
    </w:p>
    <w:p w14:paraId="35D01686" w14:textId="77777777" w:rsidR="005200B4" w:rsidRDefault="005200B4" w:rsidP="00DF31F3">
      <w:pPr>
        <w:spacing w:after="160" w:line="259" w:lineRule="auto"/>
        <w:rPr>
          <w:rFonts w:ascii="Arial" w:eastAsiaTheme="minorEastAsia" w:hAnsi="Arial" w:cs="Arial"/>
          <w:b/>
          <w:color w:val="002060"/>
          <w:sz w:val="20"/>
          <w:szCs w:val="22"/>
        </w:rPr>
      </w:pPr>
    </w:p>
    <w:p w14:paraId="26044F89" w14:textId="77777777" w:rsidR="00AE08D3" w:rsidRPr="00AE08D3" w:rsidRDefault="00AE08D3" w:rsidP="00BE5AA1">
      <w:pPr>
        <w:numPr>
          <w:ilvl w:val="0"/>
          <w:numId w:val="16"/>
        </w:numPr>
        <w:spacing w:before="240" w:after="120" w:line="360" w:lineRule="auto"/>
        <w:contextualSpacing/>
        <w:jc w:val="both"/>
        <w:rPr>
          <w:rFonts w:ascii="Arial" w:eastAsiaTheme="minorEastAsia" w:hAnsi="Arial" w:cs="Arial"/>
          <w:bCs/>
          <w:sz w:val="20"/>
          <w:szCs w:val="20"/>
        </w:rPr>
      </w:pPr>
      <w:r w:rsidRPr="00AE08D3">
        <w:rPr>
          <w:rFonts w:ascii="Arial" w:eastAsiaTheme="minorEastAsia" w:hAnsi="Arial" w:cs="Arial"/>
          <w:bCs/>
          <w:sz w:val="20"/>
          <w:szCs w:val="20"/>
        </w:rPr>
        <w:t>El Consejo Superior del Poder Judicial en sesión N° 12-2021 celebrada el 11 de febrero de 2021, artículo XXIV, conoció el oficio N° 405-DE-2021 de fecha 4 febrero de 2021 de la Dirección Ejecutiva con el cual informó sobre los resultados obtenidos de la valoración realizada por el Departamento de Proveeduría a los contratos relacionados con los Servicios en ciencias de la salud, Servicios jurídicos, Servicios de ingeniería y arquitectura, Servicios en ciencias económicas y sociales y Servicios informáticos, el cual en lo que interesa indicó:</w:t>
      </w:r>
    </w:p>
    <w:p w14:paraId="0E6BF358" w14:textId="77777777" w:rsidR="00AE08D3" w:rsidRPr="00AE08D3" w:rsidRDefault="00AE08D3" w:rsidP="00AE08D3">
      <w:pPr>
        <w:spacing w:after="160" w:line="259" w:lineRule="auto"/>
        <w:ind w:left="1474" w:right="851"/>
        <w:jc w:val="both"/>
        <w:rPr>
          <w:rFonts w:ascii="Arial" w:eastAsiaTheme="minorEastAsia" w:hAnsi="Arial" w:cs="Arial"/>
          <w:i/>
          <w:iCs/>
          <w:color w:val="000000"/>
          <w:sz w:val="20"/>
          <w:szCs w:val="20"/>
        </w:rPr>
      </w:pPr>
      <w:r w:rsidRPr="00AE08D3">
        <w:rPr>
          <w:rFonts w:ascii="Arial" w:eastAsiaTheme="minorEastAsia" w:hAnsi="Arial" w:cs="Arial"/>
          <w:i/>
          <w:iCs/>
          <w:color w:val="000000"/>
          <w:sz w:val="20"/>
          <w:szCs w:val="20"/>
        </w:rPr>
        <w:t xml:space="preserve">“…Así las cosas, considera esta Dirección Ejecutiva, que con este análisis del Departamento de Proveeduría, realizado por medio de las consultas a los administradores de estos contratos, se estaría cumplimiento con lo establecido en la segunda parte de la norma 15 de la Ley No 9926, Presupuesto Ordinario y Extraordinario de la República, para el ejercicio Económico del 2021, toda vez que se han valorado los beneficios asociados a su prestación por medio de contratos con agentes externos, lo cual en algunos casos no solo es beneficioso para la prestación del servicio que lleve a cabo la institución, sino que además obedece a normativa que así lo establece expresamente, además, queda demostrado que en la institución no cuenta con recursos humano para asumir estas labores o que sea factible suscribir convenios con otras entidades públicas, por lo que se recomienda que los contratos bajo estudio se mantengan en ejecución </w:t>
      </w:r>
      <w:r w:rsidRPr="00AE08D3">
        <w:rPr>
          <w:rFonts w:ascii="Arial" w:eastAsiaTheme="minorEastAsia" w:hAnsi="Arial" w:cs="Arial"/>
          <w:i/>
          <w:iCs/>
          <w:color w:val="000000"/>
          <w:sz w:val="20"/>
          <w:szCs w:val="20"/>
        </w:rPr>
        <w:lastRenderedPageBreak/>
        <w:t>según los términos en los cuales han sido suscritos, y para el caso particular de los contratos del Fondo de Jubilaciones y Pensiones del Poder Judicial, mantener su vigencia hasta su finalización con cargo al presupuesto del Poder Judicial, para que las nuevas contrataciones de servicio se presten con cargo a ese Fondo…”</w:t>
      </w:r>
    </w:p>
    <w:p w14:paraId="5E632FC3" w14:textId="77777777" w:rsidR="00AE08D3" w:rsidRPr="00AE08D3" w:rsidRDefault="00AE08D3" w:rsidP="00AE08D3">
      <w:pPr>
        <w:spacing w:before="240" w:after="120" w:line="360" w:lineRule="auto"/>
        <w:jc w:val="both"/>
        <w:rPr>
          <w:rFonts w:ascii="Arial" w:eastAsiaTheme="minorEastAsia" w:hAnsi="Arial" w:cs="Arial"/>
          <w:bCs/>
          <w:sz w:val="20"/>
          <w:szCs w:val="20"/>
        </w:rPr>
      </w:pPr>
      <w:r w:rsidRPr="00AE08D3">
        <w:rPr>
          <w:rFonts w:ascii="Arial" w:eastAsiaTheme="minorEastAsia" w:hAnsi="Arial" w:cs="Arial"/>
          <w:bCs/>
          <w:sz w:val="20"/>
          <w:szCs w:val="20"/>
        </w:rPr>
        <w:t>Al respecto, el Consejo Superior acordó:</w:t>
      </w:r>
    </w:p>
    <w:p w14:paraId="1E2C3FE8" w14:textId="77777777" w:rsidR="00AE08D3" w:rsidRPr="00AE08D3" w:rsidRDefault="00AE08D3" w:rsidP="00AE08D3">
      <w:pPr>
        <w:spacing w:after="160" w:line="259" w:lineRule="auto"/>
        <w:ind w:left="1474" w:right="851"/>
        <w:jc w:val="both"/>
        <w:rPr>
          <w:rFonts w:ascii="Arial" w:eastAsiaTheme="minorEastAsia" w:hAnsi="Arial" w:cs="Arial"/>
          <w:i/>
          <w:iCs/>
          <w:color w:val="000000"/>
          <w:sz w:val="20"/>
          <w:szCs w:val="20"/>
        </w:rPr>
      </w:pPr>
      <w:r w:rsidRPr="00AE08D3">
        <w:rPr>
          <w:rFonts w:ascii="Arial" w:eastAsiaTheme="minorEastAsia" w:hAnsi="Arial" w:cs="Arial"/>
          <w:i/>
          <w:iCs/>
          <w:color w:val="000000"/>
          <w:sz w:val="20"/>
          <w:szCs w:val="20"/>
        </w:rPr>
        <w:t>“…</w:t>
      </w:r>
      <w:r w:rsidRPr="00AE08D3">
        <w:rPr>
          <w:rFonts w:ascii="Arial" w:eastAsiaTheme="minorEastAsia" w:hAnsi="Arial" w:cs="Arial"/>
          <w:b/>
          <w:bCs/>
          <w:i/>
          <w:iCs/>
          <w:color w:val="000000"/>
          <w:sz w:val="20"/>
          <w:szCs w:val="20"/>
        </w:rPr>
        <w:t>2)</w:t>
      </w:r>
      <w:r w:rsidRPr="00AE08D3">
        <w:rPr>
          <w:rFonts w:ascii="Arial" w:eastAsiaTheme="minorEastAsia" w:hAnsi="Arial" w:cs="Arial"/>
          <w:i/>
          <w:iCs/>
          <w:color w:val="000000"/>
          <w:sz w:val="20"/>
          <w:szCs w:val="20"/>
        </w:rPr>
        <w:t xml:space="preserve"> Tener por rendido el informe remitido por la máster Ana Eugenia Romero Jenkins, Directora Ejecutiva, en oficio número 405-DE-2021 del 4 de febrero de 2021 y avalar su contenido en todos sus extremos, en consecuencia mantener los contratos indicados en ejecución conforme los términos en los cuales fueron suscritos, inclusive los contratos relativos al Fondo de Jubilaciones y Pensiones del Poder Judicial, los cuales mantienen su vigencia hasta su finalización con cargo al presupuesto del Poder Judicial, En el entendido que las nuevas contrataciones de servicio que se presten serán con cargo a ese Fondo…”</w:t>
      </w:r>
    </w:p>
    <w:p w14:paraId="229C689F" w14:textId="77777777" w:rsidR="00AE08D3" w:rsidRPr="00AE08D3" w:rsidRDefault="00AE08D3" w:rsidP="00BE5AA1">
      <w:pPr>
        <w:numPr>
          <w:ilvl w:val="0"/>
          <w:numId w:val="16"/>
        </w:numPr>
        <w:spacing w:before="240" w:after="120" w:line="360" w:lineRule="auto"/>
        <w:contextualSpacing/>
        <w:jc w:val="both"/>
        <w:rPr>
          <w:rFonts w:ascii="Arial" w:eastAsiaTheme="minorEastAsia" w:hAnsi="Arial" w:cs="Arial"/>
          <w:bCs/>
          <w:sz w:val="20"/>
          <w:szCs w:val="20"/>
        </w:rPr>
      </w:pPr>
      <w:r w:rsidRPr="00AE08D3">
        <w:rPr>
          <w:rFonts w:ascii="Arial" w:eastAsiaTheme="minorEastAsia" w:hAnsi="Arial" w:cs="Arial"/>
          <w:bCs/>
          <w:sz w:val="20"/>
          <w:szCs w:val="20"/>
        </w:rPr>
        <w:t>El Departamento de Proveeduría del Poder Judicial en fecha 19 de marzo del 2021, emitió la Circular N° 35-2021 de fecha, en la cual se indicó:</w:t>
      </w:r>
    </w:p>
    <w:p w14:paraId="65665E39" w14:textId="77777777" w:rsidR="00AE08D3" w:rsidRPr="00AE08D3" w:rsidRDefault="00AE08D3" w:rsidP="00AE08D3">
      <w:pPr>
        <w:spacing w:after="160" w:line="259" w:lineRule="auto"/>
        <w:ind w:left="851" w:right="851"/>
        <w:jc w:val="both"/>
        <w:rPr>
          <w:rFonts w:ascii="Arial" w:eastAsiaTheme="minorEastAsia" w:hAnsi="Arial" w:cs="Arial"/>
          <w:i/>
          <w:iCs/>
          <w:color w:val="000000"/>
          <w:sz w:val="20"/>
          <w:szCs w:val="20"/>
        </w:rPr>
      </w:pPr>
      <w:r w:rsidRPr="00AE08D3">
        <w:rPr>
          <w:rFonts w:ascii="Arial" w:eastAsiaTheme="minorEastAsia" w:hAnsi="Arial" w:cs="Arial"/>
          <w:i/>
          <w:iCs/>
          <w:color w:val="000000"/>
          <w:sz w:val="20"/>
          <w:szCs w:val="20"/>
        </w:rPr>
        <w:t>“En acatamiento a lo dispuesto por el Consejo Superior, mediante el acuerdo de la sesión N° 06-2021 celebrada el 21 de enero del 2021, artículo XIV, sobre la aprobación de la Ley No. 9926, Presupuesto Ordinario y Extraordinario de la República para el Ejercicio Económico del 2021 y su relación con el artículo 7 de esta Ley, además de las recomendaciones emitidas por los Superiores Jerárquicos, para adoptar decisiones sobre esta materia a nivel institucional, se deberá de tomar en consideración las siguientes directrices sobre las normas de ejecución presupuestaria para futuras compras, las cuales serán de acatamiento obligatorio a partir de la notificación de esta circular:</w:t>
      </w:r>
    </w:p>
    <w:p w14:paraId="23398EF8" w14:textId="77777777" w:rsidR="00AE08D3" w:rsidRPr="00AE08D3" w:rsidRDefault="00AE08D3" w:rsidP="00AE08D3">
      <w:pPr>
        <w:spacing w:after="160" w:line="259" w:lineRule="auto"/>
        <w:ind w:left="851" w:right="851"/>
        <w:jc w:val="both"/>
        <w:rPr>
          <w:rFonts w:ascii="Arial" w:eastAsiaTheme="minorEastAsia" w:hAnsi="Arial" w:cs="Arial"/>
          <w:i/>
          <w:iCs/>
          <w:color w:val="000000"/>
          <w:sz w:val="20"/>
          <w:szCs w:val="20"/>
        </w:rPr>
      </w:pPr>
      <w:r w:rsidRPr="00AE08D3">
        <w:rPr>
          <w:rFonts w:ascii="Arial" w:eastAsiaTheme="minorEastAsia" w:hAnsi="Arial" w:cs="Arial"/>
          <w:i/>
          <w:iCs/>
          <w:color w:val="000000"/>
          <w:sz w:val="20"/>
          <w:szCs w:val="20"/>
        </w:rPr>
        <w:t xml:space="preserve">La norma de ejecución presupuestaria 15 establece que, durante el año 2021, las nuevas necesidades de contratos de servicios de gestión y apoyo, a los que se refieren las subpartidas 10401, 10402, 10403, 10404 y 10405, deberán ser suplidas, mediante el recurso humano institucional existente o mediante convenios de cooperación con otras instituciones del sector público.  </w:t>
      </w:r>
    </w:p>
    <w:p w14:paraId="722E86E6" w14:textId="77777777" w:rsidR="00AE08D3" w:rsidRPr="00AE08D3" w:rsidRDefault="00AE08D3" w:rsidP="00AE08D3">
      <w:pPr>
        <w:spacing w:after="160" w:line="259" w:lineRule="auto"/>
        <w:ind w:left="851" w:right="851"/>
        <w:jc w:val="both"/>
        <w:rPr>
          <w:rFonts w:ascii="Arial" w:eastAsiaTheme="minorEastAsia" w:hAnsi="Arial" w:cs="Arial"/>
          <w:i/>
          <w:iCs/>
          <w:color w:val="000000"/>
          <w:sz w:val="20"/>
          <w:szCs w:val="20"/>
        </w:rPr>
      </w:pPr>
      <w:r w:rsidRPr="00AE08D3">
        <w:rPr>
          <w:rFonts w:ascii="Arial" w:eastAsiaTheme="minorEastAsia" w:hAnsi="Arial" w:cs="Arial"/>
          <w:i/>
          <w:iCs/>
          <w:color w:val="000000"/>
          <w:sz w:val="20"/>
          <w:szCs w:val="20"/>
        </w:rPr>
        <w:t xml:space="preserve">Es por lo anterior, que cada vez que se solicite ante este Departamento el trámite de contrataciones por las subpartidas ya indicadas y como parte de las condiciones que se acreditan en los oficios de decisión inicial y en las diligencias que se deben de remitir adjuntas a las requisiciones, las oficinas usuarias deberán incluir el estudio realizado que atienda la referida norma, mediante el cual demuestren los análisis realizados para suplir estos servicios, en primera instancia, con recursos institucionales o mediante convenios de cooperación con otras instituciones del Sector Público y donde concluyan que pese a la valoración de estas alternativas se debe recurrir a la subcontratación de estos servicios. </w:t>
      </w:r>
    </w:p>
    <w:p w14:paraId="7DFA1857" w14:textId="77777777" w:rsidR="00AE08D3" w:rsidRPr="00AE08D3" w:rsidRDefault="00AE08D3" w:rsidP="00AE08D3">
      <w:pPr>
        <w:spacing w:after="160" w:line="259" w:lineRule="auto"/>
        <w:ind w:left="851" w:right="851"/>
        <w:jc w:val="both"/>
        <w:rPr>
          <w:rFonts w:ascii="Arial" w:eastAsiaTheme="minorEastAsia" w:hAnsi="Arial" w:cs="Arial"/>
          <w:i/>
          <w:iCs/>
          <w:color w:val="000000"/>
          <w:sz w:val="20"/>
          <w:szCs w:val="20"/>
          <w:u w:val="single"/>
        </w:rPr>
      </w:pPr>
      <w:r w:rsidRPr="00AE08D3">
        <w:rPr>
          <w:rFonts w:ascii="Arial" w:eastAsiaTheme="minorEastAsia" w:hAnsi="Arial" w:cs="Arial"/>
          <w:i/>
          <w:iCs/>
          <w:color w:val="000000"/>
          <w:sz w:val="20"/>
          <w:szCs w:val="20"/>
          <w:u w:val="single"/>
        </w:rPr>
        <w:lastRenderedPageBreak/>
        <w:t>El aporte de este informe es de carácter obligatorio y sin excepción, no se tramitará ninguna gestión que no atienda este requisito.</w:t>
      </w:r>
    </w:p>
    <w:p w14:paraId="7E84CC4B" w14:textId="77777777" w:rsidR="00AE08D3" w:rsidRPr="00AE08D3" w:rsidRDefault="00AE08D3" w:rsidP="00AE08D3">
      <w:pPr>
        <w:spacing w:after="160" w:line="259" w:lineRule="auto"/>
        <w:ind w:left="851" w:right="851"/>
        <w:jc w:val="both"/>
        <w:rPr>
          <w:rFonts w:ascii="Arial" w:eastAsiaTheme="minorEastAsia" w:hAnsi="Arial" w:cs="Arial"/>
          <w:i/>
          <w:iCs/>
          <w:color w:val="000000"/>
          <w:sz w:val="20"/>
          <w:szCs w:val="20"/>
        </w:rPr>
      </w:pPr>
      <w:r w:rsidRPr="00AE08D3">
        <w:rPr>
          <w:rFonts w:ascii="Arial" w:eastAsiaTheme="minorEastAsia" w:hAnsi="Arial" w:cs="Arial"/>
          <w:i/>
          <w:iCs/>
          <w:color w:val="000000"/>
          <w:sz w:val="20"/>
          <w:szCs w:val="20"/>
        </w:rPr>
        <w:t>Es importante señalar, que las gestiones que se reciban a partir del comunicado de esta circular que no se ajusten a lo indicado, serán devueltas sin trámite, por lo que está Proveeduría no asumirá ninguna responsabilidad por el atraso que esto pueda generar.”</w:t>
      </w:r>
    </w:p>
    <w:p w14:paraId="06D44B3C" w14:textId="77777777" w:rsidR="00AE08D3" w:rsidRPr="00DF31F3" w:rsidRDefault="00AE08D3" w:rsidP="00DF31F3">
      <w:pPr>
        <w:spacing w:after="160" w:line="259" w:lineRule="auto"/>
        <w:rPr>
          <w:rFonts w:ascii="Arial" w:eastAsiaTheme="minorEastAsia" w:hAnsi="Arial" w:cs="Arial"/>
          <w:b/>
          <w:color w:val="002060"/>
          <w:sz w:val="20"/>
          <w:szCs w:val="22"/>
        </w:rPr>
      </w:pPr>
    </w:p>
    <w:p w14:paraId="1AE05E81" w14:textId="77777777" w:rsidR="00DF31F3" w:rsidRPr="00DF31F3" w:rsidRDefault="00DF31F3" w:rsidP="00DF31F3">
      <w:pPr>
        <w:spacing w:after="160" w:line="259" w:lineRule="auto"/>
        <w:rPr>
          <w:rFonts w:ascii="Arial" w:eastAsiaTheme="minorEastAsia" w:hAnsi="Arial" w:cs="Arial"/>
          <w:b/>
          <w:color w:val="002060"/>
          <w:sz w:val="20"/>
          <w:szCs w:val="22"/>
        </w:rPr>
      </w:pPr>
      <w:r w:rsidRPr="00DF31F3">
        <w:rPr>
          <w:rFonts w:ascii="Arial" w:eastAsiaTheme="minorEastAsia" w:hAnsi="Arial" w:cs="Arial"/>
          <w:b/>
          <w:color w:val="002060"/>
          <w:sz w:val="20"/>
          <w:szCs w:val="22"/>
        </w:rPr>
        <w:t>Cumplimiento de la norma de ejecución 20</w:t>
      </w:r>
    </w:p>
    <w:p w14:paraId="2C964CC3" w14:textId="77777777" w:rsidR="00DF31F3" w:rsidRDefault="00DF31F3" w:rsidP="00DF31F3">
      <w:pPr>
        <w:spacing w:before="240" w:after="120" w:line="360" w:lineRule="auto"/>
        <w:jc w:val="both"/>
        <w:rPr>
          <w:rFonts w:ascii="Arial" w:eastAsiaTheme="minorEastAsia" w:hAnsi="Arial" w:cs="Arial"/>
          <w:bCs/>
          <w:sz w:val="20"/>
          <w:szCs w:val="20"/>
        </w:rPr>
      </w:pPr>
      <w:r w:rsidRPr="00DF31F3">
        <w:rPr>
          <w:rFonts w:ascii="Arial" w:eastAsiaTheme="minorEastAsia" w:hAnsi="Arial" w:cs="Arial"/>
          <w:bCs/>
          <w:sz w:val="20"/>
          <w:szCs w:val="20"/>
        </w:rPr>
        <w:t>En atención a lo establecido en la norma de ejecución 20 incluida en la ley 9926 y lo indicado en el “</w:t>
      </w:r>
      <w:r w:rsidRPr="00DF31F3">
        <w:rPr>
          <w:rFonts w:ascii="Arial" w:eastAsiaTheme="minorEastAsia" w:hAnsi="Arial" w:cs="Arial"/>
          <w:bCs/>
          <w:i/>
          <w:sz w:val="20"/>
          <w:szCs w:val="20"/>
        </w:rPr>
        <w:t>Lineamiento para el Gasto de Capital</w:t>
      </w:r>
      <w:r w:rsidRPr="00DF31F3">
        <w:rPr>
          <w:rFonts w:ascii="Arial" w:eastAsiaTheme="minorEastAsia" w:hAnsi="Arial" w:cs="Arial"/>
          <w:bCs/>
          <w:sz w:val="20"/>
          <w:szCs w:val="20"/>
        </w:rPr>
        <w:t>” emitido por el Área de Inversiones de MIDEPLAN, se debe llenar el cuadro 4 y en los casos que no exista un 100% de cumplimiento, indicar las justificaciones que respaldan el incumplimiento. Adicionalmente, en el cuadro 6 se debe suministrar información sobre los proyectos registrados en el Banco de Proyectos de Inversión Pública (BPIP) correspondientes a 2021.</w:t>
      </w:r>
    </w:p>
    <w:p w14:paraId="1E72E07B" w14:textId="77777777" w:rsidR="00BB165B" w:rsidRPr="00BB165B" w:rsidRDefault="00BB165B" w:rsidP="00834AF4">
      <w:pPr>
        <w:spacing w:before="240" w:after="120" w:line="360" w:lineRule="auto"/>
        <w:jc w:val="center"/>
        <w:rPr>
          <w:rFonts w:ascii="Arial" w:eastAsiaTheme="minorEastAsia" w:hAnsi="Arial" w:cs="Arial"/>
          <w:bCs/>
          <w:sz w:val="20"/>
          <w:szCs w:val="20"/>
        </w:rPr>
      </w:pPr>
    </w:p>
    <w:p w14:paraId="381A81A3" w14:textId="13FF9569" w:rsidR="00BB165B" w:rsidRPr="00BB165B" w:rsidRDefault="00CC2F03" w:rsidP="00834AF4">
      <w:pPr>
        <w:pStyle w:val="Descripcin"/>
        <w:jc w:val="center"/>
        <w:rPr>
          <w:rFonts w:ascii="Arial" w:eastAsiaTheme="minorEastAsia" w:hAnsi="Arial" w:cs="Arial"/>
          <w:b/>
          <w:color w:val="000000"/>
          <w:sz w:val="20"/>
          <w:szCs w:val="20"/>
          <w:lang w:eastAsia="es-CR"/>
        </w:rPr>
      </w:pPr>
      <w:r w:rsidRPr="00AE3D7B">
        <w:rPr>
          <w:rFonts w:ascii="Arial" w:eastAsiaTheme="minorEastAsia" w:hAnsi="Arial" w:cs="Arial"/>
          <w:b/>
          <w:i w:val="0"/>
          <w:iCs w:val="0"/>
          <w:color w:val="000000"/>
          <w:sz w:val="20"/>
          <w:szCs w:val="20"/>
          <w:lang w:eastAsia="es-CR"/>
        </w:rPr>
        <w:t>C</w:t>
      </w:r>
      <w:r w:rsidR="00834AF4" w:rsidRPr="00AE3D7B">
        <w:rPr>
          <w:rFonts w:ascii="Arial" w:eastAsiaTheme="minorEastAsia" w:hAnsi="Arial" w:cs="Arial"/>
          <w:b/>
          <w:i w:val="0"/>
          <w:iCs w:val="0"/>
          <w:color w:val="000000"/>
          <w:sz w:val="20"/>
          <w:szCs w:val="20"/>
          <w:lang w:eastAsia="es-CR"/>
        </w:rPr>
        <w:t xml:space="preserve">uadro  </w:t>
      </w:r>
      <w:r w:rsidR="00834AF4" w:rsidRPr="00AE3D7B">
        <w:rPr>
          <w:rFonts w:ascii="Arial" w:eastAsiaTheme="minorEastAsia" w:hAnsi="Arial" w:cs="Arial"/>
          <w:b/>
          <w:i w:val="0"/>
          <w:iCs w:val="0"/>
          <w:color w:val="000000"/>
          <w:sz w:val="20"/>
          <w:szCs w:val="20"/>
          <w:lang w:eastAsia="es-CR"/>
        </w:rPr>
        <w:fldChar w:fldCharType="begin"/>
      </w:r>
      <w:r w:rsidR="00834AF4" w:rsidRPr="00AE3D7B">
        <w:rPr>
          <w:rFonts w:ascii="Arial" w:eastAsiaTheme="minorEastAsia" w:hAnsi="Arial" w:cs="Arial"/>
          <w:b/>
          <w:i w:val="0"/>
          <w:iCs w:val="0"/>
          <w:color w:val="000000"/>
          <w:sz w:val="20"/>
          <w:szCs w:val="20"/>
          <w:lang w:eastAsia="es-CR"/>
        </w:rPr>
        <w:instrText xml:space="preserve"> SEQ cuadro_ \* ARABIC </w:instrText>
      </w:r>
      <w:r w:rsidR="00834AF4" w:rsidRPr="00AE3D7B">
        <w:rPr>
          <w:rFonts w:ascii="Arial" w:eastAsiaTheme="minorEastAsia" w:hAnsi="Arial" w:cs="Arial"/>
          <w:b/>
          <w:i w:val="0"/>
          <w:iCs w:val="0"/>
          <w:color w:val="000000"/>
          <w:sz w:val="20"/>
          <w:szCs w:val="20"/>
          <w:lang w:eastAsia="es-CR"/>
        </w:rPr>
        <w:fldChar w:fldCharType="separate"/>
      </w:r>
      <w:r w:rsidR="00150A2C" w:rsidRPr="00AE3D7B">
        <w:rPr>
          <w:rFonts w:ascii="Arial" w:eastAsiaTheme="minorEastAsia" w:hAnsi="Arial" w:cs="Arial"/>
          <w:b/>
          <w:i w:val="0"/>
          <w:iCs w:val="0"/>
          <w:noProof/>
          <w:color w:val="000000"/>
          <w:sz w:val="20"/>
          <w:szCs w:val="20"/>
          <w:lang w:eastAsia="es-CR"/>
        </w:rPr>
        <w:t>4</w:t>
      </w:r>
      <w:r w:rsidR="00834AF4" w:rsidRPr="00AE3D7B">
        <w:rPr>
          <w:rFonts w:ascii="Arial" w:eastAsiaTheme="minorEastAsia" w:hAnsi="Arial" w:cs="Arial"/>
          <w:b/>
          <w:i w:val="0"/>
          <w:iCs w:val="0"/>
          <w:color w:val="000000"/>
          <w:sz w:val="20"/>
          <w:szCs w:val="20"/>
          <w:lang w:eastAsia="es-CR"/>
        </w:rPr>
        <w:fldChar w:fldCharType="end"/>
      </w:r>
      <w:r w:rsidR="00BB165B" w:rsidRPr="00AE3D7B">
        <w:rPr>
          <w:rFonts w:ascii="Arial" w:eastAsiaTheme="minorEastAsia" w:hAnsi="Arial" w:cs="Arial"/>
          <w:b/>
          <w:i w:val="0"/>
          <w:iCs w:val="0"/>
          <w:color w:val="000000"/>
          <w:sz w:val="20"/>
          <w:szCs w:val="20"/>
          <w:lang w:eastAsia="es-CR"/>
        </w:rPr>
        <w:t>.</w:t>
      </w:r>
      <w:r w:rsidR="00BB165B" w:rsidRPr="00834AF4">
        <w:rPr>
          <w:rFonts w:ascii="Arial" w:eastAsiaTheme="minorEastAsia" w:hAnsi="Arial" w:cs="Arial"/>
          <w:b/>
          <w:color w:val="000000"/>
          <w:sz w:val="20"/>
          <w:szCs w:val="20"/>
          <w:lang w:eastAsia="es-CR"/>
        </w:rPr>
        <w:t xml:space="preserve"> </w:t>
      </w:r>
      <w:r w:rsidR="00BB165B" w:rsidRPr="00BB165B">
        <w:rPr>
          <w:rFonts w:ascii="Arial" w:eastAsiaTheme="minorEastAsia" w:hAnsi="Arial" w:cs="Arial"/>
          <w:b/>
          <w:color w:val="000000"/>
          <w:sz w:val="20"/>
          <w:szCs w:val="20"/>
          <w:lang w:eastAsia="es-CR"/>
        </w:rPr>
        <w:t>Gasto de capital</w:t>
      </w:r>
      <w:r w:rsidR="00BB165B" w:rsidRPr="00834AF4">
        <w:rPr>
          <w:rFonts w:ascii="Arial" w:eastAsiaTheme="minorEastAsia" w:hAnsi="Arial" w:cs="Arial"/>
          <w:b/>
          <w:color w:val="000000"/>
          <w:sz w:val="20"/>
          <w:szCs w:val="20"/>
          <w:lang w:eastAsia="es-CR"/>
        </w:rPr>
        <w:t>/1</w:t>
      </w:r>
      <w:r w:rsidR="00BB165B" w:rsidRPr="00BB165B">
        <w:rPr>
          <w:rFonts w:ascii="Arial" w:eastAsiaTheme="minorEastAsia" w:hAnsi="Arial" w:cs="Arial"/>
          <w:b/>
          <w:color w:val="000000"/>
          <w:sz w:val="20"/>
          <w:szCs w:val="20"/>
          <w:lang w:eastAsia="es-CR"/>
        </w:rPr>
        <w:t xml:space="preserve"> asociado a proyectos de inversión</w:t>
      </w:r>
    </w:p>
    <w:p w14:paraId="6BEC1178" w14:textId="2ADDFA7D" w:rsidR="00BB165B" w:rsidRPr="00BB165B" w:rsidRDefault="00BB165B" w:rsidP="00BB165B">
      <w:pPr>
        <w:ind w:left="55"/>
        <w:contextualSpacing/>
        <w:jc w:val="center"/>
        <w:rPr>
          <w:rFonts w:ascii="Arial" w:eastAsiaTheme="minorEastAsia" w:hAnsi="Arial" w:cs="Arial"/>
          <w:sz w:val="20"/>
          <w:szCs w:val="20"/>
          <w:lang w:eastAsia="es-CR"/>
        </w:rPr>
      </w:pPr>
      <w:r w:rsidRPr="00BB165B">
        <w:rPr>
          <w:rFonts w:ascii="Arial" w:eastAsiaTheme="minorEastAsia" w:hAnsi="Arial" w:cs="Arial"/>
          <w:sz w:val="20"/>
          <w:szCs w:val="20"/>
          <w:lang w:eastAsia="es-CR"/>
        </w:rPr>
        <w:t>P</w:t>
      </w:r>
      <w:r w:rsidR="00D74C6A">
        <w:rPr>
          <w:rFonts w:ascii="Arial" w:eastAsiaTheme="minorEastAsia" w:hAnsi="Arial" w:cs="Arial"/>
          <w:sz w:val="20"/>
          <w:szCs w:val="20"/>
          <w:lang w:eastAsia="es-CR"/>
        </w:rPr>
        <w:t>oder</w:t>
      </w:r>
      <w:r w:rsidRPr="00BB165B">
        <w:rPr>
          <w:rFonts w:ascii="Arial" w:eastAsiaTheme="minorEastAsia" w:hAnsi="Arial" w:cs="Arial"/>
          <w:sz w:val="20"/>
          <w:szCs w:val="20"/>
          <w:lang w:eastAsia="es-CR"/>
        </w:rPr>
        <w:t xml:space="preserve"> J</w:t>
      </w:r>
      <w:r w:rsidR="00D74C6A">
        <w:rPr>
          <w:rFonts w:ascii="Arial" w:eastAsiaTheme="minorEastAsia" w:hAnsi="Arial" w:cs="Arial"/>
          <w:sz w:val="20"/>
          <w:szCs w:val="20"/>
          <w:lang w:eastAsia="es-CR"/>
        </w:rPr>
        <w:t>udicial</w:t>
      </w:r>
    </w:p>
    <w:p w14:paraId="5A671ED4" w14:textId="77777777" w:rsidR="00BB165B" w:rsidRPr="00BB165B" w:rsidRDefault="00BB165B" w:rsidP="00BB165B">
      <w:pPr>
        <w:jc w:val="center"/>
        <w:rPr>
          <w:rFonts w:ascii="Arial" w:eastAsiaTheme="minorEastAsia" w:hAnsi="Arial" w:cs="Arial"/>
          <w:sz w:val="20"/>
          <w:szCs w:val="20"/>
          <w:lang w:val="es-ES_tradnl"/>
        </w:rPr>
      </w:pPr>
      <w:r w:rsidRPr="00BB165B">
        <w:rPr>
          <w:rFonts w:ascii="Arial" w:eastAsiaTheme="minorEastAsia" w:hAnsi="Arial" w:cs="Arial"/>
          <w:sz w:val="20"/>
          <w:szCs w:val="20"/>
          <w:lang w:val="es-ES_tradnl"/>
        </w:rPr>
        <w:t>Al 31 de diciembre 2021</w:t>
      </w:r>
    </w:p>
    <w:p w14:paraId="41169D22" w14:textId="41B835F2" w:rsidR="00BB165B" w:rsidRDefault="00BB165B" w:rsidP="00BB165B">
      <w:pPr>
        <w:jc w:val="center"/>
        <w:rPr>
          <w:rFonts w:ascii="Arial" w:eastAsiaTheme="minorEastAsia" w:hAnsi="Arial" w:cs="Arial"/>
          <w:i/>
          <w:sz w:val="20"/>
          <w:szCs w:val="20"/>
          <w:lang w:eastAsia="es-CR"/>
        </w:rPr>
      </w:pPr>
      <w:r w:rsidRPr="00BB165B">
        <w:rPr>
          <w:rFonts w:ascii="Arial" w:eastAsiaTheme="minorEastAsia" w:hAnsi="Arial" w:cs="Arial"/>
          <w:i/>
          <w:sz w:val="20"/>
          <w:szCs w:val="20"/>
          <w:lang w:eastAsia="es-CR"/>
        </w:rPr>
        <w:t xml:space="preserve"> (en millones de colones)</w:t>
      </w:r>
    </w:p>
    <w:p w14:paraId="52FA5B4E" w14:textId="77777777" w:rsidR="00ED7ABE" w:rsidRPr="00BB165B" w:rsidRDefault="00ED7ABE" w:rsidP="00BB165B">
      <w:pPr>
        <w:jc w:val="center"/>
        <w:rPr>
          <w:rFonts w:ascii="Arial" w:eastAsiaTheme="minorEastAsia" w:hAnsi="Arial" w:cs="Arial"/>
          <w:i/>
          <w:sz w:val="20"/>
          <w:szCs w:val="20"/>
          <w:lang w:eastAsia="es-CR"/>
        </w:rPr>
      </w:pPr>
    </w:p>
    <w:tbl>
      <w:tblPr>
        <w:tblStyle w:val="Listaclara-nfasis112"/>
        <w:tblW w:w="8926" w:type="dxa"/>
        <w:tblLook w:val="00A0" w:firstRow="1" w:lastRow="0" w:firstColumn="1" w:lastColumn="0" w:noHBand="0" w:noVBand="0"/>
      </w:tblPr>
      <w:tblGrid>
        <w:gridCol w:w="1765"/>
        <w:gridCol w:w="1765"/>
        <w:gridCol w:w="1766"/>
        <w:gridCol w:w="3630"/>
      </w:tblGrid>
      <w:tr w:rsidR="00BB165B" w:rsidRPr="00BB165B" w14:paraId="230223AE" w14:textId="77777777" w:rsidTr="00465D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5" w:type="dxa"/>
            <w:vAlign w:val="center"/>
          </w:tcPr>
          <w:p w14:paraId="1B96ED55" w14:textId="77777777" w:rsidR="00BB165B" w:rsidRPr="00BB165B" w:rsidRDefault="00BB165B" w:rsidP="00BB165B">
            <w:pPr>
              <w:jc w:val="center"/>
              <w:rPr>
                <w:rFonts w:ascii="Arial" w:hAnsi="Arial" w:cs="Arial"/>
                <w:sz w:val="20"/>
                <w:szCs w:val="20"/>
                <w:lang w:val="es-ES_tradnl"/>
              </w:rPr>
            </w:pPr>
            <w:r w:rsidRPr="00BB165B">
              <w:rPr>
                <w:rFonts w:ascii="Arial" w:hAnsi="Arial" w:cs="Arial"/>
                <w:sz w:val="20"/>
                <w:szCs w:val="20"/>
                <w:lang w:val="es-ES_tradnl"/>
              </w:rPr>
              <w:t xml:space="preserve">Monto de gasto de capital </w:t>
            </w:r>
            <w:r w:rsidRPr="00BB165B">
              <w:rPr>
                <w:rFonts w:ascii="Arial" w:hAnsi="Arial" w:cs="Arial"/>
                <w:sz w:val="20"/>
                <w:szCs w:val="20"/>
                <w:vertAlign w:val="superscript"/>
                <w:lang w:val="es-ES_tradnl"/>
              </w:rPr>
              <w:t>/1</w:t>
            </w:r>
            <w:r w:rsidRPr="00BB165B">
              <w:rPr>
                <w:rFonts w:ascii="Arial" w:hAnsi="Arial" w:cs="Arial"/>
                <w:sz w:val="20"/>
                <w:szCs w:val="20"/>
                <w:lang w:val="es-ES_tradnl"/>
              </w:rPr>
              <w:t xml:space="preserve"> presupuesto actual</w:t>
            </w:r>
          </w:p>
        </w:tc>
        <w:tc>
          <w:tcPr>
            <w:cnfStyle w:val="000010000000" w:firstRow="0" w:lastRow="0" w:firstColumn="0" w:lastColumn="0" w:oddVBand="1" w:evenVBand="0" w:oddHBand="0" w:evenHBand="0" w:firstRowFirstColumn="0" w:firstRowLastColumn="0" w:lastRowFirstColumn="0" w:lastRowLastColumn="0"/>
            <w:tcW w:w="1765" w:type="dxa"/>
            <w:vAlign w:val="center"/>
          </w:tcPr>
          <w:p w14:paraId="081B9067" w14:textId="77777777" w:rsidR="00BB165B" w:rsidRPr="00BB165B" w:rsidRDefault="00BB165B" w:rsidP="00BB165B">
            <w:pPr>
              <w:jc w:val="center"/>
              <w:rPr>
                <w:rFonts w:ascii="Arial" w:hAnsi="Arial" w:cs="Arial"/>
                <w:sz w:val="20"/>
                <w:szCs w:val="20"/>
                <w:lang w:val="es-ES_tradnl"/>
              </w:rPr>
            </w:pPr>
            <w:r w:rsidRPr="00BB165B">
              <w:rPr>
                <w:rFonts w:ascii="Arial" w:hAnsi="Arial" w:cs="Arial"/>
                <w:sz w:val="20"/>
                <w:szCs w:val="20"/>
                <w:lang w:val="es-ES_tradnl"/>
              </w:rPr>
              <w:t>Monto asociado a proyectos de inversión</w:t>
            </w:r>
          </w:p>
        </w:tc>
        <w:tc>
          <w:tcPr>
            <w:tcW w:w="1766" w:type="dxa"/>
            <w:vAlign w:val="center"/>
          </w:tcPr>
          <w:p w14:paraId="247F6D93" w14:textId="77777777" w:rsidR="00BB165B" w:rsidRPr="00BB165B" w:rsidRDefault="00BB165B" w:rsidP="00BB165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BB165B">
              <w:rPr>
                <w:rFonts w:ascii="Arial" w:hAnsi="Arial" w:cs="Arial"/>
                <w:sz w:val="20"/>
                <w:szCs w:val="20"/>
                <w:lang w:val="es-ES_tradnl"/>
              </w:rPr>
              <w:t xml:space="preserve">Porcentaje de cumplimiento </w:t>
            </w:r>
          </w:p>
          <w:p w14:paraId="479B760C" w14:textId="77777777" w:rsidR="00BB165B" w:rsidRPr="00BB165B" w:rsidRDefault="00BB165B" w:rsidP="00BB165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p>
        </w:tc>
        <w:tc>
          <w:tcPr>
            <w:cnfStyle w:val="000010000000" w:firstRow="0" w:lastRow="0" w:firstColumn="0" w:lastColumn="0" w:oddVBand="1" w:evenVBand="0" w:oddHBand="0" w:evenHBand="0" w:firstRowFirstColumn="0" w:firstRowLastColumn="0" w:lastRowFirstColumn="0" w:lastRowLastColumn="0"/>
            <w:tcW w:w="3630" w:type="dxa"/>
            <w:vAlign w:val="center"/>
          </w:tcPr>
          <w:p w14:paraId="320C7570" w14:textId="77777777" w:rsidR="00BB165B" w:rsidRPr="00BB165B" w:rsidRDefault="00BB165B" w:rsidP="00BB165B">
            <w:pPr>
              <w:jc w:val="center"/>
              <w:rPr>
                <w:rFonts w:ascii="Arial" w:hAnsi="Arial" w:cs="Arial"/>
                <w:sz w:val="20"/>
                <w:szCs w:val="20"/>
                <w:lang w:val="es-ES_tradnl"/>
              </w:rPr>
            </w:pPr>
            <w:r w:rsidRPr="00BB165B">
              <w:rPr>
                <w:rFonts w:ascii="Arial" w:hAnsi="Arial" w:cs="Arial"/>
                <w:sz w:val="20"/>
                <w:szCs w:val="20"/>
                <w:lang w:val="es-ES_tradnl"/>
              </w:rPr>
              <w:t xml:space="preserve">Justificaciones </w:t>
            </w:r>
          </w:p>
        </w:tc>
      </w:tr>
      <w:tr w:rsidR="00BB165B" w:rsidRPr="00BB165B" w14:paraId="5332B0BD" w14:textId="77777777" w:rsidTr="004F5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vAlign w:val="center"/>
          </w:tcPr>
          <w:p w14:paraId="241F8375" w14:textId="77777777" w:rsidR="00BB165B" w:rsidRPr="004F5413" w:rsidRDefault="00BB165B" w:rsidP="004F5413">
            <w:pPr>
              <w:rPr>
                <w:rFonts w:ascii="Arial Narrow" w:hAnsi="Arial Narrow"/>
                <w:b w:val="0"/>
                <w:bCs w:val="0"/>
                <w:sz w:val="20"/>
                <w:szCs w:val="20"/>
                <w:lang w:val="es-ES_tradnl" w:eastAsia="en-US"/>
              </w:rPr>
            </w:pPr>
          </w:p>
          <w:p w14:paraId="6802F0A6" w14:textId="77777777" w:rsidR="00BB165B" w:rsidRPr="004F5413" w:rsidRDefault="00BB165B" w:rsidP="004F5413">
            <w:pPr>
              <w:jc w:val="center"/>
              <w:rPr>
                <w:rFonts w:ascii="Arial" w:hAnsi="Arial" w:cs="Arial"/>
                <w:b w:val="0"/>
                <w:bCs w:val="0"/>
                <w:color w:val="C00000"/>
                <w:sz w:val="20"/>
                <w:szCs w:val="20"/>
                <w:lang w:val="es-ES_tradnl"/>
              </w:rPr>
            </w:pPr>
            <w:r w:rsidRPr="004F5413">
              <w:rPr>
                <w:rFonts w:ascii="Arial Narrow" w:hAnsi="Arial Narrow"/>
                <w:b w:val="0"/>
                <w:bCs w:val="0"/>
                <w:sz w:val="20"/>
                <w:szCs w:val="20"/>
                <w:lang w:val="es-ES_tradnl" w:eastAsia="en-US"/>
              </w:rPr>
              <w:t xml:space="preserve">20.346,65 </w:t>
            </w:r>
            <w:r w:rsidRPr="004F5413">
              <w:rPr>
                <w:rFonts w:ascii="Arial Narrow" w:hAnsi="Arial Narrow"/>
                <w:b w:val="0"/>
                <w:bCs w:val="0"/>
                <w:sz w:val="20"/>
                <w:szCs w:val="20"/>
                <w:vertAlign w:val="superscript"/>
                <w:lang w:val="es-ES_tradnl" w:eastAsia="en-US"/>
              </w:rPr>
              <w:t>/2</w:t>
            </w:r>
          </w:p>
        </w:tc>
        <w:tc>
          <w:tcPr>
            <w:cnfStyle w:val="000010000000" w:firstRow="0" w:lastRow="0" w:firstColumn="0" w:lastColumn="0" w:oddVBand="1" w:evenVBand="0" w:oddHBand="0" w:evenHBand="0" w:firstRowFirstColumn="0" w:firstRowLastColumn="0" w:lastRowFirstColumn="0" w:lastRowLastColumn="0"/>
            <w:tcW w:w="1765" w:type="dxa"/>
            <w:vAlign w:val="center"/>
          </w:tcPr>
          <w:p w14:paraId="53D705A4" w14:textId="77777777" w:rsidR="00BB165B" w:rsidRPr="004F5413" w:rsidRDefault="00BB165B" w:rsidP="004F5413">
            <w:pPr>
              <w:jc w:val="center"/>
              <w:rPr>
                <w:rFonts w:ascii="Arial" w:hAnsi="Arial" w:cs="Arial"/>
                <w:color w:val="C00000"/>
                <w:sz w:val="20"/>
                <w:szCs w:val="20"/>
                <w:lang w:val="es-ES_tradnl"/>
              </w:rPr>
            </w:pPr>
            <w:r w:rsidRPr="004F5413">
              <w:rPr>
                <w:rFonts w:ascii="Arial Narrow" w:hAnsi="Arial Narrow"/>
                <w:sz w:val="20"/>
                <w:szCs w:val="20"/>
                <w:lang w:val="en-US" w:eastAsia="en-US"/>
              </w:rPr>
              <w:t>9.524,93</w:t>
            </w:r>
          </w:p>
        </w:tc>
        <w:tc>
          <w:tcPr>
            <w:tcW w:w="1766" w:type="dxa"/>
            <w:vAlign w:val="center"/>
          </w:tcPr>
          <w:p w14:paraId="7B004FA6" w14:textId="77777777" w:rsidR="00BB165B" w:rsidRPr="004F5413" w:rsidRDefault="00BB165B" w:rsidP="004F541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es-ES_tradnl"/>
              </w:rPr>
            </w:pPr>
            <w:r w:rsidRPr="004F5413">
              <w:rPr>
                <w:rFonts w:ascii="Arial Narrow" w:hAnsi="Arial Narrow"/>
                <w:sz w:val="20"/>
                <w:szCs w:val="20"/>
                <w:lang w:val="es-ES_tradnl" w:eastAsia="en-US"/>
              </w:rPr>
              <w:t>46,81%</w:t>
            </w:r>
          </w:p>
        </w:tc>
        <w:tc>
          <w:tcPr>
            <w:cnfStyle w:val="000010000000" w:firstRow="0" w:lastRow="0" w:firstColumn="0" w:lastColumn="0" w:oddVBand="1" w:evenVBand="0" w:oddHBand="0" w:evenHBand="0" w:firstRowFirstColumn="0" w:firstRowLastColumn="0" w:lastRowFirstColumn="0" w:lastRowLastColumn="0"/>
            <w:tcW w:w="3630" w:type="dxa"/>
          </w:tcPr>
          <w:p w14:paraId="55FC82CC" w14:textId="77777777" w:rsidR="00BB165B" w:rsidRPr="00BB165B" w:rsidRDefault="00BB165B" w:rsidP="00BB165B">
            <w:pPr>
              <w:jc w:val="both"/>
              <w:rPr>
                <w:rFonts w:ascii="Arial" w:hAnsi="Arial" w:cs="Arial"/>
                <w:sz w:val="20"/>
                <w:szCs w:val="20"/>
                <w:lang w:val="es-ES_tradnl"/>
              </w:rPr>
            </w:pPr>
            <w:r w:rsidRPr="00BB165B">
              <w:rPr>
                <w:rFonts w:ascii="Arial" w:hAnsi="Arial" w:cs="Arial"/>
                <w:color w:val="000000"/>
                <w:sz w:val="20"/>
                <w:szCs w:val="20"/>
                <w:lang w:val="es-CR" w:eastAsia="es-CR"/>
              </w:rPr>
              <w:t>Este monto corresponde tanto a los proyectos de inversión relacionados con la partida 5 como a las diferentes compras o labores operativas financiadas con los recursos de la partida 5</w:t>
            </w:r>
            <w:r w:rsidRPr="00BB165B">
              <w:rPr>
                <w:rFonts w:ascii="Arial Narrow" w:hAnsi="Arial Narrow" w:cs="Calibri"/>
                <w:color w:val="000000"/>
                <w:sz w:val="20"/>
                <w:szCs w:val="20"/>
                <w:lang w:val="es-CR" w:eastAsia="es-CR"/>
              </w:rPr>
              <w:t xml:space="preserve">. </w:t>
            </w:r>
          </w:p>
        </w:tc>
      </w:tr>
    </w:tbl>
    <w:p w14:paraId="5AB31A53" w14:textId="77777777" w:rsidR="00BB165B" w:rsidRPr="00BB165B" w:rsidRDefault="00BB165B" w:rsidP="00BB165B">
      <w:pPr>
        <w:spacing w:after="160" w:line="276" w:lineRule="auto"/>
        <w:jc w:val="both"/>
        <w:rPr>
          <w:rFonts w:ascii="Arial Narrow" w:eastAsia="Cambria" w:hAnsi="Arial Narrow" w:cstheme="minorBidi"/>
          <w:b/>
          <w:sz w:val="16"/>
          <w:szCs w:val="16"/>
          <w:lang w:val="es-ES_tradnl" w:eastAsia="en-US"/>
        </w:rPr>
      </w:pPr>
      <w:r w:rsidRPr="00BB165B">
        <w:rPr>
          <w:rFonts w:ascii="Arial" w:eastAsiaTheme="minorEastAsia" w:hAnsi="Arial" w:cs="Arial"/>
          <w:b/>
          <w:sz w:val="16"/>
          <w:szCs w:val="20"/>
          <w:lang w:val="es-ES_tradnl"/>
        </w:rPr>
        <w:t>Fuente</w:t>
      </w:r>
      <w:r w:rsidRPr="00BB165B">
        <w:rPr>
          <w:rFonts w:ascii="Arial" w:eastAsiaTheme="minorEastAsia" w:hAnsi="Arial" w:cs="Arial"/>
          <w:sz w:val="16"/>
          <w:szCs w:val="20"/>
          <w:lang w:val="es-ES_tradnl"/>
        </w:rPr>
        <w:t xml:space="preserve">: </w:t>
      </w:r>
      <w:r w:rsidRPr="00BB165B">
        <w:rPr>
          <w:rFonts w:ascii="Arial Narrow" w:eastAsia="Cambria" w:hAnsi="Arial Narrow" w:cstheme="minorBidi"/>
          <w:bCs/>
          <w:sz w:val="16"/>
          <w:szCs w:val="16"/>
          <w:lang w:val="es-ES_tradnl" w:eastAsia="en-US"/>
        </w:rPr>
        <w:t>Información suministrada por la Dirección Ejecutiva y la Dirección de Tecnología de la Información</w:t>
      </w:r>
      <w:r w:rsidRPr="00BB165B">
        <w:rPr>
          <w:rFonts w:ascii="Arial Narrow" w:eastAsia="Cambria" w:hAnsi="Arial Narrow" w:cstheme="minorBidi"/>
          <w:b/>
          <w:sz w:val="16"/>
          <w:szCs w:val="16"/>
          <w:lang w:val="es-ES_tradnl" w:eastAsia="en-US"/>
        </w:rPr>
        <w:t>.</w:t>
      </w:r>
    </w:p>
    <w:p w14:paraId="2405CFED" w14:textId="77777777" w:rsidR="00BB165B" w:rsidRPr="00BB165B" w:rsidRDefault="00BB165B" w:rsidP="00BB165B">
      <w:pPr>
        <w:jc w:val="both"/>
        <w:rPr>
          <w:rFonts w:ascii="Arial" w:eastAsiaTheme="minorEastAsia" w:hAnsi="Arial" w:cs="Arial"/>
          <w:sz w:val="16"/>
          <w:szCs w:val="20"/>
          <w:lang w:val="es-ES_tradnl"/>
        </w:rPr>
      </w:pPr>
      <w:r w:rsidRPr="00BB165B">
        <w:rPr>
          <w:rFonts w:ascii="Arial" w:eastAsiaTheme="minorEastAsia" w:hAnsi="Arial" w:cs="Arial"/>
          <w:sz w:val="16"/>
          <w:szCs w:val="20"/>
          <w:lang w:val="es-ES_tradnl"/>
        </w:rPr>
        <w:t xml:space="preserve">/1 Se </w:t>
      </w:r>
      <w:r w:rsidRPr="00BB165B">
        <w:rPr>
          <w:rFonts w:ascii="Arial" w:eastAsiaTheme="minorEastAsia" w:hAnsi="Arial" w:cs="Arial"/>
          <w:sz w:val="16"/>
          <w:szCs w:val="20"/>
        </w:rPr>
        <w:t>exceptúan las transferencias a las municipalidades y los concejos municipales de distrito.</w:t>
      </w:r>
    </w:p>
    <w:p w14:paraId="0985C339" w14:textId="2CBE2C6B" w:rsidR="00BB165B" w:rsidRPr="00BB165B" w:rsidRDefault="00BB165B" w:rsidP="00BB165B">
      <w:pPr>
        <w:spacing w:after="160" w:line="276" w:lineRule="auto"/>
        <w:jc w:val="both"/>
        <w:rPr>
          <w:rFonts w:ascii="Arial Narrow" w:eastAsia="Cambria" w:hAnsi="Arial Narrow" w:cstheme="minorBidi"/>
          <w:sz w:val="18"/>
          <w:szCs w:val="18"/>
          <w:lang w:val="es-ES_tradnl" w:eastAsia="en-US"/>
        </w:rPr>
      </w:pPr>
      <w:r w:rsidRPr="00BB165B">
        <w:rPr>
          <w:rFonts w:ascii="Arial Narrow" w:eastAsia="Cambria" w:hAnsi="Arial Narrow"/>
          <w:sz w:val="18"/>
          <w:szCs w:val="18"/>
          <w:lang w:val="es-CR" w:eastAsia="en-US"/>
        </w:rPr>
        <w:t>/2 En este caso, se consigna el monto del presupuesto actual del Poder Judicial en la Partida 5 al 19 de julio de 2021, según consulta realizada en el sistema SIGA-PJ, módulo Financiero Contable, Ejecución.</w:t>
      </w:r>
    </w:p>
    <w:p w14:paraId="7AB5686F" w14:textId="77777777" w:rsidR="00ED7ABE" w:rsidRDefault="00ED7ABE" w:rsidP="00CC2F03">
      <w:pPr>
        <w:pStyle w:val="Descripcin"/>
        <w:jc w:val="center"/>
        <w:rPr>
          <w:rFonts w:ascii="Arial" w:eastAsiaTheme="minorEastAsia" w:hAnsi="Arial" w:cs="Arial"/>
          <w:b/>
          <w:i w:val="0"/>
          <w:iCs w:val="0"/>
          <w:color w:val="000000"/>
          <w:sz w:val="20"/>
          <w:szCs w:val="20"/>
          <w:lang w:eastAsia="es-CR"/>
        </w:rPr>
      </w:pPr>
    </w:p>
    <w:p w14:paraId="4E12B06F" w14:textId="77777777" w:rsidR="00ED7ABE" w:rsidRDefault="00ED7ABE" w:rsidP="00CC2F03">
      <w:pPr>
        <w:pStyle w:val="Descripcin"/>
        <w:jc w:val="center"/>
        <w:rPr>
          <w:rFonts w:ascii="Arial" w:eastAsiaTheme="minorEastAsia" w:hAnsi="Arial" w:cs="Arial"/>
          <w:b/>
          <w:i w:val="0"/>
          <w:iCs w:val="0"/>
          <w:color w:val="000000"/>
          <w:sz w:val="20"/>
          <w:szCs w:val="20"/>
          <w:lang w:eastAsia="es-CR"/>
        </w:rPr>
      </w:pPr>
    </w:p>
    <w:p w14:paraId="3CD3442E" w14:textId="77777777" w:rsidR="00ED7ABE" w:rsidRDefault="00ED7ABE" w:rsidP="00CC2F03">
      <w:pPr>
        <w:pStyle w:val="Descripcin"/>
        <w:jc w:val="center"/>
        <w:rPr>
          <w:rFonts w:ascii="Arial" w:eastAsiaTheme="minorEastAsia" w:hAnsi="Arial" w:cs="Arial"/>
          <w:b/>
          <w:i w:val="0"/>
          <w:iCs w:val="0"/>
          <w:color w:val="000000"/>
          <w:sz w:val="20"/>
          <w:szCs w:val="20"/>
          <w:lang w:eastAsia="es-CR"/>
        </w:rPr>
      </w:pPr>
    </w:p>
    <w:p w14:paraId="5881E6C7" w14:textId="77777777" w:rsidR="00ED7ABE" w:rsidRDefault="00ED7ABE" w:rsidP="00CC2F03">
      <w:pPr>
        <w:pStyle w:val="Descripcin"/>
        <w:jc w:val="center"/>
        <w:rPr>
          <w:rFonts w:ascii="Arial" w:eastAsiaTheme="minorEastAsia" w:hAnsi="Arial" w:cs="Arial"/>
          <w:b/>
          <w:i w:val="0"/>
          <w:iCs w:val="0"/>
          <w:color w:val="000000"/>
          <w:sz w:val="20"/>
          <w:szCs w:val="20"/>
          <w:lang w:eastAsia="es-CR"/>
        </w:rPr>
      </w:pPr>
    </w:p>
    <w:p w14:paraId="07993E8C" w14:textId="77777777" w:rsidR="00ED7ABE" w:rsidRDefault="00CC2F03" w:rsidP="00CC2F03">
      <w:pPr>
        <w:pStyle w:val="Descripcin"/>
        <w:jc w:val="center"/>
        <w:rPr>
          <w:rFonts w:ascii="Arial" w:eastAsiaTheme="minorEastAsia" w:hAnsi="Arial" w:cs="Arial"/>
          <w:color w:val="000000"/>
          <w:sz w:val="20"/>
          <w:szCs w:val="20"/>
          <w:lang w:eastAsia="es-CR"/>
        </w:rPr>
      </w:pPr>
      <w:r w:rsidRPr="001A3827">
        <w:rPr>
          <w:rFonts w:ascii="Arial" w:eastAsiaTheme="minorEastAsia" w:hAnsi="Arial" w:cs="Arial"/>
          <w:b/>
          <w:i w:val="0"/>
          <w:iCs w:val="0"/>
          <w:color w:val="000000"/>
          <w:sz w:val="20"/>
          <w:szCs w:val="20"/>
          <w:lang w:eastAsia="es-CR"/>
        </w:rPr>
        <w:lastRenderedPageBreak/>
        <w:t>C</w:t>
      </w:r>
      <w:r w:rsidR="00834AF4" w:rsidRPr="001A3827">
        <w:rPr>
          <w:rFonts w:ascii="Arial" w:eastAsiaTheme="minorEastAsia" w:hAnsi="Arial" w:cs="Arial"/>
          <w:b/>
          <w:i w:val="0"/>
          <w:iCs w:val="0"/>
          <w:color w:val="000000"/>
          <w:sz w:val="20"/>
          <w:szCs w:val="20"/>
          <w:lang w:eastAsia="es-CR"/>
        </w:rPr>
        <w:t xml:space="preserve">uadro  </w:t>
      </w:r>
      <w:r w:rsidR="00834AF4" w:rsidRPr="001A3827">
        <w:rPr>
          <w:rFonts w:ascii="Arial" w:eastAsiaTheme="minorEastAsia" w:hAnsi="Arial" w:cs="Arial"/>
          <w:b/>
          <w:i w:val="0"/>
          <w:iCs w:val="0"/>
          <w:color w:val="000000"/>
          <w:sz w:val="20"/>
          <w:szCs w:val="20"/>
          <w:lang w:eastAsia="es-CR"/>
        </w:rPr>
        <w:fldChar w:fldCharType="begin"/>
      </w:r>
      <w:r w:rsidR="00834AF4" w:rsidRPr="001A3827">
        <w:rPr>
          <w:rFonts w:ascii="Arial" w:eastAsiaTheme="minorEastAsia" w:hAnsi="Arial" w:cs="Arial"/>
          <w:b/>
          <w:i w:val="0"/>
          <w:iCs w:val="0"/>
          <w:color w:val="000000"/>
          <w:sz w:val="20"/>
          <w:szCs w:val="20"/>
          <w:lang w:eastAsia="es-CR"/>
        </w:rPr>
        <w:instrText xml:space="preserve"> SEQ cuadro_ \* ARABIC </w:instrText>
      </w:r>
      <w:r w:rsidR="00834AF4" w:rsidRPr="001A3827">
        <w:rPr>
          <w:rFonts w:ascii="Arial" w:eastAsiaTheme="minorEastAsia" w:hAnsi="Arial" w:cs="Arial"/>
          <w:b/>
          <w:i w:val="0"/>
          <w:iCs w:val="0"/>
          <w:color w:val="000000"/>
          <w:sz w:val="20"/>
          <w:szCs w:val="20"/>
          <w:lang w:eastAsia="es-CR"/>
        </w:rPr>
        <w:fldChar w:fldCharType="separate"/>
      </w:r>
      <w:r w:rsidR="00150A2C" w:rsidRPr="001A3827">
        <w:rPr>
          <w:rFonts w:ascii="Arial" w:eastAsiaTheme="minorEastAsia" w:hAnsi="Arial" w:cs="Arial"/>
          <w:b/>
          <w:i w:val="0"/>
          <w:iCs w:val="0"/>
          <w:noProof/>
          <w:color w:val="000000"/>
          <w:sz w:val="20"/>
          <w:szCs w:val="20"/>
          <w:lang w:eastAsia="es-CR"/>
        </w:rPr>
        <w:t>5</w:t>
      </w:r>
      <w:r w:rsidR="00834AF4" w:rsidRPr="001A3827">
        <w:rPr>
          <w:rFonts w:ascii="Arial" w:eastAsiaTheme="minorEastAsia" w:hAnsi="Arial" w:cs="Arial"/>
          <w:b/>
          <w:i w:val="0"/>
          <w:iCs w:val="0"/>
          <w:color w:val="000000"/>
          <w:sz w:val="20"/>
          <w:szCs w:val="20"/>
          <w:lang w:eastAsia="es-CR"/>
        </w:rPr>
        <w:fldChar w:fldCharType="end"/>
      </w:r>
      <w:r w:rsidR="00BB165B" w:rsidRPr="00BB165B">
        <w:rPr>
          <w:rFonts w:ascii="Arial" w:eastAsiaTheme="minorEastAsia" w:hAnsi="Arial" w:cs="Arial"/>
          <w:color w:val="000000"/>
          <w:sz w:val="20"/>
          <w:szCs w:val="20"/>
          <w:lang w:eastAsia="es-CR"/>
        </w:rPr>
        <w:t xml:space="preserve">. </w:t>
      </w:r>
    </w:p>
    <w:p w14:paraId="4FA66D23" w14:textId="18336AEA" w:rsidR="00BB165B" w:rsidRPr="00BB165B" w:rsidRDefault="00BB165B" w:rsidP="00CC2F03">
      <w:pPr>
        <w:pStyle w:val="Descripcin"/>
        <w:jc w:val="center"/>
        <w:rPr>
          <w:rFonts w:ascii="Arial" w:eastAsiaTheme="minorEastAsia" w:hAnsi="Arial" w:cs="Arial"/>
          <w:color w:val="000000"/>
          <w:sz w:val="20"/>
          <w:szCs w:val="20"/>
          <w:lang w:eastAsia="es-CR"/>
        </w:rPr>
      </w:pPr>
      <w:r w:rsidRPr="00BB165B">
        <w:rPr>
          <w:rFonts w:ascii="Arial" w:eastAsiaTheme="minorEastAsia" w:hAnsi="Arial" w:cs="Arial"/>
          <w:b/>
          <w:color w:val="000000"/>
          <w:sz w:val="20"/>
          <w:szCs w:val="20"/>
          <w:lang w:eastAsia="es-CR"/>
        </w:rPr>
        <w:t xml:space="preserve">Proyectos registrados en el Banco de Proyectos de Inversión Pública </w:t>
      </w:r>
      <w:r w:rsidRPr="00BB165B">
        <w:rPr>
          <w:rFonts w:ascii="Arial" w:eastAsiaTheme="minorEastAsia" w:hAnsi="Arial" w:cs="Arial"/>
          <w:b/>
          <w:color w:val="000000"/>
          <w:sz w:val="20"/>
          <w:szCs w:val="20"/>
          <w:vertAlign w:val="superscript"/>
          <w:lang w:eastAsia="es-CR"/>
        </w:rPr>
        <w:t>/1</w:t>
      </w:r>
    </w:p>
    <w:p w14:paraId="3EB5A8DD" w14:textId="232BC1BE" w:rsidR="00BB165B" w:rsidRPr="00BB165B" w:rsidRDefault="00BB165B" w:rsidP="00BB165B">
      <w:pPr>
        <w:ind w:left="55"/>
        <w:contextualSpacing/>
        <w:jc w:val="center"/>
        <w:rPr>
          <w:rFonts w:ascii="Arial" w:eastAsiaTheme="minorEastAsia" w:hAnsi="Arial" w:cs="Arial"/>
          <w:sz w:val="20"/>
          <w:szCs w:val="20"/>
          <w:lang w:eastAsia="es-CR"/>
        </w:rPr>
      </w:pPr>
      <w:r w:rsidRPr="00BB165B">
        <w:rPr>
          <w:rFonts w:ascii="Arial" w:eastAsiaTheme="minorEastAsia" w:hAnsi="Arial" w:cs="Arial"/>
          <w:sz w:val="20"/>
          <w:szCs w:val="20"/>
          <w:lang w:eastAsia="es-CR"/>
        </w:rPr>
        <w:t>P</w:t>
      </w:r>
      <w:r w:rsidR="00D74C6A">
        <w:rPr>
          <w:rFonts w:ascii="Arial" w:eastAsiaTheme="minorEastAsia" w:hAnsi="Arial" w:cs="Arial"/>
          <w:sz w:val="20"/>
          <w:szCs w:val="20"/>
          <w:lang w:eastAsia="es-CR"/>
        </w:rPr>
        <w:t>oder</w:t>
      </w:r>
      <w:r w:rsidRPr="00BB165B">
        <w:rPr>
          <w:rFonts w:ascii="Arial" w:eastAsiaTheme="minorEastAsia" w:hAnsi="Arial" w:cs="Arial"/>
          <w:sz w:val="20"/>
          <w:szCs w:val="20"/>
          <w:lang w:eastAsia="es-CR"/>
        </w:rPr>
        <w:t xml:space="preserve"> J</w:t>
      </w:r>
      <w:r w:rsidR="00D74C6A">
        <w:rPr>
          <w:rFonts w:ascii="Arial" w:eastAsiaTheme="minorEastAsia" w:hAnsi="Arial" w:cs="Arial"/>
          <w:sz w:val="20"/>
          <w:szCs w:val="20"/>
          <w:lang w:eastAsia="es-CR"/>
        </w:rPr>
        <w:t>udicial</w:t>
      </w:r>
    </w:p>
    <w:p w14:paraId="5A1BF542" w14:textId="77777777" w:rsidR="00BB165B" w:rsidRPr="00BB165B" w:rsidRDefault="00BB165B" w:rsidP="00BB165B">
      <w:pPr>
        <w:jc w:val="center"/>
        <w:rPr>
          <w:rFonts w:ascii="Arial" w:eastAsiaTheme="minorEastAsia" w:hAnsi="Arial" w:cs="Arial"/>
          <w:sz w:val="20"/>
          <w:szCs w:val="20"/>
          <w:lang w:val="es-ES_tradnl"/>
        </w:rPr>
      </w:pPr>
      <w:r w:rsidRPr="00BB165B">
        <w:rPr>
          <w:rFonts w:ascii="Arial" w:eastAsiaTheme="minorEastAsia" w:hAnsi="Arial" w:cs="Arial"/>
          <w:sz w:val="20"/>
          <w:szCs w:val="20"/>
          <w:lang w:val="es-ES_tradnl"/>
        </w:rPr>
        <w:t>Al 31 de diciembre 2021</w:t>
      </w:r>
    </w:p>
    <w:p w14:paraId="7D9CD00C" w14:textId="0A7F51E3" w:rsidR="00BB165B" w:rsidRDefault="00BB165B" w:rsidP="00BB165B">
      <w:pPr>
        <w:jc w:val="center"/>
        <w:rPr>
          <w:rFonts w:ascii="Arial" w:eastAsiaTheme="minorEastAsia" w:hAnsi="Arial" w:cs="Arial"/>
          <w:i/>
          <w:sz w:val="20"/>
          <w:szCs w:val="20"/>
          <w:lang w:eastAsia="es-CR"/>
        </w:rPr>
      </w:pPr>
      <w:r w:rsidRPr="00BB165B">
        <w:rPr>
          <w:rFonts w:ascii="Arial" w:eastAsiaTheme="minorEastAsia" w:hAnsi="Arial" w:cs="Arial"/>
          <w:i/>
          <w:sz w:val="20"/>
          <w:szCs w:val="20"/>
          <w:lang w:eastAsia="es-CR"/>
        </w:rPr>
        <w:t xml:space="preserve"> (en millones de colones)</w:t>
      </w:r>
    </w:p>
    <w:p w14:paraId="51753307" w14:textId="77777777" w:rsidR="00ED7ABE" w:rsidRPr="00BB165B" w:rsidRDefault="00ED7ABE" w:rsidP="00BB165B">
      <w:pPr>
        <w:jc w:val="center"/>
        <w:rPr>
          <w:rFonts w:ascii="Arial" w:eastAsiaTheme="minorEastAsia" w:hAnsi="Arial" w:cs="Arial"/>
          <w:i/>
          <w:sz w:val="20"/>
          <w:szCs w:val="20"/>
          <w:lang w:eastAsia="es-CR"/>
        </w:rPr>
      </w:pPr>
    </w:p>
    <w:tbl>
      <w:tblPr>
        <w:tblStyle w:val="Listaclara-nfasis112"/>
        <w:tblW w:w="9629" w:type="dxa"/>
        <w:tblLook w:val="00A0" w:firstRow="1" w:lastRow="0" w:firstColumn="1" w:lastColumn="0" w:noHBand="0" w:noVBand="0"/>
      </w:tblPr>
      <w:tblGrid>
        <w:gridCol w:w="2942"/>
        <w:gridCol w:w="2010"/>
        <w:gridCol w:w="4677"/>
      </w:tblGrid>
      <w:tr w:rsidR="00BB165B" w:rsidRPr="00BB165B" w14:paraId="0D33AD33" w14:textId="77777777" w:rsidTr="00465D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03E64BDB" w14:textId="77777777" w:rsidR="00BB165B" w:rsidRPr="00BB165B" w:rsidRDefault="00BB165B" w:rsidP="00BB165B">
            <w:pPr>
              <w:jc w:val="center"/>
              <w:rPr>
                <w:rFonts w:ascii="Arial" w:hAnsi="Arial" w:cs="Arial"/>
                <w:sz w:val="20"/>
                <w:szCs w:val="20"/>
                <w:lang w:val="es-ES_tradnl"/>
              </w:rPr>
            </w:pPr>
            <w:r w:rsidRPr="00BB165B">
              <w:rPr>
                <w:rFonts w:ascii="Arial" w:hAnsi="Arial" w:cs="Arial"/>
                <w:sz w:val="20"/>
                <w:szCs w:val="20"/>
                <w:lang w:val="es-ES_tradnl"/>
              </w:rPr>
              <w:t>Código y nombre del proyecto</w:t>
            </w:r>
          </w:p>
        </w:tc>
        <w:tc>
          <w:tcPr>
            <w:cnfStyle w:val="000010000000" w:firstRow="0" w:lastRow="0" w:firstColumn="0" w:lastColumn="0" w:oddVBand="1" w:evenVBand="0" w:oddHBand="0" w:evenHBand="0" w:firstRowFirstColumn="0" w:firstRowLastColumn="0" w:lastRowFirstColumn="0" w:lastRowLastColumn="0"/>
            <w:tcW w:w="2010" w:type="dxa"/>
            <w:vAlign w:val="center"/>
          </w:tcPr>
          <w:p w14:paraId="34F8CED3" w14:textId="77777777" w:rsidR="00BB165B" w:rsidRPr="00BB165B" w:rsidRDefault="00BB165B" w:rsidP="00BB165B">
            <w:pPr>
              <w:jc w:val="center"/>
              <w:rPr>
                <w:rFonts w:ascii="Arial" w:hAnsi="Arial" w:cs="Arial"/>
                <w:sz w:val="20"/>
                <w:szCs w:val="20"/>
                <w:lang w:val="es-ES_tradnl"/>
              </w:rPr>
            </w:pPr>
            <w:r w:rsidRPr="00BB165B">
              <w:rPr>
                <w:rFonts w:ascii="Arial" w:hAnsi="Arial" w:cs="Arial"/>
                <w:sz w:val="20"/>
                <w:szCs w:val="20"/>
                <w:lang w:val="es-ES_tradnl"/>
              </w:rPr>
              <w:t>Monto</w:t>
            </w:r>
          </w:p>
        </w:tc>
        <w:tc>
          <w:tcPr>
            <w:tcW w:w="4677" w:type="dxa"/>
            <w:vAlign w:val="center"/>
          </w:tcPr>
          <w:p w14:paraId="48234C51" w14:textId="77777777" w:rsidR="00BB165B" w:rsidRPr="00BB165B" w:rsidRDefault="00BB165B" w:rsidP="00BB165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BB165B">
              <w:rPr>
                <w:rFonts w:ascii="Arial" w:hAnsi="Arial" w:cs="Arial"/>
                <w:sz w:val="20"/>
                <w:szCs w:val="20"/>
                <w:lang w:val="es-ES_tradnl"/>
              </w:rPr>
              <w:t>Breve descripción del proyecto</w:t>
            </w:r>
          </w:p>
        </w:tc>
      </w:tr>
      <w:tr w:rsidR="00BB165B" w:rsidRPr="00BB165B" w14:paraId="19FA4E6A"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128834FA" w14:textId="77777777" w:rsidR="00BB165B" w:rsidRPr="0057722D" w:rsidRDefault="00BB165B" w:rsidP="00BB165B">
            <w:pPr>
              <w:jc w:val="both"/>
              <w:rPr>
                <w:rFonts w:ascii="Arial" w:hAnsi="Arial" w:cs="Arial"/>
                <w:b w:val="0"/>
                <w:bCs w:val="0"/>
                <w:sz w:val="20"/>
                <w:szCs w:val="20"/>
                <w:lang w:val="es-ES_tradnl"/>
              </w:rPr>
            </w:pPr>
            <w:r w:rsidRPr="0057722D">
              <w:rPr>
                <w:rFonts w:ascii="Arial" w:hAnsi="Arial" w:cs="Arial"/>
                <w:b w:val="0"/>
                <w:bCs w:val="0"/>
                <w:sz w:val="20"/>
                <w:szCs w:val="20"/>
                <w:lang w:val="es-ES_tradnl"/>
              </w:rPr>
              <w:t>002842 “Consultoría y Construcción de un Complejo Judicial para el Poder Judicial en Buenos Aires de Puntarenas”</w:t>
            </w:r>
          </w:p>
        </w:tc>
        <w:tc>
          <w:tcPr>
            <w:cnfStyle w:val="000010000000" w:firstRow="0" w:lastRow="0" w:firstColumn="0" w:lastColumn="0" w:oddVBand="1" w:evenVBand="0" w:oddHBand="0" w:evenHBand="0" w:firstRowFirstColumn="0" w:firstRowLastColumn="0" w:lastRowFirstColumn="0" w:lastRowLastColumn="0"/>
            <w:tcW w:w="2010" w:type="dxa"/>
            <w:vAlign w:val="center"/>
          </w:tcPr>
          <w:p w14:paraId="0E651E2F" w14:textId="77777777" w:rsidR="00BB165B" w:rsidRPr="00BB165B" w:rsidRDefault="00BB165B" w:rsidP="00BB165B">
            <w:pPr>
              <w:jc w:val="center"/>
              <w:rPr>
                <w:rFonts w:ascii="Arial" w:hAnsi="Arial" w:cs="Arial"/>
                <w:sz w:val="20"/>
                <w:szCs w:val="20"/>
                <w:lang w:val="es-ES_tradnl"/>
              </w:rPr>
            </w:pPr>
            <w:r w:rsidRPr="00BB165B">
              <w:rPr>
                <w:rFonts w:ascii="Arial" w:hAnsi="Arial" w:cs="Arial"/>
                <w:sz w:val="20"/>
                <w:szCs w:val="20"/>
                <w:lang w:val="es-ES_tradnl"/>
              </w:rPr>
              <w:t>14.455,16</w:t>
            </w:r>
          </w:p>
        </w:tc>
        <w:tc>
          <w:tcPr>
            <w:tcW w:w="4677" w:type="dxa"/>
            <w:vAlign w:val="center"/>
          </w:tcPr>
          <w:p w14:paraId="5843AFDD" w14:textId="77777777" w:rsidR="00BB165B" w:rsidRPr="00BB165B" w:rsidRDefault="00BB165B" w:rsidP="00BB165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BB165B">
              <w:rPr>
                <w:rFonts w:ascii="Arial" w:hAnsi="Arial" w:cs="Arial"/>
                <w:sz w:val="20"/>
                <w:szCs w:val="20"/>
              </w:rPr>
              <w:t xml:space="preserve">El </w:t>
            </w:r>
            <w:r w:rsidRPr="00BB165B">
              <w:rPr>
                <w:rFonts w:ascii="Arial" w:hAnsi="Arial" w:cs="Arial"/>
                <w:sz w:val="20"/>
                <w:szCs w:val="20"/>
                <w:lang w:val="es-ES_tradnl"/>
              </w:rPr>
              <w:t>proyecto estará compuesto por dos edificaciones. En una de ellas se ubicará una morgue judicial que brindará el servicio de Patología y Medicina Legal a los pobladores de toda la Región Brunca y la otra, albergará a todas las oficinas judiciales que se encuentran ubicadas en el centro del cantón de Buenos Aires en locales alquilados, con el fin de centralizar los servicios en una sola infraestructura. Esto mediante un empréstito soberano, por cuanto el Poder Judicial no cuenta con presupuesto para realizar estas etapas.</w:t>
            </w:r>
          </w:p>
          <w:p w14:paraId="37BE935E" w14:textId="77777777" w:rsidR="00BB165B" w:rsidRPr="00BB165B" w:rsidRDefault="00BB165B" w:rsidP="00BB165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p>
          <w:p w14:paraId="25284E13" w14:textId="77777777" w:rsidR="00BB165B" w:rsidRPr="00BB165B" w:rsidRDefault="00BB165B" w:rsidP="00BB165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p>
          <w:p w14:paraId="1647E8FA" w14:textId="77777777" w:rsidR="00BB165B" w:rsidRPr="00BB165B" w:rsidRDefault="00BB165B" w:rsidP="00BB165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BB165B">
              <w:rPr>
                <w:rFonts w:ascii="Arial" w:hAnsi="Arial" w:cs="Arial"/>
                <w:sz w:val="20"/>
                <w:szCs w:val="20"/>
                <w:lang w:val="es-ES_tradnl"/>
              </w:rPr>
              <w:t>El proyecto dependerá de la aprobación de los recursos por parte de la Asamblea Legislativa, la cual a la fecha no ha sido tramitada por el Ministerio de Justicia; ya que este proyecto será parte del programa de proyectos de ese Ministerio para el financiamiento.</w:t>
            </w:r>
          </w:p>
          <w:p w14:paraId="5FC16987" w14:textId="77777777" w:rsidR="00BB165B" w:rsidRPr="00BB165B" w:rsidRDefault="00BB165B" w:rsidP="00BB165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p>
        </w:tc>
      </w:tr>
    </w:tbl>
    <w:p w14:paraId="329F0157" w14:textId="77777777" w:rsidR="00BB165B" w:rsidRPr="00BB165B" w:rsidRDefault="00BB165B" w:rsidP="00BB165B">
      <w:pPr>
        <w:jc w:val="both"/>
        <w:rPr>
          <w:rFonts w:ascii="Arial" w:eastAsiaTheme="minorEastAsia" w:hAnsi="Arial" w:cs="Arial"/>
          <w:sz w:val="16"/>
          <w:szCs w:val="20"/>
          <w:lang w:val="es-ES_tradnl"/>
        </w:rPr>
      </w:pPr>
      <w:r w:rsidRPr="00BB165B">
        <w:rPr>
          <w:rFonts w:ascii="Arial" w:eastAsiaTheme="minorEastAsia" w:hAnsi="Arial" w:cs="Arial"/>
          <w:b/>
          <w:sz w:val="16"/>
          <w:szCs w:val="20"/>
          <w:lang w:val="es-ES_tradnl"/>
        </w:rPr>
        <w:t>Fuente</w:t>
      </w:r>
      <w:r w:rsidRPr="00BB165B">
        <w:rPr>
          <w:rFonts w:ascii="Arial" w:eastAsiaTheme="minorEastAsia" w:hAnsi="Arial" w:cs="Arial"/>
          <w:sz w:val="16"/>
          <w:szCs w:val="20"/>
          <w:lang w:val="es-ES_tradnl"/>
        </w:rPr>
        <w:t>: Datos suministrados por la Dirección Ejecutiva del Poder Judicial, conforme</w:t>
      </w:r>
      <w:r w:rsidRPr="00BB165B">
        <w:rPr>
          <w:rFonts w:ascii="Arial" w:eastAsiaTheme="minorEastAsia" w:hAnsi="Arial" w:cs="Arial"/>
          <w:sz w:val="16"/>
          <w:szCs w:val="20"/>
        </w:rPr>
        <w:t xml:space="preserve"> información incluida en el Banco de Proyectos de Inversión Pública y actualizado al 31 diciembre del 2021.</w:t>
      </w:r>
    </w:p>
    <w:p w14:paraId="19032F5D" w14:textId="77777777" w:rsidR="00BB165B" w:rsidRPr="00BB165B" w:rsidRDefault="00BB165B" w:rsidP="00BB165B">
      <w:pPr>
        <w:jc w:val="both"/>
        <w:rPr>
          <w:rFonts w:ascii="Arial" w:eastAsiaTheme="minorEastAsia" w:hAnsi="Arial" w:cs="Arial"/>
          <w:sz w:val="16"/>
          <w:szCs w:val="20"/>
          <w:lang w:val="es-ES_tradnl"/>
        </w:rPr>
      </w:pPr>
      <w:r w:rsidRPr="00BB165B">
        <w:rPr>
          <w:rFonts w:ascii="Arial" w:eastAsiaTheme="minorEastAsia" w:hAnsi="Arial" w:cs="Arial"/>
          <w:sz w:val="16"/>
          <w:szCs w:val="20"/>
          <w:lang w:val="es-ES_tradnl"/>
        </w:rPr>
        <w:t>/1: Corresponde a proyectos registrados en el BPIP con recursos de la ley 9926 y sus reformas.</w:t>
      </w:r>
    </w:p>
    <w:p w14:paraId="2A3CC493" w14:textId="77777777" w:rsidR="00BB165B" w:rsidRPr="00BB165B" w:rsidRDefault="00BB165B" w:rsidP="00BB165B">
      <w:pPr>
        <w:spacing w:after="160" w:line="276" w:lineRule="auto"/>
        <w:jc w:val="both"/>
        <w:rPr>
          <w:rFonts w:ascii="Arial Narrow" w:eastAsia="Cambria" w:hAnsi="Arial Narrow" w:cstheme="minorBidi"/>
          <w:iCs/>
          <w:sz w:val="22"/>
          <w:szCs w:val="20"/>
          <w:lang w:val="es-CR" w:eastAsia="es-CR"/>
        </w:rPr>
      </w:pPr>
    </w:p>
    <w:p w14:paraId="784E014F" w14:textId="7DA42AF3" w:rsidR="00BB165B" w:rsidRPr="00BB165B" w:rsidRDefault="00BB165B" w:rsidP="003E4AE6">
      <w:pPr>
        <w:spacing w:after="160" w:line="360" w:lineRule="auto"/>
        <w:jc w:val="both"/>
        <w:rPr>
          <w:rFonts w:ascii="Arial" w:eastAsiaTheme="minorEastAsia" w:hAnsi="Arial" w:cs="Arial"/>
          <w:bCs/>
          <w:sz w:val="20"/>
          <w:szCs w:val="20"/>
        </w:rPr>
      </w:pPr>
      <w:r w:rsidRPr="00BB165B">
        <w:rPr>
          <w:rFonts w:ascii="Arial" w:eastAsiaTheme="minorEastAsia" w:hAnsi="Arial" w:cs="Arial"/>
          <w:bCs/>
          <w:sz w:val="20"/>
          <w:szCs w:val="20"/>
        </w:rPr>
        <w:t xml:space="preserve">Con respecto al cuadro </w:t>
      </w:r>
      <w:r w:rsidR="0057722D">
        <w:rPr>
          <w:rFonts w:ascii="Arial" w:eastAsiaTheme="minorEastAsia" w:hAnsi="Arial" w:cs="Arial"/>
          <w:bCs/>
          <w:sz w:val="20"/>
          <w:szCs w:val="20"/>
        </w:rPr>
        <w:t>4</w:t>
      </w:r>
      <w:r w:rsidRPr="00BB165B">
        <w:rPr>
          <w:rFonts w:ascii="Arial" w:eastAsiaTheme="minorEastAsia" w:hAnsi="Arial" w:cs="Arial"/>
          <w:bCs/>
          <w:sz w:val="20"/>
          <w:szCs w:val="20"/>
        </w:rPr>
        <w:t>, a continuación, se brinda el detalle de los proyectos que se encuentran dentro del Banco de Proyectos del Poder Judicial, correspondientes a los proyectos de inversión relacionados con la partida 5:</w:t>
      </w:r>
    </w:p>
    <w:p w14:paraId="63951F98" w14:textId="1D01226E" w:rsidR="00BB165B" w:rsidRDefault="00BB165B" w:rsidP="00BB165B">
      <w:pPr>
        <w:spacing w:after="160" w:line="276" w:lineRule="auto"/>
        <w:jc w:val="both"/>
        <w:rPr>
          <w:rFonts w:ascii="Arial Narrow" w:eastAsia="Cambria" w:hAnsi="Arial Narrow" w:cstheme="minorBidi"/>
          <w:iCs/>
          <w:sz w:val="22"/>
          <w:szCs w:val="20"/>
          <w:lang w:val="es-CR" w:eastAsia="es-CR"/>
        </w:rPr>
      </w:pPr>
    </w:p>
    <w:p w14:paraId="4F9297D3" w14:textId="45D74687" w:rsidR="00ED7ABE" w:rsidRDefault="00ED7ABE" w:rsidP="00BB165B">
      <w:pPr>
        <w:spacing w:after="160" w:line="276" w:lineRule="auto"/>
        <w:jc w:val="both"/>
        <w:rPr>
          <w:rFonts w:ascii="Arial Narrow" w:eastAsia="Cambria" w:hAnsi="Arial Narrow" w:cstheme="minorBidi"/>
          <w:iCs/>
          <w:sz w:val="22"/>
          <w:szCs w:val="20"/>
          <w:lang w:val="es-CR" w:eastAsia="es-CR"/>
        </w:rPr>
      </w:pPr>
    </w:p>
    <w:p w14:paraId="6EB990D1" w14:textId="5FF591B8" w:rsidR="00ED7ABE" w:rsidRDefault="00ED7ABE" w:rsidP="00BB165B">
      <w:pPr>
        <w:spacing w:after="160" w:line="276" w:lineRule="auto"/>
        <w:jc w:val="both"/>
        <w:rPr>
          <w:rFonts w:ascii="Arial Narrow" w:eastAsia="Cambria" w:hAnsi="Arial Narrow" w:cstheme="minorBidi"/>
          <w:iCs/>
          <w:sz w:val="22"/>
          <w:szCs w:val="20"/>
          <w:lang w:val="es-CR" w:eastAsia="es-CR"/>
        </w:rPr>
      </w:pPr>
    </w:p>
    <w:p w14:paraId="6AE419FB" w14:textId="4BC59FBA" w:rsidR="00ED7ABE" w:rsidRDefault="00ED7ABE" w:rsidP="00BB165B">
      <w:pPr>
        <w:spacing w:after="160" w:line="276" w:lineRule="auto"/>
        <w:jc w:val="both"/>
        <w:rPr>
          <w:rFonts w:ascii="Arial Narrow" w:eastAsia="Cambria" w:hAnsi="Arial Narrow" w:cstheme="minorBidi"/>
          <w:iCs/>
          <w:sz w:val="22"/>
          <w:szCs w:val="20"/>
          <w:lang w:val="es-CR" w:eastAsia="es-CR"/>
        </w:rPr>
      </w:pPr>
    </w:p>
    <w:p w14:paraId="778D91FC" w14:textId="77777777" w:rsidR="00ED7ABE" w:rsidRPr="00BB165B" w:rsidRDefault="00ED7ABE" w:rsidP="00BB165B">
      <w:pPr>
        <w:spacing w:after="160" w:line="276" w:lineRule="auto"/>
        <w:jc w:val="both"/>
        <w:rPr>
          <w:rFonts w:ascii="Arial Narrow" w:eastAsia="Cambria" w:hAnsi="Arial Narrow" w:cstheme="minorBidi"/>
          <w:iCs/>
          <w:sz w:val="22"/>
          <w:szCs w:val="20"/>
          <w:lang w:val="es-CR" w:eastAsia="es-CR"/>
        </w:rPr>
      </w:pPr>
    </w:p>
    <w:tbl>
      <w:tblPr>
        <w:tblW w:w="9840" w:type="dxa"/>
        <w:jc w:val="center"/>
        <w:tblCellMar>
          <w:left w:w="70" w:type="dxa"/>
          <w:right w:w="70" w:type="dxa"/>
        </w:tblCellMar>
        <w:tblLook w:val="04A0" w:firstRow="1" w:lastRow="0" w:firstColumn="1" w:lastColumn="0" w:noHBand="0" w:noVBand="1"/>
      </w:tblPr>
      <w:tblGrid>
        <w:gridCol w:w="1185"/>
        <w:gridCol w:w="998"/>
        <w:gridCol w:w="2065"/>
        <w:gridCol w:w="1276"/>
        <w:gridCol w:w="1984"/>
        <w:gridCol w:w="2332"/>
      </w:tblGrid>
      <w:tr w:rsidR="00BB165B" w:rsidRPr="00BB165B" w14:paraId="76E82CB6" w14:textId="77777777" w:rsidTr="00465D52">
        <w:trPr>
          <w:trHeight w:val="552"/>
          <w:jc w:val="center"/>
        </w:trPr>
        <w:tc>
          <w:tcPr>
            <w:tcW w:w="1003" w:type="dxa"/>
            <w:tcBorders>
              <w:top w:val="single" w:sz="4" w:space="0" w:color="auto"/>
              <w:left w:val="single" w:sz="4" w:space="0" w:color="auto"/>
              <w:bottom w:val="single" w:sz="4" w:space="0" w:color="auto"/>
              <w:right w:val="single" w:sz="4" w:space="0" w:color="auto"/>
            </w:tcBorders>
            <w:shd w:val="clear" w:color="000000" w:fill="548DD4"/>
            <w:vAlign w:val="center"/>
            <w:hideMark/>
          </w:tcPr>
          <w:p w14:paraId="6AE9F9A3"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lastRenderedPageBreak/>
              <w:t>Subpartida</w:t>
            </w:r>
          </w:p>
        </w:tc>
        <w:tc>
          <w:tcPr>
            <w:tcW w:w="1119" w:type="dxa"/>
            <w:tcBorders>
              <w:top w:val="single" w:sz="4" w:space="0" w:color="auto"/>
              <w:left w:val="nil"/>
              <w:bottom w:val="single" w:sz="4" w:space="0" w:color="auto"/>
              <w:right w:val="single" w:sz="4" w:space="0" w:color="auto"/>
            </w:tcBorders>
            <w:shd w:val="clear" w:color="000000" w:fill="548DD4"/>
            <w:vAlign w:val="center"/>
            <w:hideMark/>
          </w:tcPr>
          <w:p w14:paraId="2D1ABFE0"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Código del Proyecto</w:t>
            </w:r>
          </w:p>
        </w:tc>
        <w:tc>
          <w:tcPr>
            <w:tcW w:w="2126" w:type="dxa"/>
            <w:tcBorders>
              <w:top w:val="single" w:sz="4" w:space="0" w:color="auto"/>
              <w:left w:val="nil"/>
              <w:bottom w:val="single" w:sz="4" w:space="0" w:color="auto"/>
              <w:right w:val="single" w:sz="4" w:space="0" w:color="auto"/>
            </w:tcBorders>
            <w:shd w:val="clear" w:color="000000" w:fill="548DD4"/>
            <w:vAlign w:val="center"/>
            <w:hideMark/>
          </w:tcPr>
          <w:p w14:paraId="763FD04F"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Nombre del proyecto</w:t>
            </w:r>
          </w:p>
        </w:tc>
        <w:tc>
          <w:tcPr>
            <w:tcW w:w="1276" w:type="dxa"/>
            <w:tcBorders>
              <w:top w:val="single" w:sz="4" w:space="0" w:color="auto"/>
              <w:left w:val="nil"/>
              <w:bottom w:val="single" w:sz="4" w:space="0" w:color="auto"/>
              <w:right w:val="single" w:sz="4" w:space="0" w:color="auto"/>
            </w:tcBorders>
            <w:shd w:val="clear" w:color="000000" w:fill="548DD4"/>
            <w:vAlign w:val="center"/>
            <w:hideMark/>
          </w:tcPr>
          <w:p w14:paraId="09276209"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Costo</w:t>
            </w:r>
          </w:p>
        </w:tc>
        <w:tc>
          <w:tcPr>
            <w:tcW w:w="1984" w:type="dxa"/>
            <w:tcBorders>
              <w:top w:val="single" w:sz="4" w:space="0" w:color="auto"/>
              <w:left w:val="nil"/>
              <w:bottom w:val="single" w:sz="4" w:space="0" w:color="auto"/>
              <w:right w:val="single" w:sz="4" w:space="0" w:color="auto"/>
            </w:tcBorders>
            <w:shd w:val="clear" w:color="000000" w:fill="548DD4"/>
            <w:vAlign w:val="center"/>
            <w:hideMark/>
          </w:tcPr>
          <w:p w14:paraId="46E8A625"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 Procedimiento</w:t>
            </w:r>
          </w:p>
        </w:tc>
        <w:tc>
          <w:tcPr>
            <w:tcW w:w="2332" w:type="dxa"/>
            <w:tcBorders>
              <w:top w:val="single" w:sz="4" w:space="0" w:color="auto"/>
              <w:left w:val="nil"/>
              <w:bottom w:val="single" w:sz="4" w:space="0" w:color="auto"/>
              <w:right w:val="single" w:sz="4" w:space="0" w:color="auto"/>
            </w:tcBorders>
            <w:shd w:val="clear" w:color="000000" w:fill="548DD4"/>
            <w:vAlign w:val="center"/>
            <w:hideMark/>
          </w:tcPr>
          <w:p w14:paraId="663AC017"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 xml:space="preserve">Estado </w:t>
            </w:r>
          </w:p>
        </w:tc>
      </w:tr>
      <w:tr w:rsidR="00BB165B" w:rsidRPr="00BB165B" w14:paraId="00962E07" w14:textId="77777777" w:rsidTr="00465D52">
        <w:trPr>
          <w:trHeight w:val="828"/>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40833B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50199</w:t>
            </w:r>
          </w:p>
        </w:tc>
        <w:tc>
          <w:tcPr>
            <w:tcW w:w="1119" w:type="dxa"/>
            <w:tcBorders>
              <w:top w:val="nil"/>
              <w:left w:val="nil"/>
              <w:bottom w:val="single" w:sz="4" w:space="0" w:color="auto"/>
              <w:right w:val="single" w:sz="4" w:space="0" w:color="auto"/>
            </w:tcBorders>
            <w:shd w:val="clear" w:color="auto" w:fill="auto"/>
            <w:vAlign w:val="center"/>
            <w:hideMark/>
          </w:tcPr>
          <w:p w14:paraId="09B48EAF"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0117-DE-P23</w:t>
            </w:r>
          </w:p>
        </w:tc>
        <w:tc>
          <w:tcPr>
            <w:tcW w:w="2126" w:type="dxa"/>
            <w:tcBorders>
              <w:top w:val="nil"/>
              <w:left w:val="nil"/>
              <w:bottom w:val="single" w:sz="4" w:space="0" w:color="auto"/>
              <w:right w:val="single" w:sz="4" w:space="0" w:color="auto"/>
            </w:tcBorders>
            <w:shd w:val="clear" w:color="auto" w:fill="auto"/>
            <w:vAlign w:val="center"/>
            <w:hideMark/>
          </w:tcPr>
          <w:p w14:paraId="6ED28093"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Sistema de Detección de Incendios en el II Circ Jud San José</w:t>
            </w:r>
          </w:p>
        </w:tc>
        <w:tc>
          <w:tcPr>
            <w:tcW w:w="1276" w:type="dxa"/>
            <w:tcBorders>
              <w:top w:val="nil"/>
              <w:left w:val="nil"/>
              <w:bottom w:val="single" w:sz="4" w:space="0" w:color="auto"/>
              <w:right w:val="single" w:sz="4" w:space="0" w:color="auto"/>
            </w:tcBorders>
            <w:shd w:val="clear" w:color="auto" w:fill="auto"/>
            <w:vAlign w:val="center"/>
            <w:hideMark/>
          </w:tcPr>
          <w:p w14:paraId="1C9B7FA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236,22</w:t>
            </w:r>
          </w:p>
        </w:tc>
        <w:tc>
          <w:tcPr>
            <w:tcW w:w="1984" w:type="dxa"/>
            <w:tcBorders>
              <w:top w:val="nil"/>
              <w:left w:val="nil"/>
              <w:bottom w:val="single" w:sz="4" w:space="0" w:color="auto"/>
              <w:right w:val="single" w:sz="4" w:space="0" w:color="auto"/>
            </w:tcBorders>
            <w:shd w:val="clear" w:color="auto" w:fill="auto"/>
            <w:vAlign w:val="center"/>
            <w:hideMark/>
          </w:tcPr>
          <w:p w14:paraId="147D64C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2021LA-000002-PROV</w:t>
            </w:r>
          </w:p>
        </w:tc>
        <w:tc>
          <w:tcPr>
            <w:tcW w:w="2332" w:type="dxa"/>
            <w:tcBorders>
              <w:top w:val="nil"/>
              <w:left w:val="nil"/>
              <w:bottom w:val="single" w:sz="4" w:space="0" w:color="auto"/>
              <w:right w:val="single" w:sz="4" w:space="0" w:color="auto"/>
            </w:tcBorders>
            <w:shd w:val="clear" w:color="auto" w:fill="auto"/>
            <w:vAlign w:val="center"/>
            <w:hideMark/>
          </w:tcPr>
          <w:p w14:paraId="298F7C09"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20%</w:t>
            </w:r>
          </w:p>
        </w:tc>
      </w:tr>
      <w:tr w:rsidR="00BB165B" w:rsidRPr="00BB165B" w14:paraId="6D36AF70" w14:textId="77777777" w:rsidTr="00465D52">
        <w:trPr>
          <w:trHeight w:val="82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C70845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50199</w:t>
            </w:r>
          </w:p>
        </w:tc>
        <w:tc>
          <w:tcPr>
            <w:tcW w:w="1119" w:type="dxa"/>
            <w:tcBorders>
              <w:top w:val="nil"/>
              <w:left w:val="nil"/>
              <w:bottom w:val="single" w:sz="4" w:space="0" w:color="auto"/>
              <w:right w:val="single" w:sz="4" w:space="0" w:color="auto"/>
            </w:tcBorders>
            <w:shd w:val="clear" w:color="auto" w:fill="auto"/>
            <w:vAlign w:val="center"/>
            <w:hideMark/>
          </w:tcPr>
          <w:p w14:paraId="239176CA"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0117-DE-P13</w:t>
            </w:r>
          </w:p>
        </w:tc>
        <w:tc>
          <w:tcPr>
            <w:tcW w:w="2126" w:type="dxa"/>
            <w:tcBorders>
              <w:top w:val="nil"/>
              <w:left w:val="nil"/>
              <w:bottom w:val="single" w:sz="4" w:space="0" w:color="auto"/>
              <w:right w:val="single" w:sz="4" w:space="0" w:color="auto"/>
            </w:tcBorders>
            <w:shd w:val="clear" w:color="auto" w:fill="auto"/>
            <w:vAlign w:val="center"/>
            <w:hideMark/>
          </w:tcPr>
          <w:p w14:paraId="1E86F46C"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Sistema Detección Incendio Edificio Circuito Judicial Heredia</w:t>
            </w:r>
          </w:p>
        </w:tc>
        <w:tc>
          <w:tcPr>
            <w:tcW w:w="1276" w:type="dxa"/>
            <w:tcBorders>
              <w:top w:val="nil"/>
              <w:left w:val="nil"/>
              <w:bottom w:val="single" w:sz="4" w:space="0" w:color="auto"/>
              <w:right w:val="single" w:sz="4" w:space="0" w:color="auto"/>
            </w:tcBorders>
            <w:shd w:val="clear" w:color="auto" w:fill="auto"/>
            <w:vAlign w:val="center"/>
            <w:hideMark/>
          </w:tcPr>
          <w:p w14:paraId="3A5B849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102,04</w:t>
            </w:r>
          </w:p>
        </w:tc>
        <w:tc>
          <w:tcPr>
            <w:tcW w:w="1984" w:type="dxa"/>
            <w:tcBorders>
              <w:top w:val="nil"/>
              <w:left w:val="nil"/>
              <w:bottom w:val="single" w:sz="4" w:space="0" w:color="auto"/>
              <w:right w:val="single" w:sz="4" w:space="0" w:color="auto"/>
            </w:tcBorders>
            <w:shd w:val="clear" w:color="auto" w:fill="auto"/>
            <w:noWrap/>
            <w:vAlign w:val="center"/>
            <w:hideMark/>
          </w:tcPr>
          <w:p w14:paraId="63F9D97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2021LA-000065-PROV </w:t>
            </w:r>
          </w:p>
        </w:tc>
        <w:tc>
          <w:tcPr>
            <w:tcW w:w="2332" w:type="dxa"/>
            <w:tcBorders>
              <w:top w:val="nil"/>
              <w:left w:val="nil"/>
              <w:bottom w:val="single" w:sz="4" w:space="0" w:color="auto"/>
              <w:right w:val="single" w:sz="4" w:space="0" w:color="auto"/>
            </w:tcBorders>
            <w:shd w:val="clear" w:color="auto" w:fill="auto"/>
            <w:vAlign w:val="center"/>
            <w:hideMark/>
          </w:tcPr>
          <w:p w14:paraId="0318E5D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Prevenciones</w:t>
            </w:r>
          </w:p>
        </w:tc>
      </w:tr>
      <w:tr w:rsidR="00BB165B" w:rsidRPr="00BB165B" w14:paraId="74BEF118" w14:textId="77777777" w:rsidTr="00465D52">
        <w:trPr>
          <w:trHeight w:val="1104"/>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5F5545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1119" w:type="dxa"/>
            <w:tcBorders>
              <w:top w:val="nil"/>
              <w:left w:val="nil"/>
              <w:bottom w:val="single" w:sz="4" w:space="0" w:color="auto"/>
              <w:right w:val="single" w:sz="4" w:space="0" w:color="auto"/>
            </w:tcBorders>
            <w:shd w:val="clear" w:color="auto" w:fill="auto"/>
            <w:vAlign w:val="center"/>
            <w:hideMark/>
          </w:tcPr>
          <w:p w14:paraId="0FB0CFA5"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0117-DE-P27</w:t>
            </w:r>
          </w:p>
        </w:tc>
        <w:tc>
          <w:tcPr>
            <w:tcW w:w="2126" w:type="dxa"/>
            <w:tcBorders>
              <w:top w:val="nil"/>
              <w:left w:val="nil"/>
              <w:bottom w:val="single" w:sz="4" w:space="0" w:color="auto"/>
              <w:right w:val="single" w:sz="4" w:space="0" w:color="auto"/>
            </w:tcBorders>
            <w:shd w:val="clear" w:color="auto" w:fill="auto"/>
            <w:vAlign w:val="center"/>
            <w:hideMark/>
          </w:tcPr>
          <w:p w14:paraId="0D1A981B"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Reacondicionamiento eléctrico del Edificio Plaza de la Justicia</w:t>
            </w:r>
          </w:p>
        </w:tc>
        <w:tc>
          <w:tcPr>
            <w:tcW w:w="1276" w:type="dxa"/>
            <w:tcBorders>
              <w:top w:val="nil"/>
              <w:left w:val="nil"/>
              <w:bottom w:val="single" w:sz="4" w:space="0" w:color="auto"/>
              <w:right w:val="single" w:sz="4" w:space="0" w:color="auto"/>
            </w:tcBorders>
            <w:shd w:val="clear" w:color="auto" w:fill="auto"/>
            <w:vAlign w:val="center"/>
            <w:hideMark/>
          </w:tcPr>
          <w:p w14:paraId="5049E8E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120,23</w:t>
            </w:r>
          </w:p>
        </w:tc>
        <w:tc>
          <w:tcPr>
            <w:tcW w:w="1984" w:type="dxa"/>
            <w:tcBorders>
              <w:top w:val="nil"/>
              <w:left w:val="nil"/>
              <w:bottom w:val="single" w:sz="4" w:space="0" w:color="auto"/>
              <w:right w:val="single" w:sz="4" w:space="0" w:color="auto"/>
            </w:tcBorders>
            <w:shd w:val="clear" w:color="auto" w:fill="auto"/>
            <w:vAlign w:val="center"/>
            <w:hideMark/>
          </w:tcPr>
          <w:p w14:paraId="3E78960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2021LA-000085-PROV    </w:t>
            </w:r>
          </w:p>
        </w:tc>
        <w:tc>
          <w:tcPr>
            <w:tcW w:w="2332" w:type="dxa"/>
            <w:tcBorders>
              <w:top w:val="nil"/>
              <w:left w:val="nil"/>
              <w:bottom w:val="single" w:sz="4" w:space="0" w:color="auto"/>
              <w:right w:val="single" w:sz="4" w:space="0" w:color="auto"/>
            </w:tcBorders>
            <w:shd w:val="clear" w:color="auto" w:fill="auto"/>
            <w:noWrap/>
            <w:vAlign w:val="center"/>
            <w:hideMark/>
          </w:tcPr>
          <w:p w14:paraId="33202F2F"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Nuevo procedimiento en criterio legal de ofertas</w:t>
            </w:r>
          </w:p>
        </w:tc>
      </w:tr>
      <w:tr w:rsidR="00BB165B" w:rsidRPr="00BB165B" w14:paraId="5335EE65" w14:textId="77777777" w:rsidTr="00465D52">
        <w:trPr>
          <w:trHeight w:val="1104"/>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C34097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1119" w:type="dxa"/>
            <w:tcBorders>
              <w:top w:val="nil"/>
              <w:left w:val="nil"/>
              <w:bottom w:val="single" w:sz="4" w:space="0" w:color="auto"/>
              <w:right w:val="single" w:sz="4" w:space="0" w:color="auto"/>
            </w:tcBorders>
            <w:shd w:val="clear" w:color="auto" w:fill="auto"/>
            <w:vAlign w:val="center"/>
            <w:hideMark/>
          </w:tcPr>
          <w:p w14:paraId="535B51A0"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0117-DE-P09</w:t>
            </w:r>
          </w:p>
        </w:tc>
        <w:tc>
          <w:tcPr>
            <w:tcW w:w="2126" w:type="dxa"/>
            <w:tcBorders>
              <w:top w:val="nil"/>
              <w:left w:val="nil"/>
              <w:bottom w:val="single" w:sz="4" w:space="0" w:color="auto"/>
              <w:right w:val="single" w:sz="4" w:space="0" w:color="auto"/>
            </w:tcBorders>
            <w:shd w:val="clear" w:color="auto" w:fill="auto"/>
            <w:vAlign w:val="center"/>
            <w:hideMark/>
          </w:tcPr>
          <w:p w14:paraId="71574096"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Ampliación Edificio Tribunales de Justicia de Turrialba</w:t>
            </w:r>
          </w:p>
        </w:tc>
        <w:tc>
          <w:tcPr>
            <w:tcW w:w="1276" w:type="dxa"/>
            <w:tcBorders>
              <w:top w:val="nil"/>
              <w:left w:val="nil"/>
              <w:bottom w:val="single" w:sz="4" w:space="0" w:color="auto"/>
              <w:right w:val="single" w:sz="4" w:space="0" w:color="auto"/>
            </w:tcBorders>
            <w:shd w:val="clear" w:color="auto" w:fill="auto"/>
            <w:vAlign w:val="center"/>
            <w:hideMark/>
          </w:tcPr>
          <w:p w14:paraId="3B55B60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625,15</w:t>
            </w:r>
          </w:p>
        </w:tc>
        <w:tc>
          <w:tcPr>
            <w:tcW w:w="1984" w:type="dxa"/>
            <w:tcBorders>
              <w:top w:val="nil"/>
              <w:left w:val="nil"/>
              <w:bottom w:val="single" w:sz="4" w:space="0" w:color="auto"/>
              <w:right w:val="single" w:sz="4" w:space="0" w:color="auto"/>
            </w:tcBorders>
            <w:shd w:val="clear" w:color="auto" w:fill="auto"/>
            <w:vAlign w:val="center"/>
            <w:hideMark/>
          </w:tcPr>
          <w:p w14:paraId="6235D86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2020LA-000088-PROV   </w:t>
            </w:r>
          </w:p>
        </w:tc>
        <w:tc>
          <w:tcPr>
            <w:tcW w:w="2332" w:type="dxa"/>
            <w:tcBorders>
              <w:top w:val="nil"/>
              <w:left w:val="nil"/>
              <w:bottom w:val="single" w:sz="4" w:space="0" w:color="auto"/>
              <w:right w:val="single" w:sz="4" w:space="0" w:color="auto"/>
            </w:tcBorders>
            <w:shd w:val="clear" w:color="auto" w:fill="auto"/>
            <w:vAlign w:val="center"/>
            <w:hideMark/>
          </w:tcPr>
          <w:p w14:paraId="46BCC74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Infructuoso. Se remitirá para nuevo procedimiento de contratación</w:t>
            </w:r>
          </w:p>
        </w:tc>
      </w:tr>
      <w:tr w:rsidR="00BB165B" w:rsidRPr="00BB165B" w14:paraId="3E667BFB" w14:textId="77777777" w:rsidTr="00465D52">
        <w:trPr>
          <w:trHeight w:val="1104"/>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57077F5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1119" w:type="dxa"/>
            <w:tcBorders>
              <w:top w:val="nil"/>
              <w:left w:val="nil"/>
              <w:bottom w:val="single" w:sz="4" w:space="0" w:color="auto"/>
              <w:right w:val="single" w:sz="4" w:space="0" w:color="auto"/>
            </w:tcBorders>
            <w:shd w:val="clear" w:color="auto" w:fill="auto"/>
            <w:vAlign w:val="center"/>
            <w:hideMark/>
          </w:tcPr>
          <w:p w14:paraId="55AD26F6"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0117-DE-P07</w:t>
            </w:r>
          </w:p>
        </w:tc>
        <w:tc>
          <w:tcPr>
            <w:tcW w:w="2126" w:type="dxa"/>
            <w:tcBorders>
              <w:top w:val="nil"/>
              <w:left w:val="nil"/>
              <w:bottom w:val="single" w:sz="4" w:space="0" w:color="auto"/>
              <w:right w:val="single" w:sz="4" w:space="0" w:color="auto"/>
            </w:tcBorders>
            <w:shd w:val="clear" w:color="auto" w:fill="auto"/>
            <w:vAlign w:val="center"/>
            <w:hideMark/>
          </w:tcPr>
          <w:p w14:paraId="6EBC9CF5"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Torre Anexa y Reacondicionamiento Eléctrico Edificio III Circuito Judicial Alajuela</w:t>
            </w:r>
          </w:p>
        </w:tc>
        <w:tc>
          <w:tcPr>
            <w:tcW w:w="1276" w:type="dxa"/>
            <w:tcBorders>
              <w:top w:val="nil"/>
              <w:left w:val="nil"/>
              <w:bottom w:val="single" w:sz="4" w:space="0" w:color="auto"/>
              <w:right w:val="single" w:sz="4" w:space="0" w:color="auto"/>
            </w:tcBorders>
            <w:shd w:val="clear" w:color="auto" w:fill="auto"/>
            <w:vAlign w:val="center"/>
            <w:hideMark/>
          </w:tcPr>
          <w:p w14:paraId="54DE4AE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708,58</w:t>
            </w:r>
          </w:p>
        </w:tc>
        <w:tc>
          <w:tcPr>
            <w:tcW w:w="1984" w:type="dxa"/>
            <w:tcBorders>
              <w:top w:val="nil"/>
              <w:left w:val="nil"/>
              <w:bottom w:val="single" w:sz="4" w:space="0" w:color="auto"/>
              <w:right w:val="single" w:sz="4" w:space="0" w:color="auto"/>
            </w:tcBorders>
            <w:shd w:val="clear" w:color="auto" w:fill="auto"/>
            <w:vAlign w:val="center"/>
            <w:hideMark/>
          </w:tcPr>
          <w:p w14:paraId="6EED63E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2021LN-000006-PROV</w:t>
            </w:r>
          </w:p>
        </w:tc>
        <w:tc>
          <w:tcPr>
            <w:tcW w:w="2332" w:type="dxa"/>
            <w:tcBorders>
              <w:top w:val="nil"/>
              <w:left w:val="nil"/>
              <w:bottom w:val="single" w:sz="4" w:space="0" w:color="auto"/>
              <w:right w:val="single" w:sz="4" w:space="0" w:color="auto"/>
            </w:tcBorders>
            <w:shd w:val="clear" w:color="auto" w:fill="auto"/>
            <w:vAlign w:val="center"/>
            <w:hideMark/>
          </w:tcPr>
          <w:p w14:paraId="241E6DC9"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Apertura 31-01-2022</w:t>
            </w:r>
          </w:p>
        </w:tc>
      </w:tr>
      <w:tr w:rsidR="00BB165B" w:rsidRPr="00BB165B" w14:paraId="321CA247" w14:textId="77777777" w:rsidTr="00465D52">
        <w:trPr>
          <w:trHeight w:val="1104"/>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CAF1C5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1119" w:type="dxa"/>
            <w:tcBorders>
              <w:top w:val="nil"/>
              <w:left w:val="nil"/>
              <w:bottom w:val="single" w:sz="4" w:space="0" w:color="auto"/>
              <w:right w:val="single" w:sz="4" w:space="0" w:color="auto"/>
            </w:tcBorders>
            <w:shd w:val="clear" w:color="auto" w:fill="auto"/>
            <w:vAlign w:val="center"/>
            <w:hideMark/>
          </w:tcPr>
          <w:p w14:paraId="64DFB688"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1167-OIJ-P02</w:t>
            </w:r>
          </w:p>
        </w:tc>
        <w:tc>
          <w:tcPr>
            <w:tcW w:w="2126" w:type="dxa"/>
            <w:tcBorders>
              <w:top w:val="nil"/>
              <w:left w:val="nil"/>
              <w:bottom w:val="single" w:sz="4" w:space="0" w:color="auto"/>
              <w:right w:val="single" w:sz="4" w:space="0" w:color="auto"/>
            </w:tcBorders>
            <w:shd w:val="clear" w:color="auto" w:fill="auto"/>
            <w:vAlign w:val="center"/>
            <w:hideMark/>
          </w:tcPr>
          <w:p w14:paraId="756A79C3"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Reacondicionamiento de la Morgue Judicial</w:t>
            </w:r>
          </w:p>
        </w:tc>
        <w:tc>
          <w:tcPr>
            <w:tcW w:w="1276" w:type="dxa"/>
            <w:tcBorders>
              <w:top w:val="nil"/>
              <w:left w:val="nil"/>
              <w:bottom w:val="single" w:sz="4" w:space="0" w:color="auto"/>
              <w:right w:val="single" w:sz="4" w:space="0" w:color="auto"/>
            </w:tcBorders>
            <w:shd w:val="clear" w:color="auto" w:fill="auto"/>
            <w:vAlign w:val="center"/>
            <w:hideMark/>
          </w:tcPr>
          <w:p w14:paraId="10CE1F6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780,29</w:t>
            </w:r>
          </w:p>
        </w:tc>
        <w:tc>
          <w:tcPr>
            <w:tcW w:w="1984" w:type="dxa"/>
            <w:tcBorders>
              <w:top w:val="nil"/>
              <w:left w:val="nil"/>
              <w:bottom w:val="single" w:sz="4" w:space="0" w:color="auto"/>
              <w:right w:val="single" w:sz="4" w:space="0" w:color="auto"/>
            </w:tcBorders>
            <w:shd w:val="clear" w:color="auto" w:fill="auto"/>
            <w:vAlign w:val="center"/>
            <w:hideMark/>
          </w:tcPr>
          <w:p w14:paraId="4E98A6E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2020LN-000015-PROV</w:t>
            </w:r>
          </w:p>
        </w:tc>
        <w:tc>
          <w:tcPr>
            <w:tcW w:w="2332" w:type="dxa"/>
            <w:tcBorders>
              <w:top w:val="nil"/>
              <w:left w:val="nil"/>
              <w:bottom w:val="single" w:sz="4" w:space="0" w:color="auto"/>
              <w:right w:val="single" w:sz="4" w:space="0" w:color="auto"/>
            </w:tcBorders>
            <w:shd w:val="clear" w:color="auto" w:fill="auto"/>
            <w:vAlign w:val="center"/>
            <w:hideMark/>
          </w:tcPr>
          <w:p w14:paraId="514729D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85%</w:t>
            </w:r>
          </w:p>
        </w:tc>
      </w:tr>
      <w:tr w:rsidR="00BB165B" w:rsidRPr="00BB165B" w14:paraId="4E53D226" w14:textId="77777777" w:rsidTr="00465D52">
        <w:trPr>
          <w:trHeight w:val="672"/>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F8A45B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1119" w:type="dxa"/>
            <w:tcBorders>
              <w:top w:val="nil"/>
              <w:left w:val="nil"/>
              <w:bottom w:val="single" w:sz="4" w:space="0" w:color="auto"/>
              <w:right w:val="single" w:sz="4" w:space="0" w:color="auto"/>
            </w:tcBorders>
            <w:shd w:val="clear" w:color="auto" w:fill="auto"/>
            <w:vAlign w:val="center"/>
            <w:hideMark/>
          </w:tcPr>
          <w:p w14:paraId="46A1B26F"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0117-DE-P28</w:t>
            </w:r>
          </w:p>
        </w:tc>
        <w:tc>
          <w:tcPr>
            <w:tcW w:w="2126" w:type="dxa"/>
            <w:tcBorders>
              <w:top w:val="nil"/>
              <w:left w:val="nil"/>
              <w:bottom w:val="single" w:sz="4" w:space="0" w:color="auto"/>
              <w:right w:val="single" w:sz="4" w:space="0" w:color="auto"/>
            </w:tcBorders>
            <w:shd w:val="clear" w:color="auto" w:fill="auto"/>
            <w:vAlign w:val="center"/>
            <w:hideMark/>
          </w:tcPr>
          <w:p w14:paraId="44471933"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Re acondicionamiento eléctrico del Edificio de Tribunales de Justicia de San José</w:t>
            </w:r>
          </w:p>
        </w:tc>
        <w:tc>
          <w:tcPr>
            <w:tcW w:w="1276" w:type="dxa"/>
            <w:tcBorders>
              <w:top w:val="nil"/>
              <w:left w:val="nil"/>
              <w:bottom w:val="single" w:sz="4" w:space="0" w:color="auto"/>
              <w:right w:val="single" w:sz="4" w:space="0" w:color="auto"/>
            </w:tcBorders>
            <w:shd w:val="clear" w:color="auto" w:fill="auto"/>
            <w:vAlign w:val="center"/>
            <w:hideMark/>
          </w:tcPr>
          <w:p w14:paraId="769EA14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140,29</w:t>
            </w:r>
          </w:p>
        </w:tc>
        <w:tc>
          <w:tcPr>
            <w:tcW w:w="1984" w:type="dxa"/>
            <w:tcBorders>
              <w:top w:val="nil"/>
              <w:left w:val="nil"/>
              <w:bottom w:val="single" w:sz="4" w:space="0" w:color="auto"/>
              <w:right w:val="single" w:sz="4" w:space="0" w:color="auto"/>
            </w:tcBorders>
            <w:shd w:val="clear" w:color="auto" w:fill="auto"/>
            <w:vAlign w:val="center"/>
            <w:hideMark/>
          </w:tcPr>
          <w:p w14:paraId="3E9EF6C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2021LA-000003-PROV</w:t>
            </w:r>
          </w:p>
        </w:tc>
        <w:tc>
          <w:tcPr>
            <w:tcW w:w="2332" w:type="dxa"/>
            <w:tcBorders>
              <w:top w:val="nil"/>
              <w:left w:val="nil"/>
              <w:bottom w:val="single" w:sz="4" w:space="0" w:color="auto"/>
              <w:right w:val="single" w:sz="4" w:space="0" w:color="auto"/>
            </w:tcBorders>
            <w:shd w:val="clear" w:color="auto" w:fill="auto"/>
            <w:vAlign w:val="center"/>
            <w:hideMark/>
          </w:tcPr>
          <w:p w14:paraId="736D9757"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75%</w:t>
            </w:r>
          </w:p>
        </w:tc>
      </w:tr>
      <w:tr w:rsidR="00BB165B" w:rsidRPr="00BB165B" w14:paraId="257410DE" w14:textId="77777777" w:rsidTr="00465D52">
        <w:trPr>
          <w:trHeight w:val="828"/>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0B1EB3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1119" w:type="dxa"/>
            <w:tcBorders>
              <w:top w:val="nil"/>
              <w:left w:val="nil"/>
              <w:bottom w:val="single" w:sz="4" w:space="0" w:color="auto"/>
              <w:right w:val="single" w:sz="4" w:space="0" w:color="auto"/>
            </w:tcBorders>
            <w:shd w:val="clear" w:color="auto" w:fill="auto"/>
            <w:vAlign w:val="center"/>
            <w:hideMark/>
          </w:tcPr>
          <w:p w14:paraId="4499C75E"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0117-DE-P24</w:t>
            </w:r>
          </w:p>
        </w:tc>
        <w:tc>
          <w:tcPr>
            <w:tcW w:w="2126" w:type="dxa"/>
            <w:tcBorders>
              <w:top w:val="nil"/>
              <w:left w:val="nil"/>
              <w:bottom w:val="single" w:sz="4" w:space="0" w:color="auto"/>
              <w:right w:val="single" w:sz="4" w:space="0" w:color="auto"/>
            </w:tcBorders>
            <w:shd w:val="clear" w:color="auto" w:fill="auto"/>
            <w:vAlign w:val="center"/>
            <w:hideMark/>
          </w:tcPr>
          <w:p w14:paraId="5A823CEF"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Reacondicionamiento Eléctrico Anexo A del II Circ Jud San José</w:t>
            </w:r>
          </w:p>
        </w:tc>
        <w:tc>
          <w:tcPr>
            <w:tcW w:w="1276" w:type="dxa"/>
            <w:tcBorders>
              <w:top w:val="nil"/>
              <w:left w:val="nil"/>
              <w:bottom w:val="single" w:sz="4" w:space="0" w:color="auto"/>
              <w:right w:val="single" w:sz="4" w:space="0" w:color="auto"/>
            </w:tcBorders>
            <w:shd w:val="clear" w:color="auto" w:fill="auto"/>
            <w:vAlign w:val="center"/>
            <w:hideMark/>
          </w:tcPr>
          <w:p w14:paraId="516895A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179,96</w:t>
            </w:r>
          </w:p>
        </w:tc>
        <w:tc>
          <w:tcPr>
            <w:tcW w:w="1984" w:type="dxa"/>
            <w:tcBorders>
              <w:top w:val="nil"/>
              <w:left w:val="nil"/>
              <w:bottom w:val="single" w:sz="4" w:space="0" w:color="auto"/>
              <w:right w:val="single" w:sz="4" w:space="0" w:color="auto"/>
            </w:tcBorders>
            <w:shd w:val="clear" w:color="auto" w:fill="auto"/>
            <w:vAlign w:val="center"/>
            <w:hideMark/>
          </w:tcPr>
          <w:p w14:paraId="344333E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2021LA-000078-PROV.</w:t>
            </w:r>
          </w:p>
        </w:tc>
        <w:tc>
          <w:tcPr>
            <w:tcW w:w="2332" w:type="dxa"/>
            <w:tcBorders>
              <w:top w:val="nil"/>
              <w:left w:val="nil"/>
              <w:bottom w:val="single" w:sz="4" w:space="0" w:color="auto"/>
              <w:right w:val="single" w:sz="4" w:space="0" w:color="auto"/>
            </w:tcBorders>
            <w:shd w:val="clear" w:color="auto" w:fill="auto"/>
            <w:vAlign w:val="center"/>
            <w:hideMark/>
          </w:tcPr>
          <w:p w14:paraId="112A7917"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Adjudicado en firme.</w:t>
            </w:r>
          </w:p>
        </w:tc>
      </w:tr>
      <w:tr w:rsidR="00BB165B" w:rsidRPr="00BB165B" w14:paraId="4919451C" w14:textId="77777777" w:rsidTr="00465D52">
        <w:trPr>
          <w:trHeight w:val="552"/>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0B7E04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50103</w:t>
            </w:r>
          </w:p>
        </w:tc>
        <w:tc>
          <w:tcPr>
            <w:tcW w:w="1119" w:type="dxa"/>
            <w:tcBorders>
              <w:top w:val="nil"/>
              <w:left w:val="nil"/>
              <w:bottom w:val="single" w:sz="4" w:space="0" w:color="auto"/>
              <w:right w:val="single" w:sz="4" w:space="0" w:color="auto"/>
            </w:tcBorders>
            <w:shd w:val="clear" w:color="auto" w:fill="auto"/>
            <w:vAlign w:val="center"/>
            <w:hideMark/>
          </w:tcPr>
          <w:p w14:paraId="5922DBA7"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0122-DTI-P11</w:t>
            </w:r>
          </w:p>
        </w:tc>
        <w:tc>
          <w:tcPr>
            <w:tcW w:w="2126" w:type="dxa"/>
            <w:tcBorders>
              <w:top w:val="nil"/>
              <w:left w:val="nil"/>
              <w:bottom w:val="single" w:sz="4" w:space="0" w:color="auto"/>
              <w:right w:val="single" w:sz="4" w:space="0" w:color="auto"/>
            </w:tcBorders>
            <w:shd w:val="clear" w:color="auto" w:fill="auto"/>
            <w:vAlign w:val="center"/>
            <w:hideMark/>
          </w:tcPr>
          <w:p w14:paraId="29517ECB"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Rediseño y Migración de Telefonía IP</w:t>
            </w:r>
          </w:p>
        </w:tc>
        <w:tc>
          <w:tcPr>
            <w:tcW w:w="1276" w:type="dxa"/>
            <w:tcBorders>
              <w:top w:val="nil"/>
              <w:left w:val="nil"/>
              <w:bottom w:val="single" w:sz="4" w:space="0" w:color="auto"/>
              <w:right w:val="single" w:sz="4" w:space="0" w:color="auto"/>
            </w:tcBorders>
            <w:shd w:val="clear" w:color="auto" w:fill="auto"/>
            <w:noWrap/>
            <w:vAlign w:val="center"/>
            <w:hideMark/>
          </w:tcPr>
          <w:p w14:paraId="367A058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14,00</w:t>
            </w:r>
          </w:p>
        </w:tc>
        <w:tc>
          <w:tcPr>
            <w:tcW w:w="1984" w:type="dxa"/>
            <w:tcBorders>
              <w:top w:val="nil"/>
              <w:left w:val="nil"/>
              <w:bottom w:val="single" w:sz="4" w:space="0" w:color="auto"/>
              <w:right w:val="single" w:sz="4" w:space="0" w:color="auto"/>
            </w:tcBorders>
            <w:shd w:val="clear" w:color="auto" w:fill="auto"/>
            <w:vAlign w:val="center"/>
            <w:hideMark/>
          </w:tcPr>
          <w:p w14:paraId="023275A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2020LA-000058-PROV</w:t>
            </w:r>
          </w:p>
        </w:tc>
        <w:tc>
          <w:tcPr>
            <w:tcW w:w="2332" w:type="dxa"/>
            <w:tcBorders>
              <w:top w:val="nil"/>
              <w:left w:val="nil"/>
              <w:bottom w:val="single" w:sz="4" w:space="0" w:color="auto"/>
              <w:right w:val="single" w:sz="4" w:space="0" w:color="auto"/>
            </w:tcBorders>
            <w:shd w:val="clear" w:color="auto" w:fill="auto"/>
            <w:vAlign w:val="center"/>
            <w:hideMark/>
          </w:tcPr>
          <w:p w14:paraId="64D7E280"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606A28A1" w14:textId="77777777" w:rsidTr="00465D52">
        <w:trPr>
          <w:trHeight w:val="828"/>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97D104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1119" w:type="dxa"/>
            <w:tcBorders>
              <w:top w:val="nil"/>
              <w:left w:val="nil"/>
              <w:bottom w:val="single" w:sz="4" w:space="0" w:color="auto"/>
              <w:right w:val="single" w:sz="4" w:space="0" w:color="auto"/>
            </w:tcBorders>
            <w:shd w:val="clear" w:color="auto" w:fill="auto"/>
            <w:vAlign w:val="center"/>
            <w:hideMark/>
          </w:tcPr>
          <w:p w14:paraId="7DE623BE" w14:textId="77777777" w:rsidR="00BB165B" w:rsidRPr="00BB165B" w:rsidRDefault="00BB165B" w:rsidP="00BB165B">
            <w:pPr>
              <w:ind w:right="-75"/>
              <w:rPr>
                <w:rFonts w:ascii="Arial" w:hAnsi="Arial" w:cs="Arial"/>
                <w:color w:val="000000"/>
                <w:sz w:val="20"/>
                <w:szCs w:val="20"/>
                <w:lang w:val="es-CR" w:eastAsia="es-CR"/>
              </w:rPr>
            </w:pPr>
            <w:r w:rsidRPr="00BB165B">
              <w:rPr>
                <w:rFonts w:ascii="Arial" w:hAnsi="Arial" w:cs="Arial"/>
                <w:color w:val="000000"/>
                <w:sz w:val="20"/>
                <w:szCs w:val="20"/>
                <w:lang w:val="es-CR" w:eastAsia="es-CR"/>
              </w:rPr>
              <w:t>0122-DTI-P11</w:t>
            </w:r>
          </w:p>
        </w:tc>
        <w:tc>
          <w:tcPr>
            <w:tcW w:w="2126" w:type="dxa"/>
            <w:tcBorders>
              <w:top w:val="nil"/>
              <w:left w:val="nil"/>
              <w:bottom w:val="single" w:sz="4" w:space="0" w:color="auto"/>
              <w:right w:val="single" w:sz="4" w:space="0" w:color="auto"/>
            </w:tcBorders>
            <w:shd w:val="clear" w:color="auto" w:fill="auto"/>
            <w:vAlign w:val="center"/>
            <w:hideMark/>
          </w:tcPr>
          <w:p w14:paraId="00F639D2"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Rediseño y Migración de Telefonía IP</w:t>
            </w:r>
          </w:p>
        </w:tc>
        <w:tc>
          <w:tcPr>
            <w:tcW w:w="1276" w:type="dxa"/>
            <w:tcBorders>
              <w:top w:val="nil"/>
              <w:left w:val="nil"/>
              <w:bottom w:val="single" w:sz="4" w:space="0" w:color="auto"/>
              <w:right w:val="single" w:sz="4" w:space="0" w:color="auto"/>
            </w:tcBorders>
            <w:shd w:val="clear" w:color="auto" w:fill="auto"/>
            <w:noWrap/>
            <w:vAlign w:val="center"/>
            <w:hideMark/>
          </w:tcPr>
          <w:p w14:paraId="0114E24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65,00</w:t>
            </w:r>
          </w:p>
        </w:tc>
        <w:tc>
          <w:tcPr>
            <w:tcW w:w="1984" w:type="dxa"/>
            <w:tcBorders>
              <w:top w:val="nil"/>
              <w:left w:val="nil"/>
              <w:bottom w:val="single" w:sz="4" w:space="0" w:color="auto"/>
              <w:right w:val="single" w:sz="4" w:space="0" w:color="auto"/>
            </w:tcBorders>
            <w:shd w:val="clear" w:color="auto" w:fill="auto"/>
            <w:vAlign w:val="center"/>
            <w:hideMark/>
          </w:tcPr>
          <w:p w14:paraId="19390E4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2021CD-000007-PROVEX</w:t>
            </w:r>
          </w:p>
        </w:tc>
        <w:tc>
          <w:tcPr>
            <w:tcW w:w="2332" w:type="dxa"/>
            <w:tcBorders>
              <w:top w:val="nil"/>
              <w:left w:val="nil"/>
              <w:bottom w:val="single" w:sz="4" w:space="0" w:color="auto"/>
              <w:right w:val="single" w:sz="4" w:space="0" w:color="auto"/>
            </w:tcBorders>
            <w:shd w:val="clear" w:color="auto" w:fill="auto"/>
            <w:vAlign w:val="center"/>
            <w:hideMark/>
          </w:tcPr>
          <w:p w14:paraId="3CE60C14"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76273365" w14:textId="77777777" w:rsidTr="00465D52">
        <w:trPr>
          <w:trHeight w:val="828"/>
          <w:jc w:val="center"/>
        </w:trPr>
        <w:tc>
          <w:tcPr>
            <w:tcW w:w="1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A5840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1119" w:type="dxa"/>
            <w:tcBorders>
              <w:top w:val="nil"/>
              <w:left w:val="nil"/>
              <w:bottom w:val="single" w:sz="4" w:space="0" w:color="auto"/>
              <w:right w:val="single" w:sz="4" w:space="0" w:color="auto"/>
            </w:tcBorders>
            <w:shd w:val="clear" w:color="auto" w:fill="auto"/>
            <w:vAlign w:val="center"/>
            <w:hideMark/>
          </w:tcPr>
          <w:p w14:paraId="5FC7BF36" w14:textId="77777777" w:rsidR="00BB165B" w:rsidRPr="00BB165B" w:rsidRDefault="00BB165B" w:rsidP="00BB165B">
            <w:pPr>
              <w:ind w:right="-75"/>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0122-DTI-P02. </w:t>
            </w:r>
          </w:p>
        </w:tc>
        <w:tc>
          <w:tcPr>
            <w:tcW w:w="2126" w:type="dxa"/>
            <w:tcBorders>
              <w:top w:val="nil"/>
              <w:left w:val="nil"/>
              <w:bottom w:val="single" w:sz="4" w:space="0" w:color="auto"/>
              <w:right w:val="single" w:sz="4" w:space="0" w:color="auto"/>
            </w:tcBorders>
            <w:shd w:val="clear" w:color="auto" w:fill="auto"/>
            <w:vAlign w:val="center"/>
            <w:hideMark/>
          </w:tcPr>
          <w:p w14:paraId="0CFF6851" w14:textId="77777777" w:rsidR="00BB165B" w:rsidRPr="00BB165B" w:rsidRDefault="00BB165B" w:rsidP="00BB165B">
            <w:pP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Incorporación de la jurisprudencia oral en el Nexus-PJ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19BE8" w14:textId="2C72699F"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48,9</w:t>
            </w:r>
            <w:r w:rsidR="003D502E">
              <w:rPr>
                <w:rFonts w:ascii="Arial" w:hAnsi="Arial" w:cs="Arial"/>
                <w:color w:val="000000"/>
                <w:sz w:val="20"/>
                <w:szCs w:val="20"/>
                <w:lang w:val="es-CR" w:eastAsia="es-CR"/>
              </w:rPr>
              <w:t>0</w:t>
            </w:r>
          </w:p>
        </w:tc>
        <w:tc>
          <w:tcPr>
            <w:tcW w:w="1984" w:type="dxa"/>
            <w:tcBorders>
              <w:top w:val="nil"/>
              <w:left w:val="nil"/>
              <w:bottom w:val="single" w:sz="4" w:space="0" w:color="auto"/>
              <w:right w:val="single" w:sz="4" w:space="0" w:color="auto"/>
            </w:tcBorders>
            <w:shd w:val="clear" w:color="auto" w:fill="auto"/>
            <w:vAlign w:val="center"/>
            <w:hideMark/>
          </w:tcPr>
          <w:p w14:paraId="7ED6DAC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2021CD-000061-PROVCD</w:t>
            </w:r>
          </w:p>
        </w:tc>
        <w:tc>
          <w:tcPr>
            <w:tcW w:w="2332" w:type="dxa"/>
            <w:vMerge w:val="restart"/>
            <w:tcBorders>
              <w:top w:val="nil"/>
              <w:left w:val="single" w:sz="4" w:space="0" w:color="auto"/>
              <w:bottom w:val="single" w:sz="4" w:space="0" w:color="auto"/>
              <w:right w:val="single" w:sz="4" w:space="0" w:color="auto"/>
            </w:tcBorders>
            <w:shd w:val="clear" w:color="auto" w:fill="auto"/>
            <w:vAlign w:val="center"/>
            <w:hideMark/>
          </w:tcPr>
          <w:p w14:paraId="13934F9F"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p w14:paraId="15624614"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Compra de licencias de Visual Studio Enterprise </w:t>
            </w:r>
            <w:r w:rsidRPr="00BB165B">
              <w:rPr>
                <w:rFonts w:ascii="Arial" w:hAnsi="Arial" w:cs="Arial"/>
                <w:color w:val="000000"/>
                <w:sz w:val="20"/>
                <w:szCs w:val="20"/>
                <w:lang w:val="es-CR" w:eastAsia="es-CR"/>
              </w:rPr>
              <w:lastRenderedPageBreak/>
              <w:t>y Professional. Licencias de Project Online. Licencias de Adobe Creative. Licencias de NGINEX u otra necesidad de NexusOralidad.</w:t>
            </w:r>
          </w:p>
        </w:tc>
      </w:tr>
      <w:tr w:rsidR="00BB165B" w:rsidRPr="00BB165B" w14:paraId="35E5F3C0" w14:textId="77777777" w:rsidTr="00465D52">
        <w:trPr>
          <w:trHeight w:val="1104"/>
          <w:jc w:val="center"/>
        </w:trPr>
        <w:tc>
          <w:tcPr>
            <w:tcW w:w="1003" w:type="dxa"/>
            <w:vMerge/>
            <w:tcBorders>
              <w:top w:val="nil"/>
              <w:left w:val="single" w:sz="4" w:space="0" w:color="auto"/>
              <w:bottom w:val="single" w:sz="4" w:space="0" w:color="auto"/>
              <w:right w:val="single" w:sz="4" w:space="0" w:color="auto"/>
            </w:tcBorders>
            <w:vAlign w:val="center"/>
            <w:hideMark/>
          </w:tcPr>
          <w:p w14:paraId="58EBAA7E" w14:textId="77777777" w:rsidR="00BB165B" w:rsidRPr="00BB165B" w:rsidRDefault="00BB165B" w:rsidP="00BB165B">
            <w:pPr>
              <w:rPr>
                <w:rFonts w:ascii="Arial" w:hAnsi="Arial" w:cs="Arial"/>
                <w:color w:val="000000"/>
                <w:sz w:val="20"/>
                <w:szCs w:val="20"/>
                <w:lang w:val="es-CR" w:eastAsia="es-CR"/>
              </w:rPr>
            </w:pPr>
          </w:p>
        </w:tc>
        <w:tc>
          <w:tcPr>
            <w:tcW w:w="1119" w:type="dxa"/>
            <w:tcBorders>
              <w:top w:val="nil"/>
              <w:left w:val="nil"/>
              <w:bottom w:val="single" w:sz="4" w:space="0" w:color="auto"/>
              <w:right w:val="single" w:sz="4" w:space="0" w:color="auto"/>
            </w:tcBorders>
            <w:shd w:val="clear" w:color="auto" w:fill="auto"/>
            <w:vAlign w:val="center"/>
            <w:hideMark/>
          </w:tcPr>
          <w:p w14:paraId="63F886E7" w14:textId="77777777" w:rsidR="00BB165B" w:rsidRPr="00BB165B" w:rsidRDefault="00BB165B" w:rsidP="00BB165B">
            <w:pPr>
              <w:ind w:right="-75"/>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0110-PLA-P09. </w:t>
            </w:r>
          </w:p>
        </w:tc>
        <w:tc>
          <w:tcPr>
            <w:tcW w:w="2126" w:type="dxa"/>
            <w:tcBorders>
              <w:top w:val="nil"/>
              <w:left w:val="nil"/>
              <w:bottom w:val="single" w:sz="4" w:space="0" w:color="auto"/>
              <w:right w:val="single" w:sz="4" w:space="0" w:color="auto"/>
            </w:tcBorders>
            <w:shd w:val="clear" w:color="auto" w:fill="auto"/>
            <w:vAlign w:val="center"/>
            <w:hideMark/>
          </w:tcPr>
          <w:p w14:paraId="505C31A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Modelo para la Administración del Portafolio de Proyectos Estratégicos </w:t>
            </w:r>
          </w:p>
        </w:tc>
        <w:tc>
          <w:tcPr>
            <w:tcW w:w="1276" w:type="dxa"/>
            <w:vMerge/>
            <w:tcBorders>
              <w:top w:val="nil"/>
              <w:left w:val="single" w:sz="4" w:space="0" w:color="auto"/>
              <w:bottom w:val="single" w:sz="4" w:space="0" w:color="auto"/>
              <w:right w:val="single" w:sz="4" w:space="0" w:color="auto"/>
            </w:tcBorders>
            <w:vAlign w:val="center"/>
            <w:hideMark/>
          </w:tcPr>
          <w:p w14:paraId="7BEA6095" w14:textId="77777777" w:rsidR="00BB165B" w:rsidRPr="00BB165B" w:rsidRDefault="00BB165B" w:rsidP="00BB165B">
            <w:pPr>
              <w:rPr>
                <w:rFonts w:ascii="Arial" w:hAnsi="Arial" w:cs="Arial"/>
                <w:color w:val="000000"/>
                <w:sz w:val="20"/>
                <w:szCs w:val="20"/>
                <w:lang w:val="es-CR" w:eastAsia="es-CR"/>
              </w:rPr>
            </w:pPr>
          </w:p>
        </w:tc>
        <w:tc>
          <w:tcPr>
            <w:tcW w:w="1984" w:type="dxa"/>
            <w:tcBorders>
              <w:top w:val="nil"/>
              <w:left w:val="nil"/>
              <w:bottom w:val="single" w:sz="4" w:space="0" w:color="auto"/>
              <w:right w:val="single" w:sz="4" w:space="0" w:color="auto"/>
            </w:tcBorders>
            <w:shd w:val="clear" w:color="auto" w:fill="auto"/>
            <w:vAlign w:val="center"/>
            <w:hideMark/>
          </w:tcPr>
          <w:p w14:paraId="698830C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2021CD-000079-PROVCD</w:t>
            </w:r>
          </w:p>
        </w:tc>
        <w:tc>
          <w:tcPr>
            <w:tcW w:w="2332" w:type="dxa"/>
            <w:vMerge/>
            <w:tcBorders>
              <w:top w:val="nil"/>
              <w:left w:val="single" w:sz="4" w:space="0" w:color="auto"/>
              <w:bottom w:val="single" w:sz="4" w:space="0" w:color="auto"/>
              <w:right w:val="single" w:sz="4" w:space="0" w:color="auto"/>
            </w:tcBorders>
            <w:vAlign w:val="center"/>
            <w:hideMark/>
          </w:tcPr>
          <w:p w14:paraId="28C558A1" w14:textId="77777777" w:rsidR="00BB165B" w:rsidRPr="00BB165B" w:rsidRDefault="00BB165B" w:rsidP="00BB165B">
            <w:pPr>
              <w:rPr>
                <w:rFonts w:ascii="Arial" w:hAnsi="Arial" w:cs="Arial"/>
                <w:color w:val="000000"/>
                <w:sz w:val="20"/>
                <w:szCs w:val="20"/>
                <w:lang w:val="es-CR" w:eastAsia="es-CR"/>
              </w:rPr>
            </w:pPr>
          </w:p>
        </w:tc>
      </w:tr>
    </w:tbl>
    <w:p w14:paraId="51C4EFBB" w14:textId="77777777" w:rsidR="00BB165B" w:rsidRPr="00BB165B" w:rsidRDefault="00BB165B" w:rsidP="00BB165B">
      <w:pPr>
        <w:spacing w:after="160" w:line="276" w:lineRule="auto"/>
        <w:jc w:val="both"/>
        <w:rPr>
          <w:rFonts w:ascii="Arial Narrow" w:eastAsia="Cambria" w:hAnsi="Arial Narrow" w:cstheme="minorBidi"/>
          <w:iCs/>
          <w:sz w:val="22"/>
          <w:szCs w:val="20"/>
          <w:lang w:val="es-CR" w:eastAsia="es-CR"/>
        </w:rPr>
      </w:pPr>
    </w:p>
    <w:p w14:paraId="72E28B17" w14:textId="0303F812" w:rsidR="00BB165B" w:rsidRPr="00BB165B" w:rsidRDefault="00BB165B" w:rsidP="003E4AE6">
      <w:pPr>
        <w:spacing w:after="160" w:line="360" w:lineRule="auto"/>
        <w:jc w:val="both"/>
        <w:rPr>
          <w:rFonts w:ascii="Arial" w:eastAsia="Cambria" w:hAnsi="Arial" w:cs="Arial"/>
          <w:iCs/>
          <w:sz w:val="20"/>
          <w:szCs w:val="20"/>
          <w:lang w:val="es-CR" w:eastAsia="es-CR"/>
        </w:rPr>
      </w:pPr>
      <w:r w:rsidRPr="00BB165B">
        <w:rPr>
          <w:rFonts w:ascii="Arial" w:eastAsia="Cambria" w:hAnsi="Arial" w:cs="Arial"/>
          <w:iCs/>
          <w:sz w:val="20"/>
          <w:szCs w:val="20"/>
          <w:lang w:val="es-CR" w:eastAsia="es-CR"/>
        </w:rPr>
        <w:t xml:space="preserve">Adicionalmente y de nuevo en relación con lo consignado en el cuadro </w:t>
      </w:r>
      <w:r w:rsidR="00106709">
        <w:rPr>
          <w:rFonts w:ascii="Arial" w:eastAsia="Cambria" w:hAnsi="Arial" w:cs="Arial"/>
          <w:iCs/>
          <w:sz w:val="20"/>
          <w:szCs w:val="20"/>
          <w:lang w:val="es-CR" w:eastAsia="es-CR"/>
        </w:rPr>
        <w:t>4</w:t>
      </w:r>
      <w:r w:rsidRPr="00BB165B">
        <w:rPr>
          <w:rFonts w:ascii="Arial" w:eastAsia="Cambria" w:hAnsi="Arial" w:cs="Arial"/>
          <w:iCs/>
          <w:sz w:val="20"/>
          <w:szCs w:val="20"/>
          <w:lang w:val="es-CR" w:eastAsia="es-CR"/>
        </w:rPr>
        <w:t>, seguidamente se enlistan otros procedimientos de compra relacionados con la ejecución de la partida 5, los cuales responden a necesidades operativas de la institución:</w:t>
      </w:r>
    </w:p>
    <w:p w14:paraId="77FEED49" w14:textId="77777777" w:rsidR="00BB165B" w:rsidRPr="00BB165B" w:rsidRDefault="00BB165B" w:rsidP="00BB165B">
      <w:pPr>
        <w:spacing w:before="240" w:after="120" w:line="360" w:lineRule="auto"/>
        <w:jc w:val="both"/>
        <w:rPr>
          <w:rFonts w:asciiTheme="minorHAnsi" w:eastAsiaTheme="minorEastAsia" w:hAnsiTheme="minorHAnsi" w:cstheme="minorBidi"/>
          <w:bCs/>
          <w:smallCaps/>
          <w:spacing w:val="5"/>
          <w:sz w:val="22"/>
          <w:szCs w:val="22"/>
        </w:rPr>
      </w:pPr>
    </w:p>
    <w:tbl>
      <w:tblPr>
        <w:tblW w:w="10100" w:type="dxa"/>
        <w:jc w:val="center"/>
        <w:tblCellMar>
          <w:left w:w="70" w:type="dxa"/>
          <w:right w:w="70" w:type="dxa"/>
        </w:tblCellMar>
        <w:tblLook w:val="04A0" w:firstRow="1" w:lastRow="0" w:firstColumn="1" w:lastColumn="0" w:noHBand="0" w:noVBand="1"/>
      </w:tblPr>
      <w:tblGrid>
        <w:gridCol w:w="1240"/>
        <w:gridCol w:w="3500"/>
        <w:gridCol w:w="1240"/>
        <w:gridCol w:w="2360"/>
        <w:gridCol w:w="1760"/>
      </w:tblGrid>
      <w:tr w:rsidR="00BB165B" w:rsidRPr="00BB165B" w14:paraId="2B166397" w14:textId="77777777" w:rsidTr="00465D52">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548DD4"/>
            <w:vAlign w:val="center"/>
            <w:hideMark/>
          </w:tcPr>
          <w:p w14:paraId="09E1F425"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Subpartida</w:t>
            </w:r>
          </w:p>
        </w:tc>
        <w:tc>
          <w:tcPr>
            <w:tcW w:w="3500" w:type="dxa"/>
            <w:tcBorders>
              <w:top w:val="single" w:sz="4" w:space="0" w:color="auto"/>
              <w:left w:val="nil"/>
              <w:bottom w:val="single" w:sz="4" w:space="0" w:color="auto"/>
              <w:right w:val="single" w:sz="4" w:space="0" w:color="auto"/>
            </w:tcBorders>
            <w:shd w:val="clear" w:color="000000" w:fill="548DD4"/>
            <w:vAlign w:val="center"/>
            <w:hideMark/>
          </w:tcPr>
          <w:p w14:paraId="3C5FF533"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Proyecto o compra</w:t>
            </w:r>
          </w:p>
        </w:tc>
        <w:tc>
          <w:tcPr>
            <w:tcW w:w="1240" w:type="dxa"/>
            <w:tcBorders>
              <w:top w:val="single" w:sz="4" w:space="0" w:color="auto"/>
              <w:left w:val="nil"/>
              <w:bottom w:val="single" w:sz="4" w:space="0" w:color="auto"/>
              <w:right w:val="single" w:sz="4" w:space="0" w:color="auto"/>
            </w:tcBorders>
            <w:shd w:val="clear" w:color="000000" w:fill="548DD4"/>
            <w:vAlign w:val="center"/>
            <w:hideMark/>
          </w:tcPr>
          <w:p w14:paraId="484E837D"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Costo</w:t>
            </w:r>
          </w:p>
        </w:tc>
        <w:tc>
          <w:tcPr>
            <w:tcW w:w="2360" w:type="dxa"/>
            <w:tcBorders>
              <w:top w:val="single" w:sz="4" w:space="0" w:color="auto"/>
              <w:left w:val="nil"/>
              <w:bottom w:val="single" w:sz="4" w:space="0" w:color="auto"/>
              <w:right w:val="single" w:sz="4" w:space="0" w:color="auto"/>
            </w:tcBorders>
            <w:shd w:val="clear" w:color="000000" w:fill="548DD4"/>
            <w:vAlign w:val="center"/>
            <w:hideMark/>
          </w:tcPr>
          <w:p w14:paraId="071723B6"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 Procedimiento</w:t>
            </w:r>
          </w:p>
        </w:tc>
        <w:tc>
          <w:tcPr>
            <w:tcW w:w="1760" w:type="dxa"/>
            <w:tcBorders>
              <w:top w:val="single" w:sz="4" w:space="0" w:color="auto"/>
              <w:left w:val="nil"/>
              <w:bottom w:val="single" w:sz="4" w:space="0" w:color="auto"/>
              <w:right w:val="single" w:sz="4" w:space="0" w:color="auto"/>
            </w:tcBorders>
            <w:shd w:val="clear" w:color="000000" w:fill="548DD4"/>
            <w:vAlign w:val="center"/>
            <w:hideMark/>
          </w:tcPr>
          <w:p w14:paraId="1DC1B3AB" w14:textId="77777777" w:rsidR="00BB165B" w:rsidRPr="00BB165B" w:rsidRDefault="00BB165B" w:rsidP="00BB165B">
            <w:pPr>
              <w:jc w:val="center"/>
              <w:rPr>
                <w:rFonts w:ascii="Arial" w:hAnsi="Arial" w:cs="Arial"/>
                <w:b/>
                <w:bCs/>
                <w:color w:val="000000"/>
                <w:sz w:val="20"/>
                <w:szCs w:val="20"/>
                <w:lang w:val="es-CR" w:eastAsia="es-CR"/>
              </w:rPr>
            </w:pPr>
            <w:r w:rsidRPr="00BB165B">
              <w:rPr>
                <w:rFonts w:ascii="Arial" w:hAnsi="Arial" w:cs="Arial"/>
                <w:b/>
                <w:bCs/>
                <w:color w:val="000000"/>
                <w:sz w:val="20"/>
                <w:szCs w:val="20"/>
                <w:lang w:val="es-CR" w:eastAsia="es-CR"/>
              </w:rPr>
              <w:t xml:space="preserve">Estado </w:t>
            </w:r>
          </w:p>
        </w:tc>
      </w:tr>
      <w:tr w:rsidR="00BB165B" w:rsidRPr="00BB165B" w14:paraId="39D543B9"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4F761B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50104</w:t>
            </w:r>
          </w:p>
        </w:tc>
        <w:tc>
          <w:tcPr>
            <w:tcW w:w="3500" w:type="dxa"/>
            <w:tcBorders>
              <w:top w:val="nil"/>
              <w:left w:val="nil"/>
              <w:bottom w:val="single" w:sz="4" w:space="0" w:color="auto"/>
              <w:right w:val="single" w:sz="4" w:space="0" w:color="auto"/>
            </w:tcBorders>
            <w:shd w:val="clear" w:color="000000" w:fill="FFFFFF"/>
            <w:vAlign w:val="center"/>
            <w:hideMark/>
          </w:tcPr>
          <w:p w14:paraId="716D46E1"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Sustitución y actualización del sistema de aire acondicionado del edificio de los Tribunales de Justicia de Turrialba</w:t>
            </w:r>
          </w:p>
        </w:tc>
        <w:tc>
          <w:tcPr>
            <w:tcW w:w="1240" w:type="dxa"/>
            <w:tcBorders>
              <w:top w:val="nil"/>
              <w:left w:val="nil"/>
              <w:bottom w:val="single" w:sz="4" w:space="0" w:color="auto"/>
              <w:right w:val="single" w:sz="4" w:space="0" w:color="auto"/>
            </w:tcBorders>
            <w:shd w:val="clear" w:color="auto" w:fill="auto"/>
            <w:vAlign w:val="center"/>
            <w:hideMark/>
          </w:tcPr>
          <w:p w14:paraId="084520E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183,05</w:t>
            </w:r>
          </w:p>
        </w:tc>
        <w:tc>
          <w:tcPr>
            <w:tcW w:w="2360" w:type="dxa"/>
            <w:tcBorders>
              <w:top w:val="nil"/>
              <w:left w:val="nil"/>
              <w:bottom w:val="single" w:sz="4" w:space="0" w:color="auto"/>
              <w:right w:val="single" w:sz="4" w:space="0" w:color="auto"/>
            </w:tcBorders>
            <w:shd w:val="clear" w:color="auto" w:fill="auto"/>
            <w:vAlign w:val="center"/>
            <w:hideMark/>
          </w:tcPr>
          <w:p w14:paraId="5F0CC8E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2020LA-000064-PROV</w:t>
            </w:r>
          </w:p>
        </w:tc>
        <w:tc>
          <w:tcPr>
            <w:tcW w:w="1760" w:type="dxa"/>
            <w:tcBorders>
              <w:top w:val="nil"/>
              <w:left w:val="nil"/>
              <w:bottom w:val="single" w:sz="4" w:space="0" w:color="auto"/>
              <w:right w:val="single" w:sz="4" w:space="0" w:color="auto"/>
            </w:tcBorders>
            <w:shd w:val="clear" w:color="auto" w:fill="auto"/>
            <w:vAlign w:val="center"/>
            <w:hideMark/>
          </w:tcPr>
          <w:p w14:paraId="08838D6D"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22FD6F80" w14:textId="77777777" w:rsidTr="00465D52">
        <w:trPr>
          <w:trHeight w:val="91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593E1B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50199</w:t>
            </w:r>
          </w:p>
        </w:tc>
        <w:tc>
          <w:tcPr>
            <w:tcW w:w="3500" w:type="dxa"/>
            <w:tcBorders>
              <w:top w:val="nil"/>
              <w:left w:val="nil"/>
              <w:bottom w:val="single" w:sz="4" w:space="0" w:color="auto"/>
              <w:right w:val="single" w:sz="4" w:space="0" w:color="auto"/>
            </w:tcBorders>
            <w:shd w:val="clear" w:color="auto" w:fill="auto"/>
            <w:vAlign w:val="center"/>
            <w:hideMark/>
          </w:tcPr>
          <w:p w14:paraId="55478E6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e Instalación de Equipos de Manejadoras de Agua Helada del Edificio de los Tribunales de Justicia de Santa Cruz.</w:t>
            </w:r>
          </w:p>
        </w:tc>
        <w:tc>
          <w:tcPr>
            <w:tcW w:w="1240" w:type="dxa"/>
            <w:tcBorders>
              <w:top w:val="nil"/>
              <w:left w:val="nil"/>
              <w:bottom w:val="single" w:sz="4" w:space="0" w:color="auto"/>
              <w:right w:val="single" w:sz="4" w:space="0" w:color="auto"/>
            </w:tcBorders>
            <w:shd w:val="clear" w:color="auto" w:fill="auto"/>
            <w:vAlign w:val="center"/>
            <w:hideMark/>
          </w:tcPr>
          <w:p w14:paraId="352E426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148,50</w:t>
            </w:r>
          </w:p>
        </w:tc>
        <w:tc>
          <w:tcPr>
            <w:tcW w:w="2360" w:type="dxa"/>
            <w:tcBorders>
              <w:top w:val="nil"/>
              <w:left w:val="nil"/>
              <w:bottom w:val="single" w:sz="4" w:space="0" w:color="auto"/>
              <w:right w:val="single" w:sz="4" w:space="0" w:color="auto"/>
            </w:tcBorders>
            <w:shd w:val="clear" w:color="auto" w:fill="auto"/>
            <w:vAlign w:val="center"/>
            <w:hideMark/>
          </w:tcPr>
          <w:p w14:paraId="4AB7675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2021LA-000005-PROV</w:t>
            </w:r>
          </w:p>
        </w:tc>
        <w:tc>
          <w:tcPr>
            <w:tcW w:w="1760" w:type="dxa"/>
            <w:tcBorders>
              <w:top w:val="nil"/>
              <w:left w:val="nil"/>
              <w:bottom w:val="single" w:sz="4" w:space="0" w:color="auto"/>
              <w:right w:val="single" w:sz="4" w:space="0" w:color="auto"/>
            </w:tcBorders>
            <w:shd w:val="clear" w:color="auto" w:fill="auto"/>
            <w:vAlign w:val="center"/>
            <w:hideMark/>
          </w:tcPr>
          <w:p w14:paraId="7903D48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90%</w:t>
            </w:r>
          </w:p>
        </w:tc>
      </w:tr>
      <w:tr w:rsidR="00BB165B" w:rsidRPr="00BB165B" w14:paraId="58DEAC2E" w14:textId="77777777" w:rsidTr="00465D52">
        <w:trPr>
          <w:trHeight w:val="912"/>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FAB525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50199</w:t>
            </w:r>
          </w:p>
        </w:tc>
        <w:tc>
          <w:tcPr>
            <w:tcW w:w="3500" w:type="dxa"/>
            <w:tcBorders>
              <w:top w:val="nil"/>
              <w:left w:val="nil"/>
              <w:bottom w:val="single" w:sz="4" w:space="0" w:color="auto"/>
              <w:right w:val="single" w:sz="4" w:space="0" w:color="auto"/>
            </w:tcBorders>
            <w:shd w:val="clear" w:color="000000" w:fill="FFFFFF"/>
            <w:vAlign w:val="center"/>
            <w:hideMark/>
          </w:tcPr>
          <w:p w14:paraId="1A82F9CD"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e instalación de un sistema de detección y alarma contra incendios, edificio anexo B, ICJSJ</w:t>
            </w:r>
          </w:p>
        </w:tc>
        <w:tc>
          <w:tcPr>
            <w:tcW w:w="1240" w:type="dxa"/>
            <w:tcBorders>
              <w:top w:val="nil"/>
              <w:left w:val="nil"/>
              <w:bottom w:val="single" w:sz="4" w:space="0" w:color="auto"/>
              <w:right w:val="single" w:sz="4" w:space="0" w:color="auto"/>
            </w:tcBorders>
            <w:shd w:val="clear" w:color="auto" w:fill="auto"/>
            <w:vAlign w:val="center"/>
            <w:hideMark/>
          </w:tcPr>
          <w:p w14:paraId="2DB5DC7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31,55</w:t>
            </w:r>
          </w:p>
        </w:tc>
        <w:tc>
          <w:tcPr>
            <w:tcW w:w="2360" w:type="dxa"/>
            <w:tcBorders>
              <w:top w:val="nil"/>
              <w:left w:val="nil"/>
              <w:bottom w:val="single" w:sz="4" w:space="0" w:color="auto"/>
              <w:right w:val="single" w:sz="4" w:space="0" w:color="auto"/>
            </w:tcBorders>
            <w:shd w:val="clear" w:color="auto" w:fill="auto"/>
            <w:noWrap/>
            <w:vAlign w:val="center"/>
            <w:hideMark/>
          </w:tcPr>
          <w:p w14:paraId="34D723B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2021LA-000012-PROV</w:t>
            </w:r>
          </w:p>
        </w:tc>
        <w:tc>
          <w:tcPr>
            <w:tcW w:w="1760" w:type="dxa"/>
            <w:tcBorders>
              <w:top w:val="nil"/>
              <w:left w:val="nil"/>
              <w:bottom w:val="single" w:sz="4" w:space="0" w:color="auto"/>
              <w:right w:val="single" w:sz="4" w:space="0" w:color="auto"/>
            </w:tcBorders>
            <w:shd w:val="clear" w:color="auto" w:fill="auto"/>
            <w:vAlign w:val="center"/>
            <w:hideMark/>
          </w:tcPr>
          <w:p w14:paraId="3C81C13A"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Infructuoso. Se remitió para nuevo procedimiento de contratación</w:t>
            </w:r>
          </w:p>
        </w:tc>
      </w:tr>
      <w:tr w:rsidR="00BB165B" w:rsidRPr="00BB165B" w14:paraId="18432736" w14:textId="77777777" w:rsidTr="00465D52">
        <w:trPr>
          <w:trHeight w:val="91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1803FF1"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50199</w:t>
            </w:r>
          </w:p>
        </w:tc>
        <w:tc>
          <w:tcPr>
            <w:tcW w:w="3500" w:type="dxa"/>
            <w:tcBorders>
              <w:top w:val="nil"/>
              <w:left w:val="nil"/>
              <w:bottom w:val="single" w:sz="4" w:space="0" w:color="auto"/>
              <w:right w:val="single" w:sz="4" w:space="0" w:color="auto"/>
            </w:tcBorders>
            <w:shd w:val="clear" w:color="000000" w:fill="FFFFFF"/>
            <w:vAlign w:val="center"/>
            <w:hideMark/>
          </w:tcPr>
          <w:p w14:paraId="6021FB9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Instalación de un nuevo Sistema de Detección de Incendios en el edificio Anexo A</w:t>
            </w:r>
          </w:p>
        </w:tc>
        <w:tc>
          <w:tcPr>
            <w:tcW w:w="1240" w:type="dxa"/>
            <w:tcBorders>
              <w:top w:val="nil"/>
              <w:left w:val="nil"/>
              <w:bottom w:val="single" w:sz="4" w:space="0" w:color="auto"/>
              <w:right w:val="single" w:sz="4" w:space="0" w:color="auto"/>
            </w:tcBorders>
            <w:shd w:val="clear" w:color="auto" w:fill="auto"/>
            <w:vAlign w:val="center"/>
            <w:hideMark/>
          </w:tcPr>
          <w:p w14:paraId="12BD66D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29,96</w:t>
            </w:r>
          </w:p>
        </w:tc>
        <w:tc>
          <w:tcPr>
            <w:tcW w:w="2360" w:type="dxa"/>
            <w:tcBorders>
              <w:top w:val="nil"/>
              <w:left w:val="nil"/>
              <w:bottom w:val="single" w:sz="4" w:space="0" w:color="auto"/>
              <w:right w:val="single" w:sz="4" w:space="0" w:color="auto"/>
            </w:tcBorders>
            <w:shd w:val="clear" w:color="auto" w:fill="auto"/>
            <w:vAlign w:val="center"/>
            <w:hideMark/>
          </w:tcPr>
          <w:p w14:paraId="071FD6B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2021CD-000156-PROVCD  </w:t>
            </w:r>
          </w:p>
        </w:tc>
        <w:tc>
          <w:tcPr>
            <w:tcW w:w="1760" w:type="dxa"/>
            <w:tcBorders>
              <w:top w:val="nil"/>
              <w:left w:val="nil"/>
              <w:bottom w:val="single" w:sz="4" w:space="0" w:color="auto"/>
              <w:right w:val="single" w:sz="4" w:space="0" w:color="auto"/>
            </w:tcBorders>
            <w:shd w:val="clear" w:color="auto" w:fill="auto"/>
            <w:vAlign w:val="center"/>
            <w:hideMark/>
          </w:tcPr>
          <w:p w14:paraId="6B7C3D2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75%. Suspendido hasta la importación de los equipos</w:t>
            </w:r>
          </w:p>
        </w:tc>
      </w:tr>
      <w:tr w:rsidR="00BB165B" w:rsidRPr="00BB165B" w14:paraId="31C56886"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34409D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443BA640"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Sustitución de las Ventanearías Fachadas del Edificio del Organismo de Investigación Judicial</w:t>
            </w:r>
          </w:p>
        </w:tc>
        <w:tc>
          <w:tcPr>
            <w:tcW w:w="1240" w:type="dxa"/>
            <w:tcBorders>
              <w:top w:val="nil"/>
              <w:left w:val="nil"/>
              <w:bottom w:val="single" w:sz="4" w:space="0" w:color="auto"/>
              <w:right w:val="single" w:sz="4" w:space="0" w:color="auto"/>
            </w:tcBorders>
            <w:shd w:val="clear" w:color="auto" w:fill="auto"/>
            <w:vAlign w:val="center"/>
            <w:hideMark/>
          </w:tcPr>
          <w:p w14:paraId="3F65B0D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282,06</w:t>
            </w:r>
          </w:p>
        </w:tc>
        <w:tc>
          <w:tcPr>
            <w:tcW w:w="2360" w:type="dxa"/>
            <w:tcBorders>
              <w:top w:val="nil"/>
              <w:left w:val="nil"/>
              <w:bottom w:val="single" w:sz="4" w:space="0" w:color="auto"/>
              <w:right w:val="single" w:sz="4" w:space="0" w:color="auto"/>
            </w:tcBorders>
            <w:shd w:val="clear" w:color="auto" w:fill="auto"/>
            <w:vAlign w:val="center"/>
            <w:hideMark/>
          </w:tcPr>
          <w:p w14:paraId="3B3E7F9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2020LA-000080-PROV      </w:t>
            </w:r>
          </w:p>
        </w:tc>
        <w:tc>
          <w:tcPr>
            <w:tcW w:w="1760" w:type="dxa"/>
            <w:tcBorders>
              <w:top w:val="nil"/>
              <w:left w:val="nil"/>
              <w:bottom w:val="single" w:sz="4" w:space="0" w:color="auto"/>
              <w:right w:val="single" w:sz="4" w:space="0" w:color="auto"/>
            </w:tcBorders>
            <w:shd w:val="clear" w:color="auto" w:fill="auto"/>
            <w:vAlign w:val="center"/>
            <w:hideMark/>
          </w:tcPr>
          <w:p w14:paraId="67B1F9B4"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155D88A8"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D47B95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439F191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Remodelación de las aceras circundantes a los Tribunales de Justicia de Alajuela para cumplimiento de la ley 7600</w:t>
            </w:r>
          </w:p>
        </w:tc>
        <w:tc>
          <w:tcPr>
            <w:tcW w:w="1240" w:type="dxa"/>
            <w:tcBorders>
              <w:top w:val="nil"/>
              <w:left w:val="nil"/>
              <w:bottom w:val="single" w:sz="4" w:space="0" w:color="auto"/>
              <w:right w:val="single" w:sz="4" w:space="0" w:color="auto"/>
            </w:tcBorders>
            <w:shd w:val="clear" w:color="auto" w:fill="auto"/>
            <w:vAlign w:val="center"/>
            <w:hideMark/>
          </w:tcPr>
          <w:p w14:paraId="4991C42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66,53</w:t>
            </w:r>
          </w:p>
        </w:tc>
        <w:tc>
          <w:tcPr>
            <w:tcW w:w="2360" w:type="dxa"/>
            <w:tcBorders>
              <w:top w:val="nil"/>
              <w:left w:val="nil"/>
              <w:bottom w:val="single" w:sz="4" w:space="0" w:color="auto"/>
              <w:right w:val="single" w:sz="4" w:space="0" w:color="auto"/>
            </w:tcBorders>
            <w:shd w:val="clear" w:color="auto" w:fill="auto"/>
            <w:vAlign w:val="center"/>
            <w:hideMark/>
          </w:tcPr>
          <w:p w14:paraId="781E9BE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2020LA-000083-PROV      </w:t>
            </w:r>
          </w:p>
        </w:tc>
        <w:tc>
          <w:tcPr>
            <w:tcW w:w="1760" w:type="dxa"/>
            <w:tcBorders>
              <w:top w:val="nil"/>
              <w:left w:val="nil"/>
              <w:bottom w:val="single" w:sz="4" w:space="0" w:color="auto"/>
              <w:right w:val="single" w:sz="4" w:space="0" w:color="auto"/>
            </w:tcBorders>
            <w:shd w:val="clear" w:color="auto" w:fill="auto"/>
            <w:vAlign w:val="center"/>
            <w:hideMark/>
          </w:tcPr>
          <w:p w14:paraId="494FCC4D"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1C6E15C9"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05050F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643F464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e instalación de un ascensor nuevo par el edificio de Tribunales de Santa Cruz</w:t>
            </w:r>
          </w:p>
        </w:tc>
        <w:tc>
          <w:tcPr>
            <w:tcW w:w="1240" w:type="dxa"/>
            <w:tcBorders>
              <w:top w:val="nil"/>
              <w:left w:val="nil"/>
              <w:bottom w:val="single" w:sz="4" w:space="0" w:color="auto"/>
              <w:right w:val="single" w:sz="4" w:space="0" w:color="auto"/>
            </w:tcBorders>
            <w:shd w:val="clear" w:color="auto" w:fill="auto"/>
            <w:vAlign w:val="center"/>
            <w:hideMark/>
          </w:tcPr>
          <w:p w14:paraId="6A78329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59,04</w:t>
            </w:r>
          </w:p>
        </w:tc>
        <w:tc>
          <w:tcPr>
            <w:tcW w:w="2360" w:type="dxa"/>
            <w:tcBorders>
              <w:top w:val="nil"/>
              <w:left w:val="nil"/>
              <w:bottom w:val="single" w:sz="4" w:space="0" w:color="auto"/>
              <w:right w:val="single" w:sz="4" w:space="0" w:color="auto"/>
            </w:tcBorders>
            <w:shd w:val="clear" w:color="auto" w:fill="auto"/>
            <w:vAlign w:val="center"/>
            <w:hideMark/>
          </w:tcPr>
          <w:p w14:paraId="20399D0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2020LA-000089-PROV </w:t>
            </w:r>
          </w:p>
        </w:tc>
        <w:tc>
          <w:tcPr>
            <w:tcW w:w="1760" w:type="dxa"/>
            <w:tcBorders>
              <w:top w:val="nil"/>
              <w:left w:val="nil"/>
              <w:bottom w:val="single" w:sz="4" w:space="0" w:color="auto"/>
              <w:right w:val="single" w:sz="4" w:space="0" w:color="auto"/>
            </w:tcBorders>
            <w:shd w:val="clear" w:color="auto" w:fill="auto"/>
            <w:vAlign w:val="center"/>
            <w:hideMark/>
          </w:tcPr>
          <w:p w14:paraId="5D4ADF87"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701FF8FD" w14:textId="77777777" w:rsidTr="00465D52">
        <w:trPr>
          <w:trHeight w:val="91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6468E6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1BD1926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Ampliación de área de espera externa de personas usuarias y Sala de Lactancia en el Edificio Tribunales de Justicia de Sarapiquí</w:t>
            </w:r>
          </w:p>
        </w:tc>
        <w:tc>
          <w:tcPr>
            <w:tcW w:w="1240" w:type="dxa"/>
            <w:tcBorders>
              <w:top w:val="nil"/>
              <w:left w:val="nil"/>
              <w:bottom w:val="single" w:sz="4" w:space="0" w:color="auto"/>
              <w:right w:val="single" w:sz="4" w:space="0" w:color="auto"/>
            </w:tcBorders>
            <w:shd w:val="clear" w:color="auto" w:fill="auto"/>
            <w:vAlign w:val="center"/>
            <w:hideMark/>
          </w:tcPr>
          <w:p w14:paraId="51E97D5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37,78</w:t>
            </w:r>
          </w:p>
        </w:tc>
        <w:tc>
          <w:tcPr>
            <w:tcW w:w="2360" w:type="dxa"/>
            <w:tcBorders>
              <w:top w:val="nil"/>
              <w:left w:val="nil"/>
              <w:bottom w:val="single" w:sz="4" w:space="0" w:color="auto"/>
              <w:right w:val="single" w:sz="4" w:space="0" w:color="auto"/>
            </w:tcBorders>
            <w:shd w:val="clear" w:color="auto" w:fill="auto"/>
            <w:vAlign w:val="center"/>
            <w:hideMark/>
          </w:tcPr>
          <w:p w14:paraId="057A2DE1"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2021CD-000020-PROVCD </w:t>
            </w:r>
          </w:p>
        </w:tc>
        <w:tc>
          <w:tcPr>
            <w:tcW w:w="1760" w:type="dxa"/>
            <w:tcBorders>
              <w:top w:val="nil"/>
              <w:left w:val="nil"/>
              <w:bottom w:val="single" w:sz="4" w:space="0" w:color="auto"/>
              <w:right w:val="single" w:sz="4" w:space="0" w:color="auto"/>
            </w:tcBorders>
            <w:shd w:val="clear" w:color="auto" w:fill="auto"/>
            <w:vAlign w:val="center"/>
            <w:hideMark/>
          </w:tcPr>
          <w:p w14:paraId="3B3EB7DA"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1E08CA9C"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59FF71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34D7573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Reparación de filtraciones y puesta en marcha de área de costado norte del edificio Corte Suprema de Justicia</w:t>
            </w:r>
          </w:p>
        </w:tc>
        <w:tc>
          <w:tcPr>
            <w:tcW w:w="1240" w:type="dxa"/>
            <w:tcBorders>
              <w:top w:val="nil"/>
              <w:left w:val="nil"/>
              <w:bottom w:val="single" w:sz="4" w:space="0" w:color="auto"/>
              <w:right w:val="single" w:sz="4" w:space="0" w:color="auto"/>
            </w:tcBorders>
            <w:shd w:val="clear" w:color="auto" w:fill="auto"/>
            <w:vAlign w:val="center"/>
            <w:hideMark/>
          </w:tcPr>
          <w:p w14:paraId="4439D0B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75,18</w:t>
            </w:r>
          </w:p>
        </w:tc>
        <w:tc>
          <w:tcPr>
            <w:tcW w:w="2360" w:type="dxa"/>
            <w:tcBorders>
              <w:top w:val="nil"/>
              <w:left w:val="nil"/>
              <w:bottom w:val="single" w:sz="4" w:space="0" w:color="auto"/>
              <w:right w:val="single" w:sz="4" w:space="0" w:color="auto"/>
            </w:tcBorders>
            <w:shd w:val="clear" w:color="auto" w:fill="auto"/>
            <w:vAlign w:val="center"/>
            <w:hideMark/>
          </w:tcPr>
          <w:p w14:paraId="7908E05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2021LA-000016-PROV</w:t>
            </w:r>
          </w:p>
        </w:tc>
        <w:tc>
          <w:tcPr>
            <w:tcW w:w="1760" w:type="dxa"/>
            <w:tcBorders>
              <w:top w:val="nil"/>
              <w:left w:val="nil"/>
              <w:bottom w:val="single" w:sz="4" w:space="0" w:color="auto"/>
              <w:right w:val="single" w:sz="4" w:space="0" w:color="auto"/>
            </w:tcBorders>
            <w:shd w:val="clear" w:color="auto" w:fill="auto"/>
            <w:vAlign w:val="center"/>
            <w:hideMark/>
          </w:tcPr>
          <w:p w14:paraId="64940821"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Ejecución </w:t>
            </w:r>
          </w:p>
        </w:tc>
      </w:tr>
      <w:tr w:rsidR="00BB165B" w:rsidRPr="00BB165B" w14:paraId="329106E8"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251765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lastRenderedPageBreak/>
              <w:t>50201</w:t>
            </w:r>
          </w:p>
        </w:tc>
        <w:tc>
          <w:tcPr>
            <w:tcW w:w="3500" w:type="dxa"/>
            <w:tcBorders>
              <w:top w:val="nil"/>
              <w:left w:val="nil"/>
              <w:bottom w:val="single" w:sz="4" w:space="0" w:color="auto"/>
              <w:right w:val="single" w:sz="4" w:space="0" w:color="auto"/>
            </w:tcBorders>
            <w:shd w:val="clear" w:color="auto" w:fill="auto"/>
            <w:vAlign w:val="center"/>
            <w:hideMark/>
          </w:tcPr>
          <w:p w14:paraId="1A370117"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Primera Etapa para la Construcción de Medio de Egreso para el Edificio de Tribu nales de Pérez Zeledón</w:t>
            </w:r>
          </w:p>
        </w:tc>
        <w:tc>
          <w:tcPr>
            <w:tcW w:w="1240" w:type="dxa"/>
            <w:tcBorders>
              <w:top w:val="nil"/>
              <w:left w:val="nil"/>
              <w:bottom w:val="single" w:sz="4" w:space="0" w:color="auto"/>
              <w:right w:val="single" w:sz="4" w:space="0" w:color="auto"/>
            </w:tcBorders>
            <w:shd w:val="clear" w:color="auto" w:fill="auto"/>
            <w:vAlign w:val="center"/>
            <w:hideMark/>
          </w:tcPr>
          <w:p w14:paraId="4B319C6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85,59</w:t>
            </w:r>
          </w:p>
        </w:tc>
        <w:tc>
          <w:tcPr>
            <w:tcW w:w="2360" w:type="dxa"/>
            <w:tcBorders>
              <w:top w:val="nil"/>
              <w:left w:val="nil"/>
              <w:bottom w:val="single" w:sz="4" w:space="0" w:color="auto"/>
              <w:right w:val="single" w:sz="4" w:space="0" w:color="auto"/>
            </w:tcBorders>
            <w:shd w:val="clear" w:color="auto" w:fill="auto"/>
            <w:vAlign w:val="center"/>
            <w:hideMark/>
          </w:tcPr>
          <w:p w14:paraId="49492AF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2021LA-000037-PROV  </w:t>
            </w:r>
          </w:p>
        </w:tc>
        <w:tc>
          <w:tcPr>
            <w:tcW w:w="1760" w:type="dxa"/>
            <w:tcBorders>
              <w:top w:val="nil"/>
              <w:left w:val="nil"/>
              <w:bottom w:val="single" w:sz="4" w:space="0" w:color="auto"/>
              <w:right w:val="single" w:sz="4" w:space="0" w:color="auto"/>
            </w:tcBorders>
            <w:shd w:val="clear" w:color="auto" w:fill="auto"/>
            <w:vAlign w:val="center"/>
            <w:hideMark/>
          </w:tcPr>
          <w:p w14:paraId="170193D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Adjudicado</w:t>
            </w:r>
          </w:p>
        </w:tc>
      </w:tr>
      <w:tr w:rsidR="00BB165B" w:rsidRPr="00BB165B" w14:paraId="22BD5611" w14:textId="77777777" w:rsidTr="00465D52">
        <w:trPr>
          <w:trHeight w:val="684"/>
          <w:jc w:val="center"/>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00C2B26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48439F4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Construcción de la II etapa para la instalación de un ascensor en el Edificio de los Tribunales de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6542D3B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57,00</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14:paraId="4FC1061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2021LA-000035-PROV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3B14A9A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w:t>
            </w:r>
          </w:p>
        </w:tc>
      </w:tr>
      <w:tr w:rsidR="00BB165B" w:rsidRPr="00BB165B" w14:paraId="3C82BDF8" w14:textId="77777777" w:rsidTr="00465D52">
        <w:trPr>
          <w:trHeight w:val="684"/>
          <w:jc w:val="center"/>
        </w:trPr>
        <w:tc>
          <w:tcPr>
            <w:tcW w:w="1240" w:type="dxa"/>
            <w:vMerge/>
            <w:tcBorders>
              <w:top w:val="nil"/>
              <w:left w:val="single" w:sz="4" w:space="0" w:color="auto"/>
              <w:bottom w:val="single" w:sz="4" w:space="0" w:color="auto"/>
              <w:right w:val="single" w:sz="4" w:space="0" w:color="auto"/>
            </w:tcBorders>
            <w:vAlign w:val="center"/>
            <w:hideMark/>
          </w:tcPr>
          <w:p w14:paraId="549BA151" w14:textId="77777777" w:rsidR="00BB165B" w:rsidRPr="00BB165B" w:rsidRDefault="00BB165B" w:rsidP="00BB165B">
            <w:pPr>
              <w:rPr>
                <w:rFonts w:ascii="Arial" w:hAnsi="Arial" w:cs="Arial"/>
                <w:color w:val="000000"/>
                <w:sz w:val="20"/>
                <w:szCs w:val="20"/>
                <w:lang w:val="es-CR"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718883C7"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Justicia de Coto Brus (Acondicionamiento eléctrico y restructuración arquitectónica del</w:t>
            </w:r>
          </w:p>
        </w:tc>
        <w:tc>
          <w:tcPr>
            <w:tcW w:w="1240" w:type="dxa"/>
            <w:vMerge/>
            <w:tcBorders>
              <w:top w:val="nil"/>
              <w:left w:val="single" w:sz="4" w:space="0" w:color="auto"/>
              <w:bottom w:val="single" w:sz="4" w:space="0" w:color="auto"/>
              <w:right w:val="single" w:sz="4" w:space="0" w:color="auto"/>
            </w:tcBorders>
            <w:vAlign w:val="center"/>
            <w:hideMark/>
          </w:tcPr>
          <w:p w14:paraId="1D3463F4" w14:textId="77777777" w:rsidR="00BB165B" w:rsidRPr="00BB165B" w:rsidRDefault="00BB165B" w:rsidP="00BB165B">
            <w:pPr>
              <w:rPr>
                <w:rFonts w:ascii="Arial" w:hAnsi="Arial" w:cs="Arial"/>
                <w:color w:val="000000"/>
                <w:sz w:val="20"/>
                <w:szCs w:val="20"/>
                <w:lang w:val="es-CR" w:eastAsia="es-CR"/>
              </w:rPr>
            </w:pPr>
          </w:p>
        </w:tc>
        <w:tc>
          <w:tcPr>
            <w:tcW w:w="2360" w:type="dxa"/>
            <w:vMerge/>
            <w:tcBorders>
              <w:top w:val="nil"/>
              <w:left w:val="single" w:sz="4" w:space="0" w:color="auto"/>
              <w:bottom w:val="single" w:sz="4" w:space="0" w:color="auto"/>
              <w:right w:val="single" w:sz="4" w:space="0" w:color="auto"/>
            </w:tcBorders>
            <w:vAlign w:val="center"/>
            <w:hideMark/>
          </w:tcPr>
          <w:p w14:paraId="7DEB4873" w14:textId="77777777" w:rsidR="00BB165B" w:rsidRPr="00BB165B" w:rsidRDefault="00BB165B" w:rsidP="00BB165B">
            <w:pPr>
              <w:rPr>
                <w:rFonts w:ascii="Arial" w:hAnsi="Arial" w:cs="Arial"/>
                <w:color w:val="000000"/>
                <w:sz w:val="20"/>
                <w:szCs w:val="20"/>
                <w:lang w:val="es-CR" w:eastAsia="es-CR"/>
              </w:rPr>
            </w:pPr>
          </w:p>
        </w:tc>
        <w:tc>
          <w:tcPr>
            <w:tcW w:w="1760" w:type="dxa"/>
            <w:vMerge/>
            <w:tcBorders>
              <w:top w:val="nil"/>
              <w:left w:val="single" w:sz="4" w:space="0" w:color="auto"/>
              <w:bottom w:val="single" w:sz="4" w:space="0" w:color="auto"/>
              <w:right w:val="single" w:sz="4" w:space="0" w:color="auto"/>
            </w:tcBorders>
            <w:vAlign w:val="center"/>
            <w:hideMark/>
          </w:tcPr>
          <w:p w14:paraId="4647688D" w14:textId="77777777" w:rsidR="00BB165B" w:rsidRPr="00BB165B" w:rsidRDefault="00BB165B" w:rsidP="00BB165B">
            <w:pPr>
              <w:rPr>
                <w:rFonts w:ascii="Arial" w:hAnsi="Arial" w:cs="Arial"/>
                <w:color w:val="000000"/>
                <w:sz w:val="20"/>
                <w:szCs w:val="20"/>
                <w:lang w:val="es-CR" w:eastAsia="es-CR"/>
              </w:rPr>
            </w:pPr>
          </w:p>
        </w:tc>
      </w:tr>
      <w:tr w:rsidR="00BB165B" w:rsidRPr="00BB165B" w14:paraId="2A74C466" w14:textId="77777777" w:rsidTr="00465D52">
        <w:trPr>
          <w:trHeight w:val="288"/>
          <w:jc w:val="center"/>
        </w:trPr>
        <w:tc>
          <w:tcPr>
            <w:tcW w:w="1240" w:type="dxa"/>
            <w:vMerge/>
            <w:tcBorders>
              <w:top w:val="nil"/>
              <w:left w:val="single" w:sz="4" w:space="0" w:color="auto"/>
              <w:bottom w:val="single" w:sz="4" w:space="0" w:color="auto"/>
              <w:right w:val="single" w:sz="4" w:space="0" w:color="auto"/>
            </w:tcBorders>
            <w:vAlign w:val="center"/>
            <w:hideMark/>
          </w:tcPr>
          <w:p w14:paraId="7EBE9746" w14:textId="77777777" w:rsidR="00BB165B" w:rsidRPr="00BB165B" w:rsidRDefault="00BB165B" w:rsidP="00BB165B">
            <w:pPr>
              <w:rPr>
                <w:rFonts w:ascii="Arial" w:hAnsi="Arial" w:cs="Arial"/>
                <w:color w:val="000000"/>
                <w:sz w:val="20"/>
                <w:szCs w:val="20"/>
                <w:lang w:val="es-CR"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70BE63DE"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edificio)</w:t>
            </w:r>
          </w:p>
        </w:tc>
        <w:tc>
          <w:tcPr>
            <w:tcW w:w="1240" w:type="dxa"/>
            <w:vMerge/>
            <w:tcBorders>
              <w:top w:val="nil"/>
              <w:left w:val="single" w:sz="4" w:space="0" w:color="auto"/>
              <w:bottom w:val="single" w:sz="4" w:space="0" w:color="auto"/>
              <w:right w:val="single" w:sz="4" w:space="0" w:color="auto"/>
            </w:tcBorders>
            <w:vAlign w:val="center"/>
            <w:hideMark/>
          </w:tcPr>
          <w:p w14:paraId="530A3D33" w14:textId="77777777" w:rsidR="00BB165B" w:rsidRPr="00BB165B" w:rsidRDefault="00BB165B" w:rsidP="00BB165B">
            <w:pPr>
              <w:rPr>
                <w:rFonts w:ascii="Arial" w:hAnsi="Arial" w:cs="Arial"/>
                <w:color w:val="000000"/>
                <w:sz w:val="20"/>
                <w:szCs w:val="20"/>
                <w:lang w:val="es-CR" w:eastAsia="es-CR"/>
              </w:rPr>
            </w:pPr>
          </w:p>
        </w:tc>
        <w:tc>
          <w:tcPr>
            <w:tcW w:w="2360" w:type="dxa"/>
            <w:vMerge/>
            <w:tcBorders>
              <w:top w:val="nil"/>
              <w:left w:val="single" w:sz="4" w:space="0" w:color="auto"/>
              <w:bottom w:val="single" w:sz="4" w:space="0" w:color="auto"/>
              <w:right w:val="single" w:sz="4" w:space="0" w:color="auto"/>
            </w:tcBorders>
            <w:vAlign w:val="center"/>
            <w:hideMark/>
          </w:tcPr>
          <w:p w14:paraId="4ADAA99D" w14:textId="77777777" w:rsidR="00BB165B" w:rsidRPr="00BB165B" w:rsidRDefault="00BB165B" w:rsidP="00BB165B">
            <w:pPr>
              <w:rPr>
                <w:rFonts w:ascii="Arial" w:hAnsi="Arial" w:cs="Arial"/>
                <w:color w:val="000000"/>
                <w:sz w:val="20"/>
                <w:szCs w:val="20"/>
                <w:lang w:val="es-CR" w:eastAsia="es-CR"/>
              </w:rPr>
            </w:pPr>
          </w:p>
        </w:tc>
        <w:tc>
          <w:tcPr>
            <w:tcW w:w="1760" w:type="dxa"/>
            <w:vMerge/>
            <w:tcBorders>
              <w:top w:val="nil"/>
              <w:left w:val="single" w:sz="4" w:space="0" w:color="auto"/>
              <w:bottom w:val="single" w:sz="4" w:space="0" w:color="auto"/>
              <w:right w:val="single" w:sz="4" w:space="0" w:color="auto"/>
            </w:tcBorders>
            <w:vAlign w:val="center"/>
            <w:hideMark/>
          </w:tcPr>
          <w:p w14:paraId="41A9CEF1" w14:textId="77777777" w:rsidR="00BB165B" w:rsidRPr="00BB165B" w:rsidRDefault="00BB165B" w:rsidP="00BB165B">
            <w:pPr>
              <w:rPr>
                <w:rFonts w:ascii="Arial" w:hAnsi="Arial" w:cs="Arial"/>
                <w:color w:val="000000"/>
                <w:sz w:val="20"/>
                <w:szCs w:val="20"/>
                <w:lang w:val="es-CR" w:eastAsia="es-CR"/>
              </w:rPr>
            </w:pPr>
          </w:p>
        </w:tc>
      </w:tr>
      <w:tr w:rsidR="00BB165B" w:rsidRPr="00BB165B" w14:paraId="6B5644A0"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C9F568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67C7018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Sustitución del Sistema de Bombeo del Suministro de Agua Potable para el edificio de Tribunales de Justicia de Liberia</w:t>
            </w:r>
          </w:p>
        </w:tc>
        <w:tc>
          <w:tcPr>
            <w:tcW w:w="1240" w:type="dxa"/>
            <w:tcBorders>
              <w:top w:val="nil"/>
              <w:left w:val="nil"/>
              <w:bottom w:val="single" w:sz="4" w:space="0" w:color="auto"/>
              <w:right w:val="single" w:sz="4" w:space="0" w:color="auto"/>
            </w:tcBorders>
            <w:shd w:val="clear" w:color="auto" w:fill="auto"/>
            <w:vAlign w:val="center"/>
            <w:hideMark/>
          </w:tcPr>
          <w:p w14:paraId="5891C63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18,00</w:t>
            </w:r>
          </w:p>
        </w:tc>
        <w:tc>
          <w:tcPr>
            <w:tcW w:w="2360" w:type="dxa"/>
            <w:tcBorders>
              <w:top w:val="nil"/>
              <w:left w:val="nil"/>
              <w:bottom w:val="single" w:sz="4" w:space="0" w:color="auto"/>
              <w:right w:val="single" w:sz="4" w:space="0" w:color="auto"/>
            </w:tcBorders>
            <w:shd w:val="clear" w:color="auto" w:fill="auto"/>
            <w:vAlign w:val="center"/>
            <w:hideMark/>
          </w:tcPr>
          <w:p w14:paraId="6B6E450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2021CD-000100-PROVCD</w:t>
            </w:r>
          </w:p>
        </w:tc>
        <w:tc>
          <w:tcPr>
            <w:tcW w:w="1760" w:type="dxa"/>
            <w:tcBorders>
              <w:top w:val="nil"/>
              <w:left w:val="nil"/>
              <w:bottom w:val="single" w:sz="4" w:space="0" w:color="auto"/>
              <w:right w:val="single" w:sz="4" w:space="0" w:color="auto"/>
            </w:tcBorders>
            <w:shd w:val="clear" w:color="auto" w:fill="auto"/>
            <w:vAlign w:val="center"/>
            <w:hideMark/>
          </w:tcPr>
          <w:p w14:paraId="005C2DD0"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w:t>
            </w:r>
          </w:p>
        </w:tc>
      </w:tr>
      <w:tr w:rsidR="00BB165B" w:rsidRPr="00BB165B" w14:paraId="0838422C"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793939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23917ABF"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Construcción de bodega para protección de UPS y centro de carga electica en Edificio Tribunales Nicoya</w:t>
            </w:r>
          </w:p>
        </w:tc>
        <w:tc>
          <w:tcPr>
            <w:tcW w:w="1240" w:type="dxa"/>
            <w:tcBorders>
              <w:top w:val="nil"/>
              <w:left w:val="nil"/>
              <w:bottom w:val="single" w:sz="4" w:space="0" w:color="auto"/>
              <w:right w:val="single" w:sz="4" w:space="0" w:color="auto"/>
            </w:tcBorders>
            <w:shd w:val="clear" w:color="auto" w:fill="auto"/>
            <w:vAlign w:val="center"/>
            <w:hideMark/>
          </w:tcPr>
          <w:p w14:paraId="1F1EAD0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15,00</w:t>
            </w:r>
          </w:p>
        </w:tc>
        <w:tc>
          <w:tcPr>
            <w:tcW w:w="2360" w:type="dxa"/>
            <w:tcBorders>
              <w:top w:val="nil"/>
              <w:left w:val="nil"/>
              <w:bottom w:val="single" w:sz="4" w:space="0" w:color="auto"/>
              <w:right w:val="single" w:sz="4" w:space="0" w:color="auto"/>
            </w:tcBorders>
            <w:shd w:val="clear" w:color="auto" w:fill="auto"/>
            <w:vAlign w:val="center"/>
            <w:hideMark/>
          </w:tcPr>
          <w:p w14:paraId="76E0D5D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w:t>
            </w:r>
          </w:p>
        </w:tc>
        <w:tc>
          <w:tcPr>
            <w:tcW w:w="1760" w:type="dxa"/>
            <w:tcBorders>
              <w:top w:val="nil"/>
              <w:left w:val="nil"/>
              <w:bottom w:val="single" w:sz="4" w:space="0" w:color="auto"/>
              <w:right w:val="single" w:sz="4" w:space="0" w:color="auto"/>
            </w:tcBorders>
            <w:shd w:val="clear" w:color="auto" w:fill="auto"/>
            <w:vAlign w:val="center"/>
            <w:hideMark/>
          </w:tcPr>
          <w:p w14:paraId="2A793D7A"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Se tramitará en el 2022</w:t>
            </w:r>
          </w:p>
        </w:tc>
      </w:tr>
      <w:tr w:rsidR="00BB165B" w:rsidRPr="00BB165B" w14:paraId="4042ECEB"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14F451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50201</w:t>
            </w:r>
          </w:p>
        </w:tc>
        <w:tc>
          <w:tcPr>
            <w:tcW w:w="3500" w:type="dxa"/>
            <w:tcBorders>
              <w:top w:val="nil"/>
              <w:left w:val="nil"/>
              <w:bottom w:val="single" w:sz="4" w:space="0" w:color="auto"/>
              <w:right w:val="single" w:sz="4" w:space="0" w:color="auto"/>
            </w:tcBorders>
            <w:shd w:val="clear" w:color="auto" w:fill="auto"/>
            <w:vAlign w:val="center"/>
            <w:hideMark/>
          </w:tcPr>
          <w:p w14:paraId="091A3230" w14:textId="51F4FA01"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Construcción de </w:t>
            </w:r>
            <w:r w:rsidR="004B030F" w:rsidRPr="00BB165B">
              <w:rPr>
                <w:rFonts w:ascii="Arial" w:hAnsi="Arial" w:cs="Arial"/>
                <w:color w:val="000000"/>
                <w:sz w:val="20"/>
                <w:szCs w:val="20"/>
                <w:lang w:val="es-CR" w:eastAsia="es-CR"/>
              </w:rPr>
              <w:t>salida alterna y parqueo en los Tribunales</w:t>
            </w:r>
            <w:r w:rsidRPr="00BB165B">
              <w:rPr>
                <w:rFonts w:ascii="Arial" w:hAnsi="Arial" w:cs="Arial"/>
                <w:color w:val="000000"/>
                <w:sz w:val="20"/>
                <w:szCs w:val="20"/>
                <w:lang w:val="es-CR" w:eastAsia="es-CR"/>
              </w:rPr>
              <w:t xml:space="preserve"> de </w:t>
            </w:r>
            <w:r w:rsidR="004B030F" w:rsidRPr="00BB165B">
              <w:rPr>
                <w:rFonts w:ascii="Arial" w:hAnsi="Arial" w:cs="Arial"/>
                <w:color w:val="000000"/>
                <w:sz w:val="20"/>
                <w:szCs w:val="20"/>
                <w:lang w:val="es-CR" w:eastAsia="es-CR"/>
              </w:rPr>
              <w:t>Justicia de</w:t>
            </w:r>
            <w:r w:rsidRPr="00BB165B">
              <w:rPr>
                <w:rFonts w:ascii="Arial" w:hAnsi="Arial" w:cs="Arial"/>
                <w:color w:val="000000"/>
                <w:sz w:val="20"/>
                <w:szCs w:val="20"/>
                <w:lang w:val="es-CR" w:eastAsia="es-CR"/>
              </w:rPr>
              <w:t xml:space="preserve"> Cartago </w:t>
            </w:r>
          </w:p>
        </w:tc>
        <w:tc>
          <w:tcPr>
            <w:tcW w:w="1240" w:type="dxa"/>
            <w:tcBorders>
              <w:top w:val="nil"/>
              <w:left w:val="nil"/>
              <w:bottom w:val="single" w:sz="4" w:space="0" w:color="auto"/>
              <w:right w:val="single" w:sz="4" w:space="0" w:color="auto"/>
            </w:tcBorders>
            <w:shd w:val="clear" w:color="auto" w:fill="auto"/>
            <w:vAlign w:val="center"/>
            <w:hideMark/>
          </w:tcPr>
          <w:p w14:paraId="4D04232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73,73</w:t>
            </w:r>
          </w:p>
        </w:tc>
        <w:tc>
          <w:tcPr>
            <w:tcW w:w="2360" w:type="dxa"/>
            <w:tcBorders>
              <w:top w:val="nil"/>
              <w:left w:val="nil"/>
              <w:bottom w:val="single" w:sz="4" w:space="0" w:color="auto"/>
              <w:right w:val="single" w:sz="4" w:space="0" w:color="auto"/>
            </w:tcBorders>
            <w:shd w:val="clear" w:color="auto" w:fill="auto"/>
            <w:vAlign w:val="center"/>
            <w:hideMark/>
          </w:tcPr>
          <w:p w14:paraId="32C515C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2020LA-000060-PROV      </w:t>
            </w:r>
          </w:p>
        </w:tc>
        <w:tc>
          <w:tcPr>
            <w:tcW w:w="1760" w:type="dxa"/>
            <w:tcBorders>
              <w:top w:val="nil"/>
              <w:left w:val="nil"/>
              <w:bottom w:val="single" w:sz="4" w:space="0" w:color="auto"/>
              <w:right w:val="single" w:sz="4" w:space="0" w:color="auto"/>
            </w:tcBorders>
            <w:shd w:val="clear" w:color="auto" w:fill="auto"/>
            <w:vAlign w:val="center"/>
            <w:hideMark/>
          </w:tcPr>
          <w:p w14:paraId="4DE0B314"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15%, reiniciando</w:t>
            </w:r>
          </w:p>
        </w:tc>
      </w:tr>
      <w:tr w:rsidR="00BB165B" w:rsidRPr="00BB165B" w14:paraId="7154354B" w14:textId="77777777" w:rsidTr="00465D52">
        <w:trPr>
          <w:trHeight w:val="159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287C75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50299</w:t>
            </w:r>
          </w:p>
        </w:tc>
        <w:tc>
          <w:tcPr>
            <w:tcW w:w="3500" w:type="dxa"/>
            <w:tcBorders>
              <w:top w:val="nil"/>
              <w:left w:val="nil"/>
              <w:bottom w:val="single" w:sz="4" w:space="0" w:color="auto"/>
              <w:right w:val="single" w:sz="4" w:space="0" w:color="auto"/>
            </w:tcBorders>
            <w:shd w:val="clear" w:color="auto" w:fill="auto"/>
            <w:vAlign w:val="center"/>
            <w:hideMark/>
          </w:tcPr>
          <w:p w14:paraId="0DF82C61"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Muro de retención de concreto reforzado para contener talud del costado norte-oeste de la propiedad de los Tribunales de Justicia de Jicaral, además de reparaciones de acera, depósito de basura, portón de acceso y superficie de rodamiento.</w:t>
            </w:r>
          </w:p>
        </w:tc>
        <w:tc>
          <w:tcPr>
            <w:tcW w:w="1240" w:type="dxa"/>
            <w:tcBorders>
              <w:top w:val="nil"/>
              <w:left w:val="nil"/>
              <w:bottom w:val="single" w:sz="4" w:space="0" w:color="auto"/>
              <w:right w:val="single" w:sz="4" w:space="0" w:color="auto"/>
            </w:tcBorders>
            <w:shd w:val="clear" w:color="auto" w:fill="auto"/>
            <w:vAlign w:val="center"/>
            <w:hideMark/>
          </w:tcPr>
          <w:p w14:paraId="04CB46C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19,49</w:t>
            </w:r>
          </w:p>
        </w:tc>
        <w:tc>
          <w:tcPr>
            <w:tcW w:w="2360" w:type="dxa"/>
            <w:tcBorders>
              <w:top w:val="nil"/>
              <w:left w:val="nil"/>
              <w:bottom w:val="single" w:sz="4" w:space="0" w:color="auto"/>
              <w:right w:val="single" w:sz="4" w:space="0" w:color="auto"/>
            </w:tcBorders>
            <w:shd w:val="clear" w:color="auto" w:fill="auto"/>
            <w:vAlign w:val="center"/>
            <w:hideMark/>
          </w:tcPr>
          <w:p w14:paraId="0567FDD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2021CD-000041-PROVCD </w:t>
            </w:r>
          </w:p>
        </w:tc>
        <w:tc>
          <w:tcPr>
            <w:tcW w:w="1760" w:type="dxa"/>
            <w:tcBorders>
              <w:top w:val="nil"/>
              <w:left w:val="nil"/>
              <w:bottom w:val="single" w:sz="4" w:space="0" w:color="auto"/>
              <w:right w:val="single" w:sz="4" w:space="0" w:color="auto"/>
            </w:tcBorders>
            <w:shd w:val="clear" w:color="auto" w:fill="auto"/>
            <w:vAlign w:val="center"/>
            <w:hideMark/>
          </w:tcPr>
          <w:p w14:paraId="0181F30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3FF21D79"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68D667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39A1087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vehículos aumento de flotilla, bajo la modalidad de entrega según demanda</w:t>
            </w:r>
          </w:p>
        </w:tc>
        <w:tc>
          <w:tcPr>
            <w:tcW w:w="1240" w:type="dxa"/>
            <w:tcBorders>
              <w:top w:val="nil"/>
              <w:left w:val="nil"/>
              <w:bottom w:val="single" w:sz="4" w:space="0" w:color="auto"/>
              <w:right w:val="single" w:sz="4" w:space="0" w:color="auto"/>
            </w:tcBorders>
            <w:shd w:val="clear" w:color="auto" w:fill="auto"/>
            <w:vAlign w:val="center"/>
            <w:hideMark/>
          </w:tcPr>
          <w:p w14:paraId="71CDEB1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1.440, 01</w:t>
            </w:r>
          </w:p>
        </w:tc>
        <w:tc>
          <w:tcPr>
            <w:tcW w:w="2360" w:type="dxa"/>
            <w:tcBorders>
              <w:top w:val="nil"/>
              <w:left w:val="nil"/>
              <w:bottom w:val="single" w:sz="4" w:space="0" w:color="auto"/>
              <w:right w:val="single" w:sz="4" w:space="0" w:color="auto"/>
            </w:tcBorders>
            <w:shd w:val="clear" w:color="auto" w:fill="auto"/>
            <w:vAlign w:val="center"/>
            <w:hideMark/>
          </w:tcPr>
          <w:p w14:paraId="03C1680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2021LN-000003-PROV      </w:t>
            </w:r>
          </w:p>
        </w:tc>
        <w:tc>
          <w:tcPr>
            <w:tcW w:w="1760" w:type="dxa"/>
            <w:tcBorders>
              <w:top w:val="nil"/>
              <w:left w:val="nil"/>
              <w:bottom w:val="single" w:sz="4" w:space="0" w:color="auto"/>
              <w:right w:val="single" w:sz="4" w:space="0" w:color="auto"/>
            </w:tcBorders>
            <w:shd w:val="clear" w:color="auto" w:fill="auto"/>
            <w:vAlign w:val="center"/>
            <w:hideMark/>
          </w:tcPr>
          <w:p w14:paraId="2DC0290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Firmeza de adjudicación el 09-12-2021.</w:t>
            </w:r>
          </w:p>
        </w:tc>
      </w:tr>
      <w:tr w:rsidR="00BB165B" w:rsidRPr="00BB165B" w14:paraId="0A905E53" w14:textId="77777777" w:rsidTr="00465D52">
        <w:trPr>
          <w:trHeight w:val="136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6618C7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27558A9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Adquisición de camión -grúa con entrega de vehículos como parte de pago. </w:t>
            </w:r>
          </w:p>
        </w:tc>
        <w:tc>
          <w:tcPr>
            <w:tcW w:w="1240" w:type="dxa"/>
            <w:tcBorders>
              <w:top w:val="nil"/>
              <w:left w:val="nil"/>
              <w:bottom w:val="single" w:sz="4" w:space="0" w:color="auto"/>
              <w:right w:val="single" w:sz="4" w:space="0" w:color="auto"/>
            </w:tcBorders>
            <w:shd w:val="clear" w:color="auto" w:fill="auto"/>
            <w:vAlign w:val="center"/>
            <w:hideMark/>
          </w:tcPr>
          <w:p w14:paraId="17B29DE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56,59</w:t>
            </w:r>
          </w:p>
        </w:tc>
        <w:tc>
          <w:tcPr>
            <w:tcW w:w="2360" w:type="dxa"/>
            <w:tcBorders>
              <w:top w:val="nil"/>
              <w:left w:val="nil"/>
              <w:bottom w:val="single" w:sz="4" w:space="0" w:color="auto"/>
              <w:right w:val="single" w:sz="4" w:space="0" w:color="auto"/>
            </w:tcBorders>
            <w:shd w:val="clear" w:color="auto" w:fill="auto"/>
            <w:vAlign w:val="center"/>
            <w:hideMark/>
          </w:tcPr>
          <w:p w14:paraId="3A60284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2021LA-000049-PROV      </w:t>
            </w:r>
          </w:p>
        </w:tc>
        <w:tc>
          <w:tcPr>
            <w:tcW w:w="1760" w:type="dxa"/>
            <w:tcBorders>
              <w:top w:val="nil"/>
              <w:left w:val="nil"/>
              <w:bottom w:val="single" w:sz="4" w:space="0" w:color="auto"/>
              <w:right w:val="single" w:sz="4" w:space="0" w:color="auto"/>
            </w:tcBorders>
            <w:shd w:val="clear" w:color="auto" w:fill="auto"/>
            <w:vAlign w:val="center"/>
            <w:hideMark/>
          </w:tcPr>
          <w:p w14:paraId="15F59CE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Pedido 2021-015300 comunicado 03-11-2021. Plazo de entrega 95 días hábiles. (Marzo 2022)</w:t>
            </w:r>
          </w:p>
        </w:tc>
      </w:tr>
      <w:tr w:rsidR="00BB165B" w:rsidRPr="00BB165B" w14:paraId="6E414F45"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F7F4FE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3229EC4C"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Sustitución de un vehículo tipo microbús con entrega de bien como parte de pago</w:t>
            </w:r>
          </w:p>
        </w:tc>
        <w:tc>
          <w:tcPr>
            <w:tcW w:w="1240" w:type="dxa"/>
            <w:tcBorders>
              <w:top w:val="nil"/>
              <w:left w:val="nil"/>
              <w:bottom w:val="single" w:sz="4" w:space="0" w:color="auto"/>
              <w:right w:val="single" w:sz="4" w:space="0" w:color="auto"/>
            </w:tcBorders>
            <w:shd w:val="clear" w:color="auto" w:fill="auto"/>
            <w:vAlign w:val="center"/>
            <w:hideMark/>
          </w:tcPr>
          <w:p w14:paraId="0D5AF81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23,12</w:t>
            </w:r>
          </w:p>
        </w:tc>
        <w:tc>
          <w:tcPr>
            <w:tcW w:w="2360" w:type="dxa"/>
            <w:tcBorders>
              <w:top w:val="nil"/>
              <w:left w:val="nil"/>
              <w:bottom w:val="single" w:sz="4" w:space="0" w:color="auto"/>
              <w:right w:val="single" w:sz="4" w:space="0" w:color="auto"/>
            </w:tcBorders>
            <w:shd w:val="clear" w:color="auto" w:fill="auto"/>
            <w:vAlign w:val="center"/>
            <w:hideMark/>
          </w:tcPr>
          <w:p w14:paraId="75ECC4C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2021LA-000043-PROV      </w:t>
            </w:r>
          </w:p>
        </w:tc>
        <w:tc>
          <w:tcPr>
            <w:tcW w:w="1760" w:type="dxa"/>
            <w:tcBorders>
              <w:top w:val="nil"/>
              <w:left w:val="nil"/>
              <w:bottom w:val="single" w:sz="4" w:space="0" w:color="auto"/>
              <w:right w:val="single" w:sz="4" w:space="0" w:color="auto"/>
            </w:tcBorders>
            <w:shd w:val="clear" w:color="auto" w:fill="auto"/>
            <w:vAlign w:val="center"/>
            <w:hideMark/>
          </w:tcPr>
          <w:p w14:paraId="1745DD2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Recibido el 04 de noviembre del 2021</w:t>
            </w:r>
          </w:p>
        </w:tc>
      </w:tr>
      <w:tr w:rsidR="00BB165B" w:rsidRPr="00BB165B" w14:paraId="23BC5809" w14:textId="77777777" w:rsidTr="00465D52">
        <w:trPr>
          <w:trHeight w:val="11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A8AF5D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20050E3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vehículos tipo todo terreno, con entrega de bienes como parte de pago.</w:t>
            </w:r>
          </w:p>
        </w:tc>
        <w:tc>
          <w:tcPr>
            <w:tcW w:w="1240" w:type="dxa"/>
            <w:tcBorders>
              <w:top w:val="nil"/>
              <w:left w:val="nil"/>
              <w:bottom w:val="single" w:sz="4" w:space="0" w:color="auto"/>
              <w:right w:val="single" w:sz="4" w:space="0" w:color="auto"/>
            </w:tcBorders>
            <w:shd w:val="clear" w:color="auto" w:fill="auto"/>
            <w:vAlign w:val="center"/>
            <w:hideMark/>
          </w:tcPr>
          <w:p w14:paraId="7CFE61A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132,58</w:t>
            </w:r>
          </w:p>
        </w:tc>
        <w:tc>
          <w:tcPr>
            <w:tcW w:w="2360" w:type="dxa"/>
            <w:tcBorders>
              <w:top w:val="nil"/>
              <w:left w:val="nil"/>
              <w:bottom w:val="single" w:sz="4" w:space="0" w:color="auto"/>
              <w:right w:val="single" w:sz="4" w:space="0" w:color="auto"/>
            </w:tcBorders>
            <w:shd w:val="clear" w:color="auto" w:fill="auto"/>
            <w:vAlign w:val="center"/>
            <w:hideMark/>
          </w:tcPr>
          <w:p w14:paraId="45F4A36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2021LA-000055-PROV</w:t>
            </w:r>
          </w:p>
        </w:tc>
        <w:tc>
          <w:tcPr>
            <w:tcW w:w="1760" w:type="dxa"/>
            <w:tcBorders>
              <w:top w:val="nil"/>
              <w:left w:val="nil"/>
              <w:bottom w:val="single" w:sz="4" w:space="0" w:color="auto"/>
              <w:right w:val="single" w:sz="4" w:space="0" w:color="auto"/>
            </w:tcBorders>
            <w:shd w:val="clear" w:color="auto" w:fill="auto"/>
            <w:vAlign w:val="center"/>
            <w:hideMark/>
          </w:tcPr>
          <w:p w14:paraId="552C68C6"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Pedido 2021-015550 comunicado el 09-11-2021. Plazo de entrega 109 días hábiles. (Abril 2022)</w:t>
            </w:r>
          </w:p>
        </w:tc>
      </w:tr>
      <w:tr w:rsidR="00BB165B" w:rsidRPr="00BB165B" w14:paraId="69DA85A4"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B8A1E8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4CC1B89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Compra de vehículos con bienes como parte de pago </w:t>
            </w:r>
            <w:r w:rsidRPr="00BB165B">
              <w:rPr>
                <w:rFonts w:ascii="Arial" w:hAnsi="Arial" w:cs="Arial"/>
                <w:b/>
                <w:bCs/>
                <w:color w:val="000000"/>
                <w:sz w:val="20"/>
                <w:szCs w:val="20"/>
                <w:lang w:val="es-CR" w:eastAsia="es-CR"/>
              </w:rPr>
              <w:t xml:space="preserve">50% </w:t>
            </w:r>
          </w:p>
        </w:tc>
        <w:tc>
          <w:tcPr>
            <w:tcW w:w="1240" w:type="dxa"/>
            <w:tcBorders>
              <w:top w:val="nil"/>
              <w:left w:val="nil"/>
              <w:bottom w:val="single" w:sz="4" w:space="0" w:color="auto"/>
              <w:right w:val="single" w:sz="4" w:space="0" w:color="auto"/>
            </w:tcBorders>
            <w:shd w:val="clear" w:color="auto" w:fill="auto"/>
            <w:vAlign w:val="center"/>
            <w:hideMark/>
          </w:tcPr>
          <w:p w14:paraId="3ED2943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193,02</w:t>
            </w:r>
          </w:p>
        </w:tc>
        <w:tc>
          <w:tcPr>
            <w:tcW w:w="2360" w:type="dxa"/>
            <w:tcBorders>
              <w:top w:val="nil"/>
              <w:left w:val="nil"/>
              <w:bottom w:val="single" w:sz="4" w:space="0" w:color="auto"/>
              <w:right w:val="single" w:sz="4" w:space="0" w:color="auto"/>
            </w:tcBorders>
            <w:shd w:val="clear" w:color="auto" w:fill="auto"/>
            <w:vAlign w:val="center"/>
            <w:hideMark/>
          </w:tcPr>
          <w:p w14:paraId="2F8D511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2019LA-000038-PROV      </w:t>
            </w:r>
          </w:p>
        </w:tc>
        <w:tc>
          <w:tcPr>
            <w:tcW w:w="1760" w:type="dxa"/>
            <w:tcBorders>
              <w:top w:val="nil"/>
              <w:left w:val="nil"/>
              <w:bottom w:val="single" w:sz="4" w:space="0" w:color="auto"/>
              <w:right w:val="single" w:sz="4" w:space="0" w:color="auto"/>
            </w:tcBorders>
            <w:shd w:val="clear" w:color="auto" w:fill="auto"/>
            <w:vAlign w:val="center"/>
            <w:hideMark/>
          </w:tcPr>
          <w:p w14:paraId="5B6C6E91"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 Recibidos el 27 de julio del 2021</w:t>
            </w:r>
          </w:p>
        </w:tc>
      </w:tr>
      <w:tr w:rsidR="00BB165B" w:rsidRPr="00BB165B" w14:paraId="79050518" w14:textId="77777777" w:rsidTr="00465D52">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F45E40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lastRenderedPageBreak/>
              <w:t>50102</w:t>
            </w:r>
          </w:p>
        </w:tc>
        <w:tc>
          <w:tcPr>
            <w:tcW w:w="3500" w:type="dxa"/>
            <w:tcBorders>
              <w:top w:val="nil"/>
              <w:left w:val="nil"/>
              <w:bottom w:val="single" w:sz="4" w:space="0" w:color="auto"/>
              <w:right w:val="single" w:sz="4" w:space="0" w:color="auto"/>
            </w:tcBorders>
            <w:shd w:val="clear" w:color="auto" w:fill="auto"/>
            <w:vAlign w:val="center"/>
            <w:hideMark/>
          </w:tcPr>
          <w:p w14:paraId="3749DF9F"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Sustitución de 6 vehículos todo terreno</w:t>
            </w:r>
          </w:p>
        </w:tc>
        <w:tc>
          <w:tcPr>
            <w:tcW w:w="1240" w:type="dxa"/>
            <w:tcBorders>
              <w:top w:val="nil"/>
              <w:left w:val="nil"/>
              <w:bottom w:val="single" w:sz="4" w:space="0" w:color="auto"/>
              <w:right w:val="single" w:sz="4" w:space="0" w:color="auto"/>
            </w:tcBorders>
            <w:shd w:val="clear" w:color="auto" w:fill="auto"/>
            <w:vAlign w:val="center"/>
            <w:hideMark/>
          </w:tcPr>
          <w:p w14:paraId="2814B30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102,79</w:t>
            </w:r>
          </w:p>
        </w:tc>
        <w:tc>
          <w:tcPr>
            <w:tcW w:w="2360" w:type="dxa"/>
            <w:tcBorders>
              <w:top w:val="nil"/>
              <w:left w:val="nil"/>
              <w:bottom w:val="single" w:sz="4" w:space="0" w:color="auto"/>
              <w:right w:val="single" w:sz="4" w:space="0" w:color="auto"/>
            </w:tcBorders>
            <w:shd w:val="clear" w:color="auto" w:fill="auto"/>
            <w:vAlign w:val="center"/>
            <w:hideMark/>
          </w:tcPr>
          <w:p w14:paraId="3D23D17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2020LN-000011-PROV</w:t>
            </w:r>
          </w:p>
        </w:tc>
        <w:tc>
          <w:tcPr>
            <w:tcW w:w="1760" w:type="dxa"/>
            <w:tcBorders>
              <w:top w:val="nil"/>
              <w:left w:val="nil"/>
              <w:bottom w:val="single" w:sz="4" w:space="0" w:color="auto"/>
              <w:right w:val="single" w:sz="4" w:space="0" w:color="auto"/>
            </w:tcBorders>
            <w:shd w:val="clear" w:color="auto" w:fill="auto"/>
            <w:vAlign w:val="center"/>
            <w:hideMark/>
          </w:tcPr>
          <w:p w14:paraId="2228244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5F4C6674" w14:textId="77777777" w:rsidTr="00465D52">
        <w:trPr>
          <w:trHeight w:val="46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0A15E3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59A8E8A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Sustitución de flotilla vehicular con entrega como parte de pago </w:t>
            </w:r>
            <w:r w:rsidRPr="00BB165B">
              <w:rPr>
                <w:rFonts w:ascii="Arial" w:hAnsi="Arial" w:cs="Arial"/>
                <w:b/>
                <w:bCs/>
                <w:color w:val="000000"/>
                <w:sz w:val="20"/>
                <w:szCs w:val="20"/>
                <w:lang w:val="es-CR" w:eastAsia="es-CR"/>
              </w:rPr>
              <w:t xml:space="preserve">50%  / Purdy Motor </w:t>
            </w:r>
          </w:p>
        </w:tc>
        <w:tc>
          <w:tcPr>
            <w:tcW w:w="1240" w:type="dxa"/>
            <w:tcBorders>
              <w:top w:val="nil"/>
              <w:left w:val="nil"/>
              <w:bottom w:val="single" w:sz="4" w:space="0" w:color="auto"/>
              <w:right w:val="single" w:sz="4" w:space="0" w:color="auto"/>
            </w:tcBorders>
            <w:shd w:val="clear" w:color="auto" w:fill="auto"/>
            <w:vAlign w:val="center"/>
            <w:hideMark/>
          </w:tcPr>
          <w:p w14:paraId="3FF24C1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227,49</w:t>
            </w:r>
          </w:p>
        </w:tc>
        <w:tc>
          <w:tcPr>
            <w:tcW w:w="2360" w:type="dxa"/>
            <w:tcBorders>
              <w:top w:val="nil"/>
              <w:left w:val="nil"/>
              <w:bottom w:val="single" w:sz="4" w:space="0" w:color="auto"/>
              <w:right w:val="single" w:sz="4" w:space="0" w:color="auto"/>
            </w:tcBorders>
            <w:shd w:val="clear" w:color="auto" w:fill="auto"/>
            <w:vAlign w:val="center"/>
            <w:hideMark/>
          </w:tcPr>
          <w:p w14:paraId="4D5E377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2019LA-000035-PROV      </w:t>
            </w:r>
          </w:p>
        </w:tc>
        <w:tc>
          <w:tcPr>
            <w:tcW w:w="1760" w:type="dxa"/>
            <w:tcBorders>
              <w:top w:val="nil"/>
              <w:left w:val="nil"/>
              <w:bottom w:val="single" w:sz="4" w:space="0" w:color="auto"/>
              <w:right w:val="single" w:sz="4" w:space="0" w:color="auto"/>
            </w:tcBorders>
            <w:shd w:val="clear" w:color="auto" w:fill="auto"/>
            <w:vAlign w:val="center"/>
            <w:hideMark/>
          </w:tcPr>
          <w:p w14:paraId="3282CF0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953B1F9" w14:textId="77777777" w:rsidTr="00465D52">
        <w:trPr>
          <w:trHeight w:val="46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1034B1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50102</w:t>
            </w:r>
          </w:p>
        </w:tc>
        <w:tc>
          <w:tcPr>
            <w:tcW w:w="3500" w:type="dxa"/>
            <w:tcBorders>
              <w:top w:val="nil"/>
              <w:left w:val="nil"/>
              <w:bottom w:val="single" w:sz="4" w:space="0" w:color="auto"/>
              <w:right w:val="single" w:sz="4" w:space="0" w:color="auto"/>
            </w:tcBorders>
            <w:shd w:val="clear" w:color="auto" w:fill="auto"/>
            <w:vAlign w:val="center"/>
            <w:hideMark/>
          </w:tcPr>
          <w:p w14:paraId="466511EA" w14:textId="18BDA64E"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Adquisición de motocicletas doble propósito </w:t>
            </w:r>
            <w:r w:rsidRPr="00BB165B">
              <w:rPr>
                <w:rFonts w:ascii="Arial" w:hAnsi="Arial" w:cs="Arial"/>
                <w:b/>
                <w:bCs/>
                <w:color w:val="000000"/>
                <w:sz w:val="20"/>
                <w:szCs w:val="20"/>
                <w:lang w:val="es-CR" w:eastAsia="es-CR"/>
              </w:rPr>
              <w:t xml:space="preserve">50% </w:t>
            </w:r>
            <w:r w:rsidR="004B030F" w:rsidRPr="00BB165B">
              <w:rPr>
                <w:rFonts w:ascii="Arial" w:hAnsi="Arial" w:cs="Arial"/>
                <w:b/>
                <w:bCs/>
                <w:color w:val="000000"/>
                <w:sz w:val="20"/>
                <w:szCs w:val="20"/>
                <w:lang w:val="es-CR" w:eastAsia="es-CR"/>
              </w:rPr>
              <w:t>/ Vehículos</w:t>
            </w:r>
            <w:r w:rsidRPr="00BB165B">
              <w:rPr>
                <w:rFonts w:ascii="Arial" w:hAnsi="Arial" w:cs="Arial"/>
                <w:b/>
                <w:bCs/>
                <w:color w:val="000000"/>
                <w:sz w:val="20"/>
                <w:szCs w:val="20"/>
                <w:lang w:val="es-CR" w:eastAsia="es-CR"/>
              </w:rPr>
              <w:t xml:space="preserve"> Automotores</w:t>
            </w:r>
          </w:p>
        </w:tc>
        <w:tc>
          <w:tcPr>
            <w:tcW w:w="1240" w:type="dxa"/>
            <w:tcBorders>
              <w:top w:val="nil"/>
              <w:left w:val="nil"/>
              <w:bottom w:val="single" w:sz="4" w:space="0" w:color="auto"/>
              <w:right w:val="single" w:sz="4" w:space="0" w:color="auto"/>
            </w:tcBorders>
            <w:shd w:val="clear" w:color="auto" w:fill="auto"/>
            <w:vAlign w:val="center"/>
            <w:hideMark/>
          </w:tcPr>
          <w:p w14:paraId="2E6D264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24,69</w:t>
            </w:r>
          </w:p>
        </w:tc>
        <w:tc>
          <w:tcPr>
            <w:tcW w:w="2360" w:type="dxa"/>
            <w:tcBorders>
              <w:top w:val="nil"/>
              <w:left w:val="nil"/>
              <w:bottom w:val="single" w:sz="4" w:space="0" w:color="auto"/>
              <w:right w:val="single" w:sz="4" w:space="0" w:color="auto"/>
            </w:tcBorders>
            <w:shd w:val="clear" w:color="auto" w:fill="auto"/>
            <w:vAlign w:val="center"/>
            <w:hideMark/>
          </w:tcPr>
          <w:p w14:paraId="2C63788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2020LA-000022-PROV      </w:t>
            </w:r>
          </w:p>
        </w:tc>
        <w:tc>
          <w:tcPr>
            <w:tcW w:w="1760" w:type="dxa"/>
            <w:tcBorders>
              <w:top w:val="nil"/>
              <w:left w:val="nil"/>
              <w:bottom w:val="single" w:sz="4" w:space="0" w:color="auto"/>
              <w:right w:val="single" w:sz="4" w:space="0" w:color="auto"/>
            </w:tcBorders>
            <w:shd w:val="clear" w:color="auto" w:fill="auto"/>
            <w:vAlign w:val="center"/>
            <w:hideMark/>
          </w:tcPr>
          <w:p w14:paraId="7F145026"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2ABA3C4C"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ADF742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50103</w:t>
            </w:r>
          </w:p>
        </w:tc>
        <w:tc>
          <w:tcPr>
            <w:tcW w:w="3500" w:type="dxa"/>
            <w:tcBorders>
              <w:top w:val="nil"/>
              <w:left w:val="nil"/>
              <w:bottom w:val="single" w:sz="4" w:space="0" w:color="auto"/>
              <w:right w:val="single" w:sz="4" w:space="0" w:color="auto"/>
            </w:tcBorders>
            <w:shd w:val="clear" w:color="auto" w:fill="auto"/>
            <w:vAlign w:val="center"/>
            <w:hideMark/>
          </w:tcPr>
          <w:p w14:paraId="5977B5B6"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soluciones de videoconferencias bajo la modalidad de entrega según demanda. SC-032-2021</w:t>
            </w:r>
          </w:p>
        </w:tc>
        <w:tc>
          <w:tcPr>
            <w:tcW w:w="1240" w:type="dxa"/>
            <w:tcBorders>
              <w:top w:val="nil"/>
              <w:left w:val="nil"/>
              <w:bottom w:val="single" w:sz="4" w:space="0" w:color="auto"/>
              <w:right w:val="single" w:sz="4" w:space="0" w:color="auto"/>
            </w:tcBorders>
            <w:shd w:val="clear" w:color="auto" w:fill="auto"/>
            <w:noWrap/>
            <w:vAlign w:val="center"/>
            <w:hideMark/>
          </w:tcPr>
          <w:p w14:paraId="6082F42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61,37</w:t>
            </w:r>
          </w:p>
        </w:tc>
        <w:tc>
          <w:tcPr>
            <w:tcW w:w="2360" w:type="dxa"/>
            <w:tcBorders>
              <w:top w:val="nil"/>
              <w:left w:val="nil"/>
              <w:bottom w:val="single" w:sz="4" w:space="0" w:color="auto"/>
              <w:right w:val="single" w:sz="4" w:space="0" w:color="auto"/>
            </w:tcBorders>
            <w:shd w:val="clear" w:color="auto" w:fill="auto"/>
            <w:vAlign w:val="center"/>
            <w:hideMark/>
          </w:tcPr>
          <w:p w14:paraId="1ADCC79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2021LN-000002-PROV</w:t>
            </w:r>
          </w:p>
        </w:tc>
        <w:tc>
          <w:tcPr>
            <w:tcW w:w="1760" w:type="dxa"/>
            <w:tcBorders>
              <w:top w:val="nil"/>
              <w:left w:val="nil"/>
              <w:bottom w:val="single" w:sz="4" w:space="0" w:color="auto"/>
              <w:right w:val="single" w:sz="4" w:space="0" w:color="auto"/>
            </w:tcBorders>
            <w:shd w:val="clear" w:color="auto" w:fill="auto"/>
            <w:vAlign w:val="center"/>
            <w:hideMark/>
          </w:tcPr>
          <w:p w14:paraId="22E0F240"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EAB1E16" w14:textId="77777777" w:rsidTr="00465D52">
        <w:trPr>
          <w:trHeight w:val="62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5A7E82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55830BDE"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Compra de computadora portátil tipo laptop </w:t>
            </w:r>
          </w:p>
        </w:tc>
        <w:tc>
          <w:tcPr>
            <w:tcW w:w="1240" w:type="dxa"/>
            <w:tcBorders>
              <w:top w:val="nil"/>
              <w:left w:val="nil"/>
              <w:bottom w:val="single" w:sz="4" w:space="0" w:color="auto"/>
              <w:right w:val="single" w:sz="4" w:space="0" w:color="auto"/>
            </w:tcBorders>
            <w:shd w:val="clear" w:color="auto" w:fill="auto"/>
            <w:noWrap/>
            <w:vAlign w:val="center"/>
            <w:hideMark/>
          </w:tcPr>
          <w:p w14:paraId="1F6B37B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213,64</w:t>
            </w:r>
          </w:p>
        </w:tc>
        <w:tc>
          <w:tcPr>
            <w:tcW w:w="2360" w:type="dxa"/>
            <w:tcBorders>
              <w:top w:val="nil"/>
              <w:left w:val="nil"/>
              <w:bottom w:val="single" w:sz="4" w:space="0" w:color="auto"/>
              <w:right w:val="single" w:sz="4" w:space="0" w:color="auto"/>
            </w:tcBorders>
            <w:shd w:val="clear" w:color="auto" w:fill="auto"/>
            <w:vAlign w:val="center"/>
            <w:hideMark/>
          </w:tcPr>
          <w:p w14:paraId="6F4528D1"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2017LN-000017-PROV</w:t>
            </w:r>
          </w:p>
        </w:tc>
        <w:tc>
          <w:tcPr>
            <w:tcW w:w="1760" w:type="dxa"/>
            <w:tcBorders>
              <w:top w:val="nil"/>
              <w:left w:val="nil"/>
              <w:bottom w:val="single" w:sz="4" w:space="0" w:color="auto"/>
              <w:right w:val="single" w:sz="4" w:space="0" w:color="auto"/>
            </w:tcBorders>
            <w:shd w:val="clear" w:color="auto" w:fill="auto"/>
            <w:vAlign w:val="center"/>
            <w:hideMark/>
          </w:tcPr>
          <w:p w14:paraId="4B3BC2C0"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57A62121"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5ADFFC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4F39F0DF"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computadoras para Salas de Juicio. SC-023-2021</w:t>
            </w:r>
          </w:p>
        </w:tc>
        <w:tc>
          <w:tcPr>
            <w:tcW w:w="1240" w:type="dxa"/>
            <w:tcBorders>
              <w:top w:val="nil"/>
              <w:left w:val="nil"/>
              <w:bottom w:val="single" w:sz="4" w:space="0" w:color="auto"/>
              <w:right w:val="single" w:sz="4" w:space="0" w:color="auto"/>
            </w:tcBorders>
            <w:shd w:val="clear" w:color="auto" w:fill="auto"/>
            <w:noWrap/>
            <w:vAlign w:val="center"/>
            <w:hideMark/>
          </w:tcPr>
          <w:p w14:paraId="7CDA7FB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104,10</w:t>
            </w:r>
          </w:p>
        </w:tc>
        <w:tc>
          <w:tcPr>
            <w:tcW w:w="2360" w:type="dxa"/>
            <w:tcBorders>
              <w:top w:val="nil"/>
              <w:left w:val="nil"/>
              <w:bottom w:val="single" w:sz="4" w:space="0" w:color="auto"/>
              <w:right w:val="single" w:sz="4" w:space="0" w:color="auto"/>
            </w:tcBorders>
            <w:shd w:val="clear" w:color="auto" w:fill="auto"/>
            <w:vAlign w:val="center"/>
            <w:hideMark/>
          </w:tcPr>
          <w:p w14:paraId="65626E1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2021LA-000017-PROV</w:t>
            </w:r>
          </w:p>
        </w:tc>
        <w:tc>
          <w:tcPr>
            <w:tcW w:w="1760" w:type="dxa"/>
            <w:tcBorders>
              <w:top w:val="nil"/>
              <w:left w:val="nil"/>
              <w:bottom w:val="single" w:sz="4" w:space="0" w:color="auto"/>
              <w:right w:val="single" w:sz="4" w:space="0" w:color="auto"/>
            </w:tcBorders>
            <w:shd w:val="clear" w:color="auto" w:fill="auto"/>
            <w:vAlign w:val="center"/>
            <w:hideMark/>
          </w:tcPr>
          <w:p w14:paraId="0C27384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279750FB"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B51D11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2CCE7077" w14:textId="60A19705"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Compra de monitores </w:t>
            </w:r>
            <w:r w:rsidR="004B030F" w:rsidRPr="00BB165B">
              <w:rPr>
                <w:rFonts w:ascii="Arial" w:hAnsi="Arial" w:cs="Arial"/>
                <w:color w:val="000000"/>
                <w:sz w:val="20"/>
                <w:szCs w:val="20"/>
                <w:lang w:val="es-CR" w:eastAsia="es-CR"/>
              </w:rPr>
              <w:t>bajo la</w:t>
            </w:r>
            <w:r w:rsidRPr="00BB165B">
              <w:rPr>
                <w:rFonts w:ascii="Arial" w:hAnsi="Arial" w:cs="Arial"/>
                <w:color w:val="000000"/>
                <w:sz w:val="20"/>
                <w:szCs w:val="20"/>
                <w:lang w:val="es-CR" w:eastAsia="es-CR"/>
              </w:rPr>
              <w:t xml:space="preserve"> modalidad de entrega según demanda. SC-013-2021</w:t>
            </w:r>
          </w:p>
        </w:tc>
        <w:tc>
          <w:tcPr>
            <w:tcW w:w="1240" w:type="dxa"/>
            <w:tcBorders>
              <w:top w:val="nil"/>
              <w:left w:val="nil"/>
              <w:bottom w:val="single" w:sz="4" w:space="0" w:color="auto"/>
              <w:right w:val="single" w:sz="4" w:space="0" w:color="auto"/>
            </w:tcBorders>
            <w:shd w:val="clear" w:color="auto" w:fill="auto"/>
            <w:noWrap/>
            <w:vAlign w:val="center"/>
            <w:hideMark/>
          </w:tcPr>
          <w:p w14:paraId="06BD3F4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49,48</w:t>
            </w:r>
          </w:p>
        </w:tc>
        <w:tc>
          <w:tcPr>
            <w:tcW w:w="2360" w:type="dxa"/>
            <w:tcBorders>
              <w:top w:val="nil"/>
              <w:left w:val="nil"/>
              <w:bottom w:val="single" w:sz="4" w:space="0" w:color="auto"/>
              <w:right w:val="single" w:sz="4" w:space="0" w:color="auto"/>
            </w:tcBorders>
            <w:shd w:val="clear" w:color="auto" w:fill="auto"/>
            <w:vAlign w:val="center"/>
            <w:hideMark/>
          </w:tcPr>
          <w:p w14:paraId="25323E0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2021LA-000001-PROV</w:t>
            </w:r>
          </w:p>
        </w:tc>
        <w:tc>
          <w:tcPr>
            <w:tcW w:w="1760" w:type="dxa"/>
            <w:tcBorders>
              <w:top w:val="nil"/>
              <w:left w:val="nil"/>
              <w:bottom w:val="single" w:sz="4" w:space="0" w:color="auto"/>
              <w:right w:val="single" w:sz="4" w:space="0" w:color="auto"/>
            </w:tcBorders>
            <w:shd w:val="clear" w:color="auto" w:fill="auto"/>
            <w:vAlign w:val="center"/>
            <w:hideMark/>
          </w:tcPr>
          <w:p w14:paraId="13831A5E"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5F22D156"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30A75F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735B6056"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Adquisición de pad para captura de firma. SC-060-2021</w:t>
            </w:r>
          </w:p>
        </w:tc>
        <w:tc>
          <w:tcPr>
            <w:tcW w:w="1240" w:type="dxa"/>
            <w:tcBorders>
              <w:top w:val="nil"/>
              <w:left w:val="nil"/>
              <w:bottom w:val="single" w:sz="4" w:space="0" w:color="auto"/>
              <w:right w:val="single" w:sz="4" w:space="0" w:color="auto"/>
            </w:tcBorders>
            <w:shd w:val="clear" w:color="auto" w:fill="auto"/>
            <w:noWrap/>
            <w:vAlign w:val="center"/>
            <w:hideMark/>
          </w:tcPr>
          <w:p w14:paraId="138BAFA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77,89</w:t>
            </w:r>
          </w:p>
        </w:tc>
        <w:tc>
          <w:tcPr>
            <w:tcW w:w="2360" w:type="dxa"/>
            <w:tcBorders>
              <w:top w:val="nil"/>
              <w:left w:val="nil"/>
              <w:bottom w:val="single" w:sz="4" w:space="0" w:color="auto"/>
              <w:right w:val="single" w:sz="4" w:space="0" w:color="auto"/>
            </w:tcBorders>
            <w:shd w:val="clear" w:color="auto" w:fill="auto"/>
            <w:vAlign w:val="center"/>
            <w:hideMark/>
          </w:tcPr>
          <w:p w14:paraId="70DEE04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2021LA-000032-PROV</w:t>
            </w:r>
          </w:p>
        </w:tc>
        <w:tc>
          <w:tcPr>
            <w:tcW w:w="1760" w:type="dxa"/>
            <w:tcBorders>
              <w:top w:val="nil"/>
              <w:left w:val="nil"/>
              <w:bottom w:val="single" w:sz="4" w:space="0" w:color="auto"/>
              <w:right w:val="single" w:sz="4" w:space="0" w:color="auto"/>
            </w:tcBorders>
            <w:shd w:val="clear" w:color="auto" w:fill="auto"/>
            <w:vAlign w:val="center"/>
            <w:hideMark/>
          </w:tcPr>
          <w:p w14:paraId="314FD81E"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26A9FBF1"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5C5B34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1C7C496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tablets con sistemas operativo Android. SC-028-2021</w:t>
            </w:r>
          </w:p>
        </w:tc>
        <w:tc>
          <w:tcPr>
            <w:tcW w:w="1240" w:type="dxa"/>
            <w:tcBorders>
              <w:top w:val="nil"/>
              <w:left w:val="nil"/>
              <w:bottom w:val="single" w:sz="4" w:space="0" w:color="auto"/>
              <w:right w:val="single" w:sz="4" w:space="0" w:color="auto"/>
            </w:tcBorders>
            <w:shd w:val="clear" w:color="auto" w:fill="auto"/>
            <w:noWrap/>
            <w:vAlign w:val="center"/>
            <w:hideMark/>
          </w:tcPr>
          <w:p w14:paraId="671878E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53,41</w:t>
            </w:r>
          </w:p>
        </w:tc>
        <w:tc>
          <w:tcPr>
            <w:tcW w:w="2360" w:type="dxa"/>
            <w:tcBorders>
              <w:top w:val="nil"/>
              <w:left w:val="nil"/>
              <w:bottom w:val="single" w:sz="4" w:space="0" w:color="auto"/>
              <w:right w:val="single" w:sz="4" w:space="0" w:color="auto"/>
            </w:tcBorders>
            <w:shd w:val="clear" w:color="auto" w:fill="auto"/>
            <w:vAlign w:val="center"/>
            <w:hideMark/>
          </w:tcPr>
          <w:p w14:paraId="30E37EF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2021LA-000007-PROV</w:t>
            </w:r>
          </w:p>
        </w:tc>
        <w:tc>
          <w:tcPr>
            <w:tcW w:w="1760" w:type="dxa"/>
            <w:tcBorders>
              <w:top w:val="nil"/>
              <w:left w:val="nil"/>
              <w:bottom w:val="single" w:sz="4" w:space="0" w:color="auto"/>
              <w:right w:val="single" w:sz="4" w:space="0" w:color="auto"/>
            </w:tcBorders>
            <w:shd w:val="clear" w:color="auto" w:fill="auto"/>
            <w:vAlign w:val="center"/>
            <w:hideMark/>
          </w:tcPr>
          <w:p w14:paraId="228A173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75197968" w14:textId="77777777" w:rsidTr="00465D52">
        <w:trPr>
          <w:trHeight w:val="288"/>
          <w:jc w:val="center"/>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33074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5AABB1A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Switches Redundancia Centro Alterno</w:t>
            </w:r>
          </w:p>
        </w:tc>
        <w:tc>
          <w:tcPr>
            <w:tcW w:w="1240" w:type="dxa"/>
            <w:tcBorders>
              <w:top w:val="nil"/>
              <w:left w:val="nil"/>
              <w:bottom w:val="single" w:sz="4" w:space="0" w:color="auto"/>
              <w:right w:val="single" w:sz="4" w:space="0" w:color="auto"/>
            </w:tcBorders>
            <w:shd w:val="clear" w:color="auto" w:fill="auto"/>
            <w:noWrap/>
            <w:vAlign w:val="center"/>
            <w:hideMark/>
          </w:tcPr>
          <w:p w14:paraId="07CBDCC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82,22</w:t>
            </w:r>
          </w:p>
        </w:tc>
        <w:tc>
          <w:tcPr>
            <w:tcW w:w="2360" w:type="dxa"/>
            <w:tcBorders>
              <w:top w:val="nil"/>
              <w:left w:val="nil"/>
              <w:bottom w:val="single" w:sz="4" w:space="0" w:color="auto"/>
              <w:right w:val="single" w:sz="4" w:space="0" w:color="auto"/>
            </w:tcBorders>
            <w:shd w:val="clear" w:color="auto" w:fill="auto"/>
            <w:vAlign w:val="center"/>
            <w:hideMark/>
          </w:tcPr>
          <w:p w14:paraId="32E1176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2020LA-000059-PROV</w:t>
            </w:r>
          </w:p>
        </w:tc>
        <w:tc>
          <w:tcPr>
            <w:tcW w:w="1760" w:type="dxa"/>
            <w:tcBorders>
              <w:top w:val="nil"/>
              <w:left w:val="nil"/>
              <w:bottom w:val="single" w:sz="4" w:space="0" w:color="auto"/>
              <w:right w:val="single" w:sz="4" w:space="0" w:color="auto"/>
            </w:tcBorders>
            <w:shd w:val="clear" w:color="auto" w:fill="auto"/>
            <w:vAlign w:val="center"/>
            <w:hideMark/>
          </w:tcPr>
          <w:p w14:paraId="004BC036"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499D030" w14:textId="77777777" w:rsidTr="00465D52">
        <w:trPr>
          <w:trHeight w:val="456"/>
          <w:jc w:val="center"/>
        </w:trPr>
        <w:tc>
          <w:tcPr>
            <w:tcW w:w="1240" w:type="dxa"/>
            <w:vMerge/>
            <w:tcBorders>
              <w:top w:val="nil"/>
              <w:left w:val="single" w:sz="4" w:space="0" w:color="auto"/>
              <w:bottom w:val="single" w:sz="4" w:space="0" w:color="auto"/>
              <w:right w:val="single" w:sz="4" w:space="0" w:color="auto"/>
            </w:tcBorders>
            <w:vAlign w:val="center"/>
            <w:hideMark/>
          </w:tcPr>
          <w:p w14:paraId="6D5387E9" w14:textId="77777777" w:rsidR="00BB165B" w:rsidRPr="00BB165B" w:rsidRDefault="00BB165B" w:rsidP="00BB165B">
            <w:pPr>
              <w:rPr>
                <w:rFonts w:ascii="Arial" w:hAnsi="Arial" w:cs="Arial"/>
                <w:color w:val="000000"/>
                <w:sz w:val="20"/>
                <w:szCs w:val="20"/>
                <w:lang w:val="es-CR" w:eastAsia="es-CR"/>
              </w:rPr>
            </w:pPr>
          </w:p>
        </w:tc>
        <w:tc>
          <w:tcPr>
            <w:tcW w:w="3500" w:type="dxa"/>
            <w:tcBorders>
              <w:top w:val="nil"/>
              <w:left w:val="nil"/>
              <w:bottom w:val="single" w:sz="4" w:space="0" w:color="auto"/>
              <w:right w:val="single" w:sz="4" w:space="0" w:color="auto"/>
            </w:tcBorders>
            <w:shd w:val="clear" w:color="auto" w:fill="auto"/>
            <w:vAlign w:val="center"/>
            <w:hideMark/>
          </w:tcPr>
          <w:p w14:paraId="3891EAE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equipos Ruckus modelo 7750 de fibra. SC-105-2021</w:t>
            </w:r>
          </w:p>
        </w:tc>
        <w:tc>
          <w:tcPr>
            <w:tcW w:w="1240" w:type="dxa"/>
            <w:tcBorders>
              <w:top w:val="nil"/>
              <w:left w:val="nil"/>
              <w:bottom w:val="single" w:sz="4" w:space="0" w:color="auto"/>
              <w:right w:val="single" w:sz="4" w:space="0" w:color="auto"/>
            </w:tcBorders>
            <w:shd w:val="clear" w:color="auto" w:fill="auto"/>
            <w:noWrap/>
            <w:vAlign w:val="center"/>
            <w:hideMark/>
          </w:tcPr>
          <w:p w14:paraId="50EDAA7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76,98</w:t>
            </w:r>
          </w:p>
        </w:tc>
        <w:tc>
          <w:tcPr>
            <w:tcW w:w="2360" w:type="dxa"/>
            <w:tcBorders>
              <w:top w:val="nil"/>
              <w:left w:val="nil"/>
              <w:bottom w:val="single" w:sz="4" w:space="0" w:color="auto"/>
              <w:right w:val="single" w:sz="4" w:space="0" w:color="auto"/>
            </w:tcBorders>
            <w:shd w:val="clear" w:color="auto" w:fill="auto"/>
            <w:vAlign w:val="center"/>
            <w:hideMark/>
          </w:tcPr>
          <w:p w14:paraId="48B1451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2021LA-000058-PROV</w:t>
            </w:r>
          </w:p>
        </w:tc>
        <w:tc>
          <w:tcPr>
            <w:tcW w:w="1760" w:type="dxa"/>
            <w:tcBorders>
              <w:top w:val="nil"/>
              <w:left w:val="nil"/>
              <w:bottom w:val="single" w:sz="4" w:space="0" w:color="auto"/>
              <w:right w:val="single" w:sz="4" w:space="0" w:color="auto"/>
            </w:tcBorders>
            <w:shd w:val="clear" w:color="auto" w:fill="auto"/>
            <w:vAlign w:val="center"/>
            <w:hideMark/>
          </w:tcPr>
          <w:p w14:paraId="53B43D20"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w:t>
            </w:r>
          </w:p>
        </w:tc>
      </w:tr>
      <w:tr w:rsidR="00BB165B" w:rsidRPr="00BB165B" w14:paraId="7D49256A"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BD499E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062206CC"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Unidades auto cargadoras para regionales (segundo medio de respaldo)</w:t>
            </w:r>
          </w:p>
        </w:tc>
        <w:tc>
          <w:tcPr>
            <w:tcW w:w="1240" w:type="dxa"/>
            <w:tcBorders>
              <w:top w:val="nil"/>
              <w:left w:val="nil"/>
              <w:bottom w:val="single" w:sz="4" w:space="0" w:color="auto"/>
              <w:right w:val="single" w:sz="4" w:space="0" w:color="auto"/>
            </w:tcBorders>
            <w:shd w:val="clear" w:color="auto" w:fill="auto"/>
            <w:noWrap/>
            <w:vAlign w:val="center"/>
            <w:hideMark/>
          </w:tcPr>
          <w:p w14:paraId="626B709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83,09</w:t>
            </w:r>
          </w:p>
        </w:tc>
        <w:tc>
          <w:tcPr>
            <w:tcW w:w="2360" w:type="dxa"/>
            <w:tcBorders>
              <w:top w:val="nil"/>
              <w:left w:val="nil"/>
              <w:bottom w:val="single" w:sz="4" w:space="0" w:color="auto"/>
              <w:right w:val="single" w:sz="4" w:space="0" w:color="auto"/>
            </w:tcBorders>
            <w:shd w:val="clear" w:color="auto" w:fill="auto"/>
            <w:vAlign w:val="center"/>
            <w:hideMark/>
          </w:tcPr>
          <w:p w14:paraId="4ECB185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2021LA-000046-PROV      </w:t>
            </w:r>
          </w:p>
        </w:tc>
        <w:tc>
          <w:tcPr>
            <w:tcW w:w="1760" w:type="dxa"/>
            <w:tcBorders>
              <w:top w:val="nil"/>
              <w:left w:val="nil"/>
              <w:bottom w:val="single" w:sz="4" w:space="0" w:color="auto"/>
              <w:right w:val="single" w:sz="4" w:space="0" w:color="auto"/>
            </w:tcBorders>
            <w:shd w:val="clear" w:color="auto" w:fill="auto"/>
            <w:vAlign w:val="center"/>
            <w:hideMark/>
          </w:tcPr>
          <w:p w14:paraId="6071800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Pendiente instalación</w:t>
            </w:r>
          </w:p>
        </w:tc>
      </w:tr>
      <w:tr w:rsidR="00BB165B" w:rsidRPr="00BB165B" w14:paraId="06C3C938"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A2D5F6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39B1AAB1"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Servidor para red de Equipo de Cómputo</w:t>
            </w:r>
          </w:p>
        </w:tc>
        <w:tc>
          <w:tcPr>
            <w:tcW w:w="1240" w:type="dxa"/>
            <w:tcBorders>
              <w:top w:val="nil"/>
              <w:left w:val="nil"/>
              <w:bottom w:val="single" w:sz="4" w:space="0" w:color="auto"/>
              <w:right w:val="single" w:sz="4" w:space="0" w:color="auto"/>
            </w:tcBorders>
            <w:shd w:val="clear" w:color="auto" w:fill="auto"/>
            <w:noWrap/>
            <w:vAlign w:val="center"/>
            <w:hideMark/>
          </w:tcPr>
          <w:p w14:paraId="6FEE0BA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84,57</w:t>
            </w:r>
          </w:p>
        </w:tc>
        <w:tc>
          <w:tcPr>
            <w:tcW w:w="2360" w:type="dxa"/>
            <w:tcBorders>
              <w:top w:val="nil"/>
              <w:left w:val="nil"/>
              <w:bottom w:val="single" w:sz="4" w:space="0" w:color="auto"/>
              <w:right w:val="single" w:sz="4" w:space="0" w:color="auto"/>
            </w:tcBorders>
            <w:shd w:val="clear" w:color="auto" w:fill="auto"/>
            <w:vAlign w:val="center"/>
            <w:hideMark/>
          </w:tcPr>
          <w:p w14:paraId="1A42378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 2021LA-000038-PROV       </w:t>
            </w:r>
          </w:p>
        </w:tc>
        <w:tc>
          <w:tcPr>
            <w:tcW w:w="1760" w:type="dxa"/>
            <w:tcBorders>
              <w:top w:val="nil"/>
              <w:left w:val="nil"/>
              <w:bottom w:val="single" w:sz="4" w:space="0" w:color="auto"/>
              <w:right w:val="single" w:sz="4" w:space="0" w:color="auto"/>
            </w:tcBorders>
            <w:shd w:val="clear" w:color="auto" w:fill="auto"/>
            <w:vAlign w:val="center"/>
            <w:hideMark/>
          </w:tcPr>
          <w:p w14:paraId="7959D816"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Pendiente entrega línea 2</w:t>
            </w:r>
          </w:p>
        </w:tc>
      </w:tr>
      <w:tr w:rsidR="00BB165B" w:rsidRPr="00BB165B" w14:paraId="718EA15D"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00B1B5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6523F88C"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Dispositivo para almacenamiento de información en red</w:t>
            </w:r>
          </w:p>
        </w:tc>
        <w:tc>
          <w:tcPr>
            <w:tcW w:w="1240" w:type="dxa"/>
            <w:tcBorders>
              <w:top w:val="nil"/>
              <w:left w:val="nil"/>
              <w:bottom w:val="single" w:sz="4" w:space="0" w:color="auto"/>
              <w:right w:val="single" w:sz="4" w:space="0" w:color="auto"/>
            </w:tcBorders>
            <w:shd w:val="clear" w:color="auto" w:fill="auto"/>
            <w:noWrap/>
            <w:vAlign w:val="center"/>
            <w:hideMark/>
          </w:tcPr>
          <w:p w14:paraId="3002F1F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305,92</w:t>
            </w:r>
          </w:p>
        </w:tc>
        <w:tc>
          <w:tcPr>
            <w:tcW w:w="2360" w:type="dxa"/>
            <w:tcBorders>
              <w:top w:val="nil"/>
              <w:left w:val="nil"/>
              <w:bottom w:val="single" w:sz="4" w:space="0" w:color="auto"/>
              <w:right w:val="single" w:sz="4" w:space="0" w:color="auto"/>
            </w:tcBorders>
            <w:shd w:val="clear" w:color="auto" w:fill="auto"/>
            <w:vAlign w:val="center"/>
            <w:hideMark/>
          </w:tcPr>
          <w:p w14:paraId="7C0897A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2021LA-000041-PROV      </w:t>
            </w:r>
          </w:p>
        </w:tc>
        <w:tc>
          <w:tcPr>
            <w:tcW w:w="1760" w:type="dxa"/>
            <w:tcBorders>
              <w:top w:val="nil"/>
              <w:left w:val="nil"/>
              <w:bottom w:val="single" w:sz="4" w:space="0" w:color="auto"/>
              <w:right w:val="single" w:sz="4" w:space="0" w:color="auto"/>
            </w:tcBorders>
            <w:shd w:val="clear" w:color="auto" w:fill="auto"/>
            <w:vAlign w:val="center"/>
            <w:hideMark/>
          </w:tcPr>
          <w:p w14:paraId="70AE80C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Ejecución. Pendiente la línea N°2 y 3</w:t>
            </w:r>
          </w:p>
        </w:tc>
      </w:tr>
      <w:tr w:rsidR="00BB165B" w:rsidRPr="00BB165B" w14:paraId="013FD3A9" w14:textId="77777777" w:rsidTr="00465D52">
        <w:trPr>
          <w:trHeight w:val="912"/>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7D1559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50105</w:t>
            </w:r>
          </w:p>
        </w:tc>
        <w:tc>
          <w:tcPr>
            <w:tcW w:w="3500" w:type="dxa"/>
            <w:tcBorders>
              <w:top w:val="nil"/>
              <w:left w:val="nil"/>
              <w:bottom w:val="single" w:sz="4" w:space="0" w:color="auto"/>
              <w:right w:val="single" w:sz="4" w:space="0" w:color="auto"/>
            </w:tcBorders>
            <w:shd w:val="clear" w:color="auto" w:fill="auto"/>
            <w:vAlign w:val="center"/>
            <w:hideMark/>
          </w:tcPr>
          <w:p w14:paraId="04CE200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Compra de un equipo físico de larga retención, que se integre de forma nativa ECS-U400 DELL-EMC con que cuenta el Poder Judicial. SC-045-2021</w:t>
            </w:r>
          </w:p>
        </w:tc>
        <w:tc>
          <w:tcPr>
            <w:tcW w:w="1240" w:type="dxa"/>
            <w:tcBorders>
              <w:top w:val="nil"/>
              <w:left w:val="nil"/>
              <w:bottom w:val="single" w:sz="4" w:space="0" w:color="auto"/>
              <w:right w:val="single" w:sz="4" w:space="0" w:color="auto"/>
            </w:tcBorders>
            <w:shd w:val="clear" w:color="auto" w:fill="auto"/>
            <w:noWrap/>
            <w:vAlign w:val="center"/>
            <w:hideMark/>
          </w:tcPr>
          <w:p w14:paraId="72AEBA8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282,06</w:t>
            </w:r>
          </w:p>
        </w:tc>
        <w:tc>
          <w:tcPr>
            <w:tcW w:w="2360" w:type="dxa"/>
            <w:tcBorders>
              <w:top w:val="nil"/>
              <w:left w:val="nil"/>
              <w:bottom w:val="single" w:sz="4" w:space="0" w:color="auto"/>
              <w:right w:val="single" w:sz="4" w:space="0" w:color="auto"/>
            </w:tcBorders>
            <w:shd w:val="clear" w:color="auto" w:fill="auto"/>
            <w:vAlign w:val="center"/>
            <w:hideMark/>
          </w:tcPr>
          <w:p w14:paraId="3435AF2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2021LA-000081-PROV</w:t>
            </w:r>
          </w:p>
        </w:tc>
        <w:tc>
          <w:tcPr>
            <w:tcW w:w="1760" w:type="dxa"/>
            <w:tcBorders>
              <w:top w:val="nil"/>
              <w:left w:val="nil"/>
              <w:bottom w:val="single" w:sz="4" w:space="0" w:color="auto"/>
              <w:right w:val="single" w:sz="4" w:space="0" w:color="auto"/>
            </w:tcBorders>
            <w:shd w:val="clear" w:color="auto" w:fill="auto"/>
            <w:vAlign w:val="center"/>
            <w:hideMark/>
          </w:tcPr>
          <w:p w14:paraId="0A8DE967" w14:textId="4ABC44F5"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Pedido provisional 2021-</w:t>
            </w:r>
            <w:r w:rsidR="004B030F" w:rsidRPr="00BB165B">
              <w:rPr>
                <w:rFonts w:ascii="Arial" w:hAnsi="Arial" w:cs="Arial"/>
                <w:color w:val="000000"/>
                <w:sz w:val="20"/>
                <w:szCs w:val="20"/>
                <w:lang w:val="es-CR" w:eastAsia="es-CR"/>
              </w:rPr>
              <w:t>016474, 2021</w:t>
            </w:r>
            <w:r w:rsidRPr="00BB165B">
              <w:rPr>
                <w:rFonts w:ascii="Arial" w:hAnsi="Arial" w:cs="Arial"/>
                <w:color w:val="000000"/>
                <w:sz w:val="20"/>
                <w:szCs w:val="20"/>
                <w:lang w:val="es-CR" w:eastAsia="es-CR"/>
              </w:rPr>
              <w:t>-016475 y 2021-016476</w:t>
            </w:r>
          </w:p>
        </w:tc>
      </w:tr>
      <w:tr w:rsidR="00BB165B" w:rsidRPr="00BB165B" w14:paraId="296C8D06" w14:textId="77777777" w:rsidTr="00465D52">
        <w:trPr>
          <w:trHeight w:val="288"/>
          <w:jc w:val="center"/>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A7B99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vMerge w:val="restart"/>
            <w:tcBorders>
              <w:top w:val="nil"/>
              <w:left w:val="single" w:sz="4" w:space="0" w:color="auto"/>
              <w:bottom w:val="single" w:sz="4" w:space="0" w:color="auto"/>
              <w:right w:val="single" w:sz="4" w:space="0" w:color="auto"/>
            </w:tcBorders>
            <w:shd w:val="clear" w:color="auto" w:fill="auto"/>
            <w:vAlign w:val="center"/>
            <w:hideMark/>
          </w:tcPr>
          <w:p w14:paraId="2586818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Licencias de Visual Studio Enterprise y Professional. Licencia de Adobe Creative. Licencias de Project ONLINE.</w:t>
            </w:r>
          </w:p>
        </w:tc>
        <w:tc>
          <w:tcPr>
            <w:tcW w:w="1240" w:type="dxa"/>
            <w:tcBorders>
              <w:top w:val="nil"/>
              <w:left w:val="nil"/>
              <w:bottom w:val="single" w:sz="4" w:space="0" w:color="auto"/>
              <w:right w:val="single" w:sz="4" w:space="0" w:color="auto"/>
            </w:tcBorders>
            <w:shd w:val="clear" w:color="auto" w:fill="auto"/>
            <w:noWrap/>
            <w:vAlign w:val="center"/>
            <w:hideMark/>
          </w:tcPr>
          <w:p w14:paraId="3423466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43,46</w:t>
            </w:r>
          </w:p>
        </w:tc>
        <w:tc>
          <w:tcPr>
            <w:tcW w:w="2360" w:type="dxa"/>
            <w:tcBorders>
              <w:top w:val="nil"/>
              <w:left w:val="nil"/>
              <w:bottom w:val="single" w:sz="4" w:space="0" w:color="auto"/>
              <w:right w:val="single" w:sz="4" w:space="0" w:color="auto"/>
            </w:tcBorders>
            <w:shd w:val="clear" w:color="auto" w:fill="auto"/>
            <w:vAlign w:val="center"/>
            <w:hideMark/>
          </w:tcPr>
          <w:p w14:paraId="4850F4B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2018LA-000073-PROV</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4C9B689"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0AA89A22" w14:textId="77777777" w:rsidTr="00465D52">
        <w:trPr>
          <w:trHeight w:val="288"/>
          <w:jc w:val="center"/>
        </w:trPr>
        <w:tc>
          <w:tcPr>
            <w:tcW w:w="1240" w:type="dxa"/>
            <w:vMerge/>
            <w:tcBorders>
              <w:top w:val="nil"/>
              <w:left w:val="single" w:sz="4" w:space="0" w:color="auto"/>
              <w:bottom w:val="single" w:sz="4" w:space="0" w:color="auto"/>
              <w:right w:val="single" w:sz="4" w:space="0" w:color="auto"/>
            </w:tcBorders>
            <w:vAlign w:val="center"/>
            <w:hideMark/>
          </w:tcPr>
          <w:p w14:paraId="446ADE32" w14:textId="77777777" w:rsidR="00BB165B" w:rsidRPr="00BB165B" w:rsidRDefault="00BB165B" w:rsidP="00BB165B">
            <w:pPr>
              <w:rPr>
                <w:rFonts w:ascii="Arial" w:hAnsi="Arial" w:cs="Arial"/>
                <w:color w:val="000000"/>
                <w:sz w:val="20"/>
                <w:szCs w:val="20"/>
                <w:lang w:val="es-CR" w:eastAsia="es-CR"/>
              </w:rPr>
            </w:pPr>
          </w:p>
        </w:tc>
        <w:tc>
          <w:tcPr>
            <w:tcW w:w="3500" w:type="dxa"/>
            <w:vMerge/>
            <w:tcBorders>
              <w:top w:val="nil"/>
              <w:left w:val="single" w:sz="4" w:space="0" w:color="auto"/>
              <w:bottom w:val="single" w:sz="4" w:space="0" w:color="auto"/>
              <w:right w:val="single" w:sz="4" w:space="0" w:color="auto"/>
            </w:tcBorders>
            <w:vAlign w:val="center"/>
            <w:hideMark/>
          </w:tcPr>
          <w:p w14:paraId="52DAF4C9" w14:textId="77777777" w:rsidR="00BB165B" w:rsidRPr="00BB165B" w:rsidRDefault="00BB165B" w:rsidP="00BB165B">
            <w:pPr>
              <w:rPr>
                <w:rFonts w:ascii="Arial" w:hAnsi="Arial" w:cs="Arial"/>
                <w:color w:val="000000"/>
                <w:sz w:val="20"/>
                <w:szCs w:val="20"/>
                <w:lang w:val="es-CR" w:eastAsia="es-CR"/>
              </w:rPr>
            </w:pPr>
          </w:p>
        </w:tc>
        <w:tc>
          <w:tcPr>
            <w:tcW w:w="1240" w:type="dxa"/>
            <w:tcBorders>
              <w:top w:val="nil"/>
              <w:left w:val="nil"/>
              <w:bottom w:val="single" w:sz="4" w:space="0" w:color="auto"/>
              <w:right w:val="single" w:sz="4" w:space="0" w:color="auto"/>
            </w:tcBorders>
            <w:shd w:val="clear" w:color="auto" w:fill="auto"/>
            <w:noWrap/>
            <w:vAlign w:val="center"/>
            <w:hideMark/>
          </w:tcPr>
          <w:p w14:paraId="34EDADF1"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19,28</w:t>
            </w:r>
          </w:p>
        </w:tc>
        <w:tc>
          <w:tcPr>
            <w:tcW w:w="2360" w:type="dxa"/>
            <w:tcBorders>
              <w:top w:val="nil"/>
              <w:left w:val="nil"/>
              <w:bottom w:val="single" w:sz="4" w:space="0" w:color="auto"/>
              <w:right w:val="single" w:sz="4" w:space="0" w:color="auto"/>
            </w:tcBorders>
            <w:shd w:val="clear" w:color="auto" w:fill="auto"/>
            <w:vAlign w:val="center"/>
            <w:hideMark/>
          </w:tcPr>
          <w:p w14:paraId="1D36D81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2021CD-000079-PROVCD</w:t>
            </w:r>
          </w:p>
        </w:tc>
        <w:tc>
          <w:tcPr>
            <w:tcW w:w="1760" w:type="dxa"/>
            <w:vMerge/>
            <w:tcBorders>
              <w:top w:val="nil"/>
              <w:left w:val="single" w:sz="4" w:space="0" w:color="auto"/>
              <w:bottom w:val="single" w:sz="4" w:space="0" w:color="auto"/>
              <w:right w:val="single" w:sz="4" w:space="0" w:color="auto"/>
            </w:tcBorders>
            <w:vAlign w:val="center"/>
            <w:hideMark/>
          </w:tcPr>
          <w:p w14:paraId="5C0D70AE" w14:textId="77777777" w:rsidR="00BB165B" w:rsidRPr="00BB165B" w:rsidRDefault="00BB165B" w:rsidP="00BB165B">
            <w:pPr>
              <w:rPr>
                <w:rFonts w:ascii="Arial" w:hAnsi="Arial" w:cs="Arial"/>
                <w:color w:val="000000"/>
                <w:sz w:val="20"/>
                <w:szCs w:val="20"/>
                <w:lang w:val="es-CR" w:eastAsia="es-CR"/>
              </w:rPr>
            </w:pPr>
          </w:p>
        </w:tc>
      </w:tr>
      <w:tr w:rsidR="00BB165B" w:rsidRPr="00BB165B" w14:paraId="5191F1C3"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12DB271"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51235358" w14:textId="4131D185"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Compra de licencias Microsoft </w:t>
            </w:r>
            <w:r w:rsidR="004B030F" w:rsidRPr="00BB165B">
              <w:rPr>
                <w:rFonts w:ascii="Arial" w:hAnsi="Arial" w:cs="Arial"/>
                <w:color w:val="000000"/>
                <w:sz w:val="20"/>
                <w:szCs w:val="20"/>
                <w:lang w:val="es-CR" w:eastAsia="es-CR"/>
              </w:rPr>
              <w:t>ESD Office</w:t>
            </w:r>
            <w:r w:rsidRPr="00BB165B">
              <w:rPr>
                <w:rFonts w:ascii="Arial" w:hAnsi="Arial" w:cs="Arial"/>
                <w:color w:val="000000"/>
                <w:sz w:val="20"/>
                <w:szCs w:val="20"/>
                <w:lang w:val="es-CR" w:eastAsia="es-CR"/>
              </w:rPr>
              <w:t xml:space="preserve"> Home. SC-012-2021</w:t>
            </w:r>
          </w:p>
        </w:tc>
        <w:tc>
          <w:tcPr>
            <w:tcW w:w="1240" w:type="dxa"/>
            <w:tcBorders>
              <w:top w:val="nil"/>
              <w:left w:val="nil"/>
              <w:bottom w:val="single" w:sz="4" w:space="0" w:color="auto"/>
              <w:right w:val="single" w:sz="4" w:space="0" w:color="auto"/>
            </w:tcBorders>
            <w:shd w:val="clear" w:color="auto" w:fill="auto"/>
            <w:noWrap/>
            <w:vAlign w:val="center"/>
            <w:hideMark/>
          </w:tcPr>
          <w:p w14:paraId="53413CF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48,47</w:t>
            </w:r>
          </w:p>
        </w:tc>
        <w:tc>
          <w:tcPr>
            <w:tcW w:w="2360" w:type="dxa"/>
            <w:tcBorders>
              <w:top w:val="nil"/>
              <w:left w:val="nil"/>
              <w:bottom w:val="single" w:sz="4" w:space="0" w:color="auto"/>
              <w:right w:val="single" w:sz="4" w:space="0" w:color="auto"/>
            </w:tcBorders>
            <w:shd w:val="clear" w:color="auto" w:fill="auto"/>
            <w:vAlign w:val="center"/>
            <w:hideMark/>
          </w:tcPr>
          <w:p w14:paraId="08CBFD6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2020LA-000093-PROV</w:t>
            </w:r>
          </w:p>
        </w:tc>
        <w:tc>
          <w:tcPr>
            <w:tcW w:w="1760" w:type="dxa"/>
            <w:tcBorders>
              <w:top w:val="nil"/>
              <w:left w:val="nil"/>
              <w:bottom w:val="single" w:sz="4" w:space="0" w:color="auto"/>
              <w:right w:val="single" w:sz="4" w:space="0" w:color="auto"/>
            </w:tcBorders>
            <w:shd w:val="clear" w:color="auto" w:fill="auto"/>
            <w:vAlign w:val="center"/>
            <w:hideMark/>
          </w:tcPr>
          <w:p w14:paraId="14C480E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15AFCDD6"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6F4A97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531736F1"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Licenciamiento Firewall para Data Center en la Nube (Azure)</w:t>
            </w:r>
          </w:p>
        </w:tc>
        <w:tc>
          <w:tcPr>
            <w:tcW w:w="1240" w:type="dxa"/>
            <w:tcBorders>
              <w:top w:val="nil"/>
              <w:left w:val="nil"/>
              <w:bottom w:val="single" w:sz="4" w:space="0" w:color="auto"/>
              <w:right w:val="single" w:sz="4" w:space="0" w:color="auto"/>
            </w:tcBorders>
            <w:shd w:val="clear" w:color="auto" w:fill="auto"/>
            <w:noWrap/>
            <w:vAlign w:val="center"/>
            <w:hideMark/>
          </w:tcPr>
          <w:p w14:paraId="3CA3922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110,00</w:t>
            </w:r>
          </w:p>
        </w:tc>
        <w:tc>
          <w:tcPr>
            <w:tcW w:w="2360" w:type="dxa"/>
            <w:tcBorders>
              <w:top w:val="nil"/>
              <w:left w:val="nil"/>
              <w:bottom w:val="single" w:sz="4" w:space="0" w:color="auto"/>
              <w:right w:val="single" w:sz="4" w:space="0" w:color="auto"/>
            </w:tcBorders>
            <w:shd w:val="clear" w:color="auto" w:fill="auto"/>
            <w:vAlign w:val="center"/>
            <w:hideMark/>
          </w:tcPr>
          <w:p w14:paraId="6A2B548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2021CD-000006-PROVEX</w:t>
            </w:r>
          </w:p>
        </w:tc>
        <w:tc>
          <w:tcPr>
            <w:tcW w:w="1760" w:type="dxa"/>
            <w:tcBorders>
              <w:top w:val="nil"/>
              <w:left w:val="nil"/>
              <w:bottom w:val="single" w:sz="4" w:space="0" w:color="auto"/>
              <w:right w:val="single" w:sz="4" w:space="0" w:color="auto"/>
            </w:tcBorders>
            <w:shd w:val="clear" w:color="auto" w:fill="auto"/>
            <w:vAlign w:val="center"/>
            <w:hideMark/>
          </w:tcPr>
          <w:p w14:paraId="1B57E31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1F124E10"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478547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lastRenderedPageBreak/>
              <w:t>59903</w:t>
            </w:r>
          </w:p>
        </w:tc>
        <w:tc>
          <w:tcPr>
            <w:tcW w:w="3500" w:type="dxa"/>
            <w:tcBorders>
              <w:top w:val="nil"/>
              <w:left w:val="nil"/>
              <w:bottom w:val="single" w:sz="4" w:space="0" w:color="auto"/>
              <w:right w:val="single" w:sz="4" w:space="0" w:color="auto"/>
            </w:tcBorders>
            <w:shd w:val="clear" w:color="auto" w:fill="auto"/>
            <w:vAlign w:val="center"/>
            <w:hideMark/>
          </w:tcPr>
          <w:p w14:paraId="674D759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anual de las licencias de la solución de seguridad perimetral con Internet</w:t>
            </w:r>
          </w:p>
        </w:tc>
        <w:tc>
          <w:tcPr>
            <w:tcW w:w="1240" w:type="dxa"/>
            <w:tcBorders>
              <w:top w:val="nil"/>
              <w:left w:val="nil"/>
              <w:bottom w:val="single" w:sz="4" w:space="0" w:color="auto"/>
              <w:right w:val="single" w:sz="4" w:space="0" w:color="auto"/>
            </w:tcBorders>
            <w:shd w:val="clear" w:color="auto" w:fill="auto"/>
            <w:noWrap/>
            <w:vAlign w:val="center"/>
            <w:hideMark/>
          </w:tcPr>
          <w:p w14:paraId="21A5985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123,33</w:t>
            </w:r>
          </w:p>
        </w:tc>
        <w:tc>
          <w:tcPr>
            <w:tcW w:w="2360" w:type="dxa"/>
            <w:tcBorders>
              <w:top w:val="nil"/>
              <w:left w:val="nil"/>
              <w:bottom w:val="single" w:sz="4" w:space="0" w:color="auto"/>
              <w:right w:val="single" w:sz="4" w:space="0" w:color="auto"/>
            </w:tcBorders>
            <w:shd w:val="clear" w:color="auto" w:fill="auto"/>
            <w:vAlign w:val="center"/>
            <w:hideMark/>
          </w:tcPr>
          <w:p w14:paraId="68D33EE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2021CD-000006-PROVEX</w:t>
            </w:r>
          </w:p>
        </w:tc>
        <w:tc>
          <w:tcPr>
            <w:tcW w:w="1760" w:type="dxa"/>
            <w:tcBorders>
              <w:top w:val="nil"/>
              <w:left w:val="nil"/>
              <w:bottom w:val="single" w:sz="4" w:space="0" w:color="auto"/>
              <w:right w:val="single" w:sz="4" w:space="0" w:color="auto"/>
            </w:tcBorders>
            <w:shd w:val="clear" w:color="auto" w:fill="auto"/>
            <w:vAlign w:val="center"/>
            <w:hideMark/>
          </w:tcPr>
          <w:p w14:paraId="0B217F0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2D96F09F" w14:textId="77777777" w:rsidTr="00465D52">
        <w:trPr>
          <w:trHeight w:val="912"/>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C49899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4C302E29"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anual de licenciamiento y ampliación de capacidad de la solución de seguridad perimetral del Centro de Datos del Poder Judicial</w:t>
            </w:r>
          </w:p>
        </w:tc>
        <w:tc>
          <w:tcPr>
            <w:tcW w:w="1240" w:type="dxa"/>
            <w:tcBorders>
              <w:top w:val="nil"/>
              <w:left w:val="nil"/>
              <w:bottom w:val="single" w:sz="4" w:space="0" w:color="auto"/>
              <w:right w:val="single" w:sz="4" w:space="0" w:color="auto"/>
            </w:tcBorders>
            <w:shd w:val="clear" w:color="auto" w:fill="auto"/>
            <w:noWrap/>
            <w:vAlign w:val="center"/>
            <w:hideMark/>
          </w:tcPr>
          <w:p w14:paraId="6F67BF9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166,69</w:t>
            </w:r>
          </w:p>
        </w:tc>
        <w:tc>
          <w:tcPr>
            <w:tcW w:w="2360" w:type="dxa"/>
            <w:tcBorders>
              <w:top w:val="nil"/>
              <w:left w:val="nil"/>
              <w:bottom w:val="single" w:sz="4" w:space="0" w:color="auto"/>
              <w:right w:val="single" w:sz="4" w:space="0" w:color="auto"/>
            </w:tcBorders>
            <w:shd w:val="clear" w:color="auto" w:fill="auto"/>
            <w:vAlign w:val="center"/>
            <w:hideMark/>
          </w:tcPr>
          <w:p w14:paraId="7A2E2F3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2021CD-000009-PROVEX</w:t>
            </w:r>
          </w:p>
        </w:tc>
        <w:tc>
          <w:tcPr>
            <w:tcW w:w="1760" w:type="dxa"/>
            <w:tcBorders>
              <w:top w:val="nil"/>
              <w:left w:val="nil"/>
              <w:bottom w:val="single" w:sz="4" w:space="0" w:color="auto"/>
              <w:right w:val="single" w:sz="4" w:space="0" w:color="auto"/>
            </w:tcBorders>
            <w:shd w:val="clear" w:color="auto" w:fill="auto"/>
            <w:vAlign w:val="center"/>
            <w:hideMark/>
          </w:tcPr>
          <w:p w14:paraId="58D63AB4"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69C8727C"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299C67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305EF69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anual de las licencias de la solución de seguridad perimetral en la red amplia del Poder Judicial</w:t>
            </w:r>
          </w:p>
        </w:tc>
        <w:tc>
          <w:tcPr>
            <w:tcW w:w="1240" w:type="dxa"/>
            <w:tcBorders>
              <w:top w:val="nil"/>
              <w:left w:val="nil"/>
              <w:bottom w:val="single" w:sz="4" w:space="0" w:color="auto"/>
              <w:right w:val="single" w:sz="4" w:space="0" w:color="auto"/>
            </w:tcBorders>
            <w:shd w:val="clear" w:color="auto" w:fill="auto"/>
            <w:noWrap/>
            <w:vAlign w:val="center"/>
            <w:hideMark/>
          </w:tcPr>
          <w:p w14:paraId="46266C93"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55,70</w:t>
            </w:r>
          </w:p>
        </w:tc>
        <w:tc>
          <w:tcPr>
            <w:tcW w:w="2360" w:type="dxa"/>
            <w:tcBorders>
              <w:top w:val="nil"/>
              <w:left w:val="nil"/>
              <w:bottom w:val="single" w:sz="4" w:space="0" w:color="auto"/>
              <w:right w:val="single" w:sz="4" w:space="0" w:color="auto"/>
            </w:tcBorders>
            <w:shd w:val="clear" w:color="auto" w:fill="auto"/>
            <w:vAlign w:val="center"/>
            <w:hideMark/>
          </w:tcPr>
          <w:p w14:paraId="4B2010F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2020CD-000020-PROVEX</w:t>
            </w:r>
          </w:p>
        </w:tc>
        <w:tc>
          <w:tcPr>
            <w:tcW w:w="1760" w:type="dxa"/>
            <w:tcBorders>
              <w:top w:val="nil"/>
              <w:left w:val="nil"/>
              <w:bottom w:val="single" w:sz="4" w:space="0" w:color="auto"/>
              <w:right w:val="single" w:sz="4" w:space="0" w:color="auto"/>
            </w:tcBorders>
            <w:shd w:val="clear" w:color="auto" w:fill="auto"/>
            <w:vAlign w:val="center"/>
            <w:hideMark/>
          </w:tcPr>
          <w:p w14:paraId="28373A6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56F44192"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9DCDC8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390627CD"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Suite de Seguridad Antivirus McAfee Endpoint EDR</w:t>
            </w:r>
          </w:p>
        </w:tc>
        <w:tc>
          <w:tcPr>
            <w:tcW w:w="1240" w:type="dxa"/>
            <w:tcBorders>
              <w:top w:val="nil"/>
              <w:left w:val="nil"/>
              <w:bottom w:val="single" w:sz="4" w:space="0" w:color="auto"/>
              <w:right w:val="single" w:sz="4" w:space="0" w:color="auto"/>
            </w:tcBorders>
            <w:shd w:val="clear" w:color="auto" w:fill="auto"/>
            <w:noWrap/>
            <w:vAlign w:val="center"/>
            <w:hideMark/>
          </w:tcPr>
          <w:p w14:paraId="3C31B2B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100,00</w:t>
            </w:r>
          </w:p>
        </w:tc>
        <w:tc>
          <w:tcPr>
            <w:tcW w:w="2360" w:type="dxa"/>
            <w:tcBorders>
              <w:top w:val="nil"/>
              <w:left w:val="nil"/>
              <w:bottom w:val="single" w:sz="4" w:space="0" w:color="auto"/>
              <w:right w:val="single" w:sz="4" w:space="0" w:color="auto"/>
            </w:tcBorders>
            <w:shd w:val="clear" w:color="auto" w:fill="auto"/>
            <w:vAlign w:val="center"/>
            <w:hideMark/>
          </w:tcPr>
          <w:p w14:paraId="59A329F8"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2020LN-000020-PROV</w:t>
            </w:r>
          </w:p>
        </w:tc>
        <w:tc>
          <w:tcPr>
            <w:tcW w:w="1760" w:type="dxa"/>
            <w:tcBorders>
              <w:top w:val="nil"/>
              <w:left w:val="nil"/>
              <w:bottom w:val="single" w:sz="4" w:space="0" w:color="auto"/>
              <w:right w:val="single" w:sz="4" w:space="0" w:color="auto"/>
            </w:tcBorders>
            <w:shd w:val="clear" w:color="auto" w:fill="auto"/>
            <w:vAlign w:val="center"/>
            <w:hideMark/>
          </w:tcPr>
          <w:p w14:paraId="638DEE1A"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C7BF5E8" w14:textId="77777777" w:rsidTr="00465D52">
        <w:trPr>
          <w:trHeight w:val="68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3846DF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3A7C1E4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de la suscripción y compra de licencias nuevas del paquete ofimático Microsoft Office 365. SC-026-2021</w:t>
            </w:r>
          </w:p>
        </w:tc>
        <w:tc>
          <w:tcPr>
            <w:tcW w:w="1240" w:type="dxa"/>
            <w:tcBorders>
              <w:top w:val="nil"/>
              <w:left w:val="nil"/>
              <w:bottom w:val="single" w:sz="4" w:space="0" w:color="auto"/>
              <w:right w:val="single" w:sz="4" w:space="0" w:color="auto"/>
            </w:tcBorders>
            <w:shd w:val="clear" w:color="auto" w:fill="auto"/>
            <w:noWrap/>
            <w:vAlign w:val="center"/>
            <w:hideMark/>
          </w:tcPr>
          <w:p w14:paraId="46A1AF5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446,78</w:t>
            </w:r>
          </w:p>
        </w:tc>
        <w:tc>
          <w:tcPr>
            <w:tcW w:w="2360" w:type="dxa"/>
            <w:tcBorders>
              <w:top w:val="nil"/>
              <w:left w:val="nil"/>
              <w:bottom w:val="single" w:sz="4" w:space="0" w:color="auto"/>
              <w:right w:val="single" w:sz="4" w:space="0" w:color="auto"/>
            </w:tcBorders>
            <w:shd w:val="clear" w:color="auto" w:fill="auto"/>
            <w:vAlign w:val="center"/>
            <w:hideMark/>
          </w:tcPr>
          <w:p w14:paraId="43D106A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2021LA-000004-PROV</w:t>
            </w:r>
          </w:p>
        </w:tc>
        <w:tc>
          <w:tcPr>
            <w:tcW w:w="1760" w:type="dxa"/>
            <w:tcBorders>
              <w:top w:val="nil"/>
              <w:left w:val="nil"/>
              <w:bottom w:val="single" w:sz="4" w:space="0" w:color="auto"/>
              <w:right w:val="single" w:sz="4" w:space="0" w:color="auto"/>
            </w:tcBorders>
            <w:shd w:val="clear" w:color="auto" w:fill="auto"/>
            <w:vAlign w:val="center"/>
            <w:hideMark/>
          </w:tcPr>
          <w:p w14:paraId="44FA2C22"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1489D4D5" w14:textId="77777777" w:rsidTr="00465D52">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A95B22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6BE0591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y compra WAF externo y DMZ</w:t>
            </w:r>
          </w:p>
        </w:tc>
        <w:tc>
          <w:tcPr>
            <w:tcW w:w="1240" w:type="dxa"/>
            <w:tcBorders>
              <w:top w:val="nil"/>
              <w:left w:val="nil"/>
              <w:bottom w:val="single" w:sz="4" w:space="0" w:color="auto"/>
              <w:right w:val="single" w:sz="4" w:space="0" w:color="auto"/>
            </w:tcBorders>
            <w:shd w:val="clear" w:color="auto" w:fill="auto"/>
            <w:noWrap/>
            <w:vAlign w:val="center"/>
            <w:hideMark/>
          </w:tcPr>
          <w:p w14:paraId="18C66F72"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26,42</w:t>
            </w:r>
          </w:p>
        </w:tc>
        <w:tc>
          <w:tcPr>
            <w:tcW w:w="2360" w:type="dxa"/>
            <w:tcBorders>
              <w:top w:val="nil"/>
              <w:left w:val="nil"/>
              <w:bottom w:val="single" w:sz="4" w:space="0" w:color="auto"/>
              <w:right w:val="single" w:sz="4" w:space="0" w:color="auto"/>
            </w:tcBorders>
            <w:shd w:val="clear" w:color="auto" w:fill="auto"/>
            <w:vAlign w:val="center"/>
            <w:hideMark/>
          </w:tcPr>
          <w:p w14:paraId="0FAE22C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2021CD-000003-PROVCD</w:t>
            </w:r>
          </w:p>
        </w:tc>
        <w:tc>
          <w:tcPr>
            <w:tcW w:w="1760" w:type="dxa"/>
            <w:tcBorders>
              <w:top w:val="nil"/>
              <w:left w:val="nil"/>
              <w:bottom w:val="single" w:sz="4" w:space="0" w:color="auto"/>
              <w:right w:val="single" w:sz="4" w:space="0" w:color="auto"/>
            </w:tcBorders>
            <w:shd w:val="clear" w:color="auto" w:fill="auto"/>
            <w:vAlign w:val="center"/>
            <w:hideMark/>
          </w:tcPr>
          <w:p w14:paraId="26793F9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1B94437" w14:textId="77777777" w:rsidTr="00465D52">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6B6B9B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2AFF35CA"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Licenciamiento SQL</w:t>
            </w:r>
          </w:p>
        </w:tc>
        <w:tc>
          <w:tcPr>
            <w:tcW w:w="1240" w:type="dxa"/>
            <w:tcBorders>
              <w:top w:val="nil"/>
              <w:left w:val="nil"/>
              <w:bottom w:val="single" w:sz="4" w:space="0" w:color="auto"/>
              <w:right w:val="single" w:sz="4" w:space="0" w:color="auto"/>
            </w:tcBorders>
            <w:shd w:val="clear" w:color="auto" w:fill="auto"/>
            <w:noWrap/>
            <w:vAlign w:val="center"/>
            <w:hideMark/>
          </w:tcPr>
          <w:p w14:paraId="1BBF427A"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57,48</w:t>
            </w:r>
          </w:p>
        </w:tc>
        <w:tc>
          <w:tcPr>
            <w:tcW w:w="2360" w:type="dxa"/>
            <w:tcBorders>
              <w:top w:val="nil"/>
              <w:left w:val="nil"/>
              <w:bottom w:val="single" w:sz="4" w:space="0" w:color="auto"/>
              <w:right w:val="single" w:sz="4" w:space="0" w:color="auto"/>
            </w:tcBorders>
            <w:shd w:val="clear" w:color="auto" w:fill="auto"/>
            <w:vAlign w:val="center"/>
            <w:hideMark/>
          </w:tcPr>
          <w:p w14:paraId="13660FB9"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2021LA-000009-PROV</w:t>
            </w:r>
          </w:p>
        </w:tc>
        <w:tc>
          <w:tcPr>
            <w:tcW w:w="1760" w:type="dxa"/>
            <w:tcBorders>
              <w:top w:val="nil"/>
              <w:left w:val="nil"/>
              <w:bottom w:val="single" w:sz="4" w:space="0" w:color="auto"/>
              <w:right w:val="single" w:sz="4" w:space="0" w:color="auto"/>
            </w:tcBorders>
            <w:shd w:val="clear" w:color="auto" w:fill="auto"/>
            <w:vAlign w:val="center"/>
            <w:hideMark/>
          </w:tcPr>
          <w:p w14:paraId="4D75F809"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1555FF9"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B7ACEB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315A23E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Renovación de soporte y garantía de la plataforma Guardium (DAM)  </w:t>
            </w:r>
          </w:p>
        </w:tc>
        <w:tc>
          <w:tcPr>
            <w:tcW w:w="1240" w:type="dxa"/>
            <w:tcBorders>
              <w:top w:val="nil"/>
              <w:left w:val="nil"/>
              <w:bottom w:val="single" w:sz="4" w:space="0" w:color="auto"/>
              <w:right w:val="single" w:sz="4" w:space="0" w:color="auto"/>
            </w:tcBorders>
            <w:shd w:val="clear" w:color="auto" w:fill="auto"/>
            <w:noWrap/>
            <w:vAlign w:val="center"/>
            <w:hideMark/>
          </w:tcPr>
          <w:p w14:paraId="6A20C091" w14:textId="1848567A"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51,8</w:t>
            </w:r>
            <w:r w:rsidR="003D502E">
              <w:rPr>
                <w:rFonts w:ascii="Arial" w:hAnsi="Arial" w:cs="Arial"/>
                <w:color w:val="000000"/>
                <w:sz w:val="20"/>
                <w:szCs w:val="20"/>
                <w:lang w:val="es-CR" w:eastAsia="es-CR"/>
              </w:rPr>
              <w:t>0</w:t>
            </w:r>
          </w:p>
        </w:tc>
        <w:tc>
          <w:tcPr>
            <w:tcW w:w="2360" w:type="dxa"/>
            <w:tcBorders>
              <w:top w:val="nil"/>
              <w:left w:val="nil"/>
              <w:bottom w:val="single" w:sz="4" w:space="0" w:color="auto"/>
              <w:right w:val="single" w:sz="4" w:space="0" w:color="auto"/>
            </w:tcBorders>
            <w:shd w:val="clear" w:color="auto" w:fill="auto"/>
            <w:vAlign w:val="center"/>
            <w:hideMark/>
          </w:tcPr>
          <w:p w14:paraId="05885E7C"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2021CD-000008-PROVEX</w:t>
            </w:r>
          </w:p>
        </w:tc>
        <w:tc>
          <w:tcPr>
            <w:tcW w:w="1760" w:type="dxa"/>
            <w:tcBorders>
              <w:top w:val="nil"/>
              <w:left w:val="nil"/>
              <w:bottom w:val="single" w:sz="4" w:space="0" w:color="auto"/>
              <w:right w:val="single" w:sz="4" w:space="0" w:color="auto"/>
            </w:tcBorders>
            <w:shd w:val="clear" w:color="auto" w:fill="auto"/>
            <w:vAlign w:val="center"/>
            <w:hideMark/>
          </w:tcPr>
          <w:p w14:paraId="5B9D6C6C"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34AFAAFC"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34FAD2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22B24E8B"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de soporte y Garantía IDPA, SIMPLIVITY, ISILON, ECS</w:t>
            </w:r>
          </w:p>
        </w:tc>
        <w:tc>
          <w:tcPr>
            <w:tcW w:w="1240" w:type="dxa"/>
            <w:tcBorders>
              <w:top w:val="nil"/>
              <w:left w:val="nil"/>
              <w:bottom w:val="single" w:sz="4" w:space="0" w:color="auto"/>
              <w:right w:val="single" w:sz="4" w:space="0" w:color="auto"/>
            </w:tcBorders>
            <w:shd w:val="clear" w:color="auto" w:fill="auto"/>
            <w:noWrap/>
            <w:vAlign w:val="center"/>
            <w:hideMark/>
          </w:tcPr>
          <w:p w14:paraId="2D7BE5C5"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182,18</w:t>
            </w:r>
          </w:p>
        </w:tc>
        <w:tc>
          <w:tcPr>
            <w:tcW w:w="2360" w:type="dxa"/>
            <w:tcBorders>
              <w:top w:val="nil"/>
              <w:left w:val="nil"/>
              <w:bottom w:val="single" w:sz="4" w:space="0" w:color="auto"/>
              <w:right w:val="single" w:sz="4" w:space="0" w:color="auto"/>
            </w:tcBorders>
            <w:shd w:val="clear" w:color="auto" w:fill="auto"/>
            <w:vAlign w:val="center"/>
            <w:hideMark/>
          </w:tcPr>
          <w:p w14:paraId="052A74B0"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2021LA-000025-PROV</w:t>
            </w:r>
          </w:p>
        </w:tc>
        <w:tc>
          <w:tcPr>
            <w:tcW w:w="1760" w:type="dxa"/>
            <w:tcBorders>
              <w:top w:val="nil"/>
              <w:left w:val="nil"/>
              <w:bottom w:val="single" w:sz="4" w:space="0" w:color="auto"/>
              <w:right w:val="single" w:sz="4" w:space="0" w:color="auto"/>
            </w:tcBorders>
            <w:shd w:val="clear" w:color="auto" w:fill="auto"/>
            <w:vAlign w:val="center"/>
            <w:hideMark/>
          </w:tcPr>
          <w:p w14:paraId="48CB274E"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2D8B34A3"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23F629B"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64B6C51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Renovación de soporte y garantía de solución ATP</w:t>
            </w:r>
          </w:p>
        </w:tc>
        <w:tc>
          <w:tcPr>
            <w:tcW w:w="1240" w:type="dxa"/>
            <w:tcBorders>
              <w:top w:val="nil"/>
              <w:left w:val="nil"/>
              <w:bottom w:val="single" w:sz="4" w:space="0" w:color="auto"/>
              <w:right w:val="single" w:sz="4" w:space="0" w:color="auto"/>
            </w:tcBorders>
            <w:shd w:val="clear" w:color="auto" w:fill="auto"/>
            <w:noWrap/>
            <w:vAlign w:val="center"/>
            <w:hideMark/>
          </w:tcPr>
          <w:p w14:paraId="52B351E7"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67,79</w:t>
            </w:r>
          </w:p>
        </w:tc>
        <w:tc>
          <w:tcPr>
            <w:tcW w:w="2360" w:type="dxa"/>
            <w:tcBorders>
              <w:top w:val="nil"/>
              <w:left w:val="nil"/>
              <w:bottom w:val="single" w:sz="4" w:space="0" w:color="auto"/>
              <w:right w:val="single" w:sz="4" w:space="0" w:color="auto"/>
            </w:tcBorders>
            <w:shd w:val="clear" w:color="auto" w:fill="auto"/>
            <w:vAlign w:val="center"/>
            <w:hideMark/>
          </w:tcPr>
          <w:p w14:paraId="4459E941"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2021LA-000042-PROV      </w:t>
            </w:r>
          </w:p>
        </w:tc>
        <w:tc>
          <w:tcPr>
            <w:tcW w:w="1760" w:type="dxa"/>
            <w:tcBorders>
              <w:top w:val="nil"/>
              <w:left w:val="nil"/>
              <w:bottom w:val="single" w:sz="4" w:space="0" w:color="auto"/>
              <w:right w:val="single" w:sz="4" w:space="0" w:color="auto"/>
            </w:tcBorders>
            <w:shd w:val="clear" w:color="auto" w:fill="auto"/>
            <w:vAlign w:val="center"/>
            <w:hideMark/>
          </w:tcPr>
          <w:p w14:paraId="48563063"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7ECF2E4C" w14:textId="77777777" w:rsidTr="00465D52">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06F0F8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auto" w:fill="auto"/>
            <w:vAlign w:val="center"/>
            <w:hideMark/>
          </w:tcPr>
          <w:p w14:paraId="4FB49938"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Renovación licencias de SAP </w:t>
            </w:r>
          </w:p>
        </w:tc>
        <w:tc>
          <w:tcPr>
            <w:tcW w:w="1240" w:type="dxa"/>
            <w:tcBorders>
              <w:top w:val="nil"/>
              <w:left w:val="nil"/>
              <w:bottom w:val="single" w:sz="4" w:space="0" w:color="auto"/>
              <w:right w:val="single" w:sz="4" w:space="0" w:color="auto"/>
            </w:tcBorders>
            <w:shd w:val="clear" w:color="auto" w:fill="auto"/>
            <w:noWrap/>
            <w:vAlign w:val="center"/>
            <w:hideMark/>
          </w:tcPr>
          <w:p w14:paraId="5E66E2FE"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64,02</w:t>
            </w:r>
          </w:p>
        </w:tc>
        <w:tc>
          <w:tcPr>
            <w:tcW w:w="2360" w:type="dxa"/>
            <w:tcBorders>
              <w:top w:val="nil"/>
              <w:left w:val="nil"/>
              <w:bottom w:val="single" w:sz="4" w:space="0" w:color="auto"/>
              <w:right w:val="single" w:sz="4" w:space="0" w:color="auto"/>
            </w:tcBorders>
            <w:shd w:val="clear" w:color="auto" w:fill="auto"/>
            <w:vAlign w:val="center"/>
            <w:hideMark/>
          </w:tcPr>
          <w:p w14:paraId="2C1F0876"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 xml:space="preserve">2020LA-000086-PROV    </w:t>
            </w:r>
          </w:p>
        </w:tc>
        <w:tc>
          <w:tcPr>
            <w:tcW w:w="1760" w:type="dxa"/>
            <w:tcBorders>
              <w:top w:val="nil"/>
              <w:left w:val="nil"/>
              <w:bottom w:val="single" w:sz="4" w:space="0" w:color="auto"/>
              <w:right w:val="single" w:sz="4" w:space="0" w:color="auto"/>
            </w:tcBorders>
            <w:shd w:val="clear" w:color="auto" w:fill="auto"/>
            <w:vAlign w:val="center"/>
            <w:hideMark/>
          </w:tcPr>
          <w:p w14:paraId="3D9456B5"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r w:rsidR="00BB165B" w:rsidRPr="00BB165B" w14:paraId="4DFA4BC4" w14:textId="77777777" w:rsidTr="00465D52">
        <w:trPr>
          <w:trHeight w:val="45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D3023ED"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59903</w:t>
            </w:r>
          </w:p>
        </w:tc>
        <w:tc>
          <w:tcPr>
            <w:tcW w:w="3500" w:type="dxa"/>
            <w:tcBorders>
              <w:top w:val="nil"/>
              <w:left w:val="nil"/>
              <w:bottom w:val="single" w:sz="4" w:space="0" w:color="auto"/>
              <w:right w:val="single" w:sz="4" w:space="0" w:color="auto"/>
            </w:tcBorders>
            <w:shd w:val="clear" w:color="000000" w:fill="FFFFFF"/>
            <w:vAlign w:val="center"/>
            <w:hideMark/>
          </w:tcPr>
          <w:p w14:paraId="6ADF20EC"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Licencias anuales para herramienta de inteligencia de la información</w:t>
            </w:r>
          </w:p>
        </w:tc>
        <w:tc>
          <w:tcPr>
            <w:tcW w:w="1240" w:type="dxa"/>
            <w:tcBorders>
              <w:top w:val="nil"/>
              <w:left w:val="nil"/>
              <w:bottom w:val="single" w:sz="4" w:space="0" w:color="auto"/>
              <w:right w:val="single" w:sz="4" w:space="0" w:color="auto"/>
            </w:tcBorders>
            <w:shd w:val="clear" w:color="auto" w:fill="auto"/>
            <w:noWrap/>
            <w:vAlign w:val="center"/>
            <w:hideMark/>
          </w:tcPr>
          <w:p w14:paraId="0CFEF83F"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94,91</w:t>
            </w:r>
          </w:p>
        </w:tc>
        <w:tc>
          <w:tcPr>
            <w:tcW w:w="2360" w:type="dxa"/>
            <w:tcBorders>
              <w:top w:val="nil"/>
              <w:left w:val="nil"/>
              <w:bottom w:val="single" w:sz="4" w:space="0" w:color="auto"/>
              <w:right w:val="single" w:sz="4" w:space="0" w:color="auto"/>
            </w:tcBorders>
            <w:shd w:val="clear" w:color="auto" w:fill="auto"/>
            <w:vAlign w:val="center"/>
            <w:hideMark/>
          </w:tcPr>
          <w:p w14:paraId="2C863BC4" w14:textId="77777777" w:rsidR="00BB165B" w:rsidRPr="00BB165B" w:rsidRDefault="00BB165B" w:rsidP="00BB165B">
            <w:pPr>
              <w:jc w:val="center"/>
              <w:rPr>
                <w:rFonts w:ascii="Arial" w:hAnsi="Arial" w:cs="Arial"/>
                <w:color w:val="000000"/>
                <w:sz w:val="20"/>
                <w:szCs w:val="20"/>
                <w:lang w:val="es-CR" w:eastAsia="es-CR"/>
              </w:rPr>
            </w:pPr>
            <w:r w:rsidRPr="00BB165B">
              <w:rPr>
                <w:rFonts w:ascii="Arial" w:hAnsi="Arial" w:cs="Arial"/>
                <w:color w:val="000000"/>
                <w:sz w:val="20"/>
                <w:szCs w:val="20"/>
                <w:lang w:val="es-CR" w:eastAsia="es-CR"/>
              </w:rPr>
              <w:t>2021LA-000040-PROV</w:t>
            </w:r>
          </w:p>
        </w:tc>
        <w:tc>
          <w:tcPr>
            <w:tcW w:w="1760" w:type="dxa"/>
            <w:tcBorders>
              <w:top w:val="nil"/>
              <w:left w:val="nil"/>
              <w:bottom w:val="single" w:sz="4" w:space="0" w:color="auto"/>
              <w:right w:val="single" w:sz="4" w:space="0" w:color="auto"/>
            </w:tcBorders>
            <w:shd w:val="clear" w:color="auto" w:fill="auto"/>
            <w:vAlign w:val="center"/>
            <w:hideMark/>
          </w:tcPr>
          <w:p w14:paraId="34AF8E7E" w14:textId="77777777" w:rsidR="00BB165B" w:rsidRPr="00BB165B" w:rsidRDefault="00BB165B" w:rsidP="00BB165B">
            <w:pPr>
              <w:jc w:val="both"/>
              <w:rPr>
                <w:rFonts w:ascii="Arial" w:hAnsi="Arial" w:cs="Arial"/>
                <w:color w:val="000000"/>
                <w:sz w:val="20"/>
                <w:szCs w:val="20"/>
                <w:lang w:val="es-CR" w:eastAsia="es-CR"/>
              </w:rPr>
            </w:pPr>
            <w:r w:rsidRPr="00BB165B">
              <w:rPr>
                <w:rFonts w:ascii="Arial" w:hAnsi="Arial" w:cs="Arial"/>
                <w:color w:val="000000"/>
                <w:sz w:val="20"/>
                <w:szCs w:val="20"/>
                <w:lang w:val="es-CR" w:eastAsia="es-CR"/>
              </w:rPr>
              <w:t>Finalizado</w:t>
            </w:r>
          </w:p>
        </w:tc>
      </w:tr>
    </w:tbl>
    <w:p w14:paraId="16398FCC" w14:textId="77777777" w:rsidR="00BB165B" w:rsidRDefault="00BB165B" w:rsidP="00BB165B">
      <w:pPr>
        <w:spacing w:after="160" w:line="276" w:lineRule="auto"/>
        <w:jc w:val="both"/>
        <w:rPr>
          <w:rFonts w:ascii="Arial" w:eastAsia="Cambria" w:hAnsi="Arial" w:cs="Arial"/>
          <w:b/>
          <w:sz w:val="16"/>
          <w:szCs w:val="16"/>
          <w:lang w:val="es-ES_tradnl" w:eastAsia="en-US"/>
        </w:rPr>
      </w:pPr>
      <w:r w:rsidRPr="00BB165B">
        <w:rPr>
          <w:rFonts w:ascii="Arial" w:eastAsiaTheme="minorEastAsia" w:hAnsi="Arial" w:cs="Arial"/>
          <w:b/>
          <w:sz w:val="16"/>
          <w:szCs w:val="20"/>
          <w:lang w:val="es-ES_tradnl"/>
        </w:rPr>
        <w:t>Fuente</w:t>
      </w:r>
      <w:r w:rsidRPr="00BB165B">
        <w:rPr>
          <w:rFonts w:ascii="Arial" w:eastAsiaTheme="minorEastAsia" w:hAnsi="Arial" w:cs="Arial"/>
          <w:sz w:val="16"/>
          <w:szCs w:val="20"/>
          <w:lang w:val="es-ES_tradnl"/>
        </w:rPr>
        <w:t xml:space="preserve">: </w:t>
      </w:r>
      <w:r w:rsidRPr="00BB165B">
        <w:rPr>
          <w:rFonts w:ascii="Arial" w:eastAsia="Cambria" w:hAnsi="Arial" w:cs="Arial"/>
          <w:bCs/>
          <w:sz w:val="16"/>
          <w:szCs w:val="16"/>
          <w:lang w:val="es-ES_tradnl" w:eastAsia="en-US"/>
        </w:rPr>
        <w:t>Información suministrada por la Dirección Ejecutiva y la Dirección de Tecnología de la Información</w:t>
      </w:r>
      <w:r w:rsidRPr="00BB165B">
        <w:rPr>
          <w:rFonts w:ascii="Arial" w:eastAsia="Cambria" w:hAnsi="Arial" w:cs="Arial"/>
          <w:b/>
          <w:sz w:val="16"/>
          <w:szCs w:val="16"/>
          <w:lang w:val="es-ES_tradnl" w:eastAsia="en-US"/>
        </w:rPr>
        <w:t>.</w:t>
      </w:r>
    </w:p>
    <w:p w14:paraId="7E4335FA" w14:textId="77777777" w:rsidR="003D502E" w:rsidRPr="00BB165B" w:rsidRDefault="003D502E" w:rsidP="00BB165B">
      <w:pPr>
        <w:spacing w:after="160" w:line="276" w:lineRule="auto"/>
        <w:jc w:val="both"/>
        <w:rPr>
          <w:rFonts w:ascii="Arial" w:eastAsia="Cambria" w:hAnsi="Arial" w:cs="Arial"/>
          <w:b/>
          <w:sz w:val="16"/>
          <w:szCs w:val="16"/>
          <w:lang w:val="es-ES_tradnl" w:eastAsia="en-US"/>
        </w:rPr>
      </w:pPr>
    </w:p>
    <w:tbl>
      <w:tblPr>
        <w:tblStyle w:val="Tabladelista3-nfasis1"/>
        <w:tblW w:w="9067" w:type="dxa"/>
        <w:tblLook w:val="00A0" w:firstRow="1" w:lastRow="0" w:firstColumn="1" w:lastColumn="0" w:noHBand="0" w:noVBand="0"/>
      </w:tblPr>
      <w:tblGrid>
        <w:gridCol w:w="1838"/>
        <w:gridCol w:w="7229"/>
      </w:tblGrid>
      <w:tr w:rsidR="00742104" w:rsidRPr="00A57BD3" w14:paraId="03B24443" w14:textId="77777777" w:rsidTr="006A1CC0">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838" w:type="dxa"/>
          </w:tcPr>
          <w:p w14:paraId="454027B1" w14:textId="77777777" w:rsidR="00742104" w:rsidRPr="00A57BD3" w:rsidRDefault="00742104" w:rsidP="006A1CC0">
            <w:pPr>
              <w:pStyle w:val="Sangra2detindependiente"/>
              <w:ind w:left="0"/>
              <w:jc w:val="both"/>
              <w:rPr>
                <w:rFonts w:ascii="Arial" w:hAnsi="Arial" w:cs="Arial"/>
                <w:b w:val="0"/>
                <w:bCs w:val="0"/>
                <w:strike/>
                <w:sz w:val="20"/>
                <w:szCs w:val="20"/>
                <w:u w:val="single"/>
              </w:rPr>
            </w:pPr>
            <w:r w:rsidRPr="00A57BD3">
              <w:rPr>
                <w:rFonts w:ascii="Arial" w:hAnsi="Arial" w:cs="Arial"/>
                <w:strike/>
                <w:sz w:val="20"/>
                <w:szCs w:val="20"/>
                <w:u w:val="single"/>
              </w:rPr>
              <w:br w:type="page"/>
            </w:r>
          </w:p>
          <w:p w14:paraId="493F7D5A" w14:textId="77777777" w:rsidR="00742104" w:rsidRPr="00A57BD3" w:rsidRDefault="00742104" w:rsidP="006A1CC0">
            <w:pPr>
              <w:pStyle w:val="Sangra2detindependiente"/>
              <w:ind w:left="0"/>
              <w:jc w:val="both"/>
              <w:rPr>
                <w:rFonts w:ascii="Arial" w:hAnsi="Aria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7229" w:type="dxa"/>
          </w:tcPr>
          <w:p w14:paraId="23B8CD8C" w14:textId="77777777" w:rsidR="00742104" w:rsidRPr="00A57BD3" w:rsidRDefault="00742104" w:rsidP="006A1CC0">
            <w:pPr>
              <w:pStyle w:val="Sangra2detindependiente"/>
              <w:ind w:left="0"/>
              <w:rPr>
                <w:rFonts w:ascii="Arial" w:hAnsi="Arial" w:cs="Arial"/>
                <w:bCs w:val="0"/>
                <w:sz w:val="20"/>
                <w:szCs w:val="20"/>
              </w:rPr>
            </w:pPr>
            <w:r w:rsidRPr="00A57BD3">
              <w:rPr>
                <w:rFonts w:ascii="Arial" w:hAnsi="Arial" w:cs="Arial"/>
                <w:bCs w:val="0"/>
                <w:sz w:val="20"/>
                <w:szCs w:val="20"/>
              </w:rPr>
              <w:t>Director (a) Financiero</w:t>
            </w:r>
          </w:p>
        </w:tc>
      </w:tr>
      <w:tr w:rsidR="00742104" w:rsidRPr="00A57BD3" w14:paraId="04561E8D" w14:textId="77777777" w:rsidTr="00262D3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dxa"/>
            <w:vAlign w:val="center"/>
          </w:tcPr>
          <w:p w14:paraId="68F16DFE"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Nombre</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11159732"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MBA. Ana Eugenia Romero Jenkis</w:t>
            </w:r>
          </w:p>
        </w:tc>
      </w:tr>
      <w:tr w:rsidR="00742104" w:rsidRPr="00A57BD3" w14:paraId="55267B43" w14:textId="77777777" w:rsidTr="00A57BD3">
        <w:trPr>
          <w:trHeight w:val="645"/>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DEC257"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Correo electrónico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AD26982"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aromeroj@poder-judicial.go.cr</w:t>
            </w:r>
          </w:p>
        </w:tc>
      </w:tr>
      <w:tr w:rsidR="00742104" w:rsidRPr="00A57BD3" w14:paraId="2C12E92E" w14:textId="77777777" w:rsidTr="00262D3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0" w:type="dxa"/>
            <w:vAlign w:val="center"/>
          </w:tcPr>
          <w:p w14:paraId="4053ADC7"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Teléfono</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653E8F78"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2295-4971</w:t>
            </w:r>
          </w:p>
        </w:tc>
      </w:tr>
      <w:tr w:rsidR="00742104" w:rsidRPr="00A57BD3" w14:paraId="67E3C686" w14:textId="77777777" w:rsidTr="00262D3C">
        <w:trPr>
          <w:trHeight w:val="424"/>
        </w:trPr>
        <w:tc>
          <w:tcPr>
            <w:cnfStyle w:val="001000000000" w:firstRow="0" w:lastRow="0" w:firstColumn="1" w:lastColumn="0" w:oddVBand="0" w:evenVBand="0" w:oddHBand="0" w:evenHBand="0" w:firstRowFirstColumn="0" w:firstRowLastColumn="0" w:lastRowFirstColumn="0" w:lastRowLastColumn="0"/>
            <w:tcW w:w="0" w:type="dxa"/>
            <w:vAlign w:val="center"/>
          </w:tcPr>
          <w:p w14:paraId="6C88437A"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Firma digital</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4291A13F" w14:textId="77777777" w:rsidR="00742104" w:rsidRPr="00A57BD3" w:rsidRDefault="00742104" w:rsidP="006A1CC0">
            <w:pPr>
              <w:pStyle w:val="Sangra2detindependiente"/>
              <w:ind w:left="0"/>
              <w:jc w:val="both"/>
              <w:rPr>
                <w:rFonts w:ascii="Arial" w:hAnsi="Arial" w:cs="Arial"/>
                <w:bCs/>
                <w:sz w:val="20"/>
                <w:szCs w:val="20"/>
              </w:rPr>
            </w:pPr>
          </w:p>
        </w:tc>
      </w:tr>
    </w:tbl>
    <w:p w14:paraId="014128DD" w14:textId="0D267493" w:rsidR="00B25945" w:rsidRDefault="00B25945" w:rsidP="00742104">
      <w:pPr>
        <w:rPr>
          <w:rStyle w:val="Ttulodellibro"/>
          <w:rFonts w:cs="Arial"/>
          <w:color w:val="002060"/>
          <w:sz w:val="28"/>
        </w:rPr>
      </w:pPr>
    </w:p>
    <w:p w14:paraId="1752E0FB" w14:textId="618DABCA" w:rsidR="00ED7ABE" w:rsidRDefault="00ED7ABE" w:rsidP="00742104">
      <w:pPr>
        <w:rPr>
          <w:rStyle w:val="Ttulodellibro"/>
          <w:rFonts w:cs="Arial"/>
          <w:color w:val="002060"/>
          <w:sz w:val="28"/>
        </w:rPr>
      </w:pPr>
    </w:p>
    <w:p w14:paraId="13043D7A" w14:textId="77777777" w:rsidR="00ED7ABE" w:rsidRDefault="00ED7ABE" w:rsidP="00742104">
      <w:pPr>
        <w:rPr>
          <w:rStyle w:val="Ttulodellibro"/>
          <w:rFonts w:cs="Arial"/>
          <w:color w:val="002060"/>
          <w:sz w:val="28"/>
        </w:rPr>
      </w:pPr>
    </w:p>
    <w:p w14:paraId="3A014585" w14:textId="2D47F296" w:rsidR="00CB11BE" w:rsidRDefault="00CB11BE" w:rsidP="00BE5AA1">
      <w:pPr>
        <w:pStyle w:val="Ttulo2"/>
        <w:keepLines/>
        <w:numPr>
          <w:ilvl w:val="0"/>
          <w:numId w:val="14"/>
        </w:numPr>
        <w:spacing w:before="360" w:line="360" w:lineRule="auto"/>
        <w:rPr>
          <w:rStyle w:val="Ttulodellibro"/>
          <w:rFonts w:eastAsiaTheme="majorEastAsia" w:cs="Arial"/>
          <w:b/>
          <w:smallCaps w:val="0"/>
          <w:color w:val="002060"/>
          <w:sz w:val="28"/>
          <w:szCs w:val="28"/>
          <w:lang w:val="es-ES"/>
        </w:rPr>
      </w:pPr>
      <w:bookmarkStart w:id="7" w:name="_Toc56690432"/>
      <w:bookmarkStart w:id="8" w:name="_Toc93420467"/>
      <w:r w:rsidRPr="005A2272">
        <w:rPr>
          <w:rStyle w:val="Ttulodellibro"/>
          <w:rFonts w:eastAsiaTheme="majorEastAsia" w:cs="Arial"/>
          <w:b/>
          <w:smallCaps w:val="0"/>
          <w:color w:val="002060"/>
          <w:sz w:val="28"/>
          <w:szCs w:val="28"/>
          <w:lang w:val="es-ES"/>
        </w:rPr>
        <w:lastRenderedPageBreak/>
        <w:t xml:space="preserve">Apartado </w:t>
      </w:r>
      <w:r w:rsidR="009D3D8D" w:rsidRPr="005A2272">
        <w:rPr>
          <w:rStyle w:val="Ttulodellibro"/>
          <w:rFonts w:eastAsiaTheme="majorEastAsia" w:cs="Arial"/>
          <w:b/>
          <w:smallCaps w:val="0"/>
          <w:color w:val="002060"/>
          <w:sz w:val="28"/>
          <w:szCs w:val="28"/>
          <w:lang w:val="es-ES"/>
        </w:rPr>
        <w:t>Financiero</w:t>
      </w:r>
      <w:r w:rsidR="00FB01C8">
        <w:rPr>
          <w:rStyle w:val="Ttulodellibro"/>
          <w:rFonts w:eastAsiaTheme="majorEastAsia" w:cs="Arial"/>
          <w:b/>
          <w:smallCaps w:val="0"/>
          <w:color w:val="002060"/>
          <w:sz w:val="28"/>
          <w:szCs w:val="28"/>
          <w:lang w:val="es-ES"/>
        </w:rPr>
        <w:t xml:space="preserve"> </w:t>
      </w:r>
      <w:r w:rsidR="00424132" w:rsidRPr="005A2272">
        <w:rPr>
          <w:rStyle w:val="Ttulodellibro"/>
          <w:rFonts w:eastAsiaTheme="majorEastAsia" w:cs="Arial"/>
          <w:b/>
          <w:smallCaps w:val="0"/>
          <w:color w:val="002060"/>
          <w:sz w:val="28"/>
          <w:szCs w:val="28"/>
          <w:lang w:val="es-ES"/>
        </w:rPr>
        <w:t xml:space="preserve">Centro </w:t>
      </w:r>
      <w:bookmarkEnd w:id="7"/>
      <w:r w:rsidR="003A1123" w:rsidRPr="005A2272">
        <w:rPr>
          <w:rStyle w:val="Ttulodellibro"/>
          <w:rFonts w:eastAsiaTheme="majorEastAsia" w:cs="Arial"/>
          <w:b/>
          <w:smallCaps w:val="0"/>
          <w:color w:val="002060"/>
          <w:sz w:val="28"/>
          <w:szCs w:val="28"/>
          <w:lang w:val="es-ES"/>
        </w:rPr>
        <w:t>G</w:t>
      </w:r>
      <w:r w:rsidR="005A2272">
        <w:rPr>
          <w:rStyle w:val="Ttulodellibro"/>
          <w:rFonts w:eastAsiaTheme="majorEastAsia" w:cs="Arial"/>
          <w:b/>
          <w:smallCaps w:val="0"/>
          <w:color w:val="002060"/>
          <w:sz w:val="28"/>
          <w:szCs w:val="28"/>
          <w:lang w:val="es-ES"/>
        </w:rPr>
        <w:t>estor</w:t>
      </w:r>
      <w:bookmarkEnd w:id="8"/>
    </w:p>
    <w:p w14:paraId="46E45C2D" w14:textId="77777777" w:rsidR="00FB01C8" w:rsidRDefault="00FB01C8" w:rsidP="00FB01C8">
      <w:pPr>
        <w:rPr>
          <w:rFonts w:eastAsiaTheme="majorEastAsia"/>
        </w:rPr>
      </w:pPr>
    </w:p>
    <w:p w14:paraId="5A6A41E9" w14:textId="77777777" w:rsidR="00FB01C8" w:rsidRDefault="00FB01C8" w:rsidP="00FB01C8">
      <w:pPr>
        <w:pStyle w:val="Ttulo2"/>
        <w:keepLines/>
        <w:numPr>
          <w:ilvl w:val="0"/>
          <w:numId w:val="0"/>
        </w:numPr>
        <w:spacing w:before="360" w:line="360" w:lineRule="auto"/>
        <w:ind w:left="720"/>
        <w:jc w:val="left"/>
        <w:rPr>
          <w:rStyle w:val="Ttulodellibro"/>
          <w:rFonts w:eastAsiaTheme="majorEastAsia" w:cs="Arial"/>
          <w:b/>
          <w:smallCaps w:val="0"/>
          <w:color w:val="002060"/>
          <w:sz w:val="28"/>
          <w:szCs w:val="28"/>
          <w:lang w:val="es-ES"/>
        </w:rPr>
      </w:pPr>
      <w:bookmarkStart w:id="9" w:name="_Toc93420468"/>
      <w:r w:rsidRPr="005A2272">
        <w:rPr>
          <w:rStyle w:val="Ttulodellibro"/>
          <w:rFonts w:eastAsiaTheme="majorEastAsia" w:cs="Arial"/>
          <w:b/>
          <w:smallCaps w:val="0"/>
          <w:color w:val="002060"/>
          <w:sz w:val="28"/>
          <w:szCs w:val="28"/>
          <w:lang w:val="es-ES"/>
        </w:rPr>
        <w:t>Apartado Financiero: Centro G</w:t>
      </w:r>
      <w:r>
        <w:rPr>
          <w:rStyle w:val="Ttulodellibro"/>
          <w:rFonts w:eastAsiaTheme="majorEastAsia" w:cs="Arial"/>
          <w:b/>
          <w:smallCaps w:val="0"/>
          <w:color w:val="002060"/>
          <w:sz w:val="28"/>
          <w:szCs w:val="28"/>
          <w:lang w:val="es-ES"/>
        </w:rPr>
        <w:t>estor</w:t>
      </w:r>
      <w:r w:rsidRPr="005A2272">
        <w:rPr>
          <w:rStyle w:val="Ttulodellibro"/>
          <w:rFonts w:eastAsiaTheme="majorEastAsia" w:cs="Arial"/>
          <w:b/>
          <w:smallCaps w:val="0"/>
          <w:color w:val="002060"/>
          <w:sz w:val="28"/>
          <w:szCs w:val="28"/>
          <w:lang w:val="es-ES"/>
        </w:rPr>
        <w:t>: 926- Dirección y Administración</w:t>
      </w:r>
      <w:bookmarkEnd w:id="9"/>
    </w:p>
    <w:p w14:paraId="4192793C" w14:textId="77777777" w:rsidR="00FB01C8" w:rsidRDefault="00FB01C8" w:rsidP="00FB01C8">
      <w:pPr>
        <w:rPr>
          <w:rFonts w:eastAsiaTheme="majorEastAsia"/>
        </w:rPr>
      </w:pPr>
    </w:p>
    <w:p w14:paraId="5DD4C632" w14:textId="01D4907E" w:rsidR="00CB11BE" w:rsidRPr="00F56A61" w:rsidRDefault="00CB11BE" w:rsidP="00BE5AA1">
      <w:pPr>
        <w:pStyle w:val="Ttulo2"/>
        <w:keepLines/>
        <w:numPr>
          <w:ilvl w:val="1"/>
          <w:numId w:val="15"/>
        </w:numPr>
        <w:spacing w:before="360" w:line="259" w:lineRule="auto"/>
        <w:jc w:val="both"/>
        <w:rPr>
          <w:rFonts w:ascii="Arial" w:hAnsi="Arial" w:cs="Arial"/>
          <w:iCs/>
          <w:smallCaps/>
          <w:color w:val="002060"/>
          <w:spacing w:val="15"/>
          <w:sz w:val="22"/>
        </w:rPr>
      </w:pPr>
      <w:bookmarkStart w:id="10" w:name="_Toc56690433"/>
      <w:bookmarkStart w:id="11" w:name="_Toc93420469"/>
      <w:r w:rsidRPr="00F56A61">
        <w:rPr>
          <w:rFonts w:ascii="Arial" w:hAnsi="Arial" w:cs="Arial"/>
          <w:iCs/>
          <w:color w:val="002060"/>
          <w:spacing w:val="15"/>
          <w:sz w:val="22"/>
        </w:rPr>
        <w:t>Ejecución del Presupuesto 202</w:t>
      </w:r>
      <w:r w:rsidR="00B65A32">
        <w:rPr>
          <w:rFonts w:ascii="Arial" w:hAnsi="Arial" w:cs="Arial"/>
          <w:iCs/>
          <w:color w:val="002060"/>
          <w:spacing w:val="15"/>
          <w:sz w:val="22"/>
        </w:rPr>
        <w:t>1</w:t>
      </w:r>
      <w:r w:rsidRPr="00F56A61">
        <w:rPr>
          <w:rFonts w:ascii="Arial" w:hAnsi="Arial" w:cs="Arial"/>
          <w:iCs/>
          <w:color w:val="002060"/>
          <w:spacing w:val="15"/>
          <w:sz w:val="22"/>
        </w:rPr>
        <w:t xml:space="preserve"> asociado a recursos internos</w:t>
      </w:r>
      <w:bookmarkEnd w:id="10"/>
      <w:bookmarkEnd w:id="11"/>
    </w:p>
    <w:p w14:paraId="57188AC7" w14:textId="77777777" w:rsidR="001A3827" w:rsidRDefault="001A3827" w:rsidP="00150A2C">
      <w:pPr>
        <w:pStyle w:val="Descripcin"/>
        <w:jc w:val="center"/>
        <w:rPr>
          <w:rFonts w:ascii="Arial" w:hAnsi="Arial" w:cs="Arial"/>
          <w:b/>
          <w:bCs/>
          <w:color w:val="auto"/>
          <w:sz w:val="20"/>
          <w:szCs w:val="20"/>
        </w:rPr>
      </w:pPr>
    </w:p>
    <w:p w14:paraId="7786EEF0" w14:textId="49799DC8" w:rsidR="00CB11BE" w:rsidRPr="00AE3D7B" w:rsidRDefault="001A3827" w:rsidP="00150A2C">
      <w:pPr>
        <w:pStyle w:val="Descripcin"/>
        <w:jc w:val="center"/>
        <w:rPr>
          <w:rFonts w:ascii="Arial" w:hAnsi="Arial" w:cs="Arial"/>
          <w:b/>
          <w:bCs/>
          <w:i w:val="0"/>
          <w:iCs w:val="0"/>
          <w:color w:val="auto"/>
          <w:sz w:val="20"/>
          <w:szCs w:val="20"/>
          <w:lang w:val="es-ES_tradnl"/>
        </w:rPr>
      </w:pPr>
      <w:bookmarkStart w:id="12" w:name="_Hlk93498542"/>
      <w:r w:rsidRPr="00AE3D7B">
        <w:rPr>
          <w:rFonts w:ascii="Arial" w:hAnsi="Arial" w:cs="Arial"/>
          <w:b/>
          <w:bCs/>
          <w:i w:val="0"/>
          <w:iCs w:val="0"/>
          <w:color w:val="auto"/>
          <w:sz w:val="20"/>
          <w:szCs w:val="20"/>
        </w:rPr>
        <w:t>C</w:t>
      </w:r>
      <w:r w:rsidR="00150A2C" w:rsidRPr="00AE3D7B">
        <w:rPr>
          <w:rFonts w:ascii="Arial" w:hAnsi="Arial" w:cs="Arial"/>
          <w:b/>
          <w:bCs/>
          <w:i w:val="0"/>
          <w:iCs w:val="0"/>
          <w:color w:val="auto"/>
          <w:sz w:val="20"/>
          <w:szCs w:val="20"/>
        </w:rPr>
        <w:t xml:space="preserve">uadro  </w:t>
      </w:r>
      <w:r w:rsidR="00150A2C" w:rsidRPr="00AE3D7B">
        <w:rPr>
          <w:rFonts w:ascii="Arial" w:hAnsi="Arial" w:cs="Arial"/>
          <w:b/>
          <w:bCs/>
          <w:i w:val="0"/>
          <w:iCs w:val="0"/>
          <w:color w:val="auto"/>
          <w:sz w:val="20"/>
          <w:szCs w:val="20"/>
        </w:rPr>
        <w:fldChar w:fldCharType="begin"/>
      </w:r>
      <w:r w:rsidR="00150A2C" w:rsidRPr="00AE3D7B">
        <w:rPr>
          <w:rFonts w:ascii="Arial" w:hAnsi="Arial" w:cs="Arial"/>
          <w:b/>
          <w:bCs/>
          <w:i w:val="0"/>
          <w:iCs w:val="0"/>
          <w:color w:val="auto"/>
          <w:sz w:val="20"/>
          <w:szCs w:val="20"/>
        </w:rPr>
        <w:instrText xml:space="preserve"> SEQ cuadro_ \* ARABIC </w:instrText>
      </w:r>
      <w:r w:rsidR="00150A2C" w:rsidRPr="00AE3D7B">
        <w:rPr>
          <w:rFonts w:ascii="Arial" w:hAnsi="Arial" w:cs="Arial"/>
          <w:b/>
          <w:bCs/>
          <w:i w:val="0"/>
          <w:iCs w:val="0"/>
          <w:color w:val="auto"/>
          <w:sz w:val="20"/>
          <w:szCs w:val="20"/>
        </w:rPr>
        <w:fldChar w:fldCharType="separate"/>
      </w:r>
      <w:r w:rsidR="00150A2C" w:rsidRPr="00AE3D7B">
        <w:rPr>
          <w:rFonts w:ascii="Arial" w:hAnsi="Arial" w:cs="Arial"/>
          <w:b/>
          <w:bCs/>
          <w:i w:val="0"/>
          <w:iCs w:val="0"/>
          <w:noProof/>
          <w:color w:val="auto"/>
          <w:sz w:val="20"/>
          <w:szCs w:val="20"/>
        </w:rPr>
        <w:t>6</w:t>
      </w:r>
      <w:r w:rsidR="00150A2C" w:rsidRPr="00AE3D7B">
        <w:rPr>
          <w:rFonts w:ascii="Arial" w:hAnsi="Arial" w:cs="Arial"/>
          <w:b/>
          <w:bCs/>
          <w:i w:val="0"/>
          <w:iCs w:val="0"/>
          <w:color w:val="auto"/>
          <w:sz w:val="20"/>
          <w:szCs w:val="20"/>
        </w:rPr>
        <w:fldChar w:fldCharType="end"/>
      </w:r>
    </w:p>
    <w:bookmarkEnd w:id="12"/>
    <w:p w14:paraId="4A83D813" w14:textId="77777777" w:rsidR="00CB11B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7BF8E12" w14:textId="1CA13D85" w:rsidR="00B37344" w:rsidRPr="0011789E" w:rsidRDefault="00B37344" w:rsidP="00B37344">
      <w:pPr>
        <w:jc w:val="center"/>
        <w:rPr>
          <w:rFonts w:ascii="Arial" w:hAnsi="Arial" w:cs="Arial"/>
          <w:sz w:val="20"/>
          <w:szCs w:val="20"/>
          <w:lang w:val="es-ES_tradnl"/>
        </w:rPr>
      </w:pPr>
      <w:r w:rsidRPr="003B0583">
        <w:rPr>
          <w:rFonts w:ascii="Arial" w:hAnsi="Arial" w:cs="Arial"/>
          <w:sz w:val="20"/>
          <w:szCs w:val="20"/>
          <w:lang w:val="es-MX"/>
        </w:rPr>
        <w:t>926 Dirección y Administración</w:t>
      </w:r>
      <w:r w:rsidRPr="0011789E">
        <w:rPr>
          <w:rFonts w:ascii="Arial" w:hAnsi="Arial" w:cs="Arial"/>
          <w:sz w:val="20"/>
          <w:szCs w:val="20"/>
          <w:lang w:val="es-ES_tradnl"/>
        </w:rPr>
        <w:t xml:space="preserve"> </w:t>
      </w:r>
    </w:p>
    <w:p w14:paraId="3F051F94" w14:textId="591716AE"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Al 31 de diciembre 202</w:t>
      </w:r>
      <w:r w:rsidR="00B37344">
        <w:rPr>
          <w:rFonts w:ascii="Arial" w:hAnsi="Arial" w:cs="Arial"/>
          <w:sz w:val="20"/>
          <w:szCs w:val="20"/>
          <w:lang w:val="es-ES_tradnl"/>
        </w:rPr>
        <w:t>1</w:t>
      </w:r>
    </w:p>
    <w:p w14:paraId="42993FF7" w14:textId="77777777" w:rsidR="00CB11BE" w:rsidRPr="0011789E" w:rsidRDefault="00CB11BE" w:rsidP="00CB11BE">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p w14:paraId="1B3058A6" w14:textId="77777777" w:rsidR="00BC0B19" w:rsidRDefault="00BC0B19" w:rsidP="00CB11BE">
      <w:pPr>
        <w:jc w:val="both"/>
        <w:rPr>
          <w:rFonts w:ascii="Arial" w:hAnsi="Arial" w:cs="Arial"/>
          <w:b/>
          <w:bCs/>
          <w:color w:val="000000"/>
          <w:sz w:val="18"/>
          <w:szCs w:val="20"/>
          <w:lang w:val="es-CR" w:eastAsia="es-CR"/>
        </w:rPr>
      </w:pPr>
    </w:p>
    <w:tbl>
      <w:tblPr>
        <w:tblStyle w:val="Listaclara-nfasis15"/>
        <w:tblW w:w="5000" w:type="pct"/>
        <w:tblLook w:val="00A0" w:firstRow="1" w:lastRow="0" w:firstColumn="1" w:lastColumn="0" w:noHBand="0" w:noVBand="0"/>
      </w:tblPr>
      <w:tblGrid>
        <w:gridCol w:w="3316"/>
        <w:gridCol w:w="1941"/>
        <w:gridCol w:w="1941"/>
        <w:gridCol w:w="1286"/>
      </w:tblGrid>
      <w:tr w:rsidR="00D526E5" w:rsidRPr="00D526E5" w14:paraId="0B63DEE3" w14:textId="77777777" w:rsidTr="00465D5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954" w:type="pct"/>
            <w:vAlign w:val="center"/>
            <w:hideMark/>
          </w:tcPr>
          <w:p w14:paraId="2A2BB667" w14:textId="77777777" w:rsidR="00D526E5" w:rsidRPr="00D526E5" w:rsidRDefault="00D526E5" w:rsidP="00D526E5">
            <w:pPr>
              <w:spacing w:line="360" w:lineRule="auto"/>
              <w:jc w:val="center"/>
              <w:rPr>
                <w:rFonts w:ascii="Arial" w:hAnsi="Arial" w:cs="Arial"/>
                <w:b w:val="0"/>
                <w:color w:val="FFFFFF"/>
                <w:sz w:val="20"/>
                <w:szCs w:val="20"/>
                <w:lang w:val="es-CR" w:eastAsia="es-CR"/>
              </w:rPr>
            </w:pPr>
            <w:r w:rsidRPr="00D526E5">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144" w:type="pct"/>
            <w:vAlign w:val="center"/>
            <w:hideMark/>
          </w:tcPr>
          <w:p w14:paraId="6A01508E" w14:textId="77777777" w:rsidR="00D526E5" w:rsidRPr="00D526E5" w:rsidRDefault="00D526E5" w:rsidP="00D526E5">
            <w:pPr>
              <w:spacing w:line="360" w:lineRule="auto"/>
              <w:jc w:val="center"/>
              <w:rPr>
                <w:rFonts w:ascii="Arial" w:hAnsi="Arial" w:cs="Arial"/>
                <w:b w:val="0"/>
                <w:color w:val="FFFFFF"/>
                <w:sz w:val="20"/>
                <w:szCs w:val="20"/>
                <w:lang w:val="es-CR" w:eastAsia="es-CR"/>
              </w:rPr>
            </w:pPr>
            <w:r w:rsidRPr="00D526E5">
              <w:rPr>
                <w:rFonts w:ascii="Arial" w:hAnsi="Arial" w:cs="Arial"/>
                <w:color w:val="FFFFFF"/>
                <w:sz w:val="20"/>
                <w:szCs w:val="20"/>
                <w:lang w:val="es-CR" w:eastAsia="es-CR"/>
              </w:rPr>
              <w:t>Presupuesto actual</w:t>
            </w:r>
            <w:r w:rsidRPr="00D526E5">
              <w:rPr>
                <w:rFonts w:ascii="Arial" w:hAnsi="Arial" w:cs="Arial"/>
                <w:color w:val="FFFFFF"/>
                <w:sz w:val="20"/>
                <w:szCs w:val="20"/>
                <w:vertAlign w:val="superscript"/>
                <w:lang w:val="es-CR" w:eastAsia="es-CR"/>
              </w:rPr>
              <w:t>/1</w:t>
            </w:r>
            <w:r w:rsidRPr="00D526E5">
              <w:rPr>
                <w:rFonts w:ascii="Arial" w:hAnsi="Arial" w:cs="Arial"/>
                <w:color w:val="FFFFFF"/>
                <w:sz w:val="20"/>
                <w:szCs w:val="20"/>
                <w:lang w:val="es-CR" w:eastAsia="es-CR"/>
              </w:rPr>
              <w:t xml:space="preserve"> 2021</w:t>
            </w:r>
          </w:p>
        </w:tc>
        <w:tc>
          <w:tcPr>
            <w:tcW w:w="1144" w:type="pct"/>
            <w:vAlign w:val="center"/>
            <w:hideMark/>
          </w:tcPr>
          <w:p w14:paraId="4F7C3ED6" w14:textId="77777777" w:rsidR="00D526E5" w:rsidRPr="00D526E5" w:rsidRDefault="00D526E5" w:rsidP="00D526E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D526E5">
              <w:rPr>
                <w:rFonts w:ascii="Arial" w:hAnsi="Arial" w:cs="Arial"/>
                <w:color w:val="FFFFFF"/>
                <w:sz w:val="20"/>
                <w:szCs w:val="20"/>
                <w:lang w:val="es-CR" w:eastAsia="es-CR"/>
              </w:rPr>
              <w:t>Presupuesto ejecutado</w:t>
            </w:r>
            <w:r w:rsidRPr="00D526E5">
              <w:rPr>
                <w:rFonts w:ascii="Arial" w:hAnsi="Arial" w:cs="Arial"/>
                <w:color w:val="FFFFFF"/>
                <w:sz w:val="20"/>
                <w:szCs w:val="20"/>
                <w:vertAlign w:val="superscript"/>
                <w:lang w:val="es-CR" w:eastAsia="es-CR"/>
              </w:rPr>
              <w:t>/2</w:t>
            </w:r>
            <w:r w:rsidRPr="00D526E5">
              <w:rPr>
                <w:rFonts w:ascii="Arial" w:hAnsi="Arial" w:cs="Arial"/>
                <w:color w:val="FFFFFF"/>
                <w:sz w:val="20"/>
                <w:szCs w:val="20"/>
                <w:lang w:val="es-CR" w:eastAsia="es-CR"/>
              </w:rPr>
              <w:t xml:space="preserve"> 2021</w:t>
            </w:r>
          </w:p>
        </w:tc>
        <w:tc>
          <w:tcPr>
            <w:cnfStyle w:val="000010000000" w:firstRow="0" w:lastRow="0" w:firstColumn="0" w:lastColumn="0" w:oddVBand="1" w:evenVBand="0" w:oddHBand="0" w:evenHBand="0" w:firstRowFirstColumn="0" w:firstRowLastColumn="0" w:lastRowFirstColumn="0" w:lastRowLastColumn="0"/>
            <w:tcW w:w="758" w:type="pct"/>
            <w:vAlign w:val="center"/>
            <w:hideMark/>
          </w:tcPr>
          <w:p w14:paraId="6C837D1E" w14:textId="77777777" w:rsidR="00D526E5" w:rsidRPr="00D526E5" w:rsidRDefault="00D526E5" w:rsidP="00D526E5">
            <w:pPr>
              <w:spacing w:line="360" w:lineRule="auto"/>
              <w:jc w:val="center"/>
              <w:rPr>
                <w:rFonts w:ascii="Arial" w:hAnsi="Arial" w:cs="Arial"/>
                <w:b w:val="0"/>
                <w:color w:val="FFFFFF"/>
                <w:sz w:val="20"/>
                <w:szCs w:val="20"/>
                <w:lang w:val="es-CR" w:eastAsia="es-CR"/>
              </w:rPr>
            </w:pPr>
            <w:r w:rsidRPr="00D526E5">
              <w:rPr>
                <w:rFonts w:ascii="Arial" w:hAnsi="Arial" w:cs="Arial"/>
                <w:color w:val="FFFFFF"/>
                <w:sz w:val="20"/>
                <w:szCs w:val="20"/>
                <w:lang w:val="es-CR" w:eastAsia="es-CR"/>
              </w:rPr>
              <w:t>Nivel de ejecución</w:t>
            </w:r>
          </w:p>
        </w:tc>
      </w:tr>
      <w:tr w:rsidR="00D526E5" w:rsidRPr="00D526E5" w14:paraId="59D6C795" w14:textId="77777777" w:rsidTr="00465D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16A6F07" w14:textId="77777777" w:rsidR="00D526E5" w:rsidRPr="00D526E5" w:rsidRDefault="00D526E5" w:rsidP="00D526E5">
            <w:pPr>
              <w:spacing w:line="360" w:lineRule="auto"/>
              <w:rPr>
                <w:rFonts w:ascii="Arial" w:hAnsi="Arial" w:cs="Arial"/>
                <w:sz w:val="20"/>
                <w:szCs w:val="20"/>
                <w:lang w:val="es-CR" w:eastAsia="es-CR"/>
              </w:rPr>
            </w:pPr>
            <w:r w:rsidRPr="00D526E5">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3B321ABD" w14:textId="77777777" w:rsidR="00D526E5" w:rsidRPr="00D526E5" w:rsidRDefault="00D526E5" w:rsidP="00D526E5">
            <w:pPr>
              <w:spacing w:line="360" w:lineRule="auto"/>
              <w:jc w:val="right"/>
              <w:rPr>
                <w:rFonts w:ascii="Arial" w:hAnsi="Arial" w:cs="Arial"/>
                <w:b/>
                <w:bCs/>
                <w:sz w:val="20"/>
                <w:szCs w:val="20"/>
                <w:lang w:val="es-CR" w:eastAsia="es-CR"/>
              </w:rPr>
            </w:pPr>
            <w:r w:rsidRPr="00D526E5">
              <w:rPr>
                <w:rFonts w:ascii="Arial" w:hAnsi="Arial" w:cs="Arial"/>
                <w:b/>
                <w:bCs/>
                <w:sz w:val="20"/>
                <w:szCs w:val="20"/>
                <w:lang w:val="es-CR"/>
              </w:rPr>
              <w:t xml:space="preserve">96.166,66 </w:t>
            </w:r>
          </w:p>
        </w:tc>
        <w:tc>
          <w:tcPr>
            <w:tcW w:w="1144" w:type="pct"/>
            <w:noWrap/>
            <w:vAlign w:val="center"/>
          </w:tcPr>
          <w:p w14:paraId="0C388B2C"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D526E5">
              <w:rPr>
                <w:rFonts w:ascii="Arial" w:hAnsi="Arial" w:cs="Arial"/>
                <w:b/>
                <w:bCs/>
                <w:sz w:val="20"/>
                <w:szCs w:val="20"/>
                <w:lang w:val="es-CR"/>
              </w:rPr>
              <w:t xml:space="preserve">90.633,72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03FC789" w14:textId="77777777" w:rsidR="00D526E5" w:rsidRPr="00D526E5" w:rsidRDefault="00D526E5" w:rsidP="00D526E5">
            <w:pPr>
              <w:spacing w:line="360" w:lineRule="auto"/>
              <w:jc w:val="right"/>
              <w:rPr>
                <w:rFonts w:ascii="Arial" w:hAnsi="Arial" w:cs="Arial"/>
                <w:b/>
                <w:bCs/>
                <w:sz w:val="20"/>
                <w:szCs w:val="20"/>
                <w:lang w:val="es-CR" w:eastAsia="es-CR"/>
              </w:rPr>
            </w:pPr>
            <w:r w:rsidRPr="00D526E5">
              <w:rPr>
                <w:rFonts w:ascii="Arial" w:hAnsi="Arial" w:cs="Arial"/>
                <w:b/>
                <w:bCs/>
                <w:sz w:val="20"/>
                <w:szCs w:val="20"/>
                <w:lang w:val="es-CR"/>
              </w:rPr>
              <w:t>94,25%</w:t>
            </w:r>
          </w:p>
        </w:tc>
      </w:tr>
      <w:tr w:rsidR="00D526E5" w:rsidRPr="00D526E5" w14:paraId="74533F1C" w14:textId="77777777" w:rsidTr="00465D52">
        <w:trPr>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FB37FDD" w14:textId="77777777" w:rsidR="00D526E5" w:rsidRPr="00D526E5" w:rsidRDefault="00D526E5" w:rsidP="00D526E5">
            <w:pPr>
              <w:spacing w:line="360" w:lineRule="auto"/>
              <w:rPr>
                <w:rFonts w:ascii="Arial" w:hAnsi="Arial" w:cs="Arial"/>
                <w:b w:val="0"/>
                <w:sz w:val="20"/>
                <w:szCs w:val="20"/>
                <w:lang w:val="es-CR" w:eastAsia="es-CR"/>
              </w:rPr>
            </w:pPr>
            <w:r w:rsidRPr="00D526E5">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443D07DE"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w:t>
            </w:r>
          </w:p>
        </w:tc>
        <w:tc>
          <w:tcPr>
            <w:tcW w:w="1144" w:type="pct"/>
            <w:noWrap/>
            <w:vAlign w:val="center"/>
          </w:tcPr>
          <w:p w14:paraId="7463AD88" w14:textId="77777777" w:rsidR="00D526E5" w:rsidRPr="00D526E5" w:rsidRDefault="00D526E5" w:rsidP="00D526E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2F052B1A"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w:t>
            </w:r>
          </w:p>
        </w:tc>
      </w:tr>
      <w:tr w:rsidR="00D526E5" w:rsidRPr="00D526E5" w14:paraId="46D1C1EA"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8A91DFE" w14:textId="77777777" w:rsidR="00D526E5" w:rsidRPr="00D526E5" w:rsidRDefault="00D526E5" w:rsidP="00D526E5">
            <w:pPr>
              <w:spacing w:line="360" w:lineRule="auto"/>
              <w:rPr>
                <w:rFonts w:ascii="Arial" w:hAnsi="Arial" w:cs="Arial"/>
                <w:sz w:val="20"/>
                <w:szCs w:val="20"/>
                <w:lang w:val="es-CR" w:eastAsia="es-CR"/>
              </w:rPr>
            </w:pPr>
            <w:r w:rsidRPr="00D526E5">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4AF066D3" w14:textId="77777777" w:rsidR="00D526E5" w:rsidRPr="00D526E5" w:rsidRDefault="00D526E5" w:rsidP="00D526E5">
            <w:pPr>
              <w:spacing w:line="360" w:lineRule="auto"/>
              <w:jc w:val="right"/>
              <w:rPr>
                <w:rFonts w:ascii="Arial" w:hAnsi="Arial" w:cs="Arial"/>
                <w:b/>
                <w:bCs/>
                <w:sz w:val="20"/>
                <w:szCs w:val="20"/>
                <w:lang w:val="es-CR" w:eastAsia="es-CR"/>
              </w:rPr>
            </w:pPr>
            <w:r w:rsidRPr="00D526E5">
              <w:rPr>
                <w:rFonts w:ascii="Arial" w:hAnsi="Arial" w:cs="Arial"/>
                <w:b/>
                <w:bCs/>
                <w:sz w:val="20"/>
                <w:szCs w:val="20"/>
                <w:lang w:val="es-CR"/>
              </w:rPr>
              <w:t xml:space="preserve">       96.166,66 </w:t>
            </w:r>
          </w:p>
        </w:tc>
        <w:tc>
          <w:tcPr>
            <w:tcW w:w="1144" w:type="pct"/>
            <w:noWrap/>
            <w:vAlign w:val="center"/>
          </w:tcPr>
          <w:p w14:paraId="03A5866C"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D526E5">
              <w:rPr>
                <w:rFonts w:ascii="Arial" w:hAnsi="Arial" w:cs="Arial"/>
                <w:b/>
                <w:bCs/>
                <w:sz w:val="20"/>
                <w:szCs w:val="20"/>
                <w:lang w:val="es-CR"/>
              </w:rPr>
              <w:t xml:space="preserve">90.633,72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0228194" w14:textId="77777777" w:rsidR="00D526E5" w:rsidRPr="00D526E5" w:rsidRDefault="00D526E5" w:rsidP="00D526E5">
            <w:pPr>
              <w:spacing w:line="360" w:lineRule="auto"/>
              <w:jc w:val="right"/>
              <w:rPr>
                <w:rFonts w:ascii="Arial" w:hAnsi="Arial" w:cs="Arial"/>
                <w:b/>
                <w:bCs/>
                <w:sz w:val="20"/>
                <w:szCs w:val="20"/>
                <w:lang w:val="es-CR" w:eastAsia="es-CR"/>
              </w:rPr>
            </w:pPr>
            <w:r w:rsidRPr="00D526E5">
              <w:rPr>
                <w:rFonts w:ascii="Arial" w:hAnsi="Arial" w:cs="Arial"/>
                <w:b/>
                <w:bCs/>
                <w:sz w:val="20"/>
                <w:szCs w:val="20"/>
                <w:lang w:val="es-CR"/>
              </w:rPr>
              <w:t>94,25%</w:t>
            </w:r>
          </w:p>
        </w:tc>
      </w:tr>
      <w:tr w:rsidR="00D526E5" w:rsidRPr="00D526E5" w14:paraId="32BE65AF"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808FBDB"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0BB30496"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61.444,66 </w:t>
            </w:r>
          </w:p>
        </w:tc>
        <w:tc>
          <w:tcPr>
            <w:tcW w:w="1144" w:type="pct"/>
            <w:noWrap/>
            <w:hideMark/>
          </w:tcPr>
          <w:p w14:paraId="6DC3A410" w14:textId="77777777" w:rsidR="00D526E5" w:rsidRPr="00D526E5" w:rsidRDefault="00D526E5" w:rsidP="00D526E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60.737,06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579F526"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98,85%</w:t>
            </w:r>
          </w:p>
        </w:tc>
      </w:tr>
      <w:tr w:rsidR="00D526E5" w:rsidRPr="00D526E5" w14:paraId="347B6E69"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4D4FAADD"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045AB449"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15.363,13 </w:t>
            </w:r>
          </w:p>
        </w:tc>
        <w:tc>
          <w:tcPr>
            <w:tcW w:w="1144" w:type="pct"/>
            <w:noWrap/>
            <w:hideMark/>
          </w:tcPr>
          <w:p w14:paraId="26C2F963"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            13.642,67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20E60C88"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88,80%</w:t>
            </w:r>
          </w:p>
        </w:tc>
      </w:tr>
      <w:tr w:rsidR="00D526E5" w:rsidRPr="00D526E5" w14:paraId="60F6CE5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E47840A"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18A161EE"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1.762,51 </w:t>
            </w:r>
          </w:p>
        </w:tc>
        <w:tc>
          <w:tcPr>
            <w:tcW w:w="1144" w:type="pct"/>
            <w:noWrap/>
            <w:hideMark/>
          </w:tcPr>
          <w:p w14:paraId="0236A954" w14:textId="77777777" w:rsidR="00D526E5" w:rsidRPr="00D526E5" w:rsidRDefault="00D526E5" w:rsidP="00D526E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1.417,77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60AA208"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80,44%</w:t>
            </w:r>
          </w:p>
        </w:tc>
      </w:tr>
      <w:tr w:rsidR="00D526E5" w:rsidRPr="00D526E5" w14:paraId="135B0566"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7560036"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3952FFC5"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 </w:t>
            </w:r>
          </w:p>
        </w:tc>
        <w:tc>
          <w:tcPr>
            <w:tcW w:w="1144" w:type="pct"/>
            <w:noWrap/>
            <w:hideMark/>
          </w:tcPr>
          <w:p w14:paraId="402AEEA0"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A114398"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w:t>
            </w:r>
          </w:p>
        </w:tc>
      </w:tr>
      <w:tr w:rsidR="00D526E5" w:rsidRPr="00D526E5" w14:paraId="570B243D"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5EAD21A"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3C8B0431"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   </w:t>
            </w:r>
          </w:p>
        </w:tc>
        <w:tc>
          <w:tcPr>
            <w:tcW w:w="1144" w:type="pct"/>
            <w:noWrap/>
            <w:hideMark/>
          </w:tcPr>
          <w:p w14:paraId="3C2C8FFC" w14:textId="77777777" w:rsidR="00D526E5" w:rsidRPr="00D526E5" w:rsidRDefault="00D526E5" w:rsidP="00D526E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149C9BA1"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w:t>
            </w:r>
          </w:p>
        </w:tc>
      </w:tr>
      <w:tr w:rsidR="00D526E5" w:rsidRPr="00D526E5" w14:paraId="6A052914"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17A0D34"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225963F3"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11.742,02 </w:t>
            </w:r>
          </w:p>
        </w:tc>
        <w:tc>
          <w:tcPr>
            <w:tcW w:w="1144" w:type="pct"/>
            <w:noWrap/>
            <w:hideMark/>
          </w:tcPr>
          <w:p w14:paraId="5A5C35DF"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               9.075,20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1E8B88A0"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77,29%</w:t>
            </w:r>
          </w:p>
        </w:tc>
      </w:tr>
      <w:tr w:rsidR="00D526E5" w:rsidRPr="00D526E5" w14:paraId="10760041"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305E4FE"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742EC05C"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1.580,52 </w:t>
            </w:r>
          </w:p>
        </w:tc>
        <w:tc>
          <w:tcPr>
            <w:tcW w:w="1144" w:type="pct"/>
            <w:noWrap/>
            <w:hideMark/>
          </w:tcPr>
          <w:p w14:paraId="40966C54" w14:textId="77777777" w:rsidR="00D526E5" w:rsidRPr="00D526E5" w:rsidRDefault="00D526E5" w:rsidP="00D526E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1.487,21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65C6A35C"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94,10%</w:t>
            </w:r>
          </w:p>
        </w:tc>
      </w:tr>
      <w:tr w:rsidR="00D526E5" w:rsidRPr="00D526E5" w14:paraId="65D0BA98"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9F46C72"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50F1190B"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4.273,82 </w:t>
            </w:r>
          </w:p>
        </w:tc>
        <w:tc>
          <w:tcPr>
            <w:tcW w:w="1144" w:type="pct"/>
            <w:noWrap/>
            <w:hideMark/>
          </w:tcPr>
          <w:p w14:paraId="4C5AADB6"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4.273,82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DC6FC7A"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100,00%</w:t>
            </w:r>
          </w:p>
        </w:tc>
      </w:tr>
      <w:tr w:rsidR="00D526E5" w:rsidRPr="00D526E5" w14:paraId="1AA0AF8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393571A"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lastRenderedPageBreak/>
              <w:t>Amortización</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168139EB"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 </w:t>
            </w:r>
          </w:p>
        </w:tc>
        <w:tc>
          <w:tcPr>
            <w:tcW w:w="1144" w:type="pct"/>
            <w:noWrap/>
            <w:hideMark/>
          </w:tcPr>
          <w:p w14:paraId="7697AC0F" w14:textId="77777777" w:rsidR="00D526E5" w:rsidRPr="00D526E5" w:rsidRDefault="00D526E5" w:rsidP="00D526E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33B0A46D"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w:t>
            </w:r>
          </w:p>
        </w:tc>
      </w:tr>
      <w:tr w:rsidR="00D526E5" w:rsidRPr="00D526E5" w14:paraId="1F959E95"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179D3C3" w14:textId="77777777" w:rsidR="00D526E5" w:rsidRPr="00D526E5" w:rsidRDefault="00D526E5" w:rsidP="00D526E5">
            <w:pPr>
              <w:spacing w:line="360" w:lineRule="auto"/>
              <w:rPr>
                <w:rFonts w:ascii="Arial" w:hAnsi="Arial" w:cs="Arial"/>
                <w:b w:val="0"/>
                <w:color w:val="000000"/>
                <w:sz w:val="20"/>
                <w:szCs w:val="20"/>
                <w:lang w:val="es-CR" w:eastAsia="es-CR"/>
              </w:rPr>
            </w:pPr>
            <w:r w:rsidRPr="00D526E5">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59BDA8E5"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 xml:space="preserve">                 -   </w:t>
            </w:r>
          </w:p>
        </w:tc>
        <w:tc>
          <w:tcPr>
            <w:tcW w:w="1144" w:type="pct"/>
            <w:noWrap/>
            <w:vAlign w:val="center"/>
            <w:hideMark/>
          </w:tcPr>
          <w:p w14:paraId="5C0536DA" w14:textId="77777777" w:rsidR="00D526E5" w:rsidRPr="00D526E5" w:rsidRDefault="00D526E5" w:rsidP="00D526E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D526E5">
              <w:rPr>
                <w:rFonts w:ascii="Arial" w:hAnsi="Arial" w:cs="Arial"/>
                <w:sz w:val="20"/>
                <w:szCs w:val="20"/>
                <w:lang w:val="es-CR"/>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F1624FB" w14:textId="77777777" w:rsidR="00D526E5" w:rsidRPr="00D526E5" w:rsidRDefault="00D526E5" w:rsidP="00D526E5">
            <w:pPr>
              <w:spacing w:line="360" w:lineRule="auto"/>
              <w:jc w:val="right"/>
              <w:rPr>
                <w:rFonts w:ascii="Arial" w:hAnsi="Arial" w:cs="Arial"/>
                <w:sz w:val="20"/>
                <w:szCs w:val="20"/>
                <w:lang w:val="es-CR" w:eastAsia="es-CR"/>
              </w:rPr>
            </w:pPr>
            <w:r w:rsidRPr="00D526E5">
              <w:rPr>
                <w:rFonts w:ascii="Arial" w:hAnsi="Arial" w:cs="Arial"/>
                <w:sz w:val="20"/>
                <w:szCs w:val="20"/>
                <w:lang w:val="es-CR"/>
              </w:rPr>
              <w:t>-</w:t>
            </w:r>
          </w:p>
        </w:tc>
      </w:tr>
    </w:tbl>
    <w:p w14:paraId="49F17519" w14:textId="77777777" w:rsidR="00D526E5" w:rsidRPr="00D526E5" w:rsidRDefault="00D526E5" w:rsidP="00D526E5">
      <w:pPr>
        <w:spacing w:line="360" w:lineRule="auto"/>
        <w:jc w:val="both"/>
        <w:rPr>
          <w:rFonts w:ascii="Arial" w:hAnsi="Arial" w:cs="Arial"/>
          <w:b/>
          <w:bCs/>
          <w:color w:val="000000"/>
          <w:sz w:val="16"/>
          <w:szCs w:val="16"/>
          <w:lang w:val="es-CR" w:eastAsia="es-CR"/>
        </w:rPr>
      </w:pPr>
      <w:r w:rsidRPr="00D526E5">
        <w:rPr>
          <w:rFonts w:ascii="Arial" w:hAnsi="Arial" w:cs="Arial"/>
          <w:b/>
          <w:bCs/>
          <w:color w:val="000000"/>
          <w:sz w:val="16"/>
          <w:szCs w:val="16"/>
          <w:lang w:val="es-CR" w:eastAsia="es-CR"/>
        </w:rPr>
        <w:t>Fuente</w:t>
      </w:r>
      <w:r w:rsidRPr="00D526E5">
        <w:rPr>
          <w:rFonts w:ascii="Arial" w:hAnsi="Arial" w:cs="Arial"/>
          <w:color w:val="000000"/>
          <w:sz w:val="16"/>
          <w:szCs w:val="16"/>
          <w:lang w:val="es-CR" w:eastAsia="es-CR"/>
        </w:rPr>
        <w:t>: Liquidación Sistema Módulo de Poderes al 31 de diciembre 2021.</w:t>
      </w:r>
    </w:p>
    <w:p w14:paraId="4F26180C" w14:textId="77777777" w:rsidR="00D526E5" w:rsidRPr="00D526E5" w:rsidRDefault="00D526E5" w:rsidP="00D526E5">
      <w:pPr>
        <w:spacing w:line="360" w:lineRule="auto"/>
        <w:jc w:val="both"/>
        <w:rPr>
          <w:rFonts w:ascii="Arial" w:hAnsi="Arial" w:cs="Arial"/>
          <w:b/>
          <w:bCs/>
          <w:color w:val="000000"/>
          <w:sz w:val="16"/>
          <w:szCs w:val="16"/>
          <w:lang w:val="es-CR" w:eastAsia="es-CR"/>
        </w:rPr>
      </w:pPr>
      <w:r w:rsidRPr="00D526E5">
        <w:rPr>
          <w:rFonts w:ascii="Arial" w:hAnsi="Arial" w:cs="Arial"/>
          <w:color w:val="000000"/>
          <w:sz w:val="16"/>
          <w:szCs w:val="16"/>
          <w:lang w:val="es-CR" w:eastAsia="es-CR"/>
        </w:rPr>
        <w:t>/1 Corresponde al presupuesto inicial incluyendo las modificaciones presupuestarias realizadas durante el 2021.</w:t>
      </w:r>
    </w:p>
    <w:p w14:paraId="037567A5" w14:textId="77777777" w:rsidR="00D526E5" w:rsidRPr="00D526E5" w:rsidRDefault="00D526E5" w:rsidP="00D526E5">
      <w:pPr>
        <w:spacing w:line="360" w:lineRule="auto"/>
        <w:ind w:right="335"/>
        <w:jc w:val="both"/>
        <w:rPr>
          <w:rFonts w:ascii="Arial" w:hAnsi="Arial" w:cs="Arial"/>
          <w:color w:val="000000"/>
          <w:sz w:val="16"/>
          <w:szCs w:val="16"/>
          <w:lang w:val="es-CR" w:eastAsia="es-CR"/>
        </w:rPr>
      </w:pPr>
      <w:r w:rsidRPr="00D526E5">
        <w:rPr>
          <w:rFonts w:ascii="Arial" w:hAnsi="Arial" w:cs="Arial"/>
          <w:color w:val="000000"/>
          <w:sz w:val="16"/>
          <w:szCs w:val="16"/>
          <w:lang w:val="es-CR" w:eastAsia="es-CR"/>
        </w:rPr>
        <w:t xml:space="preserve">/2 Se refiere al devengado, que es el reconocimiento del gasto por la recepción de bienes y servicios independientemente de cuando se efectúe el pago de la obligación. </w:t>
      </w:r>
    </w:p>
    <w:p w14:paraId="0F0EC956" w14:textId="77777777" w:rsidR="00FE190D" w:rsidRDefault="00FE190D" w:rsidP="00D526E5">
      <w:pPr>
        <w:spacing w:after="160" w:line="360" w:lineRule="auto"/>
        <w:jc w:val="both"/>
        <w:rPr>
          <w:rFonts w:ascii="Arial" w:eastAsiaTheme="minorEastAsia" w:hAnsi="Arial" w:cs="Arial"/>
          <w:bCs/>
          <w:sz w:val="16"/>
          <w:szCs w:val="16"/>
          <w:lang w:val="es-CR"/>
        </w:rPr>
      </w:pPr>
    </w:p>
    <w:p w14:paraId="4A15CBE7" w14:textId="3929AE41" w:rsidR="00D526E5" w:rsidRPr="00D526E5" w:rsidRDefault="00D526E5" w:rsidP="00D526E5">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En el programa 926 Dirección y Administración se obtuvo un porcentaje de ejecución general del 94,25% siendo óptimo a nivel de programa.</w:t>
      </w:r>
    </w:p>
    <w:p w14:paraId="1716BBD5" w14:textId="587BFD5A" w:rsidR="00D526E5" w:rsidRPr="00D526E5" w:rsidRDefault="00D526E5" w:rsidP="00D526E5">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En la partida de remuneraciones se ejecutan además de los salarios, las cargas y los aportes patronales. Su ejecución varía de acuerdo con los movimientos de personal que se realice y presenta una alta ejecución de los recursos del 98,85%, producto de un adecuado aprovechamiento de los recursos asignados.</w:t>
      </w:r>
    </w:p>
    <w:p w14:paraId="5E308C6E" w14:textId="77777777" w:rsidR="00D526E5" w:rsidRPr="00D526E5" w:rsidRDefault="00D526E5" w:rsidP="00D526E5">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En la partida 1 Servicios se ejecutó un 88,80% de los recursos asignados, los cuales se utilizaron para atender los contratos a nivel institucional como servicios de vigilancia, limpieza, jardinería, servicios médicos, alquileres de edificios, equipo de cómputo, así como los mantenimientos de edificios y de equipo.</w:t>
      </w:r>
    </w:p>
    <w:p w14:paraId="07883EB1" w14:textId="77777777" w:rsidR="00D526E5" w:rsidRPr="00D526E5" w:rsidRDefault="00D526E5" w:rsidP="00D526E5">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En la partida 2 Materiales y Suministros se ejecutó un porcentaje de 80,44%, los recursos se destinaron para compra de medicamentos, alcohol y suministros médicos para el Servicio de Salud, así como los repuestos para vehículos institucionales, el servicio de alimentación de detenidos para privados de libertad, compra de tóner, discos duros, contratos según demanda que se ejecutan de acuerdo con las necesidades de las diferentes oficinas de la Institución.</w:t>
      </w:r>
    </w:p>
    <w:p w14:paraId="10D9C0E7" w14:textId="77777777" w:rsidR="00D526E5" w:rsidRPr="00D526E5" w:rsidRDefault="00D526E5" w:rsidP="00A65152">
      <w:pPr>
        <w:spacing w:after="160" w:line="360" w:lineRule="auto"/>
        <w:jc w:val="both"/>
        <w:rPr>
          <w:rFonts w:ascii="Arial" w:eastAsiaTheme="minorEastAsia" w:hAnsi="Arial" w:cs="Arial"/>
          <w:bCs/>
          <w:color w:val="FF0000"/>
          <w:sz w:val="20"/>
          <w:szCs w:val="20"/>
          <w:lang w:val="es-CR"/>
        </w:rPr>
      </w:pPr>
      <w:r w:rsidRPr="00D526E5">
        <w:rPr>
          <w:rFonts w:ascii="Arial" w:eastAsiaTheme="minorEastAsia" w:hAnsi="Arial" w:cs="Arial"/>
          <w:bCs/>
          <w:sz w:val="20"/>
          <w:szCs w:val="20"/>
          <w:lang w:val="es-CR"/>
        </w:rPr>
        <w:t xml:space="preserve">En la partida 5 Bienes Duraderos los recursos ejecutados fue de un 77,29% utilizaros para atender proyectos de gran impacto para la Institución como mejoras a los edificios, construcciones de obras, compra de vehículos institucionales y de maquinaria, equipo y mobiliario tales como equipo de cómputo, equipos de laboratorio, entre otros. Su porcentaje de ejecución corresponde a la naturaleza y a los procesos de contratación a través de licitaciones, muchos recursos no se lograron ejecutar y quedaron como compromisos no devengados, debido principalmente a motivos de definición de especificaciones técnicas y la búsqueda de bienes que se ajusten a las necesidades de la institución, así como poco mercado para poder conseguir </w:t>
      </w:r>
      <w:r w:rsidRPr="00D526E5">
        <w:rPr>
          <w:rFonts w:ascii="Arial" w:eastAsiaTheme="minorEastAsia" w:hAnsi="Arial" w:cs="Arial"/>
          <w:bCs/>
          <w:sz w:val="20"/>
          <w:szCs w:val="20"/>
          <w:lang w:val="es-CR"/>
        </w:rPr>
        <w:lastRenderedPageBreak/>
        <w:t>algunos de ellos en el país, entre las contrataciones más representativas están</w:t>
      </w:r>
      <w:r w:rsidRPr="00D526E5">
        <w:rPr>
          <w:rFonts w:ascii="Arial" w:eastAsiaTheme="minorEastAsia" w:hAnsi="Arial" w:cs="Arial"/>
          <w:bCs/>
          <w:color w:val="FF0000"/>
          <w:sz w:val="20"/>
          <w:szCs w:val="20"/>
          <w:lang w:val="es-CR"/>
        </w:rPr>
        <w:t>:</w:t>
      </w:r>
      <w:r w:rsidRPr="00D526E5">
        <w:rPr>
          <w:rFonts w:ascii="Arial" w:eastAsiaTheme="minorEastAsia" w:hAnsi="Arial" w:cs="Arial"/>
          <w:bCs/>
          <w:sz w:val="20"/>
          <w:szCs w:val="20"/>
          <w:lang w:val="es-CR"/>
        </w:rPr>
        <w:t xml:space="preserve"> la contratación No. 2021LA-000081-PROV  correspondiente a la “compra de equipo físico de larga retención que se integre de forma nativa con un ECS-U400 de DELL EMC con que cuenta el Poder Judicial”, dicha contratación se había tramitado en tiempo, sin embargo, quedó infructuosa y se volvió a realizar el concurso, quedando la misma como compromiso no devengado, así como las contrataciones No. 2021LA-000058-PROV para la “compra de ampliación e instalación de apilamiento de Core y servidores” y No.</w:t>
      </w:r>
      <w:r w:rsidRPr="00D526E5">
        <w:rPr>
          <w:rFonts w:ascii="Arial" w:eastAsiaTheme="minorEastAsia" w:hAnsi="Arial" w:cs="Arial"/>
          <w:sz w:val="20"/>
          <w:szCs w:val="20"/>
        </w:rPr>
        <w:t xml:space="preserve"> </w:t>
      </w:r>
      <w:r w:rsidRPr="00D526E5">
        <w:rPr>
          <w:rFonts w:ascii="Arial" w:eastAsiaTheme="minorEastAsia" w:hAnsi="Arial" w:cs="Arial"/>
          <w:bCs/>
          <w:sz w:val="20"/>
          <w:szCs w:val="20"/>
          <w:lang w:val="es-CR"/>
        </w:rPr>
        <w:t>2021CD-000282-PROVCD para “compra de Ampliación de apilamiento centro de datos principal” de las cuales los proveedores solicitaron prórroga debido a la falta de chips, además, también se solicitó prórroga para la contratación No. 2021LN-000002-PROV para la “compra de soluciones de videoconferencia, bajo la modalidad de entrega según demanda” debido a la falta de componentes.</w:t>
      </w:r>
    </w:p>
    <w:p w14:paraId="0CCA2507" w14:textId="77777777" w:rsidR="00D526E5" w:rsidRPr="00D526E5" w:rsidRDefault="00D526E5" w:rsidP="00D526E5">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La partida 6 Transferencias corrientes tuvo un porcentaje de ejecución del 94,10%, en esta partida se utilizan los recursos para atender el aporte estatal al Fondo de Jubilaciones y Pensiones del Poder Judicial, los aportes de la cuota SEM de la Caja Costarricense de Seguro Social, convenios con universidades estatales, becas y ayudas a funcionarios, entre otros. Además, se ejecutan recursos para atender los pagos de las indemnizaciones, de acuerdo con los juicios administrativos y judiciales también el gasto por prestaciones legales que son recursos destinados para atender el pago de ese extremo laboral a los servidores judiciales que se acogieron al derecho de la jubilación, estas subpartidas se monitorean durante el año, con el fin de ser reforzadas en caso de ser necesario y atender los pagos de forma oportuna.</w:t>
      </w:r>
    </w:p>
    <w:p w14:paraId="41FB3F7B" w14:textId="77777777" w:rsidR="00D526E5" w:rsidRPr="00D526E5" w:rsidRDefault="00D526E5" w:rsidP="00D526E5">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La partida 7 Transferencias de capital se ejecutó en su totalidad, en esta partida se utilizan los recursos 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w:t>
      </w:r>
    </w:p>
    <w:p w14:paraId="56C045C9" w14:textId="1F341B0B" w:rsidR="001E0A65" w:rsidRPr="00D60C2D" w:rsidRDefault="00D526E5" w:rsidP="00D60C2D">
      <w:pPr>
        <w:spacing w:after="160" w:line="360" w:lineRule="auto"/>
        <w:jc w:val="both"/>
        <w:rPr>
          <w:rFonts w:ascii="Arial" w:eastAsiaTheme="minorEastAsia" w:hAnsi="Arial" w:cs="Arial"/>
          <w:bCs/>
          <w:sz w:val="20"/>
          <w:szCs w:val="20"/>
          <w:lang w:val="es-CR"/>
        </w:rPr>
      </w:pPr>
      <w:r w:rsidRPr="00D526E5">
        <w:rPr>
          <w:rFonts w:ascii="Arial" w:eastAsiaTheme="minorEastAsia" w:hAnsi="Arial" w:cs="Arial"/>
          <w:bCs/>
          <w:sz w:val="20"/>
          <w:szCs w:val="20"/>
          <w:lang w:val="es-CR"/>
        </w:rPr>
        <w:t xml:space="preserve">Las partidas que no lograron una ejecución mayor al 90% se debió a diferentes factores que se detallan en el punto 2.2, sin embargo, es importante recalcar que parte de estas razones proviene de los plazos en la aprobación de las modificaciones presupuestarias y presupuesto extraordinario por parte del Ministerio de Hacienda, dado que a pesar que este Poder Judicial se apega a las fechas establecidas para la presentación ante ese Ministerio de las modificaciones </w:t>
      </w:r>
      <w:r w:rsidRPr="00D526E5">
        <w:rPr>
          <w:rFonts w:ascii="Arial" w:eastAsiaTheme="minorEastAsia" w:hAnsi="Arial" w:cs="Arial"/>
          <w:bCs/>
          <w:sz w:val="20"/>
          <w:szCs w:val="20"/>
          <w:lang w:val="es-CR"/>
        </w:rPr>
        <w:lastRenderedPageBreak/>
        <w:t>para redireccionar los recursos de forma eficiente a diferentes necesidades institucionales y esto imposibilita una ejecución oportuna de los recursos, dado que el tiempo de aprobación es muy amplio y se convierte en una importante limitante, situación que se externa a ese ente mediante oficio No.3596-DE-2021 del 21 de diciembre, del cual se recibió respuesta por parte de ese Ministerio con oficio No. DVME-0002-2022 el 10 de enero del presente año el cual comprenden nuestra preocupación, manifiestan que dado que las normas de ejecución que afectaron la operación normal de la administración hacendaria ya no están vigentes para el periodo presupuestario 2022 se espera que el trámite de aprobación se agilice y se faciliten el uso de los recursos asignados. Además, también están las restricciones producidas por la pandemia del COVID-19, que ha afectado enormemente las importaciones marítimas atrasando el envío de mercancías y servicios requeridos por la Institución.</w:t>
      </w:r>
    </w:p>
    <w:p w14:paraId="171E8A8A" w14:textId="77777777" w:rsidR="001E0A65" w:rsidRDefault="001E0A65" w:rsidP="00CB11BE">
      <w:pPr>
        <w:autoSpaceDE w:val="0"/>
        <w:autoSpaceDN w:val="0"/>
        <w:adjustRightInd w:val="0"/>
        <w:jc w:val="both"/>
        <w:rPr>
          <w:rFonts w:ascii="Arial" w:hAnsi="Arial" w:cs="Arial"/>
          <w:sz w:val="20"/>
          <w:szCs w:val="20"/>
          <w:lang w:val="es-CR"/>
        </w:rPr>
      </w:pPr>
    </w:p>
    <w:p w14:paraId="79426915" w14:textId="260DB041" w:rsidR="00CB11BE" w:rsidRPr="004152FD" w:rsidRDefault="00CB11BE" w:rsidP="00BE5AA1">
      <w:pPr>
        <w:pStyle w:val="Ttulo2"/>
        <w:keepLines/>
        <w:numPr>
          <w:ilvl w:val="1"/>
          <w:numId w:val="15"/>
        </w:numPr>
        <w:spacing w:before="360" w:line="360" w:lineRule="auto"/>
        <w:ind w:left="709"/>
        <w:jc w:val="both"/>
        <w:rPr>
          <w:rFonts w:ascii="Arial" w:hAnsi="Arial" w:cs="Arial"/>
          <w:szCs w:val="20"/>
        </w:rPr>
      </w:pPr>
      <w:bookmarkStart w:id="13" w:name="_Toc93420470"/>
      <w:bookmarkStart w:id="14" w:name="_Toc25758876"/>
      <w:bookmarkStart w:id="15" w:name="_Toc56690434"/>
      <w:r w:rsidRPr="004152FD">
        <w:rPr>
          <w:rFonts w:ascii="Arial" w:hAnsi="Arial" w:cs="Arial"/>
          <w:iCs/>
          <w:color w:val="002060"/>
          <w:spacing w:val="15"/>
          <w:sz w:val="22"/>
        </w:rPr>
        <w:t>Factores y acciones correctivas de la ejecución financiera</w:t>
      </w:r>
      <w:bookmarkEnd w:id="13"/>
      <w:r w:rsidRPr="004152FD">
        <w:rPr>
          <w:rFonts w:ascii="Arial" w:hAnsi="Arial" w:cs="Arial"/>
          <w:iCs/>
          <w:color w:val="002060"/>
          <w:spacing w:val="15"/>
          <w:sz w:val="22"/>
        </w:rPr>
        <w:t xml:space="preserve"> </w:t>
      </w:r>
      <w:bookmarkEnd w:id="14"/>
      <w:bookmarkEnd w:id="15"/>
    </w:p>
    <w:p w14:paraId="138E69F8" w14:textId="77777777" w:rsidR="002F10D4" w:rsidRDefault="002F10D4" w:rsidP="00CB11BE">
      <w:pPr>
        <w:jc w:val="center"/>
        <w:rPr>
          <w:rFonts w:ascii="Arial" w:hAnsi="Arial" w:cs="Arial"/>
          <w:b/>
          <w:sz w:val="20"/>
          <w:szCs w:val="20"/>
          <w:highlight w:val="yellow"/>
          <w:lang w:val="es-ES_tradnl"/>
        </w:rPr>
      </w:pPr>
    </w:p>
    <w:p w14:paraId="37E7D246" w14:textId="77777777" w:rsidR="002F10D4" w:rsidRDefault="002F10D4" w:rsidP="00CB11BE">
      <w:pPr>
        <w:jc w:val="center"/>
        <w:rPr>
          <w:rFonts w:ascii="Arial" w:hAnsi="Arial" w:cs="Arial"/>
          <w:b/>
          <w:sz w:val="20"/>
          <w:szCs w:val="20"/>
          <w:highlight w:val="yellow"/>
          <w:lang w:val="es-ES_tradnl"/>
        </w:rPr>
      </w:pPr>
    </w:p>
    <w:p w14:paraId="2D6D8862"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bCs/>
          <w:sz w:val="20"/>
          <w:szCs w:val="20"/>
          <w:lang w:val="es-CR"/>
        </w:rPr>
        <w:t xml:space="preserve">Impacto generado por la emergencia sanitaria por el Covid-19. </w:t>
      </w:r>
    </w:p>
    <w:p w14:paraId="5E15D710"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rPr>
      </w:pPr>
      <w:r w:rsidRPr="002F10D4">
        <w:rPr>
          <w:rFonts w:ascii="Arial" w:eastAsiaTheme="minorEastAsia" w:hAnsi="Arial" w:cs="Arial"/>
          <w:bCs/>
          <w:sz w:val="20"/>
          <w:szCs w:val="20"/>
        </w:rPr>
        <w:t xml:space="preserve">Aplicación de directrices presidenciales. </w:t>
      </w:r>
    </w:p>
    <w:p w14:paraId="06E87B40"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bCs/>
          <w:sz w:val="20"/>
          <w:szCs w:val="20"/>
          <w:lang w:val="es-CR"/>
        </w:rPr>
        <w:t>Lineamientos de los entes rectores de la administración financiera.</w:t>
      </w:r>
    </w:p>
    <w:p w14:paraId="1FCCF216"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sz w:val="20"/>
          <w:szCs w:val="20"/>
          <w:lang w:val="es-CR"/>
        </w:rPr>
        <w:t>Políticas administrativas institucionales que ocasionen cambios en la ejecución de recursos y generen ahorros o mayor gasto.</w:t>
      </w:r>
      <w:r w:rsidRPr="002F10D4" w:rsidDel="00DE0053">
        <w:rPr>
          <w:rFonts w:ascii="Arial" w:eastAsiaTheme="minorEastAsia" w:hAnsi="Arial" w:cs="Arial"/>
          <w:bCs/>
          <w:sz w:val="20"/>
          <w:szCs w:val="20"/>
          <w:lang w:val="es-CR"/>
        </w:rPr>
        <w:t xml:space="preserve"> </w:t>
      </w:r>
    </w:p>
    <w:p w14:paraId="146FF370"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bCs/>
          <w:sz w:val="20"/>
          <w:szCs w:val="20"/>
          <w:lang w:val="es-CR"/>
        </w:rPr>
        <w:t xml:space="preserve">Variación en la estimación de recursos. </w:t>
      </w:r>
    </w:p>
    <w:p w14:paraId="25DAC111"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bCs/>
          <w:sz w:val="20"/>
          <w:szCs w:val="20"/>
          <w:lang w:val="es-CR"/>
        </w:rPr>
        <w:t>Problemas relacionados con los procesos de contratación administrativa.</w:t>
      </w:r>
    </w:p>
    <w:p w14:paraId="542D778D"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rPr>
      </w:pPr>
      <w:r w:rsidRPr="002F10D4">
        <w:rPr>
          <w:rFonts w:ascii="Arial" w:eastAsiaTheme="minorEastAsia" w:hAnsi="Arial" w:cs="Arial"/>
          <w:bCs/>
          <w:sz w:val="20"/>
          <w:szCs w:val="20"/>
        </w:rPr>
        <w:t>Liberación de cuota insuficiente.</w:t>
      </w:r>
    </w:p>
    <w:p w14:paraId="6F5035E9"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bCs/>
          <w:sz w:val="20"/>
          <w:szCs w:val="20"/>
          <w:lang w:val="es-CR"/>
        </w:rPr>
        <w:t>Desviaciones entre lo planificado y lo ejecutado.</w:t>
      </w:r>
    </w:p>
    <w:p w14:paraId="733115BD"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lang w:val="es-CR"/>
        </w:rPr>
      </w:pPr>
      <w:r w:rsidRPr="002F10D4">
        <w:rPr>
          <w:rFonts w:ascii="Arial" w:eastAsiaTheme="minorEastAsia" w:hAnsi="Arial" w:cs="Arial"/>
          <w:bCs/>
          <w:sz w:val="20"/>
          <w:szCs w:val="20"/>
          <w:lang w:val="es-CR"/>
        </w:rPr>
        <w:t>Normas de ejecución para el ejercicio presupuestario 2021.</w:t>
      </w:r>
    </w:p>
    <w:p w14:paraId="3D1BFBA8" w14:textId="77777777" w:rsidR="002F10D4" w:rsidRPr="002F10D4" w:rsidRDefault="002F10D4" w:rsidP="002F10D4">
      <w:pPr>
        <w:numPr>
          <w:ilvl w:val="1"/>
          <w:numId w:val="3"/>
        </w:numPr>
        <w:spacing w:after="160" w:line="360" w:lineRule="auto"/>
        <w:ind w:left="709" w:hanging="567"/>
        <w:contextualSpacing/>
        <w:jc w:val="both"/>
        <w:rPr>
          <w:rFonts w:ascii="Arial" w:eastAsiaTheme="minorEastAsia" w:hAnsi="Arial" w:cs="Arial"/>
          <w:bCs/>
          <w:sz w:val="20"/>
          <w:szCs w:val="20"/>
        </w:rPr>
      </w:pPr>
      <w:r w:rsidRPr="002F10D4">
        <w:rPr>
          <w:rFonts w:ascii="Arial" w:eastAsiaTheme="minorEastAsia" w:hAnsi="Arial" w:cs="Arial"/>
          <w:bCs/>
          <w:sz w:val="20"/>
          <w:szCs w:val="20"/>
        </w:rPr>
        <w:t>Otro (Especifique).</w:t>
      </w:r>
    </w:p>
    <w:p w14:paraId="75CE1666" w14:textId="77777777" w:rsidR="00A0177E" w:rsidRDefault="00A0177E" w:rsidP="002F10D4">
      <w:pPr>
        <w:jc w:val="both"/>
        <w:rPr>
          <w:rFonts w:ascii="Arial" w:eastAsia="Arial" w:hAnsi="Arial" w:cs="Arial"/>
          <w:color w:val="000000" w:themeColor="text1"/>
          <w:sz w:val="20"/>
          <w:szCs w:val="20"/>
        </w:rPr>
      </w:pPr>
    </w:p>
    <w:p w14:paraId="75922994" w14:textId="6410DBD3" w:rsidR="002F10D4" w:rsidRPr="002F10D4" w:rsidRDefault="002F10D4" w:rsidP="002F10D4">
      <w:pPr>
        <w:jc w:val="both"/>
        <w:rPr>
          <w:rFonts w:ascii="Arial" w:eastAsia="Arial" w:hAnsi="Arial" w:cs="Arial"/>
          <w:color w:val="000000" w:themeColor="text1"/>
          <w:sz w:val="20"/>
          <w:szCs w:val="20"/>
        </w:rPr>
      </w:pPr>
      <w:r w:rsidRPr="002F10D4">
        <w:rPr>
          <w:rFonts w:ascii="Arial" w:eastAsia="Arial" w:hAnsi="Arial" w:cs="Arial"/>
          <w:color w:val="000000" w:themeColor="text1"/>
          <w:sz w:val="20"/>
          <w:szCs w:val="20"/>
        </w:rPr>
        <w:t>Adicionalmente incluir el resultado obtenido al primer semestre.</w:t>
      </w:r>
    </w:p>
    <w:p w14:paraId="2047DFBC" w14:textId="47102346" w:rsidR="002F10D4" w:rsidRDefault="002F10D4" w:rsidP="00CB11BE">
      <w:pPr>
        <w:jc w:val="center"/>
        <w:rPr>
          <w:rFonts w:ascii="Arial" w:hAnsi="Arial" w:cs="Arial"/>
          <w:b/>
          <w:sz w:val="20"/>
          <w:szCs w:val="20"/>
          <w:highlight w:val="yellow"/>
          <w:lang w:val="es-ES_tradnl"/>
        </w:rPr>
      </w:pPr>
    </w:p>
    <w:p w14:paraId="51261742" w14:textId="31B60348" w:rsidR="001C719C" w:rsidRDefault="001C719C" w:rsidP="00CB11BE">
      <w:pPr>
        <w:jc w:val="center"/>
        <w:rPr>
          <w:rFonts w:ascii="Arial" w:hAnsi="Arial" w:cs="Arial"/>
          <w:b/>
          <w:sz w:val="20"/>
          <w:szCs w:val="20"/>
          <w:highlight w:val="yellow"/>
          <w:lang w:val="es-ES_tradnl"/>
        </w:rPr>
      </w:pPr>
    </w:p>
    <w:p w14:paraId="2EA8AC50" w14:textId="17E733A9" w:rsidR="001C719C" w:rsidRDefault="001C719C" w:rsidP="00CB11BE">
      <w:pPr>
        <w:jc w:val="center"/>
        <w:rPr>
          <w:rFonts w:ascii="Arial" w:hAnsi="Arial" w:cs="Arial"/>
          <w:b/>
          <w:sz w:val="20"/>
          <w:szCs w:val="20"/>
          <w:highlight w:val="yellow"/>
          <w:lang w:val="es-ES_tradnl"/>
        </w:rPr>
      </w:pPr>
    </w:p>
    <w:p w14:paraId="1BB58F85" w14:textId="1F4FB2D7" w:rsidR="001C719C" w:rsidRDefault="001C719C" w:rsidP="00CB11BE">
      <w:pPr>
        <w:jc w:val="center"/>
        <w:rPr>
          <w:rFonts w:ascii="Arial" w:hAnsi="Arial" w:cs="Arial"/>
          <w:b/>
          <w:sz w:val="20"/>
          <w:szCs w:val="20"/>
          <w:highlight w:val="yellow"/>
          <w:lang w:val="es-ES_tradnl"/>
        </w:rPr>
      </w:pPr>
    </w:p>
    <w:p w14:paraId="4F8CAD8F" w14:textId="62EB1D6A" w:rsidR="001C719C" w:rsidRDefault="001C719C" w:rsidP="00CB11BE">
      <w:pPr>
        <w:jc w:val="center"/>
        <w:rPr>
          <w:rFonts w:ascii="Arial" w:hAnsi="Arial" w:cs="Arial"/>
          <w:b/>
          <w:sz w:val="20"/>
          <w:szCs w:val="20"/>
          <w:highlight w:val="yellow"/>
          <w:lang w:val="es-ES_tradnl"/>
        </w:rPr>
      </w:pPr>
    </w:p>
    <w:p w14:paraId="70D45CDF" w14:textId="1DFBD066" w:rsidR="001C719C" w:rsidRDefault="001C719C" w:rsidP="00CB11BE">
      <w:pPr>
        <w:jc w:val="center"/>
        <w:rPr>
          <w:rFonts w:ascii="Arial" w:hAnsi="Arial" w:cs="Arial"/>
          <w:b/>
          <w:sz w:val="20"/>
          <w:szCs w:val="20"/>
          <w:highlight w:val="yellow"/>
          <w:lang w:val="es-ES_tradnl"/>
        </w:rPr>
      </w:pPr>
    </w:p>
    <w:p w14:paraId="6076966B" w14:textId="40757E02" w:rsidR="001C719C" w:rsidRDefault="001C719C" w:rsidP="00CB11BE">
      <w:pPr>
        <w:jc w:val="center"/>
        <w:rPr>
          <w:rFonts w:ascii="Arial" w:hAnsi="Arial" w:cs="Arial"/>
          <w:b/>
          <w:sz w:val="20"/>
          <w:szCs w:val="20"/>
          <w:highlight w:val="yellow"/>
          <w:lang w:val="es-ES_tradnl"/>
        </w:rPr>
      </w:pPr>
    </w:p>
    <w:p w14:paraId="766FE538" w14:textId="3DB99506" w:rsidR="001C719C" w:rsidRDefault="001C719C" w:rsidP="00CB11BE">
      <w:pPr>
        <w:jc w:val="center"/>
        <w:rPr>
          <w:rFonts w:ascii="Arial" w:hAnsi="Arial" w:cs="Arial"/>
          <w:b/>
          <w:sz w:val="20"/>
          <w:szCs w:val="20"/>
          <w:highlight w:val="yellow"/>
          <w:lang w:val="es-ES_tradnl"/>
        </w:rPr>
      </w:pPr>
    </w:p>
    <w:p w14:paraId="1396CE71" w14:textId="77777777" w:rsidR="001C719C" w:rsidRDefault="001C719C" w:rsidP="00CB11BE">
      <w:pPr>
        <w:jc w:val="center"/>
        <w:rPr>
          <w:rFonts w:ascii="Arial" w:hAnsi="Arial" w:cs="Arial"/>
          <w:b/>
          <w:sz w:val="20"/>
          <w:szCs w:val="20"/>
          <w:highlight w:val="yellow"/>
          <w:lang w:val="es-ES_tradnl"/>
        </w:rPr>
      </w:pPr>
    </w:p>
    <w:p w14:paraId="28C65E7E" w14:textId="77777777" w:rsidR="00403124" w:rsidRDefault="00403124" w:rsidP="00A65152">
      <w:pPr>
        <w:rPr>
          <w:rFonts w:ascii="Arial" w:hAnsi="Arial" w:cs="Arial"/>
          <w:b/>
          <w:sz w:val="20"/>
          <w:szCs w:val="20"/>
          <w:highlight w:val="yellow"/>
          <w:lang w:val="es-ES_tradnl"/>
        </w:rPr>
      </w:pPr>
    </w:p>
    <w:p w14:paraId="5CA2D317" w14:textId="145A87DB" w:rsidR="00AE3D7B" w:rsidRPr="00AE3D7B" w:rsidRDefault="00AE3D7B" w:rsidP="00AE3D7B">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7</w:t>
      </w:r>
      <w:r w:rsidRPr="00AE3D7B">
        <w:rPr>
          <w:rFonts w:ascii="Arial" w:hAnsi="Arial" w:cs="Arial"/>
          <w:b/>
          <w:bCs/>
          <w:i w:val="0"/>
          <w:iCs w:val="0"/>
          <w:color w:val="auto"/>
          <w:sz w:val="20"/>
          <w:szCs w:val="20"/>
        </w:rPr>
        <w:fldChar w:fldCharType="end"/>
      </w:r>
    </w:p>
    <w:p w14:paraId="6899460D" w14:textId="77777777" w:rsidR="00CB11BE" w:rsidRDefault="00CB11BE" w:rsidP="00CB11BE">
      <w:pPr>
        <w:jc w:val="center"/>
        <w:rPr>
          <w:rFonts w:ascii="Arial" w:hAnsi="Arial" w:cs="Arial"/>
          <w:sz w:val="20"/>
          <w:szCs w:val="20"/>
          <w:lang w:val="es-ES_tradnl"/>
        </w:rPr>
      </w:pPr>
      <w:r w:rsidRPr="003B0583">
        <w:rPr>
          <w:rFonts w:ascii="Arial" w:hAnsi="Arial" w:cs="Arial"/>
          <w:sz w:val="20"/>
          <w:szCs w:val="20"/>
          <w:lang w:val="es-MX"/>
        </w:rPr>
        <w:t>926 Dirección y Administración</w:t>
      </w:r>
      <w:r w:rsidRPr="0011789E">
        <w:rPr>
          <w:rFonts w:ascii="Arial" w:hAnsi="Arial" w:cs="Arial"/>
          <w:sz w:val="20"/>
          <w:szCs w:val="20"/>
          <w:lang w:val="es-ES_tradnl"/>
        </w:rPr>
        <w:t xml:space="preserve"> </w:t>
      </w:r>
    </w:p>
    <w:p w14:paraId="5B2162A6"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2AD252CC" w14:textId="59277759" w:rsidR="00CB11B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Al 31 de diciembre 202</w:t>
      </w:r>
      <w:r w:rsidR="001A7D47">
        <w:rPr>
          <w:rFonts w:ascii="Arial" w:hAnsi="Arial" w:cs="Arial"/>
          <w:sz w:val="20"/>
          <w:szCs w:val="20"/>
          <w:lang w:val="es-ES_tradnl"/>
        </w:rPr>
        <w:t>1</w:t>
      </w:r>
    </w:p>
    <w:p w14:paraId="0A87260D" w14:textId="77777777" w:rsidR="001A7D47" w:rsidRDefault="001A7D47" w:rsidP="00CB11BE">
      <w:pPr>
        <w:jc w:val="center"/>
        <w:rPr>
          <w:rFonts w:ascii="Arial" w:hAnsi="Arial" w:cs="Arial"/>
          <w:sz w:val="20"/>
          <w:szCs w:val="20"/>
          <w:lang w:val="es-ES_tradnl"/>
        </w:rPr>
      </w:pPr>
    </w:p>
    <w:tbl>
      <w:tblPr>
        <w:tblW w:w="9771" w:type="dxa"/>
        <w:tblCellMar>
          <w:left w:w="70" w:type="dxa"/>
          <w:right w:w="70" w:type="dxa"/>
        </w:tblCellMar>
        <w:tblLook w:val="04A0" w:firstRow="1" w:lastRow="0" w:firstColumn="1" w:lastColumn="0" w:noHBand="0" w:noVBand="1"/>
      </w:tblPr>
      <w:tblGrid>
        <w:gridCol w:w="1952"/>
        <w:gridCol w:w="1236"/>
        <w:gridCol w:w="1236"/>
        <w:gridCol w:w="329"/>
        <w:gridCol w:w="317"/>
        <w:gridCol w:w="317"/>
        <w:gridCol w:w="328"/>
        <w:gridCol w:w="329"/>
        <w:gridCol w:w="329"/>
        <w:gridCol w:w="317"/>
        <w:gridCol w:w="317"/>
        <w:gridCol w:w="329"/>
        <w:gridCol w:w="363"/>
        <w:gridCol w:w="2072"/>
      </w:tblGrid>
      <w:tr w:rsidR="00A65152" w:rsidRPr="00A65152" w14:paraId="69814664" w14:textId="77777777" w:rsidTr="00465D52">
        <w:trPr>
          <w:trHeight w:val="288"/>
        </w:trPr>
        <w:tc>
          <w:tcPr>
            <w:tcW w:w="1952" w:type="dxa"/>
            <w:vMerge w:val="restart"/>
            <w:tcBorders>
              <w:top w:val="single" w:sz="8" w:space="0" w:color="4472C4"/>
              <w:left w:val="single" w:sz="8" w:space="0" w:color="4472C4"/>
              <w:bottom w:val="single" w:sz="8" w:space="0" w:color="4472C4"/>
              <w:right w:val="single" w:sz="8" w:space="0" w:color="4472C4"/>
            </w:tcBorders>
            <w:shd w:val="clear" w:color="000000" w:fill="4F81BD"/>
            <w:vAlign w:val="center"/>
            <w:hideMark/>
          </w:tcPr>
          <w:p w14:paraId="6E046CA7" w14:textId="77777777" w:rsidR="00A65152" w:rsidRPr="00A65152" w:rsidRDefault="00A65152" w:rsidP="00A65152">
            <w:pPr>
              <w:spacing w:line="360" w:lineRule="auto"/>
              <w:jc w:val="center"/>
              <w:rPr>
                <w:rFonts w:ascii="Arial" w:hAnsi="Arial" w:cs="Arial"/>
                <w:b/>
                <w:color w:val="FFFFFF" w:themeColor="background1"/>
                <w:sz w:val="20"/>
                <w:szCs w:val="20"/>
                <w:lang w:val="es-CR" w:eastAsia="es-CR"/>
              </w:rPr>
            </w:pPr>
            <w:r w:rsidRPr="00A65152">
              <w:rPr>
                <w:rFonts w:ascii="Arial" w:hAnsi="Arial" w:cs="Arial"/>
                <w:b/>
                <w:color w:val="FFFFFF" w:themeColor="background1"/>
                <w:sz w:val="20"/>
                <w:szCs w:val="20"/>
                <w:lang w:val="es-CR" w:eastAsia="es-CR"/>
              </w:rPr>
              <w:t>Nombre de la partida</w:t>
            </w:r>
          </w:p>
        </w:tc>
        <w:tc>
          <w:tcPr>
            <w:tcW w:w="2472" w:type="dxa"/>
            <w:gridSpan w:val="2"/>
            <w:tcBorders>
              <w:top w:val="single" w:sz="8" w:space="0" w:color="4472C4"/>
              <w:left w:val="nil"/>
              <w:bottom w:val="single" w:sz="8" w:space="0" w:color="4472C4"/>
              <w:right w:val="single" w:sz="8" w:space="0" w:color="4472C4"/>
            </w:tcBorders>
            <w:shd w:val="clear" w:color="000000" w:fill="4F81BD"/>
            <w:vAlign w:val="center"/>
            <w:hideMark/>
          </w:tcPr>
          <w:p w14:paraId="3AC93994" w14:textId="77777777" w:rsidR="00A65152" w:rsidRPr="00A65152" w:rsidRDefault="00A65152" w:rsidP="00A65152">
            <w:pPr>
              <w:spacing w:line="360" w:lineRule="auto"/>
              <w:jc w:val="center"/>
              <w:rPr>
                <w:rFonts w:ascii="Arial" w:hAnsi="Arial" w:cs="Arial"/>
                <w:b/>
                <w:color w:val="FFFFFF" w:themeColor="background1"/>
                <w:sz w:val="20"/>
                <w:szCs w:val="20"/>
                <w:lang w:val="es-CR" w:eastAsia="es-CR"/>
              </w:rPr>
            </w:pPr>
            <w:r w:rsidRPr="00A65152">
              <w:rPr>
                <w:rFonts w:ascii="Arial" w:hAnsi="Arial" w:cs="Arial"/>
                <w:b/>
                <w:color w:val="FFFFFF" w:themeColor="background1"/>
                <w:sz w:val="20"/>
                <w:szCs w:val="20"/>
                <w:lang w:val="es-CR" w:eastAsia="es-CR"/>
              </w:rPr>
              <w:t>Nivel de ejecución</w:t>
            </w:r>
          </w:p>
        </w:tc>
        <w:tc>
          <w:tcPr>
            <w:tcW w:w="5347" w:type="dxa"/>
            <w:gridSpan w:val="11"/>
            <w:tcBorders>
              <w:top w:val="single" w:sz="8" w:space="0" w:color="4472C4"/>
              <w:left w:val="nil"/>
              <w:bottom w:val="single" w:sz="8" w:space="0" w:color="4472C4"/>
              <w:right w:val="single" w:sz="8" w:space="0" w:color="4472C4"/>
            </w:tcBorders>
            <w:shd w:val="clear" w:color="000000" w:fill="4F81BD"/>
            <w:vAlign w:val="center"/>
            <w:hideMark/>
          </w:tcPr>
          <w:p w14:paraId="54B2C6CB" w14:textId="77777777" w:rsidR="00A65152" w:rsidRPr="00A65152" w:rsidRDefault="00A65152" w:rsidP="00A65152">
            <w:pPr>
              <w:spacing w:line="360" w:lineRule="auto"/>
              <w:jc w:val="center"/>
              <w:rPr>
                <w:rFonts w:ascii="Arial" w:hAnsi="Arial" w:cs="Arial"/>
                <w:b/>
                <w:color w:val="FFFFFF" w:themeColor="background1"/>
                <w:sz w:val="20"/>
                <w:szCs w:val="20"/>
                <w:lang w:val="es-CR" w:eastAsia="es-CR"/>
              </w:rPr>
            </w:pPr>
            <w:r w:rsidRPr="00A65152">
              <w:rPr>
                <w:rFonts w:ascii="Arial" w:hAnsi="Arial" w:cs="Arial"/>
                <w:b/>
                <w:color w:val="FFFFFF" w:themeColor="background1"/>
                <w:sz w:val="20"/>
                <w:szCs w:val="20"/>
                <w:lang w:val="es-CR" w:eastAsia="es-CR"/>
              </w:rPr>
              <w:t>Factores al 31/12/2021</w:t>
            </w:r>
          </w:p>
        </w:tc>
      </w:tr>
      <w:tr w:rsidR="00A65152" w:rsidRPr="00A65152" w14:paraId="6C5F8231" w14:textId="77777777" w:rsidTr="00465D52">
        <w:trPr>
          <w:trHeight w:val="588"/>
        </w:trPr>
        <w:tc>
          <w:tcPr>
            <w:tcW w:w="1952" w:type="dxa"/>
            <w:vMerge/>
            <w:tcBorders>
              <w:top w:val="single" w:sz="8" w:space="0" w:color="4472C4"/>
              <w:left w:val="single" w:sz="8" w:space="0" w:color="4472C4"/>
              <w:bottom w:val="single" w:sz="8" w:space="0" w:color="4472C4"/>
              <w:right w:val="single" w:sz="8" w:space="0" w:color="4472C4"/>
            </w:tcBorders>
            <w:vAlign w:val="center"/>
            <w:hideMark/>
          </w:tcPr>
          <w:p w14:paraId="1F7652B5" w14:textId="77777777" w:rsidR="00A65152" w:rsidRPr="00A65152" w:rsidRDefault="00A65152" w:rsidP="00A65152">
            <w:pPr>
              <w:spacing w:line="360" w:lineRule="auto"/>
              <w:rPr>
                <w:rFonts w:ascii="Arial" w:hAnsi="Arial" w:cs="Arial"/>
                <w:b/>
                <w:color w:val="FFFFFF" w:themeColor="background1"/>
                <w:sz w:val="20"/>
                <w:szCs w:val="20"/>
                <w:lang w:val="es-CR" w:eastAsia="es-CR"/>
              </w:rPr>
            </w:pPr>
          </w:p>
        </w:tc>
        <w:tc>
          <w:tcPr>
            <w:tcW w:w="1236" w:type="dxa"/>
            <w:tcBorders>
              <w:top w:val="nil"/>
              <w:left w:val="nil"/>
              <w:bottom w:val="single" w:sz="8" w:space="0" w:color="4472C4"/>
              <w:right w:val="single" w:sz="8" w:space="0" w:color="4472C4"/>
            </w:tcBorders>
            <w:shd w:val="clear" w:color="000000" w:fill="4F81BD"/>
            <w:vAlign w:val="center"/>
            <w:hideMark/>
          </w:tcPr>
          <w:p w14:paraId="194F9E35"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 xml:space="preserve">30/06/2021 </w:t>
            </w:r>
            <w:r w:rsidRPr="00A65152">
              <w:rPr>
                <w:rFonts w:ascii="Arial" w:hAnsi="Arial" w:cs="Arial"/>
                <w:b/>
                <w:bCs/>
                <w:color w:val="FFFFFF" w:themeColor="background1"/>
                <w:sz w:val="20"/>
                <w:szCs w:val="20"/>
                <w:vertAlign w:val="superscript"/>
                <w:lang w:val="es-CR" w:eastAsia="es-CR"/>
              </w:rPr>
              <w:t>/1</w:t>
            </w:r>
          </w:p>
        </w:tc>
        <w:tc>
          <w:tcPr>
            <w:tcW w:w="1236" w:type="dxa"/>
            <w:tcBorders>
              <w:top w:val="nil"/>
              <w:left w:val="nil"/>
              <w:bottom w:val="single" w:sz="8" w:space="0" w:color="4472C4"/>
              <w:right w:val="single" w:sz="8" w:space="0" w:color="4472C4"/>
            </w:tcBorders>
            <w:shd w:val="clear" w:color="000000" w:fill="4F81BD"/>
            <w:vAlign w:val="center"/>
            <w:hideMark/>
          </w:tcPr>
          <w:p w14:paraId="1E75106D"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 xml:space="preserve">31/12/2021 </w:t>
            </w:r>
            <w:r w:rsidRPr="00A65152">
              <w:rPr>
                <w:rFonts w:ascii="Arial" w:hAnsi="Arial" w:cs="Arial"/>
                <w:b/>
                <w:bCs/>
                <w:color w:val="FFFFFF" w:themeColor="background1"/>
                <w:sz w:val="20"/>
                <w:szCs w:val="20"/>
                <w:vertAlign w:val="superscript"/>
                <w:lang w:val="es-CR" w:eastAsia="es-CR"/>
              </w:rPr>
              <w:t>/2</w:t>
            </w:r>
          </w:p>
        </w:tc>
        <w:tc>
          <w:tcPr>
            <w:tcW w:w="329" w:type="dxa"/>
            <w:tcBorders>
              <w:top w:val="nil"/>
              <w:left w:val="nil"/>
              <w:bottom w:val="single" w:sz="8" w:space="0" w:color="4472C4"/>
              <w:right w:val="single" w:sz="8" w:space="0" w:color="4472C4"/>
            </w:tcBorders>
            <w:shd w:val="clear" w:color="000000" w:fill="4F81BD"/>
            <w:vAlign w:val="center"/>
            <w:hideMark/>
          </w:tcPr>
          <w:p w14:paraId="0C03EFC8"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1</w:t>
            </w:r>
          </w:p>
        </w:tc>
        <w:tc>
          <w:tcPr>
            <w:tcW w:w="317" w:type="dxa"/>
            <w:tcBorders>
              <w:top w:val="nil"/>
              <w:left w:val="nil"/>
              <w:bottom w:val="single" w:sz="8" w:space="0" w:color="4472C4"/>
              <w:right w:val="single" w:sz="8" w:space="0" w:color="4472C4"/>
            </w:tcBorders>
            <w:shd w:val="clear" w:color="000000" w:fill="4F81BD"/>
            <w:vAlign w:val="center"/>
            <w:hideMark/>
          </w:tcPr>
          <w:p w14:paraId="0E127864"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2</w:t>
            </w:r>
          </w:p>
        </w:tc>
        <w:tc>
          <w:tcPr>
            <w:tcW w:w="317" w:type="dxa"/>
            <w:tcBorders>
              <w:top w:val="nil"/>
              <w:left w:val="nil"/>
              <w:bottom w:val="single" w:sz="8" w:space="0" w:color="4472C4"/>
              <w:right w:val="single" w:sz="8" w:space="0" w:color="4472C4"/>
            </w:tcBorders>
            <w:shd w:val="clear" w:color="000000" w:fill="4F81BD"/>
            <w:vAlign w:val="center"/>
            <w:hideMark/>
          </w:tcPr>
          <w:p w14:paraId="75A158A9"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3</w:t>
            </w:r>
          </w:p>
        </w:tc>
        <w:tc>
          <w:tcPr>
            <w:tcW w:w="328" w:type="dxa"/>
            <w:tcBorders>
              <w:top w:val="nil"/>
              <w:left w:val="nil"/>
              <w:bottom w:val="single" w:sz="8" w:space="0" w:color="4472C4"/>
              <w:right w:val="single" w:sz="8" w:space="0" w:color="4472C4"/>
            </w:tcBorders>
            <w:shd w:val="clear" w:color="000000" w:fill="4F81BD"/>
            <w:vAlign w:val="center"/>
            <w:hideMark/>
          </w:tcPr>
          <w:p w14:paraId="49D33E69"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4</w:t>
            </w:r>
          </w:p>
        </w:tc>
        <w:tc>
          <w:tcPr>
            <w:tcW w:w="329" w:type="dxa"/>
            <w:tcBorders>
              <w:top w:val="nil"/>
              <w:left w:val="nil"/>
              <w:bottom w:val="single" w:sz="8" w:space="0" w:color="4472C4"/>
              <w:right w:val="single" w:sz="8" w:space="0" w:color="4472C4"/>
            </w:tcBorders>
            <w:shd w:val="clear" w:color="000000" w:fill="4F81BD"/>
            <w:vAlign w:val="center"/>
            <w:hideMark/>
          </w:tcPr>
          <w:p w14:paraId="480E1517"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5</w:t>
            </w:r>
          </w:p>
        </w:tc>
        <w:tc>
          <w:tcPr>
            <w:tcW w:w="329" w:type="dxa"/>
            <w:tcBorders>
              <w:top w:val="nil"/>
              <w:left w:val="nil"/>
              <w:bottom w:val="single" w:sz="8" w:space="0" w:color="4472C4"/>
              <w:right w:val="single" w:sz="8" w:space="0" w:color="4472C4"/>
            </w:tcBorders>
            <w:shd w:val="clear" w:color="000000" w:fill="4F81BD"/>
            <w:vAlign w:val="center"/>
            <w:hideMark/>
          </w:tcPr>
          <w:p w14:paraId="5F4BF01D"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6</w:t>
            </w:r>
          </w:p>
        </w:tc>
        <w:tc>
          <w:tcPr>
            <w:tcW w:w="317" w:type="dxa"/>
            <w:tcBorders>
              <w:top w:val="nil"/>
              <w:left w:val="nil"/>
              <w:bottom w:val="single" w:sz="8" w:space="0" w:color="4472C4"/>
              <w:right w:val="single" w:sz="8" w:space="0" w:color="4472C4"/>
            </w:tcBorders>
            <w:shd w:val="clear" w:color="000000" w:fill="4F81BD"/>
            <w:vAlign w:val="center"/>
            <w:hideMark/>
          </w:tcPr>
          <w:p w14:paraId="7F4783CA"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7</w:t>
            </w:r>
          </w:p>
        </w:tc>
        <w:tc>
          <w:tcPr>
            <w:tcW w:w="317" w:type="dxa"/>
            <w:tcBorders>
              <w:top w:val="nil"/>
              <w:left w:val="nil"/>
              <w:bottom w:val="single" w:sz="8" w:space="0" w:color="4472C4"/>
              <w:right w:val="single" w:sz="8" w:space="0" w:color="4472C4"/>
            </w:tcBorders>
            <w:shd w:val="clear" w:color="000000" w:fill="4F81BD"/>
            <w:vAlign w:val="center"/>
            <w:hideMark/>
          </w:tcPr>
          <w:p w14:paraId="7597D4DD"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8</w:t>
            </w:r>
          </w:p>
        </w:tc>
        <w:tc>
          <w:tcPr>
            <w:tcW w:w="329" w:type="dxa"/>
            <w:tcBorders>
              <w:top w:val="nil"/>
              <w:left w:val="nil"/>
              <w:bottom w:val="single" w:sz="8" w:space="0" w:color="4472C4"/>
              <w:right w:val="single" w:sz="8" w:space="0" w:color="4472C4"/>
            </w:tcBorders>
            <w:shd w:val="clear" w:color="000000" w:fill="4F81BD"/>
            <w:vAlign w:val="center"/>
            <w:hideMark/>
          </w:tcPr>
          <w:p w14:paraId="5CCE257C"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9</w:t>
            </w:r>
          </w:p>
        </w:tc>
        <w:tc>
          <w:tcPr>
            <w:tcW w:w="363" w:type="dxa"/>
            <w:tcBorders>
              <w:top w:val="nil"/>
              <w:left w:val="nil"/>
              <w:bottom w:val="single" w:sz="8" w:space="0" w:color="4472C4"/>
              <w:right w:val="single" w:sz="8" w:space="0" w:color="4472C4"/>
            </w:tcBorders>
            <w:shd w:val="clear" w:color="000000" w:fill="4F81BD"/>
            <w:vAlign w:val="center"/>
            <w:hideMark/>
          </w:tcPr>
          <w:p w14:paraId="6B80E1FB"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10</w:t>
            </w:r>
          </w:p>
        </w:tc>
        <w:tc>
          <w:tcPr>
            <w:tcW w:w="2072" w:type="dxa"/>
            <w:tcBorders>
              <w:top w:val="nil"/>
              <w:left w:val="nil"/>
              <w:bottom w:val="single" w:sz="8" w:space="0" w:color="4472C4"/>
              <w:right w:val="single" w:sz="8" w:space="0" w:color="4472C4"/>
            </w:tcBorders>
            <w:shd w:val="clear" w:color="000000" w:fill="4F81BD"/>
            <w:vAlign w:val="center"/>
            <w:hideMark/>
          </w:tcPr>
          <w:p w14:paraId="4A6A5584" w14:textId="77777777" w:rsidR="00A65152" w:rsidRPr="00A65152" w:rsidRDefault="00A65152" w:rsidP="00A65152">
            <w:pPr>
              <w:spacing w:line="360" w:lineRule="auto"/>
              <w:jc w:val="center"/>
              <w:rPr>
                <w:rFonts w:ascii="Arial" w:hAnsi="Arial" w:cs="Arial"/>
                <w:b/>
                <w:bCs/>
                <w:color w:val="FFFFFF" w:themeColor="background1"/>
                <w:sz w:val="20"/>
                <w:szCs w:val="20"/>
                <w:lang w:val="es-CR" w:eastAsia="es-CR"/>
              </w:rPr>
            </w:pPr>
            <w:r w:rsidRPr="00A65152">
              <w:rPr>
                <w:rFonts w:ascii="Arial" w:hAnsi="Arial" w:cs="Arial"/>
                <w:b/>
                <w:bCs/>
                <w:color w:val="FFFFFF" w:themeColor="background1"/>
                <w:sz w:val="20"/>
                <w:szCs w:val="20"/>
                <w:lang w:val="es-CR" w:eastAsia="es-CR"/>
              </w:rPr>
              <w:t xml:space="preserve">Descripción </w:t>
            </w:r>
            <w:r w:rsidRPr="00A65152">
              <w:rPr>
                <w:rFonts w:ascii="Arial" w:hAnsi="Arial" w:cs="Arial"/>
                <w:b/>
                <w:bCs/>
                <w:color w:val="FFFFFF" w:themeColor="background1"/>
                <w:sz w:val="20"/>
                <w:szCs w:val="20"/>
                <w:vertAlign w:val="superscript"/>
                <w:lang w:val="es-CR" w:eastAsia="es-CR"/>
              </w:rPr>
              <w:t>/3</w:t>
            </w:r>
          </w:p>
        </w:tc>
      </w:tr>
      <w:tr w:rsidR="00A65152" w:rsidRPr="00A65152" w14:paraId="2098BF50" w14:textId="77777777" w:rsidTr="00465D52">
        <w:trPr>
          <w:trHeight w:val="336"/>
        </w:trPr>
        <w:tc>
          <w:tcPr>
            <w:tcW w:w="1952" w:type="dxa"/>
            <w:tcBorders>
              <w:top w:val="nil"/>
              <w:left w:val="single" w:sz="8" w:space="0" w:color="4472C4"/>
              <w:bottom w:val="single" w:sz="8" w:space="0" w:color="4472C4"/>
              <w:right w:val="single" w:sz="8" w:space="0" w:color="4472C4"/>
            </w:tcBorders>
            <w:shd w:val="clear" w:color="auto" w:fill="auto"/>
            <w:vAlign w:val="center"/>
            <w:hideMark/>
          </w:tcPr>
          <w:p w14:paraId="27127874" w14:textId="77777777" w:rsidR="00A65152" w:rsidRPr="00A65152" w:rsidRDefault="00A65152" w:rsidP="00A65152">
            <w:pPr>
              <w:spacing w:line="360" w:lineRule="auto"/>
              <w:rPr>
                <w:rFonts w:ascii="Arial" w:hAnsi="Arial" w:cs="Arial"/>
                <w:sz w:val="20"/>
                <w:szCs w:val="20"/>
                <w:lang w:val="es-CR" w:eastAsia="es-CR"/>
              </w:rPr>
            </w:pPr>
            <w:r w:rsidRPr="00A65152">
              <w:rPr>
                <w:rFonts w:ascii="Arial" w:hAnsi="Arial" w:cs="Arial"/>
                <w:sz w:val="20"/>
                <w:szCs w:val="20"/>
                <w:lang w:val="es-CR" w:eastAsia="es-CR"/>
              </w:rPr>
              <w:t>Servicios</w:t>
            </w:r>
          </w:p>
        </w:tc>
        <w:tc>
          <w:tcPr>
            <w:tcW w:w="1236" w:type="dxa"/>
            <w:tcBorders>
              <w:top w:val="nil"/>
              <w:left w:val="nil"/>
              <w:bottom w:val="single" w:sz="8" w:space="0" w:color="4472C4"/>
              <w:right w:val="single" w:sz="8" w:space="0" w:color="4472C4"/>
            </w:tcBorders>
            <w:shd w:val="clear" w:color="auto" w:fill="auto"/>
            <w:vAlign w:val="center"/>
            <w:hideMark/>
          </w:tcPr>
          <w:p w14:paraId="0AA3CE4A"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40,48%</w:t>
            </w:r>
          </w:p>
        </w:tc>
        <w:tc>
          <w:tcPr>
            <w:tcW w:w="1236" w:type="dxa"/>
            <w:tcBorders>
              <w:top w:val="nil"/>
              <w:left w:val="nil"/>
              <w:bottom w:val="single" w:sz="8" w:space="0" w:color="4472C4"/>
              <w:right w:val="single" w:sz="8" w:space="0" w:color="4472C4"/>
            </w:tcBorders>
            <w:shd w:val="clear" w:color="auto" w:fill="auto"/>
            <w:vAlign w:val="center"/>
            <w:hideMark/>
          </w:tcPr>
          <w:p w14:paraId="492D9FAF"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88,80%</w:t>
            </w:r>
          </w:p>
        </w:tc>
        <w:tc>
          <w:tcPr>
            <w:tcW w:w="329" w:type="dxa"/>
            <w:tcBorders>
              <w:top w:val="nil"/>
              <w:left w:val="nil"/>
              <w:bottom w:val="single" w:sz="8" w:space="0" w:color="4472C4"/>
              <w:right w:val="single" w:sz="8" w:space="0" w:color="4472C4"/>
            </w:tcBorders>
            <w:shd w:val="clear" w:color="auto" w:fill="auto"/>
            <w:vAlign w:val="center"/>
          </w:tcPr>
          <w:p w14:paraId="7653DC41"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0A35A819" w14:textId="77777777" w:rsidR="00A65152" w:rsidRPr="00A65152" w:rsidRDefault="00A65152" w:rsidP="00A65152">
            <w:pPr>
              <w:spacing w:line="360" w:lineRule="auto"/>
              <w:jc w:val="center"/>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477E6B92" w14:textId="77777777" w:rsidR="00A65152" w:rsidRPr="00A65152" w:rsidRDefault="00A65152" w:rsidP="00A65152">
            <w:pPr>
              <w:spacing w:line="360" w:lineRule="auto"/>
              <w:jc w:val="center"/>
              <w:rPr>
                <w:rFonts w:ascii="Arial" w:hAnsi="Arial" w:cs="Arial"/>
                <w:sz w:val="20"/>
                <w:szCs w:val="20"/>
                <w:lang w:val="es-CR" w:eastAsia="es-CR"/>
              </w:rPr>
            </w:pPr>
          </w:p>
        </w:tc>
        <w:tc>
          <w:tcPr>
            <w:tcW w:w="328" w:type="dxa"/>
            <w:tcBorders>
              <w:top w:val="nil"/>
              <w:left w:val="nil"/>
              <w:bottom w:val="single" w:sz="8" w:space="0" w:color="4472C4"/>
              <w:right w:val="single" w:sz="8" w:space="0" w:color="4472C4"/>
            </w:tcBorders>
            <w:shd w:val="clear" w:color="auto" w:fill="auto"/>
            <w:vAlign w:val="center"/>
          </w:tcPr>
          <w:p w14:paraId="57F1AB7C" w14:textId="77777777" w:rsidR="00A65152" w:rsidRPr="00A65152" w:rsidRDefault="00A65152" w:rsidP="00A65152">
            <w:pPr>
              <w:spacing w:line="360" w:lineRule="auto"/>
              <w:jc w:val="center"/>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6D4CA004"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w:t>
            </w:r>
          </w:p>
        </w:tc>
        <w:tc>
          <w:tcPr>
            <w:tcW w:w="329" w:type="dxa"/>
            <w:tcBorders>
              <w:top w:val="nil"/>
              <w:left w:val="nil"/>
              <w:bottom w:val="single" w:sz="8" w:space="0" w:color="4472C4"/>
              <w:right w:val="single" w:sz="8" w:space="0" w:color="4472C4"/>
            </w:tcBorders>
            <w:shd w:val="clear" w:color="auto" w:fill="auto"/>
            <w:vAlign w:val="center"/>
          </w:tcPr>
          <w:p w14:paraId="2FA3AFD7"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359DA4A5" w14:textId="77777777" w:rsidR="00A65152" w:rsidRPr="00A65152" w:rsidRDefault="00A65152" w:rsidP="00A65152">
            <w:pPr>
              <w:spacing w:line="360" w:lineRule="auto"/>
              <w:jc w:val="center"/>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7BC22A1A" w14:textId="77777777" w:rsidR="00A65152" w:rsidRPr="00A65152" w:rsidRDefault="00A65152" w:rsidP="00A65152">
            <w:pPr>
              <w:spacing w:line="360" w:lineRule="auto"/>
              <w:jc w:val="center"/>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62D61151"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w:t>
            </w:r>
          </w:p>
        </w:tc>
        <w:tc>
          <w:tcPr>
            <w:tcW w:w="363" w:type="dxa"/>
            <w:tcBorders>
              <w:top w:val="nil"/>
              <w:left w:val="nil"/>
              <w:bottom w:val="single" w:sz="8" w:space="0" w:color="4472C4"/>
              <w:right w:val="single" w:sz="8" w:space="0" w:color="4472C4"/>
            </w:tcBorders>
            <w:shd w:val="clear" w:color="auto" w:fill="auto"/>
            <w:vAlign w:val="center"/>
            <w:hideMark/>
          </w:tcPr>
          <w:p w14:paraId="49634397"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 </w:t>
            </w:r>
          </w:p>
        </w:tc>
        <w:tc>
          <w:tcPr>
            <w:tcW w:w="2072" w:type="dxa"/>
            <w:tcBorders>
              <w:top w:val="nil"/>
              <w:left w:val="nil"/>
              <w:bottom w:val="single" w:sz="8" w:space="0" w:color="4472C4"/>
              <w:right w:val="single" w:sz="8" w:space="0" w:color="4472C4"/>
            </w:tcBorders>
            <w:shd w:val="clear" w:color="auto" w:fill="auto"/>
            <w:vAlign w:val="center"/>
            <w:hideMark/>
          </w:tcPr>
          <w:p w14:paraId="0024D8AB"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 xml:space="preserve">Con respecto al factor No.9 corresponde al artículo No.7 Normas de Ejecución presupuestarias, punto 1 de la Ley de Presupuesto No.9926, inflexibilidad de realizar modificaciones externas entre partidas, lo que imposibilita a la Institución redireccionar los recursos para cubrir necesidades apremiantes. El factor No.10 corresponde a los trámites de contratación que se realizaron pero que quedaron pendientes de entrega por parte del proveedor al final </w:t>
            </w:r>
            <w:r w:rsidRPr="00A65152">
              <w:rPr>
                <w:rFonts w:ascii="Arial" w:hAnsi="Arial" w:cs="Arial"/>
                <w:sz w:val="20"/>
                <w:szCs w:val="20"/>
                <w:lang w:val="es-CR" w:eastAsia="es-CR"/>
              </w:rPr>
              <w:lastRenderedPageBreak/>
              <w:t>el semestre y se trasladaron como compromiso no devengado, así como contrataciones infructuosas debido a definiciones de especificaciones técnicas que no se ajustan a los requerimientos de la Institución.</w:t>
            </w:r>
          </w:p>
        </w:tc>
      </w:tr>
      <w:tr w:rsidR="00A65152" w:rsidRPr="00A65152" w14:paraId="4269D669" w14:textId="77777777" w:rsidTr="00465D52">
        <w:trPr>
          <w:trHeight w:val="336"/>
        </w:trPr>
        <w:tc>
          <w:tcPr>
            <w:tcW w:w="1952" w:type="dxa"/>
            <w:tcBorders>
              <w:top w:val="nil"/>
              <w:left w:val="single" w:sz="8" w:space="0" w:color="4472C4"/>
              <w:bottom w:val="single" w:sz="8" w:space="0" w:color="4472C4"/>
              <w:right w:val="single" w:sz="8" w:space="0" w:color="4472C4"/>
            </w:tcBorders>
            <w:shd w:val="clear" w:color="auto" w:fill="auto"/>
            <w:vAlign w:val="center"/>
            <w:hideMark/>
          </w:tcPr>
          <w:p w14:paraId="1EF01378" w14:textId="77777777" w:rsidR="00A65152" w:rsidRPr="00A65152" w:rsidRDefault="00A65152" w:rsidP="00A65152">
            <w:pPr>
              <w:spacing w:line="360" w:lineRule="auto"/>
              <w:rPr>
                <w:rFonts w:ascii="Arial" w:hAnsi="Arial" w:cs="Arial"/>
                <w:sz w:val="20"/>
                <w:szCs w:val="20"/>
                <w:lang w:val="es-CR" w:eastAsia="es-CR"/>
              </w:rPr>
            </w:pPr>
            <w:r w:rsidRPr="00A65152">
              <w:rPr>
                <w:rFonts w:ascii="Arial" w:hAnsi="Arial" w:cs="Arial"/>
                <w:sz w:val="20"/>
                <w:szCs w:val="20"/>
                <w:lang w:val="es-CR" w:eastAsia="es-CR"/>
              </w:rPr>
              <w:lastRenderedPageBreak/>
              <w:t>Materiales y Suministros</w:t>
            </w:r>
          </w:p>
        </w:tc>
        <w:tc>
          <w:tcPr>
            <w:tcW w:w="1236" w:type="dxa"/>
            <w:tcBorders>
              <w:top w:val="nil"/>
              <w:left w:val="nil"/>
              <w:bottom w:val="single" w:sz="8" w:space="0" w:color="4472C4"/>
              <w:right w:val="single" w:sz="8" w:space="0" w:color="4472C4"/>
            </w:tcBorders>
            <w:shd w:val="clear" w:color="auto" w:fill="auto"/>
            <w:vAlign w:val="center"/>
            <w:hideMark/>
          </w:tcPr>
          <w:p w14:paraId="7B279551"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24,01%</w:t>
            </w:r>
          </w:p>
        </w:tc>
        <w:tc>
          <w:tcPr>
            <w:tcW w:w="1236" w:type="dxa"/>
            <w:tcBorders>
              <w:top w:val="nil"/>
              <w:left w:val="nil"/>
              <w:bottom w:val="single" w:sz="8" w:space="0" w:color="4472C4"/>
              <w:right w:val="single" w:sz="8" w:space="0" w:color="4472C4"/>
            </w:tcBorders>
            <w:shd w:val="clear" w:color="auto" w:fill="auto"/>
            <w:vAlign w:val="center"/>
            <w:hideMark/>
          </w:tcPr>
          <w:p w14:paraId="38984381"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80,44%</w:t>
            </w:r>
          </w:p>
        </w:tc>
        <w:tc>
          <w:tcPr>
            <w:tcW w:w="329" w:type="dxa"/>
            <w:tcBorders>
              <w:top w:val="nil"/>
              <w:left w:val="nil"/>
              <w:bottom w:val="single" w:sz="8" w:space="0" w:color="4472C4"/>
              <w:right w:val="single" w:sz="8" w:space="0" w:color="4472C4"/>
            </w:tcBorders>
            <w:shd w:val="clear" w:color="auto" w:fill="auto"/>
            <w:vAlign w:val="center"/>
          </w:tcPr>
          <w:p w14:paraId="4462881A"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130C17ED" w14:textId="77777777" w:rsidR="00A65152" w:rsidRPr="00A65152" w:rsidRDefault="00A65152" w:rsidP="00A65152">
            <w:pPr>
              <w:spacing w:line="360" w:lineRule="auto"/>
              <w:jc w:val="both"/>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51FEA7B4" w14:textId="77777777" w:rsidR="00A65152" w:rsidRPr="00A65152" w:rsidRDefault="00A65152" w:rsidP="00A65152">
            <w:pPr>
              <w:spacing w:line="360" w:lineRule="auto"/>
              <w:jc w:val="both"/>
              <w:rPr>
                <w:rFonts w:ascii="Arial" w:hAnsi="Arial" w:cs="Arial"/>
                <w:sz w:val="20"/>
                <w:szCs w:val="20"/>
                <w:lang w:val="es-CR" w:eastAsia="es-CR"/>
              </w:rPr>
            </w:pPr>
          </w:p>
        </w:tc>
        <w:tc>
          <w:tcPr>
            <w:tcW w:w="328" w:type="dxa"/>
            <w:tcBorders>
              <w:top w:val="nil"/>
              <w:left w:val="nil"/>
              <w:bottom w:val="single" w:sz="8" w:space="0" w:color="4472C4"/>
              <w:right w:val="single" w:sz="8" w:space="0" w:color="4472C4"/>
            </w:tcBorders>
            <w:shd w:val="clear" w:color="auto" w:fill="auto"/>
            <w:vAlign w:val="center"/>
          </w:tcPr>
          <w:p w14:paraId="31747E9B" w14:textId="77777777" w:rsidR="00A65152" w:rsidRPr="00A65152" w:rsidRDefault="00A65152" w:rsidP="00A65152">
            <w:pPr>
              <w:spacing w:line="360" w:lineRule="auto"/>
              <w:jc w:val="both"/>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5D29CE75"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X</w:t>
            </w:r>
          </w:p>
        </w:tc>
        <w:tc>
          <w:tcPr>
            <w:tcW w:w="329" w:type="dxa"/>
            <w:tcBorders>
              <w:top w:val="nil"/>
              <w:left w:val="nil"/>
              <w:bottom w:val="single" w:sz="8" w:space="0" w:color="4472C4"/>
              <w:right w:val="single" w:sz="8" w:space="0" w:color="4472C4"/>
            </w:tcBorders>
            <w:shd w:val="clear" w:color="auto" w:fill="auto"/>
            <w:vAlign w:val="center"/>
          </w:tcPr>
          <w:p w14:paraId="27E249A7"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2F305BC5" w14:textId="77777777" w:rsidR="00A65152" w:rsidRPr="00A65152" w:rsidRDefault="00A65152" w:rsidP="00A65152">
            <w:pPr>
              <w:spacing w:line="360" w:lineRule="auto"/>
              <w:jc w:val="both"/>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6D3D4EB5" w14:textId="77777777" w:rsidR="00A65152" w:rsidRPr="00A65152" w:rsidRDefault="00A65152" w:rsidP="00A65152">
            <w:pPr>
              <w:spacing w:line="360" w:lineRule="auto"/>
              <w:jc w:val="both"/>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64017428"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X</w:t>
            </w:r>
          </w:p>
        </w:tc>
        <w:tc>
          <w:tcPr>
            <w:tcW w:w="363" w:type="dxa"/>
            <w:tcBorders>
              <w:top w:val="nil"/>
              <w:left w:val="nil"/>
              <w:bottom w:val="single" w:sz="8" w:space="0" w:color="4472C4"/>
              <w:right w:val="single" w:sz="8" w:space="0" w:color="4472C4"/>
            </w:tcBorders>
            <w:shd w:val="clear" w:color="auto" w:fill="auto"/>
            <w:vAlign w:val="center"/>
            <w:hideMark/>
          </w:tcPr>
          <w:p w14:paraId="26D20CDB"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 X</w:t>
            </w:r>
          </w:p>
        </w:tc>
        <w:tc>
          <w:tcPr>
            <w:tcW w:w="2072" w:type="dxa"/>
            <w:tcBorders>
              <w:top w:val="nil"/>
              <w:left w:val="nil"/>
              <w:bottom w:val="single" w:sz="8" w:space="0" w:color="4472C4"/>
              <w:right w:val="single" w:sz="8" w:space="0" w:color="4472C4"/>
            </w:tcBorders>
            <w:shd w:val="clear" w:color="auto" w:fill="auto"/>
            <w:vAlign w:val="center"/>
            <w:hideMark/>
          </w:tcPr>
          <w:p w14:paraId="6343FDBB"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 Se mantiene la misma justificación dada en la partida 1 Servicios.</w:t>
            </w:r>
          </w:p>
        </w:tc>
      </w:tr>
      <w:tr w:rsidR="00A65152" w:rsidRPr="00A65152" w14:paraId="2BD24FC8" w14:textId="77777777" w:rsidTr="00465D52">
        <w:trPr>
          <w:trHeight w:val="336"/>
        </w:trPr>
        <w:tc>
          <w:tcPr>
            <w:tcW w:w="1952" w:type="dxa"/>
            <w:tcBorders>
              <w:top w:val="nil"/>
              <w:left w:val="single" w:sz="8" w:space="0" w:color="4472C4"/>
              <w:bottom w:val="single" w:sz="8" w:space="0" w:color="4472C4"/>
              <w:right w:val="single" w:sz="8" w:space="0" w:color="4472C4"/>
            </w:tcBorders>
            <w:shd w:val="clear" w:color="auto" w:fill="auto"/>
            <w:vAlign w:val="center"/>
            <w:hideMark/>
          </w:tcPr>
          <w:p w14:paraId="71534E10"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Bienes Duraderos</w:t>
            </w:r>
          </w:p>
        </w:tc>
        <w:tc>
          <w:tcPr>
            <w:tcW w:w="1236" w:type="dxa"/>
            <w:tcBorders>
              <w:top w:val="nil"/>
              <w:left w:val="nil"/>
              <w:bottom w:val="single" w:sz="8" w:space="0" w:color="4472C4"/>
              <w:right w:val="single" w:sz="8" w:space="0" w:color="4472C4"/>
            </w:tcBorders>
            <w:shd w:val="clear" w:color="auto" w:fill="auto"/>
            <w:vAlign w:val="center"/>
            <w:hideMark/>
          </w:tcPr>
          <w:p w14:paraId="23E6A670"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21,71% </w:t>
            </w:r>
          </w:p>
        </w:tc>
        <w:tc>
          <w:tcPr>
            <w:tcW w:w="1236" w:type="dxa"/>
            <w:tcBorders>
              <w:top w:val="nil"/>
              <w:left w:val="nil"/>
              <w:bottom w:val="single" w:sz="8" w:space="0" w:color="4472C4"/>
              <w:right w:val="single" w:sz="8" w:space="0" w:color="4472C4"/>
            </w:tcBorders>
            <w:shd w:val="clear" w:color="auto" w:fill="auto"/>
            <w:vAlign w:val="center"/>
            <w:hideMark/>
          </w:tcPr>
          <w:p w14:paraId="628BDC72"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77,29% </w:t>
            </w:r>
          </w:p>
        </w:tc>
        <w:tc>
          <w:tcPr>
            <w:tcW w:w="329" w:type="dxa"/>
            <w:tcBorders>
              <w:top w:val="nil"/>
              <w:left w:val="nil"/>
              <w:bottom w:val="single" w:sz="8" w:space="0" w:color="4472C4"/>
              <w:right w:val="single" w:sz="8" w:space="0" w:color="4472C4"/>
            </w:tcBorders>
            <w:shd w:val="clear" w:color="auto" w:fill="auto"/>
            <w:vAlign w:val="center"/>
            <w:hideMark/>
          </w:tcPr>
          <w:p w14:paraId="2A94DF60"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X</w:t>
            </w:r>
          </w:p>
        </w:tc>
        <w:tc>
          <w:tcPr>
            <w:tcW w:w="317" w:type="dxa"/>
            <w:tcBorders>
              <w:top w:val="nil"/>
              <w:left w:val="nil"/>
              <w:bottom w:val="single" w:sz="8" w:space="0" w:color="4472C4"/>
              <w:right w:val="single" w:sz="8" w:space="0" w:color="4472C4"/>
            </w:tcBorders>
            <w:shd w:val="clear" w:color="auto" w:fill="auto"/>
            <w:vAlign w:val="center"/>
            <w:hideMark/>
          </w:tcPr>
          <w:p w14:paraId="2C4A372C"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w:t>
            </w:r>
          </w:p>
        </w:tc>
        <w:tc>
          <w:tcPr>
            <w:tcW w:w="317" w:type="dxa"/>
            <w:tcBorders>
              <w:top w:val="nil"/>
              <w:left w:val="nil"/>
              <w:bottom w:val="single" w:sz="8" w:space="0" w:color="4472C4"/>
              <w:right w:val="single" w:sz="8" w:space="0" w:color="4472C4"/>
            </w:tcBorders>
            <w:shd w:val="clear" w:color="auto" w:fill="auto"/>
            <w:vAlign w:val="center"/>
            <w:hideMark/>
          </w:tcPr>
          <w:p w14:paraId="36336FE5"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w:t>
            </w:r>
          </w:p>
        </w:tc>
        <w:tc>
          <w:tcPr>
            <w:tcW w:w="328" w:type="dxa"/>
            <w:tcBorders>
              <w:top w:val="nil"/>
              <w:left w:val="nil"/>
              <w:bottom w:val="single" w:sz="8" w:space="0" w:color="4472C4"/>
              <w:right w:val="single" w:sz="8" w:space="0" w:color="4472C4"/>
            </w:tcBorders>
            <w:shd w:val="clear" w:color="auto" w:fill="auto"/>
            <w:vAlign w:val="center"/>
            <w:hideMark/>
          </w:tcPr>
          <w:p w14:paraId="6E588705"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5540BB0F"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 </w:t>
            </w:r>
          </w:p>
        </w:tc>
        <w:tc>
          <w:tcPr>
            <w:tcW w:w="329" w:type="dxa"/>
            <w:tcBorders>
              <w:top w:val="nil"/>
              <w:left w:val="nil"/>
              <w:bottom w:val="single" w:sz="8" w:space="0" w:color="4472C4"/>
              <w:right w:val="single" w:sz="8" w:space="0" w:color="4472C4"/>
            </w:tcBorders>
            <w:shd w:val="clear" w:color="auto" w:fill="auto"/>
            <w:vAlign w:val="center"/>
            <w:hideMark/>
          </w:tcPr>
          <w:p w14:paraId="2F550C30"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 </w:t>
            </w:r>
          </w:p>
        </w:tc>
        <w:tc>
          <w:tcPr>
            <w:tcW w:w="317" w:type="dxa"/>
            <w:tcBorders>
              <w:top w:val="nil"/>
              <w:left w:val="nil"/>
              <w:bottom w:val="single" w:sz="8" w:space="0" w:color="4472C4"/>
              <w:right w:val="single" w:sz="8" w:space="0" w:color="4472C4"/>
            </w:tcBorders>
            <w:shd w:val="clear" w:color="auto" w:fill="auto"/>
            <w:vAlign w:val="center"/>
            <w:hideMark/>
          </w:tcPr>
          <w:p w14:paraId="6CC149D4"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w:t>
            </w:r>
          </w:p>
        </w:tc>
        <w:tc>
          <w:tcPr>
            <w:tcW w:w="317" w:type="dxa"/>
            <w:tcBorders>
              <w:top w:val="nil"/>
              <w:left w:val="nil"/>
              <w:bottom w:val="single" w:sz="8" w:space="0" w:color="4472C4"/>
              <w:right w:val="single" w:sz="8" w:space="0" w:color="4472C4"/>
            </w:tcBorders>
            <w:shd w:val="clear" w:color="auto" w:fill="auto"/>
            <w:vAlign w:val="center"/>
            <w:hideMark/>
          </w:tcPr>
          <w:p w14:paraId="4E3A334A"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29CE7FAA"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 X</w:t>
            </w:r>
          </w:p>
        </w:tc>
        <w:tc>
          <w:tcPr>
            <w:tcW w:w="363" w:type="dxa"/>
            <w:tcBorders>
              <w:top w:val="nil"/>
              <w:left w:val="nil"/>
              <w:bottom w:val="single" w:sz="8" w:space="0" w:color="4472C4"/>
              <w:right w:val="single" w:sz="8" w:space="0" w:color="4472C4"/>
            </w:tcBorders>
            <w:shd w:val="clear" w:color="auto" w:fill="auto"/>
            <w:vAlign w:val="center"/>
            <w:hideMark/>
          </w:tcPr>
          <w:p w14:paraId="7204782B" w14:textId="77777777" w:rsidR="00A65152" w:rsidRPr="00A65152" w:rsidRDefault="00A65152" w:rsidP="00A65152">
            <w:pPr>
              <w:spacing w:line="360" w:lineRule="auto"/>
              <w:jc w:val="center"/>
              <w:rPr>
                <w:rFonts w:ascii="Arial" w:hAnsi="Arial" w:cs="Arial"/>
                <w:sz w:val="20"/>
                <w:szCs w:val="20"/>
                <w:lang w:val="es-CR" w:eastAsia="es-CR"/>
              </w:rPr>
            </w:pPr>
            <w:r w:rsidRPr="00A65152">
              <w:rPr>
                <w:rFonts w:ascii="Arial" w:hAnsi="Arial" w:cs="Arial"/>
                <w:sz w:val="20"/>
                <w:szCs w:val="20"/>
                <w:lang w:val="es-CR" w:eastAsia="es-CR"/>
              </w:rPr>
              <w:t>X </w:t>
            </w:r>
          </w:p>
        </w:tc>
        <w:tc>
          <w:tcPr>
            <w:tcW w:w="2072" w:type="dxa"/>
            <w:tcBorders>
              <w:top w:val="nil"/>
              <w:left w:val="nil"/>
              <w:bottom w:val="single" w:sz="8" w:space="0" w:color="4472C4"/>
              <w:right w:val="single" w:sz="8" w:space="0" w:color="4472C4"/>
            </w:tcBorders>
            <w:shd w:val="clear" w:color="auto" w:fill="auto"/>
            <w:vAlign w:val="center"/>
            <w:hideMark/>
          </w:tcPr>
          <w:p w14:paraId="3082FA8A" w14:textId="77777777" w:rsidR="00A65152" w:rsidRPr="00A65152" w:rsidRDefault="00A65152" w:rsidP="00A65152">
            <w:pPr>
              <w:spacing w:line="360" w:lineRule="auto"/>
              <w:jc w:val="both"/>
              <w:rPr>
                <w:rFonts w:ascii="Arial" w:hAnsi="Arial" w:cs="Arial"/>
                <w:sz w:val="20"/>
                <w:szCs w:val="20"/>
                <w:lang w:val="es-CR" w:eastAsia="es-CR"/>
              </w:rPr>
            </w:pPr>
            <w:r w:rsidRPr="00A65152">
              <w:rPr>
                <w:rFonts w:ascii="Arial" w:hAnsi="Arial" w:cs="Arial"/>
                <w:sz w:val="20"/>
                <w:szCs w:val="20"/>
                <w:lang w:val="es-CR" w:eastAsia="es-CR"/>
              </w:rPr>
              <w:t> Se mantiene la misma justificación dada en la partida 1 Servicios.</w:t>
            </w:r>
          </w:p>
        </w:tc>
      </w:tr>
    </w:tbl>
    <w:p w14:paraId="5DE9D104" w14:textId="77777777" w:rsidR="00A65152" w:rsidRDefault="00A65152" w:rsidP="002F72EF">
      <w:pPr>
        <w:rPr>
          <w:rFonts w:ascii="Arial" w:hAnsi="Arial" w:cs="Arial"/>
          <w:sz w:val="20"/>
          <w:szCs w:val="20"/>
          <w:lang w:val="es-ES_tradnl"/>
        </w:rPr>
      </w:pPr>
    </w:p>
    <w:p w14:paraId="0CD2A914" w14:textId="77777777" w:rsidR="00A65152" w:rsidRPr="00A65152" w:rsidRDefault="00DA2F0E" w:rsidP="00A65152">
      <w:pPr>
        <w:tabs>
          <w:tab w:val="left" w:pos="2702"/>
        </w:tabs>
        <w:spacing w:line="360" w:lineRule="auto"/>
        <w:rPr>
          <w:rFonts w:ascii="Arial" w:hAnsi="Arial" w:cs="Arial"/>
          <w:color w:val="000000"/>
          <w:sz w:val="20"/>
          <w:szCs w:val="20"/>
          <w:lang w:val="es-CR" w:eastAsia="es-CR"/>
        </w:rPr>
      </w:pPr>
      <w:r w:rsidRPr="00A65152">
        <w:rPr>
          <w:rFonts w:ascii="Arial" w:eastAsiaTheme="minorEastAsia" w:hAnsi="Arial" w:cs="Arial"/>
          <w:b/>
          <w:sz w:val="16"/>
          <w:szCs w:val="20"/>
        </w:rPr>
        <w:t>Fuente</w:t>
      </w:r>
      <w:r w:rsidRPr="00A65152">
        <w:rPr>
          <w:rFonts w:ascii="Arial" w:eastAsiaTheme="minorEastAsia" w:hAnsi="Arial" w:cs="Arial"/>
          <w:sz w:val="16"/>
          <w:szCs w:val="20"/>
        </w:rPr>
        <w:t xml:space="preserve">: </w:t>
      </w:r>
      <w:r w:rsidR="00A65152" w:rsidRPr="00A65152">
        <w:rPr>
          <w:rFonts w:ascii="Arial" w:eastAsiaTheme="minorEastAsia" w:hAnsi="Arial" w:cs="Arial"/>
          <w:sz w:val="16"/>
          <w:szCs w:val="20"/>
          <w:lang w:val="es-ES_tradnl"/>
        </w:rPr>
        <w:t>Liquidación Sistema Módulo de Poderes al 31 de diciembre 2021.</w:t>
      </w:r>
    </w:p>
    <w:p w14:paraId="4D5BEFCE" w14:textId="311BA696" w:rsidR="00DA2F0E" w:rsidRPr="00A65152" w:rsidRDefault="00DA2F0E" w:rsidP="00A65152">
      <w:pPr>
        <w:tabs>
          <w:tab w:val="left" w:pos="2702"/>
        </w:tabs>
        <w:spacing w:line="360" w:lineRule="auto"/>
        <w:rPr>
          <w:rFonts w:ascii="Arial" w:hAnsi="Arial" w:cs="Arial"/>
          <w:color w:val="000000"/>
          <w:sz w:val="20"/>
          <w:szCs w:val="20"/>
          <w:lang w:val="es-CR" w:eastAsia="es-CR"/>
        </w:rPr>
      </w:pPr>
      <w:r w:rsidRPr="00A65152">
        <w:rPr>
          <w:rFonts w:ascii="Arial" w:eastAsiaTheme="minorEastAsia" w:hAnsi="Arial" w:cs="Arial"/>
          <w:sz w:val="16"/>
          <w:szCs w:val="20"/>
          <w:lang w:val="es-ES_tradnl"/>
        </w:rPr>
        <w:t xml:space="preserve">/1 Esta información se obtiene del informe semestral. </w:t>
      </w:r>
    </w:p>
    <w:p w14:paraId="5B0B93FE" w14:textId="77777777" w:rsidR="00DA2F0E" w:rsidRPr="00A65152" w:rsidRDefault="00DA2F0E" w:rsidP="00DA2F0E">
      <w:pPr>
        <w:spacing w:line="259" w:lineRule="auto"/>
        <w:contextualSpacing/>
        <w:jc w:val="both"/>
        <w:rPr>
          <w:rFonts w:ascii="Arial" w:eastAsiaTheme="minorEastAsia" w:hAnsi="Arial" w:cs="Arial"/>
          <w:sz w:val="14"/>
          <w:szCs w:val="20"/>
          <w:lang w:val="es-ES_tradnl"/>
        </w:rPr>
      </w:pPr>
      <w:r w:rsidRPr="00A65152">
        <w:rPr>
          <w:rFonts w:ascii="Arial" w:eastAsiaTheme="minorEastAsia" w:hAnsi="Arial" w:cs="Arial"/>
          <w:sz w:val="16"/>
          <w:szCs w:val="20"/>
          <w:lang w:val="es-ES_tradnl"/>
        </w:rPr>
        <w:t>/2 Esta información se obtiene del archivo Excel remitido por la DGPN, de la hoja “Liquidación”.</w:t>
      </w:r>
    </w:p>
    <w:p w14:paraId="66394F2A" w14:textId="77777777" w:rsidR="00DA2F0E" w:rsidRPr="00DA2F0E" w:rsidRDefault="00DA2F0E" w:rsidP="00DA2F0E">
      <w:pPr>
        <w:spacing w:after="160" w:line="259" w:lineRule="auto"/>
        <w:rPr>
          <w:rFonts w:ascii="Arial" w:eastAsiaTheme="minorEastAsia" w:hAnsi="Arial" w:cs="Arial"/>
          <w:sz w:val="16"/>
          <w:szCs w:val="20"/>
          <w:lang w:val="es-ES_tradnl"/>
        </w:rPr>
      </w:pPr>
      <w:r w:rsidRPr="00A65152">
        <w:rPr>
          <w:rFonts w:ascii="Arial" w:eastAsiaTheme="minorEastAsia" w:hAnsi="Arial" w:cs="Arial"/>
          <w:sz w:val="16"/>
          <w:szCs w:val="20"/>
          <w:lang w:val="es-ES_tradnl"/>
        </w:rPr>
        <w:t>/3 Indicar directriz, norma o descripción del factor “Otros”.</w:t>
      </w:r>
    </w:p>
    <w:p w14:paraId="0063C3A5" w14:textId="4BCB6D3E" w:rsidR="001A7D47" w:rsidRDefault="001A7D47" w:rsidP="00CB11BE">
      <w:pPr>
        <w:jc w:val="center"/>
        <w:rPr>
          <w:rFonts w:ascii="Arial" w:hAnsi="Arial" w:cs="Arial"/>
          <w:sz w:val="20"/>
          <w:szCs w:val="20"/>
          <w:lang w:val="es-ES_tradnl"/>
        </w:rPr>
      </w:pPr>
    </w:p>
    <w:p w14:paraId="5810D268" w14:textId="77777777" w:rsidR="00A65152" w:rsidRPr="00A65152" w:rsidRDefault="00A65152" w:rsidP="00A65152">
      <w:pPr>
        <w:spacing w:line="360" w:lineRule="auto"/>
        <w:contextualSpacing/>
        <w:jc w:val="both"/>
        <w:rPr>
          <w:rFonts w:ascii="Arial" w:eastAsiaTheme="minorEastAsia" w:hAnsi="Arial" w:cs="Arial"/>
          <w:sz w:val="20"/>
          <w:szCs w:val="20"/>
          <w:lang w:val="es-CR"/>
        </w:rPr>
      </w:pPr>
    </w:p>
    <w:p w14:paraId="1864D4E6" w14:textId="77777777" w:rsidR="00A65152" w:rsidRPr="00A65152" w:rsidRDefault="00A65152" w:rsidP="00A65152">
      <w:pPr>
        <w:spacing w:line="360" w:lineRule="auto"/>
        <w:contextualSpacing/>
        <w:jc w:val="both"/>
        <w:rPr>
          <w:rFonts w:ascii="Arial" w:eastAsiaTheme="minorEastAsia" w:hAnsi="Arial" w:cs="Arial"/>
          <w:bCs/>
          <w:sz w:val="20"/>
          <w:szCs w:val="20"/>
          <w:lang w:val="es-CR"/>
        </w:rPr>
      </w:pPr>
      <w:r w:rsidRPr="00A65152">
        <w:rPr>
          <w:rFonts w:ascii="Arial" w:eastAsiaTheme="minorEastAsia" w:hAnsi="Arial" w:cs="Arial"/>
          <w:sz w:val="20"/>
          <w:szCs w:val="20"/>
          <w:lang w:val="es-CR"/>
        </w:rPr>
        <w:t xml:space="preserve">Las partidas 1 Servicios, 2 Materiales y suministros y la partida 5 tuvieron una ejecución al 31 de diciembre 2021 menor al 90% esto debido a diversos factores tales como el impacto generado por la emergencia sanitaria por el Covid-19, las restricciones impuestas por los diferentes gobiernos </w:t>
      </w:r>
      <w:r w:rsidRPr="00A65152">
        <w:rPr>
          <w:rFonts w:ascii="Arial" w:eastAsiaTheme="minorEastAsia" w:hAnsi="Arial" w:cs="Arial"/>
          <w:bCs/>
          <w:sz w:val="20"/>
          <w:szCs w:val="20"/>
          <w:lang w:val="es-CR"/>
        </w:rPr>
        <w:t xml:space="preserve">afectaron los mercados desde el año 2020 y a pesar que en el año 2021 se realizó una reapertura de dichos mercados, las cuarentenas aplicadas en diferentes países atrasaron las importaciones marítimas de mercancías y materia prima, lo que provocó que también muchos trámites quedaran como infructuosos o como compromisos no devengados por cuanto los proveedores no realizaron la entrega de los bienes solicitados en el tiempo establecido, a pesar de gestionarse el trámite oportunamente, además,  que  solicitaron prórrogas debido a los atrasos </w:t>
      </w:r>
      <w:r w:rsidRPr="00A65152">
        <w:rPr>
          <w:rFonts w:ascii="Arial" w:eastAsiaTheme="minorEastAsia" w:hAnsi="Arial" w:cs="Arial"/>
          <w:bCs/>
          <w:sz w:val="20"/>
          <w:szCs w:val="20"/>
          <w:lang w:val="es-CR"/>
        </w:rPr>
        <w:lastRenderedPageBreak/>
        <w:t>en los procesos productivos y la logística de la entrega de materia prima por lo mencionado anteriormente.</w:t>
      </w:r>
    </w:p>
    <w:p w14:paraId="6F482B5B" w14:textId="77777777" w:rsidR="00A65152" w:rsidRPr="00A65152" w:rsidRDefault="00A65152" w:rsidP="00A65152">
      <w:pPr>
        <w:spacing w:line="360" w:lineRule="auto"/>
        <w:contextualSpacing/>
        <w:jc w:val="both"/>
        <w:rPr>
          <w:rFonts w:ascii="Arial" w:eastAsiaTheme="minorEastAsia" w:hAnsi="Arial" w:cs="Arial"/>
          <w:bCs/>
          <w:sz w:val="20"/>
          <w:szCs w:val="20"/>
          <w:lang w:val="es-CR"/>
        </w:rPr>
      </w:pPr>
    </w:p>
    <w:p w14:paraId="7B507233" w14:textId="2B9B2195" w:rsidR="00A65152" w:rsidRPr="0095374D" w:rsidRDefault="00A65152" w:rsidP="0095374D">
      <w:pPr>
        <w:spacing w:line="360" w:lineRule="auto"/>
        <w:contextualSpacing/>
        <w:jc w:val="both"/>
        <w:rPr>
          <w:rFonts w:ascii="Arial" w:eastAsiaTheme="minorEastAsia" w:hAnsi="Arial" w:cs="Arial"/>
          <w:sz w:val="20"/>
          <w:szCs w:val="20"/>
          <w:lang w:val="es-CR"/>
        </w:rPr>
      </w:pPr>
      <w:r w:rsidRPr="00A65152">
        <w:rPr>
          <w:rFonts w:ascii="Arial" w:eastAsiaTheme="minorEastAsia" w:hAnsi="Arial" w:cs="Arial"/>
          <w:bCs/>
          <w:sz w:val="20"/>
          <w:szCs w:val="20"/>
          <w:lang w:val="es-CR"/>
        </w:rPr>
        <w:t>Además, debido a la norma de ejecución que no permite el traslado entre partidas, la Institución se vio inhabilitada en redireccionar recursos a otras necesidades Institucionales, se tuvo que recurrir a realizar presupuestos extraordinarios, los cuales tuvieron una aprobación tardía por parte del Ministerio de Hacienda</w:t>
      </w:r>
      <w:r w:rsidRPr="00A65152">
        <w:rPr>
          <w:rFonts w:ascii="Arial" w:eastAsiaTheme="minorEastAsia" w:hAnsi="Arial" w:cs="Arial"/>
          <w:bCs/>
          <w:color w:val="FF0000"/>
          <w:sz w:val="20"/>
          <w:szCs w:val="20"/>
          <w:lang w:val="es-CR"/>
        </w:rPr>
        <w:t>,</w:t>
      </w:r>
      <w:r w:rsidRPr="00A65152">
        <w:rPr>
          <w:rFonts w:ascii="Arial" w:eastAsiaTheme="minorEastAsia" w:hAnsi="Arial" w:cs="Arial"/>
          <w:bCs/>
          <w:sz w:val="20"/>
          <w:szCs w:val="20"/>
          <w:lang w:val="es-CR"/>
        </w:rPr>
        <w:t xml:space="preserve"> lo que provocó que los recursos no se ejecutaran en el tiempo esperado y que varios trámites </w:t>
      </w:r>
      <w:r w:rsidRPr="00A65152">
        <w:rPr>
          <w:rFonts w:ascii="Arial" w:hAnsi="Arial" w:cs="Arial"/>
          <w:sz w:val="20"/>
          <w:szCs w:val="20"/>
          <w:lang w:val="es-CR" w:eastAsia="es-CR"/>
        </w:rPr>
        <w:t>se trasladaran como compromiso no devengado.</w:t>
      </w:r>
    </w:p>
    <w:p w14:paraId="45513952" w14:textId="77777777" w:rsidR="00A65152" w:rsidRPr="00B05E1D" w:rsidRDefault="00A65152" w:rsidP="00B05E1D">
      <w:pPr>
        <w:spacing w:after="160" w:line="360" w:lineRule="auto"/>
        <w:jc w:val="both"/>
        <w:rPr>
          <w:rFonts w:ascii="Arial" w:eastAsiaTheme="minorEastAsia" w:hAnsi="Arial" w:cs="Arial"/>
          <w:sz w:val="20"/>
          <w:szCs w:val="20"/>
          <w:lang w:val="es-ES_tradnl"/>
        </w:rPr>
      </w:pPr>
    </w:p>
    <w:p w14:paraId="7EE69FA3" w14:textId="77777777" w:rsidR="00AE3D7B" w:rsidRPr="00AE3D7B" w:rsidRDefault="00AE3D7B" w:rsidP="00AE3D7B">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8</w:t>
      </w:r>
      <w:r w:rsidRPr="00AE3D7B">
        <w:rPr>
          <w:rFonts w:ascii="Arial" w:hAnsi="Arial" w:cs="Arial"/>
          <w:b/>
          <w:bCs/>
          <w:i w:val="0"/>
          <w:iCs w:val="0"/>
          <w:color w:val="auto"/>
          <w:sz w:val="20"/>
          <w:szCs w:val="20"/>
        </w:rPr>
        <w:fldChar w:fldCharType="end"/>
      </w:r>
    </w:p>
    <w:p w14:paraId="30CCD9C3" w14:textId="20127386" w:rsidR="00B05E1D" w:rsidRPr="00B05E1D" w:rsidRDefault="00B05E1D" w:rsidP="00B05E1D">
      <w:pPr>
        <w:spacing w:after="160" w:line="259" w:lineRule="auto"/>
        <w:ind w:left="55"/>
        <w:contextualSpacing/>
        <w:jc w:val="center"/>
        <w:rPr>
          <w:rFonts w:ascii="Arial" w:eastAsiaTheme="minorEastAsia" w:hAnsi="Arial" w:cs="Arial"/>
          <w:b/>
          <w:bCs/>
          <w:color w:val="000000"/>
          <w:sz w:val="20"/>
          <w:szCs w:val="20"/>
          <w:lang w:val="es-CR" w:eastAsia="es-CR"/>
        </w:rPr>
      </w:pPr>
      <w:r w:rsidRPr="00B05E1D">
        <w:rPr>
          <w:rFonts w:ascii="Arial" w:eastAsiaTheme="minorEastAsia" w:hAnsi="Arial" w:cs="Arial"/>
          <w:b/>
          <w:sz w:val="20"/>
          <w:szCs w:val="20"/>
          <w:lang w:val="es-CR" w:eastAsia="es-CR"/>
        </w:rPr>
        <w:t>Razones de los resultados obtenidos</w:t>
      </w:r>
    </w:p>
    <w:p w14:paraId="11CBE315" w14:textId="06BAE9F6" w:rsidR="00484D2C" w:rsidRPr="00BB537E" w:rsidRDefault="00BB537E" w:rsidP="00BB537E">
      <w:pPr>
        <w:spacing w:line="360" w:lineRule="auto"/>
        <w:jc w:val="center"/>
        <w:rPr>
          <w:rFonts w:ascii="Arial" w:eastAsiaTheme="minorEastAsia" w:hAnsi="Arial" w:cs="Arial"/>
          <w:sz w:val="20"/>
          <w:szCs w:val="20"/>
          <w:lang w:val="es-CR"/>
        </w:rPr>
      </w:pPr>
      <w:r w:rsidRPr="00BB537E">
        <w:rPr>
          <w:rFonts w:ascii="Arial" w:eastAsiaTheme="minorEastAsia" w:hAnsi="Arial" w:cs="Arial"/>
          <w:sz w:val="20"/>
          <w:szCs w:val="20"/>
          <w:lang w:val="es-CR"/>
        </w:rPr>
        <w:t>926 Dirección y Administración</w:t>
      </w:r>
    </w:p>
    <w:p w14:paraId="2B7A57A5" w14:textId="00AC2DB4" w:rsidR="00B05E1D" w:rsidRDefault="00B05E1D" w:rsidP="00B05E1D">
      <w:pPr>
        <w:spacing w:after="160" w:line="259" w:lineRule="auto"/>
        <w:ind w:left="55"/>
        <w:contextualSpacing/>
        <w:jc w:val="center"/>
        <w:rPr>
          <w:rFonts w:ascii="Arial" w:eastAsiaTheme="minorEastAsia" w:hAnsi="Arial" w:cs="Arial"/>
          <w:sz w:val="20"/>
          <w:szCs w:val="20"/>
          <w:lang w:val="es-ES_tradnl"/>
        </w:rPr>
      </w:pPr>
      <w:r w:rsidRPr="00B05E1D">
        <w:rPr>
          <w:rFonts w:ascii="Arial" w:eastAsiaTheme="minorEastAsia" w:hAnsi="Arial" w:cs="Arial"/>
          <w:color w:val="000000"/>
          <w:sz w:val="20"/>
          <w:szCs w:val="20"/>
          <w:lang w:val="es-CR" w:eastAsia="es-CR"/>
        </w:rPr>
        <w:t xml:space="preserve">Partidas con avance menor al 45,00% al 30/06/2021 y menor al 90,00% </w:t>
      </w:r>
      <w:r w:rsidRPr="00B05E1D">
        <w:rPr>
          <w:rFonts w:ascii="Arial" w:eastAsiaTheme="minorEastAsia" w:hAnsi="Arial" w:cs="Arial"/>
          <w:sz w:val="20"/>
          <w:szCs w:val="20"/>
          <w:lang w:val="es-ES_tradnl"/>
        </w:rPr>
        <w:t>al 31/12/2021</w:t>
      </w:r>
    </w:p>
    <w:p w14:paraId="6861F707" w14:textId="114EC0EE" w:rsidR="00484D2C" w:rsidRDefault="00484D2C" w:rsidP="00B05E1D">
      <w:pPr>
        <w:spacing w:after="160" w:line="259" w:lineRule="auto"/>
        <w:ind w:left="55"/>
        <w:contextualSpacing/>
        <w:jc w:val="center"/>
        <w:rPr>
          <w:rFonts w:ascii="Arial" w:eastAsiaTheme="minorEastAsia" w:hAnsi="Arial" w:cs="Arial"/>
          <w:sz w:val="20"/>
          <w:szCs w:val="20"/>
          <w:lang w:val="es-ES_tradnl"/>
        </w:rPr>
      </w:pPr>
    </w:p>
    <w:tbl>
      <w:tblPr>
        <w:tblStyle w:val="Listaclara-nfasis16"/>
        <w:tblW w:w="4950" w:type="pct"/>
        <w:tblLook w:val="00A0" w:firstRow="1" w:lastRow="0" w:firstColumn="1" w:lastColumn="0" w:noHBand="0" w:noVBand="0"/>
      </w:tblPr>
      <w:tblGrid>
        <w:gridCol w:w="1317"/>
        <w:gridCol w:w="2241"/>
        <w:gridCol w:w="2733"/>
        <w:gridCol w:w="2108"/>
      </w:tblGrid>
      <w:tr w:rsidR="00484D2C" w:rsidRPr="00484D2C" w14:paraId="193921EE"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0AEB25AD" w14:textId="77777777" w:rsidR="00484D2C" w:rsidRPr="00484D2C" w:rsidRDefault="00484D2C" w:rsidP="00484D2C">
            <w:pPr>
              <w:spacing w:line="360" w:lineRule="auto"/>
              <w:contextualSpacing/>
              <w:jc w:val="center"/>
              <w:rPr>
                <w:rFonts w:ascii="Arial" w:hAnsi="Arial" w:cs="Arial"/>
                <w:bCs w:val="0"/>
                <w:sz w:val="20"/>
                <w:szCs w:val="20"/>
                <w:lang w:val="es-CR"/>
              </w:rPr>
            </w:pPr>
            <w:r w:rsidRPr="00484D2C">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7A110721" w14:textId="77777777" w:rsidR="00484D2C" w:rsidRPr="00484D2C" w:rsidRDefault="00484D2C" w:rsidP="00484D2C">
            <w:pPr>
              <w:spacing w:line="360" w:lineRule="auto"/>
              <w:contextualSpacing/>
              <w:jc w:val="center"/>
              <w:rPr>
                <w:rFonts w:ascii="Arial" w:hAnsi="Arial" w:cs="Arial"/>
                <w:b w:val="0"/>
                <w:bCs w:val="0"/>
                <w:sz w:val="20"/>
                <w:szCs w:val="20"/>
                <w:lang w:val="es-CR"/>
              </w:rPr>
            </w:pPr>
            <w:r w:rsidRPr="00484D2C">
              <w:rPr>
                <w:rFonts w:ascii="Arial" w:hAnsi="Arial" w:cs="Arial"/>
                <w:sz w:val="20"/>
                <w:szCs w:val="20"/>
                <w:lang w:val="es-CR"/>
              </w:rPr>
              <w:t>Factores</w:t>
            </w:r>
          </w:p>
          <w:p w14:paraId="7A4B8069" w14:textId="77777777" w:rsidR="00484D2C" w:rsidRPr="00484D2C" w:rsidRDefault="00484D2C" w:rsidP="00484D2C">
            <w:pPr>
              <w:spacing w:line="360" w:lineRule="auto"/>
              <w:contextualSpacing/>
              <w:jc w:val="center"/>
              <w:rPr>
                <w:rFonts w:ascii="Arial" w:hAnsi="Arial" w:cs="Arial"/>
                <w:sz w:val="20"/>
                <w:szCs w:val="20"/>
                <w:lang w:val="es-CR"/>
              </w:rPr>
            </w:pPr>
            <w:r w:rsidRPr="00484D2C">
              <w:rPr>
                <w:rFonts w:ascii="Arial" w:hAnsi="Arial" w:cs="Arial"/>
                <w:sz w:val="20"/>
                <w:szCs w:val="20"/>
                <w:lang w:val="es-CR"/>
              </w:rPr>
              <w:t xml:space="preserve">al 30/06/2021 </w:t>
            </w:r>
            <w:r w:rsidRPr="00484D2C">
              <w:rPr>
                <w:rFonts w:ascii="Arial" w:hAnsi="Arial" w:cs="Arial"/>
                <w:sz w:val="20"/>
                <w:szCs w:val="20"/>
                <w:vertAlign w:val="superscript"/>
                <w:lang w:val="es-CR"/>
              </w:rPr>
              <w:t>/1</w:t>
            </w:r>
          </w:p>
        </w:tc>
        <w:tc>
          <w:tcPr>
            <w:tcW w:w="1634" w:type="pct"/>
            <w:vAlign w:val="center"/>
          </w:tcPr>
          <w:p w14:paraId="3D8A2D10" w14:textId="77777777" w:rsidR="00484D2C" w:rsidRPr="00484D2C" w:rsidRDefault="00484D2C" w:rsidP="00484D2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484D2C">
              <w:rPr>
                <w:rFonts w:ascii="Arial" w:hAnsi="Arial" w:cs="Arial"/>
                <w:sz w:val="20"/>
                <w:szCs w:val="20"/>
                <w:lang w:val="es-CR"/>
              </w:rPr>
              <w:t xml:space="preserve">Acciones correctivas </w:t>
            </w:r>
            <w:r w:rsidRPr="00484D2C">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78EF8E75" w14:textId="77777777" w:rsidR="00484D2C" w:rsidRPr="00484D2C" w:rsidRDefault="00484D2C" w:rsidP="00484D2C">
            <w:pPr>
              <w:spacing w:line="360" w:lineRule="auto"/>
              <w:contextualSpacing/>
              <w:jc w:val="center"/>
              <w:rPr>
                <w:rFonts w:ascii="Arial" w:hAnsi="Arial" w:cs="Arial"/>
                <w:bCs w:val="0"/>
                <w:sz w:val="20"/>
                <w:szCs w:val="20"/>
                <w:lang w:val="es-CR"/>
              </w:rPr>
            </w:pPr>
            <w:r w:rsidRPr="00484D2C">
              <w:rPr>
                <w:rFonts w:ascii="Arial" w:hAnsi="Arial" w:cs="Arial"/>
                <w:sz w:val="20"/>
                <w:szCs w:val="20"/>
                <w:lang w:val="es-CR"/>
              </w:rPr>
              <w:t xml:space="preserve">Razones </w:t>
            </w:r>
            <w:r w:rsidRPr="00484D2C">
              <w:rPr>
                <w:rFonts w:ascii="Arial" w:hAnsi="Arial" w:cs="Arial"/>
                <w:sz w:val="20"/>
                <w:szCs w:val="20"/>
                <w:vertAlign w:val="superscript"/>
                <w:lang w:val="es-CR"/>
              </w:rPr>
              <w:t>/3</w:t>
            </w:r>
          </w:p>
        </w:tc>
      </w:tr>
      <w:tr w:rsidR="00484D2C" w:rsidRPr="00484D2C" w14:paraId="67ECD62C"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3FD77204" w14:textId="77777777" w:rsidR="00484D2C" w:rsidRPr="00484D2C" w:rsidRDefault="00484D2C" w:rsidP="00484D2C">
            <w:pPr>
              <w:spacing w:line="360" w:lineRule="auto"/>
              <w:contextualSpacing/>
              <w:jc w:val="both"/>
              <w:rPr>
                <w:rFonts w:ascii="Arial" w:hAnsi="Arial" w:cs="Arial"/>
                <w:b w:val="0"/>
                <w:bCs w:val="0"/>
                <w:sz w:val="20"/>
                <w:szCs w:val="20"/>
                <w:lang w:val="es-CR"/>
              </w:rPr>
            </w:pPr>
            <w:r w:rsidRPr="00484D2C">
              <w:rPr>
                <w:rFonts w:ascii="Arial" w:hAnsi="Arial" w:cs="Arial"/>
                <w:b w:val="0"/>
                <w:bCs w:val="0"/>
                <w:sz w:val="20"/>
                <w:szCs w:val="20"/>
                <w:lang w:val="es-CR"/>
              </w:rPr>
              <w:t>Servicios.</w:t>
            </w:r>
          </w:p>
        </w:tc>
        <w:tc>
          <w:tcPr>
            <w:cnfStyle w:val="000010000000" w:firstRow="0" w:lastRow="0" w:firstColumn="0" w:lastColumn="0" w:oddVBand="1" w:evenVBand="0" w:oddHBand="0" w:evenHBand="0" w:firstRowFirstColumn="0" w:firstRowLastColumn="0" w:lastRowFirstColumn="0" w:lastRowLastColumn="0"/>
            <w:tcW w:w="1341" w:type="pct"/>
          </w:tcPr>
          <w:p w14:paraId="473DD307"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1 Impacto generado por la emergencia sanitaria por el COVID-19</w:t>
            </w:r>
          </w:p>
          <w:p w14:paraId="29D589A3"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2 Metas cuyo cumplimiento se planifica concretar en el segundo semestre</w:t>
            </w:r>
          </w:p>
          <w:p w14:paraId="000E00BE" w14:textId="36B4F053" w:rsidR="00484D2C" w:rsidRPr="00412EB8" w:rsidRDefault="00484D2C" w:rsidP="00412EB8">
            <w:pPr>
              <w:pStyle w:val="Prrafodelista"/>
              <w:numPr>
                <w:ilvl w:val="0"/>
                <w:numId w:val="30"/>
              </w:numPr>
              <w:spacing w:line="360" w:lineRule="auto"/>
              <w:jc w:val="both"/>
              <w:rPr>
                <w:rFonts w:ascii="Arial" w:hAnsi="Arial" w:cs="Arial"/>
                <w:bCs/>
                <w:sz w:val="20"/>
                <w:szCs w:val="20"/>
              </w:rPr>
            </w:pPr>
            <w:r w:rsidRPr="00412EB8">
              <w:rPr>
                <w:rFonts w:ascii="Arial" w:hAnsi="Arial" w:cs="Arial"/>
                <w:bCs/>
                <w:sz w:val="20"/>
                <w:szCs w:val="20"/>
              </w:rPr>
              <w:t>Procesos de contratación que se concretan en el segundo semestre</w:t>
            </w:r>
          </w:p>
          <w:p w14:paraId="343F3A49"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lastRenderedPageBreak/>
              <w:t xml:space="preserve">7 </w:t>
            </w:r>
            <w:proofErr w:type="gramStart"/>
            <w:r w:rsidRPr="00484D2C">
              <w:rPr>
                <w:rFonts w:ascii="Arial" w:hAnsi="Arial" w:cs="Arial"/>
                <w:bCs/>
                <w:sz w:val="20"/>
                <w:szCs w:val="20"/>
              </w:rPr>
              <w:t>Variación</w:t>
            </w:r>
            <w:proofErr w:type="gramEnd"/>
            <w:r w:rsidRPr="00484D2C">
              <w:rPr>
                <w:rFonts w:ascii="Arial" w:hAnsi="Arial" w:cs="Arial"/>
                <w:bCs/>
                <w:sz w:val="20"/>
                <w:szCs w:val="20"/>
              </w:rPr>
              <w:t xml:space="preserve"> en la estimación de recursos </w:t>
            </w:r>
          </w:p>
          <w:p w14:paraId="78ABE460"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10 Desviaciones entre lo planificado y lo ejecutado</w:t>
            </w:r>
          </w:p>
          <w:p w14:paraId="756526E4"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11 Normas de ejecución para el ejercicio presupuestario 2021 (En el caso de este factor es la norma 1, debido a la inflexibilidad de modificar el presupuesto asignado, se imposibilita a la institución a redireccionar recursos para cubrir necesidades apremiantes en otras partidas).</w:t>
            </w:r>
          </w:p>
          <w:p w14:paraId="4491E7F2" w14:textId="77777777" w:rsidR="00484D2C" w:rsidRPr="00484D2C" w:rsidRDefault="00484D2C" w:rsidP="00484D2C">
            <w:pPr>
              <w:spacing w:line="360" w:lineRule="auto"/>
              <w:jc w:val="both"/>
              <w:rPr>
                <w:rFonts w:ascii="Arial" w:hAnsi="Arial" w:cs="Arial"/>
                <w:bCs/>
                <w:color w:val="C00000"/>
                <w:sz w:val="20"/>
                <w:szCs w:val="20"/>
                <w:lang w:val="es-CR"/>
              </w:rPr>
            </w:pPr>
          </w:p>
        </w:tc>
        <w:tc>
          <w:tcPr>
            <w:tcW w:w="1634" w:type="pct"/>
          </w:tcPr>
          <w:p w14:paraId="2C7C1724" w14:textId="77777777" w:rsidR="00484D2C" w:rsidRPr="00484D2C" w:rsidRDefault="00484D2C" w:rsidP="00484D2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484D2C">
              <w:rPr>
                <w:rFonts w:ascii="Arial" w:hAnsi="Arial" w:cs="Arial"/>
                <w:b/>
                <w:sz w:val="20"/>
                <w:szCs w:val="20"/>
                <w:lang w:val="es-CR"/>
              </w:rPr>
              <w:lastRenderedPageBreak/>
              <w:t>Las siguientes acciones correctivas se aplican para todos los factores anotados en la columna correspondiente</w:t>
            </w:r>
            <w:r w:rsidRPr="00484D2C">
              <w:rPr>
                <w:rFonts w:ascii="Arial" w:hAnsi="Arial" w:cs="Arial"/>
                <w:bCs/>
                <w:sz w:val="20"/>
                <w:szCs w:val="20"/>
                <w:lang w:val="es-CR"/>
              </w:rPr>
              <w:t>:</w:t>
            </w:r>
          </w:p>
          <w:p w14:paraId="2F908CF5" w14:textId="77777777" w:rsidR="00484D2C" w:rsidRPr="00484D2C" w:rsidRDefault="00484D2C" w:rsidP="00484D2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484D2C">
              <w:rPr>
                <w:rFonts w:ascii="Arial" w:hAnsi="Arial" w:cs="Arial"/>
                <w:bCs/>
                <w:sz w:val="20"/>
                <w:szCs w:val="20"/>
                <w:lang w:val="es-CR"/>
              </w:rPr>
              <w:t xml:space="preserve">1) Reuniones de seguimiento periódicas donde se analizarán los recursos asignados con el fin de trasladar lo que corresponda a otras necesidades Institucionales o agilizar los procedimientos para su adecuada ejecución, esto por cuanto, la ejecución también depende del comportamiento y de las restricciones producto de la </w:t>
            </w:r>
            <w:r w:rsidRPr="00484D2C">
              <w:rPr>
                <w:rFonts w:ascii="Arial" w:hAnsi="Arial" w:cs="Arial"/>
                <w:bCs/>
                <w:sz w:val="20"/>
                <w:szCs w:val="20"/>
                <w:lang w:val="es-CR"/>
              </w:rPr>
              <w:lastRenderedPageBreak/>
              <w:t>emergencia sanitaria por la pandemia del COVID 19.</w:t>
            </w:r>
          </w:p>
          <w:p w14:paraId="577C546A" w14:textId="77777777" w:rsidR="00484D2C" w:rsidRPr="00484D2C" w:rsidRDefault="00484D2C" w:rsidP="00484D2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484D2C">
              <w:rPr>
                <w:rFonts w:ascii="Arial" w:hAnsi="Arial" w:cs="Arial"/>
                <w:bCs/>
                <w:sz w:val="20"/>
                <w:szCs w:val="20"/>
                <w:lang w:val="es-CR"/>
              </w:rPr>
              <w:t>2) Seguimiento para que el pago de facturas se realice de forma ágil y eficiente.</w:t>
            </w:r>
          </w:p>
          <w:p w14:paraId="57BF564D" w14:textId="77777777" w:rsidR="00484D2C" w:rsidRPr="00484D2C" w:rsidRDefault="00484D2C" w:rsidP="00484D2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484D2C">
              <w:rPr>
                <w:rFonts w:ascii="Arial" w:hAnsi="Arial" w:cs="Arial"/>
                <w:bCs/>
                <w:sz w:val="20"/>
                <w:szCs w:val="20"/>
                <w:lang w:val="es-CR"/>
              </w:rPr>
              <w:t>3) Revisión de cronograma de ejecución con el fin de que los recursos se ejecuten de acuerdo con lo programado.</w:t>
            </w:r>
          </w:p>
          <w:p w14:paraId="625EA21C" w14:textId="77777777" w:rsidR="00484D2C" w:rsidRPr="00484D2C" w:rsidRDefault="00484D2C" w:rsidP="00484D2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484D2C">
              <w:rPr>
                <w:rFonts w:ascii="Arial" w:hAnsi="Arial" w:cs="Arial"/>
                <w:bCs/>
                <w:sz w:val="20"/>
                <w:szCs w:val="20"/>
                <w:lang w:val="es-CR"/>
              </w:rPr>
              <w:t>4) Revisión histórica del consumo, para mantener los recursos necesarios para atender las diferentes necesidades, mediante la coordinación periódica con los encargados del proceso de pago a los proveedores, con el fin de maximizar la ejecución de los recursos y procurar un buen servicio al cliente interno y el pago oportuno al cliente externo.</w:t>
            </w:r>
          </w:p>
          <w:p w14:paraId="637DF9B7" w14:textId="77777777" w:rsidR="00484D2C" w:rsidRPr="00484D2C" w:rsidRDefault="00484D2C" w:rsidP="00484D2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484D2C">
              <w:rPr>
                <w:rFonts w:ascii="Arial" w:hAnsi="Arial" w:cs="Arial"/>
                <w:bCs/>
                <w:sz w:val="20"/>
                <w:szCs w:val="20"/>
                <w:lang w:val="es-CR"/>
              </w:rPr>
              <w:t xml:space="preserve">5) Análisis de proyecciones de diferentes rubros para la toma de decisiones, de acuerdo con el comportamiento de los gastos para realizar una </w:t>
            </w:r>
            <w:r w:rsidRPr="00484D2C">
              <w:rPr>
                <w:rFonts w:ascii="Arial" w:hAnsi="Arial" w:cs="Arial"/>
                <w:bCs/>
                <w:sz w:val="20"/>
                <w:szCs w:val="20"/>
                <w:lang w:val="es-CR"/>
              </w:rPr>
              <w:lastRenderedPageBreak/>
              <w:t>adecuada ejecución presupuestaria.</w:t>
            </w:r>
          </w:p>
          <w:p w14:paraId="72E1D0BF" w14:textId="77777777" w:rsidR="00484D2C" w:rsidRPr="00484D2C" w:rsidRDefault="00484D2C" w:rsidP="00484D2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C00000"/>
                <w:sz w:val="20"/>
                <w:szCs w:val="20"/>
                <w:lang w:val="es-CR"/>
              </w:rPr>
            </w:pPr>
            <w:r w:rsidRPr="00484D2C">
              <w:rPr>
                <w:rFonts w:ascii="Arial" w:hAnsi="Arial" w:cs="Arial"/>
                <w:bCs/>
                <w:sz w:val="20"/>
                <w:szCs w:val="20"/>
                <w:lang w:val="es-CR"/>
              </w:rPr>
              <w:t>6) Fomentar el ahorro en Servicios Públicos en el uso racional de los mismos mediante campañas institucionales y la implementación del Teletrabajo.</w:t>
            </w:r>
          </w:p>
        </w:tc>
        <w:tc>
          <w:tcPr>
            <w:cnfStyle w:val="000010000000" w:firstRow="0" w:lastRow="0" w:firstColumn="0" w:lastColumn="0" w:oddVBand="1" w:evenVBand="0" w:oddHBand="0" w:evenHBand="0" w:firstRowFirstColumn="0" w:firstRowLastColumn="0" w:lastRowFirstColumn="0" w:lastRowLastColumn="0"/>
            <w:tcW w:w="1262" w:type="pct"/>
          </w:tcPr>
          <w:p w14:paraId="5C122579" w14:textId="77777777" w:rsidR="00484D2C" w:rsidRPr="00484D2C" w:rsidRDefault="00484D2C" w:rsidP="00484D2C">
            <w:pPr>
              <w:spacing w:line="360" w:lineRule="auto"/>
              <w:contextualSpacing/>
              <w:jc w:val="both"/>
              <w:rPr>
                <w:rFonts w:ascii="Arial" w:hAnsi="Arial" w:cs="Arial"/>
                <w:bCs/>
                <w:sz w:val="20"/>
                <w:szCs w:val="20"/>
                <w:lang w:val="es-CR"/>
              </w:rPr>
            </w:pPr>
            <w:r w:rsidRPr="00484D2C">
              <w:rPr>
                <w:rFonts w:ascii="Arial" w:hAnsi="Arial" w:cs="Arial"/>
                <w:bCs/>
                <w:sz w:val="20"/>
                <w:szCs w:val="20"/>
                <w:lang w:val="es-CR"/>
              </w:rPr>
              <w:lastRenderedPageBreak/>
              <w:t xml:space="preserve">Se realizaron reuniones periódicas para el seguimiento oportuno de los recursos, así como los esfuerzos necesarios para que  las gestiones realizadas fueran eficaces y oportunas, sin embargo, debido a la norma de ejecución que no permite el traslado entre partidas, la Institución se vio inhabilitada en redireccionar </w:t>
            </w:r>
            <w:r w:rsidRPr="00484D2C">
              <w:rPr>
                <w:rFonts w:ascii="Arial" w:hAnsi="Arial" w:cs="Arial"/>
                <w:bCs/>
                <w:sz w:val="20"/>
                <w:szCs w:val="20"/>
                <w:lang w:val="es-CR"/>
              </w:rPr>
              <w:lastRenderedPageBreak/>
              <w:t xml:space="preserve">recursos a otras necesidades Institucionales, además, la aprobación tardía de las modificaciones externas y presupuestos extraordinarios por parte del Ministerio de Hacienda provocó que los recursos no se ejecutaran en el tiempo esperado quedando trámites como compromisos no devengados, por otro lado, también la pandemia nacional producto del COVID 19 que viene afectando los mercados desde el año 2020 y que a pesar que en el año 2021 se realizó una reapertura de dichos mercados, las cuarentenas aplicadas en diferentes países atrasó las </w:t>
            </w:r>
            <w:r w:rsidRPr="00484D2C">
              <w:rPr>
                <w:rFonts w:ascii="Arial" w:hAnsi="Arial" w:cs="Arial"/>
                <w:bCs/>
                <w:sz w:val="20"/>
                <w:szCs w:val="20"/>
                <w:lang w:val="es-CR"/>
              </w:rPr>
              <w:lastRenderedPageBreak/>
              <w:t xml:space="preserve">importaciones marítimas de mercancías y materia prima y en algunos casos se elevaron los costos de los bienes y servicios de los proveedores de la Institución, lo que provocó que también muchos trámites quedaran como infructuosos o como compromisos no devengados por cuanto los proveedores no realizaron la entrega de los bienes y servicios solicitados en el tiempo establecido, a pesar de gestionarse el trámite oportunamente, además,  que  solicitaron prórrogas debido a los atrasos en los procesos productivos y la logística de la entrega de materia </w:t>
            </w:r>
            <w:r w:rsidRPr="00484D2C">
              <w:rPr>
                <w:rFonts w:ascii="Arial" w:hAnsi="Arial" w:cs="Arial"/>
                <w:bCs/>
                <w:sz w:val="20"/>
                <w:szCs w:val="20"/>
                <w:lang w:val="es-CR"/>
              </w:rPr>
              <w:lastRenderedPageBreak/>
              <w:t xml:space="preserve">prima por lo mencionado anteriormente. </w:t>
            </w:r>
          </w:p>
          <w:p w14:paraId="3F3476FD" w14:textId="77777777" w:rsidR="00484D2C" w:rsidRPr="00484D2C" w:rsidRDefault="00484D2C" w:rsidP="00484D2C">
            <w:pPr>
              <w:spacing w:line="360" w:lineRule="auto"/>
              <w:contextualSpacing/>
              <w:jc w:val="both"/>
              <w:rPr>
                <w:rFonts w:ascii="Arial" w:hAnsi="Arial" w:cs="Arial"/>
                <w:bCs/>
                <w:sz w:val="20"/>
                <w:szCs w:val="20"/>
                <w:lang w:val="es-CR"/>
              </w:rPr>
            </w:pPr>
          </w:p>
          <w:p w14:paraId="5AC58E31" w14:textId="77777777" w:rsidR="00484D2C" w:rsidRPr="00484D2C" w:rsidRDefault="00484D2C" w:rsidP="00484D2C">
            <w:pPr>
              <w:spacing w:line="360" w:lineRule="auto"/>
              <w:contextualSpacing/>
              <w:jc w:val="both"/>
              <w:rPr>
                <w:rFonts w:ascii="Arial" w:hAnsi="Arial" w:cs="Arial"/>
                <w:bCs/>
                <w:sz w:val="20"/>
                <w:szCs w:val="20"/>
                <w:lang w:val="es-CR"/>
              </w:rPr>
            </w:pPr>
            <w:r w:rsidRPr="00484D2C">
              <w:rPr>
                <w:rFonts w:ascii="Arial" w:hAnsi="Arial" w:cs="Arial"/>
                <w:bCs/>
                <w:sz w:val="20"/>
                <w:szCs w:val="20"/>
                <w:lang w:val="es-CR"/>
              </w:rPr>
              <w:t>Por otro lado, las restricciones por la pandemia producto del COVID 19 ocasionaron que se suspendieran giras, cursos y talleres programados, entre otros, lo que provocaron una baja ejecución presupuestaria.</w:t>
            </w:r>
          </w:p>
        </w:tc>
      </w:tr>
      <w:tr w:rsidR="00484D2C" w:rsidRPr="00484D2C" w14:paraId="2BB55536"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763" w:type="pct"/>
          </w:tcPr>
          <w:p w14:paraId="03E1572A" w14:textId="77777777" w:rsidR="00484D2C" w:rsidRPr="00484D2C" w:rsidRDefault="00484D2C" w:rsidP="00484D2C">
            <w:pPr>
              <w:spacing w:line="360" w:lineRule="auto"/>
              <w:contextualSpacing/>
              <w:jc w:val="both"/>
              <w:rPr>
                <w:rFonts w:ascii="Arial" w:hAnsi="Arial" w:cs="Arial"/>
                <w:b w:val="0"/>
                <w:bCs w:val="0"/>
                <w:sz w:val="20"/>
                <w:szCs w:val="20"/>
                <w:lang w:val="es-CR"/>
              </w:rPr>
            </w:pPr>
            <w:r w:rsidRPr="00484D2C">
              <w:rPr>
                <w:rFonts w:ascii="Arial" w:hAnsi="Arial" w:cs="Arial"/>
                <w:b w:val="0"/>
                <w:bCs w:val="0"/>
                <w:sz w:val="20"/>
                <w:szCs w:val="20"/>
                <w:lang w:val="es-CR"/>
              </w:rPr>
              <w:lastRenderedPageBreak/>
              <w:t>Materiales y Suministros.</w:t>
            </w:r>
          </w:p>
        </w:tc>
        <w:tc>
          <w:tcPr>
            <w:cnfStyle w:val="000010000000" w:firstRow="0" w:lastRow="0" w:firstColumn="0" w:lastColumn="0" w:oddVBand="1" w:evenVBand="0" w:oddHBand="0" w:evenHBand="0" w:firstRowFirstColumn="0" w:firstRowLastColumn="0" w:lastRowFirstColumn="0" w:lastRowLastColumn="0"/>
            <w:tcW w:w="1341" w:type="pct"/>
          </w:tcPr>
          <w:p w14:paraId="76D99F6D"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1 Impacto generado por l emergencia sanitaria por el COVID-19</w:t>
            </w:r>
          </w:p>
          <w:p w14:paraId="15C60925"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2 Metas cuyo cumplimiento se planifica concretar en el segundo semestre</w:t>
            </w:r>
          </w:p>
          <w:p w14:paraId="69597D52" w14:textId="17A08539" w:rsidR="00484D2C" w:rsidRPr="00412EB8" w:rsidRDefault="00484D2C" w:rsidP="00412EB8">
            <w:pPr>
              <w:pStyle w:val="Prrafodelista"/>
              <w:numPr>
                <w:ilvl w:val="0"/>
                <w:numId w:val="31"/>
              </w:numPr>
              <w:spacing w:line="360" w:lineRule="auto"/>
              <w:jc w:val="both"/>
              <w:rPr>
                <w:rFonts w:ascii="Arial" w:hAnsi="Arial" w:cs="Arial"/>
                <w:bCs/>
                <w:sz w:val="20"/>
                <w:szCs w:val="20"/>
              </w:rPr>
            </w:pPr>
            <w:r w:rsidRPr="00412EB8">
              <w:rPr>
                <w:rFonts w:ascii="Arial" w:hAnsi="Arial" w:cs="Arial"/>
                <w:bCs/>
                <w:sz w:val="20"/>
                <w:szCs w:val="20"/>
              </w:rPr>
              <w:t>Procesos de contratación que se concretan en el segundo semestre</w:t>
            </w:r>
          </w:p>
          <w:p w14:paraId="2929AB6D"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lastRenderedPageBreak/>
              <w:t xml:space="preserve">7 </w:t>
            </w:r>
            <w:proofErr w:type="gramStart"/>
            <w:r w:rsidRPr="00484D2C">
              <w:rPr>
                <w:rFonts w:ascii="Arial" w:hAnsi="Arial" w:cs="Arial"/>
                <w:bCs/>
                <w:sz w:val="20"/>
                <w:szCs w:val="20"/>
              </w:rPr>
              <w:t>Variación</w:t>
            </w:r>
            <w:proofErr w:type="gramEnd"/>
            <w:r w:rsidRPr="00484D2C">
              <w:rPr>
                <w:rFonts w:ascii="Arial" w:hAnsi="Arial" w:cs="Arial"/>
                <w:bCs/>
                <w:sz w:val="20"/>
                <w:szCs w:val="20"/>
              </w:rPr>
              <w:t xml:space="preserve"> en la estimación de recursos </w:t>
            </w:r>
          </w:p>
          <w:p w14:paraId="3EA23902"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8 Problemas relacionados con los procesos de contratación administrativa</w:t>
            </w:r>
          </w:p>
          <w:p w14:paraId="7071D558"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11 Normas de ejecución para el ejercicio presupuestario 2021 (En el caso de este factor es la norma 1, debido a la inflexibilidad de modificar el presupuesto asignado, se imposibilita a la institución a redireccionar recursos para cubrir necesidades apremiantes en otras partidas).</w:t>
            </w:r>
          </w:p>
          <w:p w14:paraId="5A128615" w14:textId="77777777" w:rsidR="00484D2C" w:rsidRPr="00484D2C" w:rsidRDefault="00484D2C" w:rsidP="00484D2C">
            <w:pPr>
              <w:autoSpaceDE w:val="0"/>
              <w:autoSpaceDN w:val="0"/>
              <w:adjustRightInd w:val="0"/>
              <w:spacing w:line="360" w:lineRule="auto"/>
              <w:jc w:val="both"/>
              <w:rPr>
                <w:rFonts w:ascii="Arial" w:hAnsi="Arial" w:cs="Arial"/>
                <w:bCs/>
                <w:color w:val="C00000"/>
                <w:sz w:val="20"/>
                <w:szCs w:val="20"/>
                <w:u w:val="single"/>
                <w:lang w:val="es-CR"/>
              </w:rPr>
            </w:pPr>
          </w:p>
        </w:tc>
        <w:tc>
          <w:tcPr>
            <w:tcW w:w="1634" w:type="pct"/>
          </w:tcPr>
          <w:p w14:paraId="13AEA9E0" w14:textId="77777777" w:rsidR="00484D2C" w:rsidRPr="00484D2C" w:rsidRDefault="00484D2C" w:rsidP="00484D2C">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eastAsia="en-US"/>
              </w:rPr>
            </w:pPr>
            <w:r w:rsidRPr="00484D2C">
              <w:rPr>
                <w:rFonts w:ascii="Arial" w:hAnsi="Arial" w:cs="Arial"/>
                <w:bCs/>
                <w:sz w:val="20"/>
                <w:szCs w:val="20"/>
                <w:lang w:val="es-CR" w:eastAsia="en-US"/>
              </w:rPr>
              <w:lastRenderedPageBreak/>
              <w:t>Las acciones correctivas aplican igual que la partida 1 Servicios para todos los factores mencionados en la columna respectiva.</w:t>
            </w:r>
          </w:p>
          <w:p w14:paraId="2EB7AC7A" w14:textId="77777777" w:rsidR="00484D2C" w:rsidRPr="00484D2C" w:rsidRDefault="00484D2C" w:rsidP="00484D2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C00000"/>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62" w:type="pct"/>
          </w:tcPr>
          <w:p w14:paraId="57607D57" w14:textId="77777777" w:rsidR="00484D2C" w:rsidRPr="00484D2C" w:rsidRDefault="00484D2C" w:rsidP="00484D2C">
            <w:pPr>
              <w:spacing w:line="360" w:lineRule="auto"/>
              <w:contextualSpacing/>
              <w:jc w:val="both"/>
              <w:rPr>
                <w:rFonts w:ascii="Arial" w:hAnsi="Arial" w:cs="Arial"/>
                <w:bCs/>
                <w:sz w:val="20"/>
                <w:szCs w:val="20"/>
                <w:lang w:val="es-CR"/>
              </w:rPr>
            </w:pPr>
            <w:r w:rsidRPr="00484D2C">
              <w:rPr>
                <w:rFonts w:ascii="Arial" w:hAnsi="Arial" w:cs="Arial"/>
                <w:bCs/>
                <w:sz w:val="20"/>
                <w:szCs w:val="20"/>
                <w:lang w:val="es-CR"/>
              </w:rPr>
              <w:t>Las razones son las mismas que las indicadas en la partida 1 Servicios.</w:t>
            </w:r>
          </w:p>
        </w:tc>
      </w:tr>
      <w:tr w:rsidR="00484D2C" w:rsidRPr="00484D2C" w14:paraId="345029B8"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6692D3F4" w14:textId="77777777" w:rsidR="00484D2C" w:rsidRPr="00484D2C" w:rsidRDefault="00484D2C" w:rsidP="00484D2C">
            <w:pPr>
              <w:spacing w:line="360" w:lineRule="auto"/>
              <w:contextualSpacing/>
              <w:jc w:val="both"/>
              <w:rPr>
                <w:rFonts w:ascii="Arial" w:hAnsi="Arial" w:cs="Arial"/>
                <w:b w:val="0"/>
                <w:bCs w:val="0"/>
                <w:sz w:val="20"/>
                <w:szCs w:val="20"/>
                <w:lang w:val="es-CR"/>
              </w:rPr>
            </w:pPr>
            <w:r w:rsidRPr="00484D2C">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1341" w:type="pct"/>
          </w:tcPr>
          <w:p w14:paraId="29DA2197"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2 Metas cuyo cumplimiento se planifica concretar en el segundo semestre</w:t>
            </w:r>
          </w:p>
          <w:p w14:paraId="3047718D" w14:textId="79E2E23F" w:rsidR="00484D2C" w:rsidRPr="00412EB8" w:rsidRDefault="00484D2C" w:rsidP="00412EB8">
            <w:pPr>
              <w:pStyle w:val="Prrafodelista"/>
              <w:numPr>
                <w:ilvl w:val="0"/>
                <w:numId w:val="32"/>
              </w:numPr>
              <w:spacing w:line="360" w:lineRule="auto"/>
              <w:jc w:val="both"/>
              <w:rPr>
                <w:rFonts w:ascii="Arial" w:hAnsi="Arial" w:cs="Arial"/>
                <w:bCs/>
                <w:sz w:val="20"/>
                <w:szCs w:val="20"/>
              </w:rPr>
            </w:pPr>
            <w:r w:rsidRPr="00412EB8">
              <w:rPr>
                <w:rFonts w:ascii="Arial" w:hAnsi="Arial" w:cs="Arial"/>
                <w:bCs/>
                <w:sz w:val="20"/>
                <w:szCs w:val="20"/>
              </w:rPr>
              <w:lastRenderedPageBreak/>
              <w:t>Procesos de contratación que se concretan en el segundo semestre</w:t>
            </w:r>
          </w:p>
          <w:p w14:paraId="3FDC03F1"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 xml:space="preserve">7 </w:t>
            </w:r>
            <w:proofErr w:type="gramStart"/>
            <w:r w:rsidRPr="00484D2C">
              <w:rPr>
                <w:rFonts w:ascii="Arial" w:hAnsi="Arial" w:cs="Arial"/>
                <w:bCs/>
                <w:sz w:val="20"/>
                <w:szCs w:val="20"/>
              </w:rPr>
              <w:t>Variación</w:t>
            </w:r>
            <w:proofErr w:type="gramEnd"/>
            <w:r w:rsidRPr="00484D2C">
              <w:rPr>
                <w:rFonts w:ascii="Arial" w:hAnsi="Arial" w:cs="Arial"/>
                <w:bCs/>
                <w:sz w:val="20"/>
                <w:szCs w:val="20"/>
              </w:rPr>
              <w:t xml:space="preserve"> en la estimación de recursos </w:t>
            </w:r>
          </w:p>
          <w:p w14:paraId="76900698" w14:textId="77777777" w:rsidR="00484D2C" w:rsidRPr="00484D2C" w:rsidRDefault="00484D2C" w:rsidP="00484D2C">
            <w:pPr>
              <w:spacing w:line="360" w:lineRule="auto"/>
              <w:jc w:val="both"/>
              <w:rPr>
                <w:rFonts w:ascii="Arial" w:hAnsi="Arial" w:cs="Arial"/>
                <w:bCs/>
                <w:sz w:val="20"/>
                <w:szCs w:val="20"/>
              </w:rPr>
            </w:pPr>
            <w:r w:rsidRPr="00484D2C">
              <w:rPr>
                <w:rFonts w:ascii="Arial" w:hAnsi="Arial" w:cs="Arial"/>
                <w:bCs/>
                <w:sz w:val="20"/>
                <w:szCs w:val="20"/>
              </w:rPr>
              <w:t>8 Problemas relacionados con los procesos de contratación administrativa</w:t>
            </w:r>
          </w:p>
          <w:p w14:paraId="0E59F174" w14:textId="77777777" w:rsidR="00484D2C" w:rsidRPr="00484D2C" w:rsidRDefault="00484D2C" w:rsidP="00484D2C">
            <w:pPr>
              <w:spacing w:line="360" w:lineRule="auto"/>
              <w:rPr>
                <w:rFonts w:ascii="Arial" w:hAnsi="Arial" w:cs="Arial"/>
                <w:bCs/>
                <w:sz w:val="20"/>
                <w:szCs w:val="20"/>
                <w:lang w:val="es-CR"/>
              </w:rPr>
            </w:pPr>
          </w:p>
        </w:tc>
        <w:tc>
          <w:tcPr>
            <w:tcW w:w="1634" w:type="pct"/>
          </w:tcPr>
          <w:p w14:paraId="2B90A8E9" w14:textId="77777777" w:rsidR="00484D2C" w:rsidRPr="00484D2C" w:rsidRDefault="00484D2C" w:rsidP="00484D2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eastAsia="en-US"/>
              </w:rPr>
            </w:pPr>
            <w:r w:rsidRPr="00484D2C">
              <w:rPr>
                <w:rFonts w:ascii="Arial" w:hAnsi="Arial" w:cs="Arial"/>
                <w:bCs/>
                <w:sz w:val="20"/>
                <w:szCs w:val="20"/>
                <w:lang w:val="es-CR" w:eastAsia="en-US"/>
              </w:rPr>
              <w:lastRenderedPageBreak/>
              <w:t xml:space="preserve">Las acciones correctivas aplican igual que la partida 1 Servicios para todos los </w:t>
            </w:r>
            <w:r w:rsidRPr="00484D2C">
              <w:rPr>
                <w:rFonts w:ascii="Arial" w:hAnsi="Arial" w:cs="Arial"/>
                <w:bCs/>
                <w:sz w:val="20"/>
                <w:szCs w:val="20"/>
                <w:lang w:val="es-CR" w:eastAsia="en-US"/>
              </w:rPr>
              <w:lastRenderedPageBreak/>
              <w:t>factores mencionados en la columna respectiva.</w:t>
            </w:r>
          </w:p>
          <w:p w14:paraId="67ACCE34" w14:textId="77777777" w:rsidR="00484D2C" w:rsidRPr="00484D2C" w:rsidRDefault="00484D2C" w:rsidP="00484D2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62" w:type="pct"/>
          </w:tcPr>
          <w:p w14:paraId="6B6F9FBE" w14:textId="77777777" w:rsidR="00484D2C" w:rsidRPr="00484D2C" w:rsidRDefault="00484D2C" w:rsidP="00484D2C">
            <w:pPr>
              <w:spacing w:line="360" w:lineRule="auto"/>
              <w:contextualSpacing/>
              <w:jc w:val="both"/>
              <w:rPr>
                <w:rFonts w:ascii="Arial" w:hAnsi="Arial" w:cs="Arial"/>
                <w:bCs/>
                <w:sz w:val="20"/>
                <w:szCs w:val="20"/>
                <w:lang w:val="es-CR"/>
              </w:rPr>
            </w:pPr>
            <w:r w:rsidRPr="00484D2C">
              <w:rPr>
                <w:rFonts w:ascii="Arial" w:hAnsi="Arial" w:cs="Arial"/>
                <w:bCs/>
                <w:sz w:val="20"/>
                <w:szCs w:val="20"/>
                <w:lang w:val="es-CR"/>
              </w:rPr>
              <w:lastRenderedPageBreak/>
              <w:t>Las razones son las mismas que las indicadas en la partida 1 Servicios.</w:t>
            </w:r>
          </w:p>
        </w:tc>
      </w:tr>
    </w:tbl>
    <w:p w14:paraId="154C334B" w14:textId="27588D01" w:rsidR="00484D2C" w:rsidRPr="00AF1DF1" w:rsidRDefault="00484D2C" w:rsidP="00B05E1D">
      <w:pPr>
        <w:spacing w:after="160" w:line="259" w:lineRule="auto"/>
        <w:ind w:left="55"/>
        <w:contextualSpacing/>
        <w:jc w:val="center"/>
        <w:rPr>
          <w:rFonts w:ascii="Arial" w:eastAsiaTheme="minorEastAsia" w:hAnsi="Arial" w:cs="Arial"/>
          <w:sz w:val="20"/>
          <w:szCs w:val="20"/>
          <w:lang w:val="es-ES_tradnl"/>
        </w:rPr>
      </w:pPr>
    </w:p>
    <w:p w14:paraId="3A9413CD" w14:textId="77777777" w:rsidR="00484D2C" w:rsidRPr="00BB537E" w:rsidRDefault="00484D2C" w:rsidP="00BB537E">
      <w:pPr>
        <w:spacing w:after="160" w:line="259" w:lineRule="auto"/>
        <w:contextualSpacing/>
        <w:jc w:val="both"/>
        <w:rPr>
          <w:rFonts w:ascii="Arial" w:eastAsiaTheme="minorEastAsia" w:hAnsi="Arial" w:cs="Arial"/>
          <w:b/>
          <w:bCs/>
          <w:sz w:val="16"/>
          <w:szCs w:val="16"/>
          <w:lang w:val="es-CR"/>
        </w:rPr>
      </w:pPr>
    </w:p>
    <w:p w14:paraId="692650E3" w14:textId="0DDC5A1B" w:rsidR="00B05E1D" w:rsidRPr="00BB537E" w:rsidRDefault="00B05E1D" w:rsidP="00B05E1D">
      <w:pPr>
        <w:spacing w:after="160" w:line="259" w:lineRule="auto"/>
        <w:contextualSpacing/>
        <w:jc w:val="both"/>
        <w:rPr>
          <w:rFonts w:ascii="Arial" w:eastAsiaTheme="minorEastAsia" w:hAnsi="Arial" w:cs="Arial"/>
          <w:sz w:val="16"/>
          <w:szCs w:val="16"/>
          <w:lang w:val="es-CR"/>
        </w:rPr>
      </w:pPr>
      <w:r w:rsidRPr="00BB537E">
        <w:rPr>
          <w:rFonts w:ascii="Arial" w:eastAsiaTheme="minorEastAsia" w:hAnsi="Arial" w:cs="Arial"/>
          <w:b/>
          <w:bCs/>
          <w:sz w:val="16"/>
          <w:szCs w:val="16"/>
          <w:lang w:val="es-CR"/>
        </w:rPr>
        <w:t>Fuente:</w:t>
      </w:r>
      <w:r w:rsidRPr="00B05E1D">
        <w:rPr>
          <w:rFonts w:ascii="Arial" w:eastAsiaTheme="minorEastAsia" w:hAnsi="Arial" w:cs="Arial"/>
          <w:sz w:val="16"/>
          <w:szCs w:val="16"/>
          <w:lang w:val="es-CR"/>
        </w:rPr>
        <w:t xml:space="preserve"> </w:t>
      </w:r>
      <w:r w:rsidR="00BB537E" w:rsidRPr="00BB537E">
        <w:rPr>
          <w:rFonts w:ascii="Arial" w:eastAsiaTheme="minorEastAsia" w:hAnsi="Arial" w:cs="Arial"/>
          <w:sz w:val="16"/>
          <w:szCs w:val="16"/>
          <w:lang w:val="es-CR"/>
        </w:rPr>
        <w:t>Liquidación Sistema Módulo de Poderes al 31 de diciembre 2021.</w:t>
      </w:r>
    </w:p>
    <w:p w14:paraId="7DFA0EAB" w14:textId="77777777" w:rsidR="00B05E1D" w:rsidRPr="00B05E1D" w:rsidRDefault="00B05E1D" w:rsidP="00B05E1D">
      <w:pPr>
        <w:spacing w:after="160" w:line="259" w:lineRule="auto"/>
        <w:contextualSpacing/>
        <w:jc w:val="both"/>
        <w:rPr>
          <w:rFonts w:ascii="Arial" w:eastAsiaTheme="minorEastAsia" w:hAnsi="Arial" w:cs="Arial"/>
          <w:sz w:val="16"/>
          <w:szCs w:val="16"/>
          <w:lang w:val="es-CR"/>
        </w:rPr>
      </w:pPr>
      <w:r w:rsidRPr="00B05E1D">
        <w:rPr>
          <w:rFonts w:ascii="Arial" w:eastAsiaTheme="minorEastAsia" w:hAnsi="Arial" w:cs="Arial"/>
          <w:sz w:val="16"/>
          <w:szCs w:val="16"/>
          <w:lang w:val="es-CR"/>
        </w:rPr>
        <w:t>/1</w:t>
      </w:r>
      <w:r w:rsidRPr="00B05E1D">
        <w:rPr>
          <w:rFonts w:ascii="Arial" w:eastAsiaTheme="minorEastAsia" w:hAnsi="Arial" w:cs="Arial"/>
          <w:b/>
          <w:sz w:val="16"/>
          <w:szCs w:val="16"/>
          <w:lang w:val="es-CR"/>
        </w:rPr>
        <w:t xml:space="preserve"> </w:t>
      </w:r>
      <w:r w:rsidRPr="00B05E1D">
        <w:rPr>
          <w:rFonts w:ascii="Arial" w:eastAsiaTheme="minorEastAsia" w:hAnsi="Arial" w:cs="Arial"/>
          <w:sz w:val="16"/>
          <w:szCs w:val="16"/>
          <w:lang w:val="es-CR"/>
        </w:rPr>
        <w:t>Indicar la descripción del factor señalado en el informe de seguimiento semestral.</w:t>
      </w:r>
    </w:p>
    <w:p w14:paraId="7D11C023" w14:textId="77777777" w:rsidR="00B05E1D" w:rsidRPr="00B05E1D" w:rsidRDefault="00B05E1D" w:rsidP="00B05E1D">
      <w:pPr>
        <w:spacing w:after="160" w:line="259" w:lineRule="auto"/>
        <w:contextualSpacing/>
        <w:jc w:val="both"/>
        <w:rPr>
          <w:rFonts w:ascii="Arial" w:eastAsiaTheme="minorEastAsia" w:hAnsi="Arial" w:cs="Arial"/>
          <w:sz w:val="16"/>
          <w:szCs w:val="16"/>
          <w:lang w:val="es-CR"/>
        </w:rPr>
      </w:pPr>
      <w:r w:rsidRPr="00B05E1D">
        <w:rPr>
          <w:rFonts w:ascii="Arial" w:eastAsiaTheme="minorEastAsia" w:hAnsi="Arial" w:cs="Arial"/>
          <w:sz w:val="16"/>
          <w:szCs w:val="16"/>
          <w:lang w:val="es-CR"/>
        </w:rPr>
        <w:t>/2 Se refieren a las acciones propuestas en el informe de seguimiento semestral.</w:t>
      </w:r>
    </w:p>
    <w:p w14:paraId="2D04EF09" w14:textId="77777777" w:rsidR="00B05E1D" w:rsidRDefault="00B05E1D" w:rsidP="00B05E1D">
      <w:pPr>
        <w:spacing w:after="160" w:line="259" w:lineRule="auto"/>
        <w:contextualSpacing/>
        <w:jc w:val="both"/>
        <w:rPr>
          <w:rFonts w:ascii="Arial" w:eastAsiaTheme="minorEastAsia" w:hAnsi="Arial" w:cs="Arial"/>
          <w:sz w:val="16"/>
          <w:szCs w:val="16"/>
          <w:lang w:val="es-CR"/>
        </w:rPr>
      </w:pPr>
      <w:r w:rsidRPr="00B05E1D">
        <w:rPr>
          <w:rFonts w:ascii="Arial" w:eastAsiaTheme="minorEastAsia" w:hAnsi="Arial" w:cs="Arial"/>
          <w:sz w:val="16"/>
          <w:szCs w:val="16"/>
          <w:lang w:val="es-CR"/>
        </w:rPr>
        <w:t>/3</w:t>
      </w:r>
      <w:r w:rsidRPr="00B05E1D">
        <w:rPr>
          <w:rFonts w:ascii="Arial" w:eastAsiaTheme="minorEastAsia" w:hAnsi="Arial" w:cs="Arial"/>
          <w:b/>
          <w:sz w:val="16"/>
          <w:szCs w:val="16"/>
          <w:lang w:val="es-CR"/>
        </w:rPr>
        <w:t xml:space="preserve"> </w:t>
      </w:r>
      <w:r w:rsidRPr="00B05E1D">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503F4464" w14:textId="77777777" w:rsidR="001F4934" w:rsidRPr="00B05E1D" w:rsidRDefault="001F4934" w:rsidP="00B05E1D">
      <w:pPr>
        <w:spacing w:after="160" w:line="259" w:lineRule="auto"/>
        <w:contextualSpacing/>
        <w:jc w:val="both"/>
        <w:rPr>
          <w:rFonts w:ascii="Arial" w:eastAsiaTheme="minorEastAsia" w:hAnsi="Arial" w:cs="Arial"/>
          <w:sz w:val="16"/>
          <w:szCs w:val="16"/>
          <w:lang w:val="es-CR"/>
        </w:rPr>
      </w:pPr>
    </w:p>
    <w:p w14:paraId="42F055EA" w14:textId="77777777" w:rsidR="001C719C" w:rsidRDefault="001C719C" w:rsidP="00AE3D7B">
      <w:pPr>
        <w:pStyle w:val="Descripcin"/>
        <w:jc w:val="center"/>
        <w:rPr>
          <w:rFonts w:ascii="Arial" w:hAnsi="Arial" w:cs="Arial"/>
          <w:b/>
          <w:bCs/>
          <w:i w:val="0"/>
          <w:iCs w:val="0"/>
          <w:color w:val="auto"/>
          <w:sz w:val="20"/>
          <w:szCs w:val="20"/>
        </w:rPr>
      </w:pPr>
    </w:p>
    <w:p w14:paraId="025A6346" w14:textId="77777777" w:rsidR="001C719C" w:rsidRDefault="001C719C" w:rsidP="00AE3D7B">
      <w:pPr>
        <w:pStyle w:val="Descripcin"/>
        <w:jc w:val="center"/>
        <w:rPr>
          <w:rFonts w:ascii="Arial" w:hAnsi="Arial" w:cs="Arial"/>
          <w:b/>
          <w:bCs/>
          <w:i w:val="0"/>
          <w:iCs w:val="0"/>
          <w:color w:val="auto"/>
          <w:sz w:val="20"/>
          <w:szCs w:val="20"/>
        </w:rPr>
      </w:pPr>
    </w:p>
    <w:p w14:paraId="53E1EB6E" w14:textId="77777777" w:rsidR="001C719C" w:rsidRDefault="001C719C" w:rsidP="00AE3D7B">
      <w:pPr>
        <w:pStyle w:val="Descripcin"/>
        <w:jc w:val="center"/>
        <w:rPr>
          <w:rFonts w:ascii="Arial" w:hAnsi="Arial" w:cs="Arial"/>
          <w:b/>
          <w:bCs/>
          <w:i w:val="0"/>
          <w:iCs w:val="0"/>
          <w:color w:val="auto"/>
          <w:sz w:val="20"/>
          <w:szCs w:val="20"/>
        </w:rPr>
      </w:pPr>
    </w:p>
    <w:p w14:paraId="4CFB5B01" w14:textId="77777777" w:rsidR="001C719C" w:rsidRDefault="001C719C" w:rsidP="00AE3D7B">
      <w:pPr>
        <w:pStyle w:val="Descripcin"/>
        <w:jc w:val="center"/>
        <w:rPr>
          <w:rFonts w:ascii="Arial" w:hAnsi="Arial" w:cs="Arial"/>
          <w:b/>
          <w:bCs/>
          <w:i w:val="0"/>
          <w:iCs w:val="0"/>
          <w:color w:val="auto"/>
          <w:sz w:val="20"/>
          <w:szCs w:val="20"/>
        </w:rPr>
      </w:pPr>
    </w:p>
    <w:p w14:paraId="45DB499D" w14:textId="77777777" w:rsidR="001C719C" w:rsidRDefault="001C719C" w:rsidP="00AE3D7B">
      <w:pPr>
        <w:pStyle w:val="Descripcin"/>
        <w:jc w:val="center"/>
        <w:rPr>
          <w:rFonts w:ascii="Arial" w:hAnsi="Arial" w:cs="Arial"/>
          <w:b/>
          <w:bCs/>
          <w:i w:val="0"/>
          <w:iCs w:val="0"/>
          <w:color w:val="auto"/>
          <w:sz w:val="20"/>
          <w:szCs w:val="20"/>
        </w:rPr>
      </w:pPr>
    </w:p>
    <w:p w14:paraId="12FB90F2" w14:textId="77777777" w:rsidR="001C719C" w:rsidRDefault="001C719C" w:rsidP="00AE3D7B">
      <w:pPr>
        <w:pStyle w:val="Descripcin"/>
        <w:jc w:val="center"/>
        <w:rPr>
          <w:rFonts w:ascii="Arial" w:hAnsi="Arial" w:cs="Arial"/>
          <w:b/>
          <w:bCs/>
          <w:i w:val="0"/>
          <w:iCs w:val="0"/>
          <w:color w:val="auto"/>
          <w:sz w:val="20"/>
          <w:szCs w:val="20"/>
        </w:rPr>
      </w:pPr>
    </w:p>
    <w:p w14:paraId="53BF3DD7" w14:textId="77777777" w:rsidR="001C719C" w:rsidRDefault="001C719C" w:rsidP="00AE3D7B">
      <w:pPr>
        <w:pStyle w:val="Descripcin"/>
        <w:jc w:val="center"/>
        <w:rPr>
          <w:rFonts w:ascii="Arial" w:hAnsi="Arial" w:cs="Arial"/>
          <w:b/>
          <w:bCs/>
          <w:i w:val="0"/>
          <w:iCs w:val="0"/>
          <w:color w:val="auto"/>
          <w:sz w:val="20"/>
          <w:szCs w:val="20"/>
        </w:rPr>
      </w:pPr>
    </w:p>
    <w:p w14:paraId="21BE8B23" w14:textId="77777777" w:rsidR="001C719C" w:rsidRDefault="001C719C" w:rsidP="00AE3D7B">
      <w:pPr>
        <w:pStyle w:val="Descripcin"/>
        <w:jc w:val="center"/>
        <w:rPr>
          <w:rFonts w:ascii="Arial" w:hAnsi="Arial" w:cs="Arial"/>
          <w:b/>
          <w:bCs/>
          <w:i w:val="0"/>
          <w:iCs w:val="0"/>
          <w:color w:val="auto"/>
          <w:sz w:val="20"/>
          <w:szCs w:val="20"/>
        </w:rPr>
      </w:pPr>
    </w:p>
    <w:p w14:paraId="7CCA5EEF" w14:textId="77777777" w:rsidR="001C719C" w:rsidRDefault="001C719C" w:rsidP="00AE3D7B">
      <w:pPr>
        <w:pStyle w:val="Descripcin"/>
        <w:jc w:val="center"/>
        <w:rPr>
          <w:rFonts w:ascii="Arial" w:hAnsi="Arial" w:cs="Arial"/>
          <w:b/>
          <w:bCs/>
          <w:i w:val="0"/>
          <w:iCs w:val="0"/>
          <w:color w:val="auto"/>
          <w:sz w:val="20"/>
          <w:szCs w:val="20"/>
        </w:rPr>
      </w:pPr>
    </w:p>
    <w:p w14:paraId="3BDDBE89" w14:textId="77777777" w:rsidR="001C719C" w:rsidRDefault="001C719C" w:rsidP="00AE3D7B">
      <w:pPr>
        <w:pStyle w:val="Descripcin"/>
        <w:jc w:val="center"/>
        <w:rPr>
          <w:rFonts w:ascii="Arial" w:hAnsi="Arial" w:cs="Arial"/>
          <w:b/>
          <w:bCs/>
          <w:i w:val="0"/>
          <w:iCs w:val="0"/>
          <w:color w:val="auto"/>
          <w:sz w:val="20"/>
          <w:szCs w:val="20"/>
        </w:rPr>
      </w:pPr>
    </w:p>
    <w:p w14:paraId="7AD2A412" w14:textId="7AA8E172" w:rsidR="00AE3D7B" w:rsidRPr="00AE3D7B" w:rsidRDefault="00AE3D7B" w:rsidP="00AE3D7B">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9</w:t>
      </w:r>
      <w:r w:rsidRPr="00AE3D7B">
        <w:rPr>
          <w:rFonts w:ascii="Arial" w:hAnsi="Arial" w:cs="Arial"/>
          <w:b/>
          <w:bCs/>
          <w:i w:val="0"/>
          <w:iCs w:val="0"/>
          <w:color w:val="auto"/>
          <w:sz w:val="20"/>
          <w:szCs w:val="20"/>
        </w:rPr>
        <w:fldChar w:fldCharType="end"/>
      </w:r>
    </w:p>
    <w:p w14:paraId="1AF36E3B" w14:textId="4BE066C0" w:rsidR="001F4934" w:rsidRPr="001F4934" w:rsidRDefault="001F4934" w:rsidP="001F4934">
      <w:pPr>
        <w:spacing w:after="160" w:line="360" w:lineRule="auto"/>
        <w:ind w:left="55"/>
        <w:contextualSpacing/>
        <w:jc w:val="center"/>
        <w:rPr>
          <w:rFonts w:ascii="Arial" w:eastAsiaTheme="minorEastAsia" w:hAnsi="Arial" w:cs="Arial"/>
          <w:b/>
          <w:bCs/>
          <w:color w:val="000000"/>
          <w:sz w:val="20"/>
          <w:szCs w:val="20"/>
          <w:lang w:val="es-CR" w:eastAsia="es-CR"/>
        </w:rPr>
      </w:pPr>
      <w:r w:rsidRPr="001F4934">
        <w:rPr>
          <w:rFonts w:ascii="Arial" w:eastAsiaTheme="minorEastAsia" w:hAnsi="Arial" w:cs="Arial"/>
          <w:color w:val="000000"/>
          <w:sz w:val="20"/>
          <w:szCs w:val="20"/>
          <w:lang w:val="es-CR" w:eastAsia="es-CR"/>
        </w:rPr>
        <w:t xml:space="preserve">. </w:t>
      </w:r>
      <w:r w:rsidRPr="001F4934">
        <w:rPr>
          <w:rFonts w:ascii="Arial" w:eastAsiaTheme="minorEastAsia" w:hAnsi="Arial" w:cs="Arial"/>
          <w:b/>
          <w:sz w:val="20"/>
          <w:szCs w:val="20"/>
          <w:lang w:val="es-CR" w:eastAsia="es-CR"/>
        </w:rPr>
        <w:t>Acciones correctivas y fechas de implementación</w:t>
      </w:r>
    </w:p>
    <w:p w14:paraId="07D889D4" w14:textId="77777777" w:rsidR="001F4934" w:rsidRPr="001F4934" w:rsidRDefault="001F4934" w:rsidP="001F4934">
      <w:pPr>
        <w:spacing w:after="160" w:line="360" w:lineRule="auto"/>
        <w:ind w:left="55"/>
        <w:contextualSpacing/>
        <w:jc w:val="center"/>
        <w:rPr>
          <w:rFonts w:ascii="Arial" w:eastAsiaTheme="minorEastAsia" w:hAnsi="Arial" w:cs="Arial"/>
          <w:color w:val="000000"/>
          <w:sz w:val="20"/>
          <w:szCs w:val="20"/>
          <w:lang w:val="es-CR" w:eastAsia="es-CR"/>
        </w:rPr>
      </w:pPr>
      <w:r w:rsidRPr="001F4934">
        <w:rPr>
          <w:rFonts w:ascii="Arial" w:eastAsiaTheme="minorEastAsia" w:hAnsi="Arial" w:cs="Arial"/>
          <w:sz w:val="20"/>
          <w:szCs w:val="20"/>
          <w:lang w:val="es-CR"/>
        </w:rPr>
        <w:t>926 Dirección y Administración</w:t>
      </w:r>
      <w:r w:rsidRPr="001F4934">
        <w:rPr>
          <w:rFonts w:ascii="Arial" w:eastAsiaTheme="minorEastAsia" w:hAnsi="Arial" w:cs="Arial"/>
          <w:color w:val="000000"/>
          <w:sz w:val="20"/>
          <w:szCs w:val="20"/>
          <w:lang w:val="es-CR" w:eastAsia="es-CR"/>
        </w:rPr>
        <w:t xml:space="preserve"> </w:t>
      </w:r>
    </w:p>
    <w:p w14:paraId="192C4CEE" w14:textId="77777777" w:rsidR="001F4934" w:rsidRPr="001F4934" w:rsidRDefault="001F4934" w:rsidP="001F4934">
      <w:pPr>
        <w:spacing w:after="160" w:line="360" w:lineRule="auto"/>
        <w:ind w:left="55"/>
        <w:contextualSpacing/>
        <w:jc w:val="center"/>
        <w:rPr>
          <w:rFonts w:ascii="Arial" w:eastAsiaTheme="minorEastAsia" w:hAnsi="Arial" w:cs="Arial"/>
          <w:color w:val="000000"/>
          <w:sz w:val="20"/>
          <w:szCs w:val="20"/>
          <w:lang w:val="es-CR" w:eastAsia="es-CR"/>
        </w:rPr>
      </w:pPr>
      <w:r w:rsidRPr="001F4934">
        <w:rPr>
          <w:rFonts w:ascii="Arial" w:eastAsiaTheme="minorEastAsia" w:hAnsi="Arial" w:cs="Arial"/>
          <w:color w:val="000000"/>
          <w:sz w:val="20"/>
          <w:szCs w:val="20"/>
          <w:lang w:val="es-CR" w:eastAsia="es-CR"/>
        </w:rPr>
        <w:t xml:space="preserve">Partidas con ejecución menor al 90,00% </w:t>
      </w:r>
    </w:p>
    <w:p w14:paraId="539001CE" w14:textId="77777777" w:rsidR="001F4934" w:rsidRPr="001F4934" w:rsidRDefault="001F4934" w:rsidP="001F4934">
      <w:pPr>
        <w:spacing w:line="360" w:lineRule="auto"/>
        <w:jc w:val="center"/>
        <w:rPr>
          <w:rFonts w:ascii="Arial" w:eastAsiaTheme="minorEastAsia" w:hAnsi="Arial" w:cs="Arial"/>
          <w:color w:val="000000"/>
          <w:sz w:val="20"/>
          <w:szCs w:val="20"/>
          <w:lang w:val="es-CR" w:eastAsia="es-CR"/>
        </w:rPr>
      </w:pPr>
      <w:r w:rsidRPr="001F4934">
        <w:rPr>
          <w:rFonts w:ascii="Arial" w:eastAsiaTheme="minorEastAsia" w:hAnsi="Arial" w:cs="Arial"/>
          <w:sz w:val="20"/>
          <w:szCs w:val="20"/>
          <w:lang w:val="es-CR"/>
        </w:rPr>
        <w:t>Al 31 de diciembre 2021</w:t>
      </w:r>
    </w:p>
    <w:tbl>
      <w:tblPr>
        <w:tblStyle w:val="Listaclara-nfasis17"/>
        <w:tblW w:w="5000" w:type="pct"/>
        <w:tblLook w:val="00A0" w:firstRow="1" w:lastRow="0" w:firstColumn="1" w:lastColumn="0" w:noHBand="0" w:noVBand="0"/>
      </w:tblPr>
      <w:tblGrid>
        <w:gridCol w:w="1317"/>
        <w:gridCol w:w="1139"/>
        <w:gridCol w:w="2451"/>
        <w:gridCol w:w="1838"/>
        <w:gridCol w:w="1739"/>
      </w:tblGrid>
      <w:tr w:rsidR="001F4934" w:rsidRPr="001F4934" w14:paraId="652840E6"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690" w:type="pct"/>
            <w:vAlign w:val="center"/>
          </w:tcPr>
          <w:p w14:paraId="56A21047" w14:textId="77777777" w:rsidR="001F4934" w:rsidRPr="001F4934" w:rsidRDefault="001F4934" w:rsidP="001F4934">
            <w:pPr>
              <w:spacing w:line="360" w:lineRule="auto"/>
              <w:contextualSpacing/>
              <w:jc w:val="center"/>
              <w:rPr>
                <w:rFonts w:ascii="Arial" w:hAnsi="Arial" w:cs="Arial"/>
                <w:bCs w:val="0"/>
                <w:sz w:val="20"/>
                <w:szCs w:val="20"/>
                <w:lang w:val="es-CR"/>
              </w:rPr>
            </w:pPr>
            <w:r w:rsidRPr="001F4934">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604" w:type="pct"/>
            <w:vAlign w:val="center"/>
          </w:tcPr>
          <w:p w14:paraId="225768D5" w14:textId="77777777" w:rsidR="001F4934" w:rsidRPr="001F4934" w:rsidRDefault="001F4934" w:rsidP="001F4934">
            <w:pPr>
              <w:spacing w:line="360" w:lineRule="auto"/>
              <w:contextualSpacing/>
              <w:jc w:val="center"/>
              <w:rPr>
                <w:rFonts w:ascii="Arial" w:hAnsi="Arial" w:cs="Arial"/>
                <w:sz w:val="20"/>
                <w:szCs w:val="20"/>
                <w:lang w:val="es-CR"/>
              </w:rPr>
            </w:pPr>
            <w:r w:rsidRPr="001F4934">
              <w:rPr>
                <w:rFonts w:ascii="Arial" w:hAnsi="Arial" w:cs="Arial"/>
                <w:sz w:val="20"/>
                <w:szCs w:val="20"/>
                <w:lang w:val="es-CR"/>
              </w:rPr>
              <w:t xml:space="preserve">Nivel de ejecución </w:t>
            </w:r>
            <w:r w:rsidRPr="001F4934">
              <w:rPr>
                <w:rFonts w:ascii="Arial" w:hAnsi="Arial" w:cs="Arial"/>
                <w:sz w:val="20"/>
                <w:szCs w:val="20"/>
                <w:vertAlign w:val="superscript"/>
                <w:lang w:val="es-CR"/>
              </w:rPr>
              <w:t>/1</w:t>
            </w:r>
          </w:p>
        </w:tc>
        <w:tc>
          <w:tcPr>
            <w:tcW w:w="1576" w:type="pct"/>
            <w:vAlign w:val="center"/>
          </w:tcPr>
          <w:p w14:paraId="0E5D8295" w14:textId="77777777" w:rsidR="001F4934" w:rsidRPr="001F4934" w:rsidRDefault="001F4934" w:rsidP="001F493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1F4934">
              <w:rPr>
                <w:rFonts w:ascii="Arial" w:hAnsi="Arial" w:cs="Arial"/>
                <w:sz w:val="20"/>
                <w:szCs w:val="20"/>
                <w:lang w:val="es-CR"/>
              </w:rPr>
              <w:t xml:space="preserve">Acciones correctivas </w:t>
            </w:r>
            <w:r w:rsidRPr="001F4934">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14" w:type="pct"/>
            <w:vAlign w:val="center"/>
          </w:tcPr>
          <w:p w14:paraId="34674162" w14:textId="77777777" w:rsidR="001F4934" w:rsidRPr="001F4934" w:rsidRDefault="001F4934" w:rsidP="001F4934">
            <w:pPr>
              <w:spacing w:line="360" w:lineRule="auto"/>
              <w:contextualSpacing/>
              <w:jc w:val="center"/>
              <w:rPr>
                <w:rFonts w:ascii="Arial" w:hAnsi="Arial" w:cs="Arial"/>
                <w:sz w:val="20"/>
                <w:szCs w:val="20"/>
                <w:lang w:val="es-CR"/>
              </w:rPr>
            </w:pPr>
            <w:r w:rsidRPr="001F4934">
              <w:rPr>
                <w:rFonts w:ascii="Arial" w:hAnsi="Arial" w:cs="Arial"/>
                <w:sz w:val="20"/>
                <w:szCs w:val="20"/>
                <w:lang w:val="es-CR"/>
              </w:rPr>
              <w:t xml:space="preserve">Persona responsable de brindar la información </w:t>
            </w:r>
          </w:p>
        </w:tc>
        <w:tc>
          <w:tcPr>
            <w:tcW w:w="916" w:type="pct"/>
            <w:vAlign w:val="center"/>
          </w:tcPr>
          <w:p w14:paraId="7844095E" w14:textId="77777777" w:rsidR="001F4934" w:rsidRPr="001F4934" w:rsidRDefault="001F4934" w:rsidP="001F4934">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CR"/>
              </w:rPr>
            </w:pPr>
            <w:r w:rsidRPr="001F4934">
              <w:rPr>
                <w:rFonts w:ascii="Arial" w:hAnsi="Arial" w:cs="Arial"/>
                <w:sz w:val="20"/>
                <w:szCs w:val="20"/>
                <w:lang w:val="es-CR"/>
              </w:rPr>
              <w:t xml:space="preserve">Fecha de implementación </w:t>
            </w:r>
            <w:r w:rsidRPr="001F4934">
              <w:rPr>
                <w:rFonts w:ascii="Arial" w:hAnsi="Arial" w:cs="Arial"/>
                <w:sz w:val="20"/>
                <w:szCs w:val="20"/>
                <w:vertAlign w:val="superscript"/>
                <w:lang w:val="es-CR"/>
              </w:rPr>
              <w:t>/3</w:t>
            </w:r>
          </w:p>
        </w:tc>
      </w:tr>
      <w:tr w:rsidR="001F4934" w:rsidRPr="001F4934" w14:paraId="5B4DD508"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90" w:type="pct"/>
          </w:tcPr>
          <w:p w14:paraId="544EAB2B" w14:textId="77777777" w:rsidR="001F4934" w:rsidRPr="001F4934" w:rsidRDefault="001F4934" w:rsidP="001F4934">
            <w:pPr>
              <w:spacing w:line="360" w:lineRule="auto"/>
              <w:contextualSpacing/>
              <w:jc w:val="both"/>
              <w:rPr>
                <w:rFonts w:ascii="Arial" w:hAnsi="Arial" w:cs="Arial"/>
                <w:b w:val="0"/>
                <w:bCs w:val="0"/>
                <w:sz w:val="20"/>
                <w:szCs w:val="20"/>
                <w:lang w:val="es-CR"/>
              </w:rPr>
            </w:pPr>
            <w:r w:rsidRPr="001F4934">
              <w:rPr>
                <w:rFonts w:ascii="Arial" w:hAnsi="Arial" w:cs="Arial"/>
                <w:b w:val="0"/>
                <w:bCs w:val="0"/>
                <w:sz w:val="20"/>
                <w:szCs w:val="20"/>
                <w:lang w:val="es-CR"/>
              </w:rPr>
              <w:t>Servicios.</w:t>
            </w:r>
          </w:p>
        </w:tc>
        <w:tc>
          <w:tcPr>
            <w:cnfStyle w:val="000010000000" w:firstRow="0" w:lastRow="0" w:firstColumn="0" w:lastColumn="0" w:oddVBand="1" w:evenVBand="0" w:oddHBand="0" w:evenHBand="0" w:firstRowFirstColumn="0" w:firstRowLastColumn="0" w:lastRowFirstColumn="0" w:lastRowLastColumn="0"/>
            <w:tcW w:w="604" w:type="pct"/>
          </w:tcPr>
          <w:p w14:paraId="690974DF" w14:textId="77777777" w:rsidR="001F4934" w:rsidRPr="001F4934" w:rsidRDefault="001F4934" w:rsidP="001F4934">
            <w:pPr>
              <w:spacing w:line="360" w:lineRule="auto"/>
              <w:rPr>
                <w:rFonts w:ascii="Arial" w:hAnsi="Arial" w:cs="Arial"/>
                <w:bCs/>
                <w:sz w:val="20"/>
                <w:szCs w:val="20"/>
                <w:lang w:val="es-CR"/>
              </w:rPr>
            </w:pPr>
            <w:r w:rsidRPr="001F4934">
              <w:rPr>
                <w:rFonts w:ascii="Arial" w:hAnsi="Arial" w:cs="Arial"/>
                <w:bCs/>
                <w:sz w:val="20"/>
                <w:szCs w:val="20"/>
                <w:lang w:val="es-CR"/>
              </w:rPr>
              <w:t>88,80%</w:t>
            </w:r>
          </w:p>
        </w:tc>
        <w:tc>
          <w:tcPr>
            <w:tcW w:w="1576" w:type="pct"/>
          </w:tcPr>
          <w:p w14:paraId="2AD59090"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Continuar con las reuniones de seguimiento periódicas para el análisis del comportamiento de las partidas y atender las necesidades institucionales con mayor prontitud.</w:t>
            </w:r>
          </w:p>
          <w:p w14:paraId="5E17C053"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503A0C17"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Mejorar la planificación en los procesos de contratación y la coordinación de las entregas con los proveedores.</w:t>
            </w:r>
          </w:p>
          <w:p w14:paraId="5DEEA353"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26FC803E"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Revisión de plan de compras y adquisiciones para que las misma se realicen en forma oportuna.</w:t>
            </w:r>
          </w:p>
          <w:p w14:paraId="3FD0A33D"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42133766"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Seguimiento pertinente para la cancelación oportuna de facturas.</w:t>
            </w:r>
          </w:p>
          <w:p w14:paraId="76410E88"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38D76660"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Traslados de recursos oportunos para la atención de necesidades Institucionales.</w:t>
            </w:r>
          </w:p>
          <w:p w14:paraId="3A7F4B2A"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40735F60"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Análisis de requerimientos institucionales por motivo de las restricciones producto de la pandemia nacional.</w:t>
            </w:r>
          </w:p>
          <w:p w14:paraId="251ECCE7"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29A78A65"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Análisis y verificación de los procesos de contratación con el fin de determinar su factibilidad.</w:t>
            </w:r>
          </w:p>
          <w:p w14:paraId="1B74FB51"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14" w:type="pct"/>
          </w:tcPr>
          <w:p w14:paraId="71DA15DC" w14:textId="77777777" w:rsidR="001F4934" w:rsidRPr="001F4934" w:rsidRDefault="001F4934" w:rsidP="001F4934">
            <w:pPr>
              <w:spacing w:line="360" w:lineRule="auto"/>
              <w:contextualSpacing/>
              <w:jc w:val="both"/>
              <w:rPr>
                <w:rFonts w:ascii="Arial" w:hAnsi="Arial" w:cs="Arial"/>
                <w:bCs/>
                <w:sz w:val="20"/>
                <w:szCs w:val="20"/>
                <w:lang w:val="es-CR"/>
              </w:rPr>
            </w:pPr>
            <w:r w:rsidRPr="001F4934">
              <w:rPr>
                <w:rFonts w:ascii="Arial" w:hAnsi="Arial" w:cs="Arial"/>
                <w:bCs/>
                <w:sz w:val="20"/>
                <w:szCs w:val="20"/>
                <w:lang w:val="es-CR"/>
              </w:rPr>
              <w:lastRenderedPageBreak/>
              <w:t>MBA. Ana Eugenia Romero Jenkins</w:t>
            </w:r>
          </w:p>
        </w:tc>
        <w:tc>
          <w:tcPr>
            <w:tcW w:w="916" w:type="pct"/>
          </w:tcPr>
          <w:p w14:paraId="5685850B" w14:textId="77777777" w:rsidR="001F4934" w:rsidRPr="001F4934" w:rsidRDefault="001F4934" w:rsidP="001F4934">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03/01/2022</w:t>
            </w:r>
          </w:p>
        </w:tc>
      </w:tr>
      <w:tr w:rsidR="001F4934" w:rsidRPr="001F4934" w14:paraId="773243A7"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690" w:type="pct"/>
          </w:tcPr>
          <w:p w14:paraId="53F26C2C" w14:textId="77777777" w:rsidR="001F4934" w:rsidRPr="001F4934" w:rsidRDefault="001F4934" w:rsidP="001F4934">
            <w:pPr>
              <w:spacing w:line="360" w:lineRule="auto"/>
              <w:contextualSpacing/>
              <w:jc w:val="both"/>
              <w:rPr>
                <w:rFonts w:ascii="Arial" w:hAnsi="Arial" w:cs="Arial"/>
                <w:b w:val="0"/>
                <w:bCs w:val="0"/>
                <w:sz w:val="20"/>
                <w:szCs w:val="20"/>
                <w:lang w:val="es-CR"/>
              </w:rPr>
            </w:pPr>
            <w:r w:rsidRPr="001F4934">
              <w:rPr>
                <w:rFonts w:ascii="Arial" w:hAnsi="Arial" w:cs="Arial"/>
                <w:b w:val="0"/>
                <w:bCs w:val="0"/>
                <w:sz w:val="20"/>
                <w:szCs w:val="20"/>
                <w:lang w:val="es-CR"/>
              </w:rPr>
              <w:t>Materiales y Suministros.</w:t>
            </w:r>
          </w:p>
        </w:tc>
        <w:tc>
          <w:tcPr>
            <w:cnfStyle w:val="000010000000" w:firstRow="0" w:lastRow="0" w:firstColumn="0" w:lastColumn="0" w:oddVBand="1" w:evenVBand="0" w:oddHBand="0" w:evenHBand="0" w:firstRowFirstColumn="0" w:firstRowLastColumn="0" w:lastRowFirstColumn="0" w:lastRowLastColumn="0"/>
            <w:tcW w:w="604" w:type="pct"/>
          </w:tcPr>
          <w:p w14:paraId="162CACC7" w14:textId="77777777" w:rsidR="001F4934" w:rsidRPr="001F4934" w:rsidRDefault="001F4934" w:rsidP="001F4934">
            <w:pPr>
              <w:spacing w:line="360" w:lineRule="auto"/>
              <w:rPr>
                <w:rFonts w:ascii="Arial" w:hAnsi="Arial" w:cs="Arial"/>
                <w:bCs/>
                <w:sz w:val="20"/>
                <w:szCs w:val="20"/>
                <w:lang w:val="es-CR"/>
              </w:rPr>
            </w:pPr>
            <w:r w:rsidRPr="001F4934">
              <w:rPr>
                <w:rFonts w:ascii="Arial" w:hAnsi="Arial" w:cs="Arial"/>
                <w:bCs/>
                <w:sz w:val="20"/>
                <w:szCs w:val="20"/>
                <w:lang w:val="es-CR"/>
              </w:rPr>
              <w:t>80,44%</w:t>
            </w:r>
          </w:p>
        </w:tc>
        <w:tc>
          <w:tcPr>
            <w:tcW w:w="1576" w:type="pct"/>
          </w:tcPr>
          <w:p w14:paraId="4AED0B22" w14:textId="77777777" w:rsidR="001F4934" w:rsidRPr="001F4934" w:rsidRDefault="001F4934" w:rsidP="001F493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eastAsia="en-US"/>
              </w:rPr>
            </w:pPr>
            <w:r w:rsidRPr="001F4934">
              <w:rPr>
                <w:rFonts w:ascii="Arial" w:hAnsi="Arial" w:cs="Arial"/>
                <w:bCs/>
                <w:sz w:val="20"/>
                <w:szCs w:val="20"/>
                <w:lang w:val="es-CR" w:eastAsia="en-US"/>
              </w:rPr>
              <w:t>Las acciones correctivas aplican igual que la partida 1 Servicios.</w:t>
            </w:r>
          </w:p>
          <w:p w14:paraId="02D10414" w14:textId="77777777" w:rsidR="001F4934" w:rsidRPr="001F4934" w:rsidRDefault="001F4934" w:rsidP="001F4934">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14" w:type="pct"/>
          </w:tcPr>
          <w:p w14:paraId="279615E2" w14:textId="77777777" w:rsidR="001F4934" w:rsidRPr="001F4934" w:rsidRDefault="001F4934" w:rsidP="001F4934">
            <w:pPr>
              <w:spacing w:line="360" w:lineRule="auto"/>
              <w:contextualSpacing/>
              <w:jc w:val="both"/>
              <w:rPr>
                <w:rFonts w:ascii="Arial" w:hAnsi="Arial" w:cs="Arial"/>
                <w:bCs/>
                <w:sz w:val="20"/>
                <w:szCs w:val="20"/>
                <w:lang w:val="es-CR"/>
              </w:rPr>
            </w:pPr>
            <w:r w:rsidRPr="001F4934">
              <w:rPr>
                <w:rFonts w:ascii="Arial" w:hAnsi="Arial" w:cs="Arial"/>
                <w:bCs/>
                <w:sz w:val="20"/>
                <w:szCs w:val="20"/>
                <w:lang w:val="es-CR"/>
              </w:rPr>
              <w:t>MBA. Ana Eugenia Romero Jenkins</w:t>
            </w:r>
          </w:p>
        </w:tc>
        <w:tc>
          <w:tcPr>
            <w:tcW w:w="916" w:type="pct"/>
          </w:tcPr>
          <w:p w14:paraId="43D255CC" w14:textId="77777777" w:rsidR="001F4934" w:rsidRPr="001F4934" w:rsidRDefault="001F4934" w:rsidP="001F4934">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03/01/2022</w:t>
            </w:r>
          </w:p>
        </w:tc>
      </w:tr>
      <w:tr w:rsidR="001F4934" w:rsidRPr="001F4934" w14:paraId="2C3F62A1"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90" w:type="pct"/>
          </w:tcPr>
          <w:p w14:paraId="5E5A67FC" w14:textId="77777777" w:rsidR="001F4934" w:rsidRPr="001F4934" w:rsidRDefault="001F4934" w:rsidP="001F4934">
            <w:pPr>
              <w:spacing w:line="360" w:lineRule="auto"/>
              <w:contextualSpacing/>
              <w:jc w:val="both"/>
              <w:rPr>
                <w:rFonts w:ascii="Arial" w:hAnsi="Arial" w:cs="Arial"/>
                <w:b w:val="0"/>
                <w:bCs w:val="0"/>
                <w:sz w:val="20"/>
                <w:szCs w:val="20"/>
                <w:lang w:val="es-CR"/>
              </w:rPr>
            </w:pPr>
            <w:r w:rsidRPr="001F4934">
              <w:rPr>
                <w:rFonts w:ascii="Arial" w:hAnsi="Arial" w:cs="Arial"/>
                <w:b w:val="0"/>
                <w:bCs w:val="0"/>
                <w:sz w:val="20"/>
                <w:szCs w:val="20"/>
                <w:lang w:val="es-CR"/>
              </w:rPr>
              <w:lastRenderedPageBreak/>
              <w:t>Bienes duraderos.</w:t>
            </w:r>
          </w:p>
        </w:tc>
        <w:tc>
          <w:tcPr>
            <w:cnfStyle w:val="000010000000" w:firstRow="0" w:lastRow="0" w:firstColumn="0" w:lastColumn="0" w:oddVBand="1" w:evenVBand="0" w:oddHBand="0" w:evenHBand="0" w:firstRowFirstColumn="0" w:firstRowLastColumn="0" w:lastRowFirstColumn="0" w:lastRowLastColumn="0"/>
            <w:tcW w:w="604" w:type="pct"/>
          </w:tcPr>
          <w:p w14:paraId="4D541460" w14:textId="77777777" w:rsidR="001F4934" w:rsidRPr="001F4934" w:rsidRDefault="001F4934" w:rsidP="001F4934">
            <w:pPr>
              <w:spacing w:line="360" w:lineRule="auto"/>
              <w:rPr>
                <w:rFonts w:ascii="Arial" w:hAnsi="Arial" w:cs="Arial"/>
                <w:bCs/>
                <w:sz w:val="20"/>
                <w:szCs w:val="20"/>
                <w:lang w:val="es-CR"/>
              </w:rPr>
            </w:pPr>
            <w:r w:rsidRPr="001F4934">
              <w:rPr>
                <w:rFonts w:ascii="Arial" w:hAnsi="Arial" w:cs="Arial"/>
                <w:bCs/>
                <w:sz w:val="20"/>
                <w:szCs w:val="20"/>
                <w:lang w:val="es-CR"/>
              </w:rPr>
              <w:t>77,29%</w:t>
            </w:r>
          </w:p>
        </w:tc>
        <w:tc>
          <w:tcPr>
            <w:tcW w:w="1576" w:type="pct"/>
          </w:tcPr>
          <w:p w14:paraId="2D9E7AF2" w14:textId="77777777" w:rsidR="001F4934" w:rsidRPr="001F4934" w:rsidRDefault="001F4934" w:rsidP="001F493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eastAsia="en-US"/>
              </w:rPr>
            </w:pPr>
            <w:r w:rsidRPr="001F4934">
              <w:rPr>
                <w:rFonts w:ascii="Arial" w:hAnsi="Arial" w:cs="Arial"/>
                <w:bCs/>
                <w:sz w:val="20"/>
                <w:szCs w:val="20"/>
                <w:lang w:val="es-CR" w:eastAsia="en-US"/>
              </w:rPr>
              <w:t>Las acciones correctivas aplican igual que la partida 1 Servicios.</w:t>
            </w:r>
          </w:p>
          <w:p w14:paraId="33DF681D"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14" w:type="pct"/>
          </w:tcPr>
          <w:p w14:paraId="1CA9DDFB" w14:textId="77777777" w:rsidR="001F4934" w:rsidRPr="001F4934" w:rsidRDefault="001F4934" w:rsidP="001F4934">
            <w:pPr>
              <w:spacing w:line="360" w:lineRule="auto"/>
              <w:contextualSpacing/>
              <w:jc w:val="both"/>
              <w:rPr>
                <w:rFonts w:ascii="Arial" w:hAnsi="Arial" w:cs="Arial"/>
                <w:bCs/>
                <w:sz w:val="20"/>
                <w:szCs w:val="20"/>
                <w:lang w:val="es-CR"/>
              </w:rPr>
            </w:pPr>
            <w:r w:rsidRPr="001F4934">
              <w:rPr>
                <w:rFonts w:ascii="Arial" w:hAnsi="Arial" w:cs="Arial"/>
                <w:bCs/>
                <w:sz w:val="20"/>
                <w:szCs w:val="20"/>
                <w:lang w:val="es-CR"/>
              </w:rPr>
              <w:t>MBA. Ana Eugenia Romero Jenkins</w:t>
            </w:r>
          </w:p>
        </w:tc>
        <w:tc>
          <w:tcPr>
            <w:tcW w:w="916" w:type="pct"/>
          </w:tcPr>
          <w:p w14:paraId="3BB59790"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F4934">
              <w:rPr>
                <w:rFonts w:ascii="Arial" w:hAnsi="Arial" w:cs="Arial"/>
                <w:bCs/>
                <w:sz w:val="20"/>
                <w:szCs w:val="20"/>
                <w:lang w:val="es-CR"/>
              </w:rPr>
              <w:t>03/01/2022</w:t>
            </w:r>
          </w:p>
          <w:p w14:paraId="40843DB0" w14:textId="77777777" w:rsidR="001F4934" w:rsidRPr="001F4934" w:rsidRDefault="001F4934" w:rsidP="001F493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r>
    </w:tbl>
    <w:p w14:paraId="31906D43" w14:textId="49E90CF2" w:rsidR="00B05E1D" w:rsidRPr="00B05E1D" w:rsidRDefault="00B05E1D" w:rsidP="00B05E1D">
      <w:pPr>
        <w:jc w:val="both"/>
        <w:rPr>
          <w:rFonts w:ascii="Arial" w:eastAsiaTheme="minorEastAsia" w:hAnsi="Arial" w:cs="Arial"/>
          <w:b/>
          <w:sz w:val="16"/>
          <w:szCs w:val="16"/>
          <w:lang w:val="es-CR"/>
        </w:rPr>
      </w:pPr>
      <w:r w:rsidRPr="00B05E1D">
        <w:rPr>
          <w:rFonts w:ascii="Arial" w:eastAsiaTheme="minorEastAsia" w:hAnsi="Arial" w:cs="Arial"/>
          <w:b/>
          <w:sz w:val="16"/>
          <w:szCs w:val="16"/>
          <w:lang w:val="es-CR"/>
        </w:rPr>
        <w:t xml:space="preserve">Fuente: </w:t>
      </w:r>
      <w:r w:rsidR="009A4C97" w:rsidRPr="009A4C97">
        <w:rPr>
          <w:rFonts w:ascii="Arial" w:eastAsiaTheme="minorEastAsia" w:hAnsi="Arial" w:cs="Arial"/>
          <w:sz w:val="16"/>
          <w:szCs w:val="20"/>
          <w:lang w:val="es-ES_tradnl"/>
        </w:rPr>
        <w:t>Liquidación Sistema Módulo de Poderes al 31 de diciembre 2021.</w:t>
      </w:r>
    </w:p>
    <w:p w14:paraId="0CBC7949" w14:textId="77777777" w:rsidR="00B05E1D" w:rsidRPr="00B05E1D" w:rsidRDefault="00B05E1D" w:rsidP="00B05E1D">
      <w:pPr>
        <w:jc w:val="both"/>
        <w:rPr>
          <w:rFonts w:ascii="Arial" w:eastAsiaTheme="minorEastAsia" w:hAnsi="Arial" w:cs="Arial"/>
          <w:sz w:val="16"/>
          <w:szCs w:val="20"/>
          <w:lang w:val="es-ES_tradnl"/>
        </w:rPr>
      </w:pPr>
      <w:r w:rsidRPr="00B05E1D">
        <w:rPr>
          <w:rFonts w:ascii="Arial" w:eastAsiaTheme="minorEastAsia" w:hAnsi="Arial" w:cs="Arial"/>
          <w:sz w:val="16"/>
          <w:szCs w:val="20"/>
          <w:lang w:val="es-ES_tradnl"/>
        </w:rPr>
        <w:t>/1 Esta información se obtiene del archivo Excel remitido por la DGPN, de la hoja “Liquidación”.</w:t>
      </w:r>
    </w:p>
    <w:p w14:paraId="3585A61C" w14:textId="77777777" w:rsidR="00B05E1D" w:rsidRPr="00B05E1D" w:rsidRDefault="00B05E1D" w:rsidP="00B05E1D">
      <w:pPr>
        <w:jc w:val="both"/>
        <w:rPr>
          <w:rFonts w:ascii="Arial" w:eastAsiaTheme="minorEastAsia" w:hAnsi="Arial" w:cs="Arial"/>
          <w:sz w:val="16"/>
          <w:szCs w:val="20"/>
          <w:lang w:val="es-ES_tradnl"/>
        </w:rPr>
      </w:pPr>
      <w:r w:rsidRPr="00B05E1D">
        <w:rPr>
          <w:rFonts w:ascii="Arial" w:eastAsiaTheme="minorEastAsia" w:hAnsi="Arial" w:cs="Arial"/>
          <w:sz w:val="16"/>
          <w:szCs w:val="20"/>
          <w:lang w:val="es-ES_tradnl"/>
        </w:rPr>
        <w:t>/2 Se refiere a acciones que implementará el centro gestor en 2022 para subsanar los problemas de ejecución que se presentaron al 31/12/2021.</w:t>
      </w:r>
    </w:p>
    <w:p w14:paraId="634249AD" w14:textId="77777777" w:rsidR="00B05E1D" w:rsidRPr="00B05E1D" w:rsidRDefault="00B05E1D" w:rsidP="00B05E1D">
      <w:pPr>
        <w:jc w:val="both"/>
        <w:rPr>
          <w:rFonts w:ascii="Arial" w:eastAsiaTheme="minorEastAsia" w:hAnsi="Arial" w:cs="Arial"/>
          <w:sz w:val="16"/>
          <w:szCs w:val="20"/>
          <w:lang w:val="es-ES_tradnl"/>
        </w:rPr>
      </w:pPr>
      <w:r w:rsidRPr="00B05E1D">
        <w:rPr>
          <w:rFonts w:ascii="Arial" w:eastAsiaTheme="minorEastAsia" w:hAnsi="Arial" w:cs="Arial"/>
          <w:sz w:val="16"/>
          <w:szCs w:val="20"/>
          <w:lang w:val="es-ES_tradnl"/>
        </w:rPr>
        <w:t>/3 Se refiere a la fecha en que las acciones correctivas empezarán a ser implementadas por el centro gestor.</w:t>
      </w:r>
    </w:p>
    <w:p w14:paraId="09ED09B1" w14:textId="04BE6AE3" w:rsidR="00CB11BE" w:rsidRDefault="00CB11BE" w:rsidP="00CB11BE">
      <w:pPr>
        <w:jc w:val="both"/>
        <w:rPr>
          <w:rFonts w:ascii="Arial" w:hAnsi="Arial" w:cs="Arial"/>
          <w:bCs/>
          <w:sz w:val="20"/>
          <w:szCs w:val="20"/>
        </w:rPr>
      </w:pPr>
      <w:bookmarkStart w:id="16" w:name="_Hlk61509502"/>
    </w:p>
    <w:p w14:paraId="36F2C63D" w14:textId="2D19C517" w:rsidR="00975B4C" w:rsidRPr="002A387D" w:rsidRDefault="00975B4C" w:rsidP="00EA2D02">
      <w:pPr>
        <w:pStyle w:val="Ttulo2"/>
        <w:keepLines/>
        <w:numPr>
          <w:ilvl w:val="0"/>
          <w:numId w:val="0"/>
        </w:numPr>
        <w:spacing w:before="360" w:line="360" w:lineRule="auto"/>
        <w:ind w:left="720"/>
        <w:jc w:val="left"/>
        <w:rPr>
          <w:rStyle w:val="Ttulodellibro"/>
          <w:rFonts w:eastAsiaTheme="majorEastAsia" w:cs="Arial"/>
          <w:b/>
          <w:smallCaps w:val="0"/>
          <w:color w:val="002060"/>
          <w:sz w:val="28"/>
          <w:szCs w:val="28"/>
          <w:lang w:val="es-ES"/>
        </w:rPr>
      </w:pPr>
      <w:bookmarkStart w:id="17" w:name="_Toc93420471"/>
      <w:r w:rsidRPr="002A387D">
        <w:rPr>
          <w:rStyle w:val="Ttulodellibro"/>
          <w:rFonts w:eastAsiaTheme="majorEastAsia" w:cs="Arial"/>
          <w:b/>
          <w:smallCaps w:val="0"/>
          <w:color w:val="002060"/>
          <w:sz w:val="28"/>
          <w:szCs w:val="28"/>
          <w:lang w:val="es-ES"/>
        </w:rPr>
        <w:t>Apartado financiero por</w:t>
      </w:r>
      <w:r w:rsidR="00EA2D02" w:rsidRPr="002A387D">
        <w:rPr>
          <w:rStyle w:val="Ttulodellibro"/>
          <w:rFonts w:eastAsiaTheme="majorEastAsia" w:cs="Arial"/>
          <w:b/>
          <w:smallCaps w:val="0"/>
          <w:color w:val="002060"/>
          <w:sz w:val="28"/>
          <w:szCs w:val="28"/>
          <w:lang w:val="es-ES"/>
        </w:rPr>
        <w:t xml:space="preserve"> Centro Gestor</w:t>
      </w:r>
      <w:r w:rsidR="006A1CC0" w:rsidRPr="002A387D">
        <w:rPr>
          <w:rStyle w:val="Ttulodellibro"/>
          <w:rFonts w:eastAsiaTheme="majorEastAsia" w:cs="Arial"/>
          <w:b/>
          <w:smallCaps w:val="0"/>
          <w:color w:val="002060"/>
          <w:sz w:val="28"/>
          <w:szCs w:val="28"/>
          <w:lang w:val="es-ES"/>
        </w:rPr>
        <w:t>:</w:t>
      </w:r>
      <w:r w:rsidRPr="002A387D">
        <w:rPr>
          <w:rStyle w:val="Ttulodellibro"/>
          <w:rFonts w:eastAsiaTheme="majorEastAsia" w:cs="Arial"/>
          <w:b/>
          <w:smallCaps w:val="0"/>
          <w:color w:val="002060"/>
          <w:sz w:val="28"/>
          <w:szCs w:val="28"/>
          <w:lang w:val="es-ES"/>
        </w:rPr>
        <w:t>927 -Servicio Jurisdiccional</w:t>
      </w:r>
      <w:bookmarkEnd w:id="17"/>
    </w:p>
    <w:p w14:paraId="1AABD466" w14:textId="38027E32" w:rsidR="00975B4C" w:rsidRPr="00F56A61" w:rsidRDefault="00975B4C" w:rsidP="00BE5AA1">
      <w:pPr>
        <w:pStyle w:val="Ttulo2"/>
        <w:keepLines/>
        <w:numPr>
          <w:ilvl w:val="1"/>
          <w:numId w:val="15"/>
        </w:numPr>
        <w:spacing w:before="360" w:line="259" w:lineRule="auto"/>
        <w:ind w:left="284" w:hanging="284"/>
        <w:jc w:val="both"/>
        <w:rPr>
          <w:rFonts w:ascii="Arial" w:hAnsi="Arial" w:cs="Arial"/>
          <w:iCs/>
          <w:smallCaps/>
          <w:color w:val="002060"/>
          <w:spacing w:val="15"/>
          <w:sz w:val="22"/>
        </w:rPr>
      </w:pPr>
      <w:bookmarkStart w:id="18" w:name="_Toc93420472"/>
      <w:r w:rsidRPr="00F56A61">
        <w:rPr>
          <w:rFonts w:ascii="Arial" w:hAnsi="Arial" w:cs="Arial"/>
          <w:iCs/>
          <w:color w:val="002060"/>
          <w:spacing w:val="15"/>
          <w:sz w:val="22"/>
        </w:rPr>
        <w:t>Ejecución del Presupuesto 202</w:t>
      </w:r>
      <w:r w:rsidR="00B92074">
        <w:rPr>
          <w:rFonts w:ascii="Arial" w:hAnsi="Arial" w:cs="Arial"/>
          <w:iCs/>
          <w:color w:val="002060"/>
          <w:spacing w:val="15"/>
          <w:sz w:val="22"/>
        </w:rPr>
        <w:t>1</w:t>
      </w:r>
      <w:r w:rsidRPr="00F56A61">
        <w:rPr>
          <w:rFonts w:ascii="Arial" w:hAnsi="Arial" w:cs="Arial"/>
          <w:iCs/>
          <w:color w:val="002060"/>
          <w:spacing w:val="15"/>
          <w:sz w:val="22"/>
        </w:rPr>
        <w:t xml:space="preserve"> asociado a recursos internos</w:t>
      </w:r>
      <w:bookmarkEnd w:id="18"/>
    </w:p>
    <w:p w14:paraId="0EF9979C" w14:textId="77777777" w:rsidR="00AE3D7B" w:rsidRDefault="00AE3D7B" w:rsidP="00975B4C">
      <w:pPr>
        <w:spacing w:before="240"/>
        <w:jc w:val="center"/>
        <w:rPr>
          <w:rFonts w:ascii="Arial" w:hAnsi="Arial" w:cs="Arial"/>
          <w:b/>
          <w:sz w:val="20"/>
          <w:szCs w:val="20"/>
          <w:lang w:val="es-ES_tradnl"/>
        </w:rPr>
      </w:pPr>
    </w:p>
    <w:p w14:paraId="17688D51" w14:textId="10229030" w:rsidR="00975B4C" w:rsidRPr="00AE3D7B" w:rsidRDefault="00AE3D7B" w:rsidP="00AE3D7B">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10</w:t>
      </w:r>
      <w:r w:rsidRPr="00AE3D7B">
        <w:rPr>
          <w:rFonts w:ascii="Arial" w:hAnsi="Arial" w:cs="Arial"/>
          <w:b/>
          <w:bCs/>
          <w:i w:val="0"/>
          <w:iCs w:val="0"/>
          <w:color w:val="auto"/>
          <w:sz w:val="20"/>
          <w:szCs w:val="20"/>
        </w:rPr>
        <w:fldChar w:fldCharType="end"/>
      </w:r>
    </w:p>
    <w:p w14:paraId="6ABAF976" w14:textId="77777777" w:rsidR="00975B4C" w:rsidRDefault="00975B4C" w:rsidP="00975B4C">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08A2F58A" w14:textId="2E43EA7F" w:rsidR="00B92074" w:rsidRPr="00B92074" w:rsidRDefault="00EB4ADD" w:rsidP="00B92074">
      <w:pPr>
        <w:jc w:val="center"/>
        <w:rPr>
          <w:rFonts w:ascii="Arial" w:hAnsi="Arial" w:cs="Arial"/>
          <w:sz w:val="20"/>
          <w:szCs w:val="20"/>
          <w:lang w:val="es-MX"/>
        </w:rPr>
      </w:pPr>
      <w:r>
        <w:rPr>
          <w:rFonts w:ascii="Arial" w:hAnsi="Arial" w:cs="Arial"/>
          <w:sz w:val="20"/>
          <w:szCs w:val="20"/>
          <w:lang w:val="es-MX"/>
        </w:rPr>
        <w:t>927 servicio Jurisdiccional</w:t>
      </w:r>
    </w:p>
    <w:p w14:paraId="22011D7A" w14:textId="30663B6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Al 31 de diciembre 202</w:t>
      </w:r>
      <w:r w:rsidR="00062784">
        <w:rPr>
          <w:rFonts w:ascii="Arial" w:hAnsi="Arial" w:cs="Arial"/>
          <w:sz w:val="20"/>
          <w:szCs w:val="20"/>
          <w:lang w:val="es-ES_tradnl"/>
        </w:rPr>
        <w:t>1</w:t>
      </w:r>
    </w:p>
    <w:p w14:paraId="5AA45F30" w14:textId="1FEE6DC0" w:rsidR="00975B4C" w:rsidRDefault="00975B4C" w:rsidP="0078321D">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18"/>
        <w:tblW w:w="5000" w:type="pct"/>
        <w:tblLook w:val="00A0" w:firstRow="1" w:lastRow="0" w:firstColumn="1" w:lastColumn="0" w:noHBand="0" w:noVBand="0"/>
      </w:tblPr>
      <w:tblGrid>
        <w:gridCol w:w="3316"/>
        <w:gridCol w:w="1941"/>
        <w:gridCol w:w="1941"/>
        <w:gridCol w:w="1286"/>
      </w:tblGrid>
      <w:tr w:rsidR="00B92074" w:rsidRPr="00E33A5C" w14:paraId="418EB6BA" w14:textId="77777777" w:rsidTr="00465D5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954" w:type="pct"/>
            <w:vAlign w:val="center"/>
            <w:hideMark/>
          </w:tcPr>
          <w:p w14:paraId="7E87E1F3" w14:textId="77777777" w:rsidR="00B92074" w:rsidRPr="00E33A5C" w:rsidRDefault="00B92074" w:rsidP="00465D52">
            <w:pPr>
              <w:spacing w:line="360" w:lineRule="auto"/>
              <w:jc w:val="center"/>
              <w:rPr>
                <w:rFonts w:ascii="Arial" w:hAnsi="Arial" w:cs="Arial"/>
                <w:b w:val="0"/>
                <w:color w:val="FFFFFF"/>
                <w:sz w:val="20"/>
                <w:szCs w:val="20"/>
                <w:lang w:val="es-CR" w:eastAsia="es-CR"/>
              </w:rPr>
            </w:pPr>
            <w:r w:rsidRPr="00E33A5C">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144" w:type="pct"/>
            <w:vAlign w:val="center"/>
            <w:hideMark/>
          </w:tcPr>
          <w:p w14:paraId="3DF422FC" w14:textId="77777777" w:rsidR="00B92074" w:rsidRPr="00E33A5C" w:rsidRDefault="00B92074" w:rsidP="00465D52">
            <w:pPr>
              <w:spacing w:line="360" w:lineRule="auto"/>
              <w:jc w:val="center"/>
              <w:rPr>
                <w:rFonts w:ascii="Arial" w:hAnsi="Arial" w:cs="Arial"/>
                <w:b w:val="0"/>
                <w:color w:val="FFFFFF"/>
                <w:sz w:val="20"/>
                <w:szCs w:val="20"/>
                <w:lang w:val="es-CR" w:eastAsia="es-CR"/>
              </w:rPr>
            </w:pPr>
            <w:r w:rsidRPr="00E33A5C">
              <w:rPr>
                <w:rFonts w:ascii="Arial" w:hAnsi="Arial" w:cs="Arial"/>
                <w:color w:val="FFFFFF"/>
                <w:sz w:val="20"/>
                <w:szCs w:val="20"/>
                <w:lang w:val="es-CR" w:eastAsia="es-CR"/>
              </w:rPr>
              <w:t>Presupuesto actual</w:t>
            </w:r>
            <w:r w:rsidRPr="00E33A5C">
              <w:rPr>
                <w:rFonts w:ascii="Arial" w:hAnsi="Arial" w:cs="Arial"/>
                <w:color w:val="FFFFFF"/>
                <w:sz w:val="20"/>
                <w:szCs w:val="20"/>
                <w:vertAlign w:val="superscript"/>
                <w:lang w:val="es-CR" w:eastAsia="es-CR"/>
              </w:rPr>
              <w:t>/1</w:t>
            </w:r>
            <w:r w:rsidRPr="00E33A5C">
              <w:rPr>
                <w:rFonts w:ascii="Arial" w:hAnsi="Arial" w:cs="Arial"/>
                <w:color w:val="FFFFFF"/>
                <w:sz w:val="20"/>
                <w:szCs w:val="20"/>
                <w:lang w:val="es-CR" w:eastAsia="es-CR"/>
              </w:rPr>
              <w:t xml:space="preserve"> 2021</w:t>
            </w:r>
          </w:p>
        </w:tc>
        <w:tc>
          <w:tcPr>
            <w:tcW w:w="1144" w:type="pct"/>
            <w:vAlign w:val="center"/>
            <w:hideMark/>
          </w:tcPr>
          <w:p w14:paraId="59EEF330" w14:textId="77777777" w:rsidR="00B92074" w:rsidRPr="00E33A5C" w:rsidRDefault="00B92074" w:rsidP="00465D5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E33A5C">
              <w:rPr>
                <w:rFonts w:ascii="Arial" w:hAnsi="Arial" w:cs="Arial"/>
                <w:color w:val="FFFFFF"/>
                <w:sz w:val="20"/>
                <w:szCs w:val="20"/>
                <w:lang w:val="es-CR" w:eastAsia="es-CR"/>
              </w:rPr>
              <w:t>Presupuesto ejecutado</w:t>
            </w:r>
            <w:r w:rsidRPr="00E33A5C">
              <w:rPr>
                <w:rFonts w:ascii="Arial" w:hAnsi="Arial" w:cs="Arial"/>
                <w:color w:val="FFFFFF"/>
                <w:sz w:val="20"/>
                <w:szCs w:val="20"/>
                <w:vertAlign w:val="superscript"/>
                <w:lang w:val="es-CR" w:eastAsia="es-CR"/>
              </w:rPr>
              <w:t>/2</w:t>
            </w:r>
            <w:r w:rsidRPr="00E33A5C">
              <w:rPr>
                <w:rFonts w:ascii="Arial" w:hAnsi="Arial" w:cs="Arial"/>
                <w:color w:val="FFFFFF"/>
                <w:sz w:val="20"/>
                <w:szCs w:val="20"/>
                <w:lang w:val="es-CR" w:eastAsia="es-CR"/>
              </w:rPr>
              <w:t xml:space="preserve"> 2021</w:t>
            </w:r>
          </w:p>
        </w:tc>
        <w:tc>
          <w:tcPr>
            <w:cnfStyle w:val="000010000000" w:firstRow="0" w:lastRow="0" w:firstColumn="0" w:lastColumn="0" w:oddVBand="1" w:evenVBand="0" w:oddHBand="0" w:evenHBand="0" w:firstRowFirstColumn="0" w:firstRowLastColumn="0" w:lastRowFirstColumn="0" w:lastRowLastColumn="0"/>
            <w:tcW w:w="758" w:type="pct"/>
            <w:vAlign w:val="center"/>
            <w:hideMark/>
          </w:tcPr>
          <w:p w14:paraId="3EF469E1" w14:textId="77777777" w:rsidR="00B92074" w:rsidRPr="00E33A5C" w:rsidRDefault="00B92074" w:rsidP="00465D52">
            <w:pPr>
              <w:spacing w:line="360" w:lineRule="auto"/>
              <w:jc w:val="center"/>
              <w:rPr>
                <w:rFonts w:ascii="Arial" w:hAnsi="Arial" w:cs="Arial"/>
                <w:b w:val="0"/>
                <w:color w:val="FFFFFF"/>
                <w:sz w:val="20"/>
                <w:szCs w:val="20"/>
                <w:lang w:val="es-CR" w:eastAsia="es-CR"/>
              </w:rPr>
            </w:pPr>
            <w:r w:rsidRPr="00E33A5C">
              <w:rPr>
                <w:rFonts w:ascii="Arial" w:hAnsi="Arial" w:cs="Arial"/>
                <w:color w:val="FFFFFF"/>
                <w:sz w:val="20"/>
                <w:szCs w:val="20"/>
                <w:lang w:val="es-CR" w:eastAsia="es-CR"/>
              </w:rPr>
              <w:t>Nivel de ejecución</w:t>
            </w:r>
          </w:p>
        </w:tc>
      </w:tr>
      <w:tr w:rsidR="00B92074" w:rsidRPr="00E33A5C" w14:paraId="19F431D6" w14:textId="77777777" w:rsidTr="00465D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B04DD2E" w14:textId="77777777" w:rsidR="00B92074" w:rsidRPr="00E33A5C" w:rsidRDefault="00B92074" w:rsidP="00465D52">
            <w:pPr>
              <w:spacing w:line="360" w:lineRule="auto"/>
              <w:rPr>
                <w:rFonts w:ascii="Arial" w:hAnsi="Arial" w:cs="Arial"/>
                <w:sz w:val="20"/>
                <w:szCs w:val="20"/>
                <w:lang w:val="es-CR" w:eastAsia="es-CR"/>
              </w:rPr>
            </w:pPr>
            <w:r w:rsidRPr="00E33A5C">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24A5FEDC" w14:textId="77777777" w:rsidR="00B92074" w:rsidRPr="00E33A5C" w:rsidRDefault="00B92074" w:rsidP="00465D52">
            <w:pPr>
              <w:spacing w:line="360" w:lineRule="auto"/>
              <w:jc w:val="right"/>
              <w:rPr>
                <w:rFonts w:ascii="Arial" w:hAnsi="Arial" w:cs="Arial"/>
                <w:b/>
                <w:bCs/>
                <w:sz w:val="20"/>
                <w:szCs w:val="20"/>
                <w:lang w:val="es-CR" w:eastAsia="es-CR"/>
              </w:rPr>
            </w:pPr>
            <w:r w:rsidRPr="00E33A5C">
              <w:rPr>
                <w:rFonts w:ascii="Arial" w:hAnsi="Arial" w:cs="Arial"/>
                <w:b/>
                <w:bCs/>
                <w:sz w:val="20"/>
                <w:szCs w:val="20"/>
                <w:lang w:val="es-CR"/>
              </w:rPr>
              <w:t xml:space="preserve">165.112,37 </w:t>
            </w:r>
          </w:p>
        </w:tc>
        <w:tc>
          <w:tcPr>
            <w:tcW w:w="1144" w:type="pct"/>
            <w:noWrap/>
            <w:vAlign w:val="center"/>
          </w:tcPr>
          <w:p w14:paraId="0F2F0CE6"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E33A5C">
              <w:rPr>
                <w:rFonts w:ascii="Arial" w:hAnsi="Arial" w:cs="Arial"/>
                <w:b/>
                <w:bCs/>
                <w:sz w:val="20"/>
                <w:szCs w:val="20"/>
                <w:lang w:val="es-CR"/>
              </w:rPr>
              <w:t xml:space="preserve">163.764,38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1B0E9844" w14:textId="77777777" w:rsidR="00B92074" w:rsidRPr="00E33A5C" w:rsidRDefault="00B92074" w:rsidP="00465D52">
            <w:pPr>
              <w:spacing w:line="360" w:lineRule="auto"/>
              <w:jc w:val="right"/>
              <w:rPr>
                <w:rFonts w:ascii="Arial" w:hAnsi="Arial" w:cs="Arial"/>
                <w:b/>
                <w:bCs/>
                <w:sz w:val="20"/>
                <w:szCs w:val="20"/>
                <w:lang w:val="es-CR" w:eastAsia="es-CR"/>
              </w:rPr>
            </w:pPr>
            <w:r w:rsidRPr="00E33A5C">
              <w:rPr>
                <w:rFonts w:ascii="Arial" w:hAnsi="Arial" w:cs="Arial"/>
                <w:b/>
                <w:bCs/>
                <w:sz w:val="20"/>
                <w:szCs w:val="20"/>
                <w:lang w:val="es-CR"/>
              </w:rPr>
              <w:t>99,18%</w:t>
            </w:r>
          </w:p>
        </w:tc>
      </w:tr>
      <w:tr w:rsidR="00B92074" w:rsidRPr="00E33A5C" w14:paraId="39C15B8D" w14:textId="77777777" w:rsidTr="00465D52">
        <w:trPr>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48289D02" w14:textId="77777777" w:rsidR="00B92074" w:rsidRPr="00E33A5C" w:rsidRDefault="00B92074" w:rsidP="00465D52">
            <w:pPr>
              <w:spacing w:line="360" w:lineRule="auto"/>
              <w:rPr>
                <w:rFonts w:ascii="Arial" w:hAnsi="Arial" w:cs="Arial"/>
                <w:b w:val="0"/>
                <w:sz w:val="20"/>
                <w:szCs w:val="20"/>
                <w:lang w:val="es-CR" w:eastAsia="es-CR"/>
              </w:rPr>
            </w:pPr>
            <w:r w:rsidRPr="00E33A5C">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591C2D64"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 </w:t>
            </w:r>
          </w:p>
        </w:tc>
        <w:tc>
          <w:tcPr>
            <w:tcW w:w="1144" w:type="pct"/>
            <w:noWrap/>
            <w:vAlign w:val="center"/>
          </w:tcPr>
          <w:p w14:paraId="2906431A" w14:textId="77777777" w:rsidR="00B92074" w:rsidRPr="00E33A5C" w:rsidRDefault="00B92074" w:rsidP="00465D5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048F3E4"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w:t>
            </w:r>
          </w:p>
        </w:tc>
      </w:tr>
      <w:tr w:rsidR="00B92074" w:rsidRPr="00E33A5C" w14:paraId="1D6AE159"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49E21573" w14:textId="77777777" w:rsidR="00B92074" w:rsidRPr="00E33A5C" w:rsidRDefault="00B92074" w:rsidP="00465D52">
            <w:pPr>
              <w:spacing w:line="360" w:lineRule="auto"/>
              <w:rPr>
                <w:rFonts w:ascii="Arial" w:hAnsi="Arial" w:cs="Arial"/>
                <w:sz w:val="20"/>
                <w:szCs w:val="20"/>
                <w:lang w:val="es-CR" w:eastAsia="es-CR"/>
              </w:rPr>
            </w:pPr>
            <w:r w:rsidRPr="00E33A5C">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015DC5D5" w14:textId="77777777" w:rsidR="00B92074" w:rsidRPr="00E33A5C" w:rsidRDefault="00B92074" w:rsidP="00465D52">
            <w:pPr>
              <w:spacing w:line="360" w:lineRule="auto"/>
              <w:jc w:val="right"/>
              <w:rPr>
                <w:rFonts w:ascii="Arial" w:hAnsi="Arial" w:cs="Arial"/>
                <w:b/>
                <w:bCs/>
                <w:sz w:val="20"/>
                <w:szCs w:val="20"/>
                <w:lang w:val="es-CR" w:eastAsia="es-CR"/>
              </w:rPr>
            </w:pPr>
            <w:r w:rsidRPr="00E33A5C">
              <w:rPr>
                <w:rFonts w:ascii="Arial" w:hAnsi="Arial" w:cs="Arial"/>
                <w:b/>
                <w:bCs/>
                <w:sz w:val="20"/>
                <w:szCs w:val="20"/>
                <w:lang w:val="es-CR"/>
              </w:rPr>
              <w:t xml:space="preserve">165.112,37 </w:t>
            </w:r>
          </w:p>
        </w:tc>
        <w:tc>
          <w:tcPr>
            <w:tcW w:w="1144" w:type="pct"/>
            <w:noWrap/>
            <w:vAlign w:val="center"/>
          </w:tcPr>
          <w:p w14:paraId="057B22D2"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E33A5C">
              <w:rPr>
                <w:rFonts w:ascii="Arial" w:hAnsi="Arial" w:cs="Arial"/>
                <w:b/>
                <w:bCs/>
                <w:sz w:val="20"/>
                <w:szCs w:val="20"/>
                <w:lang w:val="es-CR"/>
              </w:rPr>
              <w:t xml:space="preserve">163.764,38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FF38CBC" w14:textId="77777777" w:rsidR="00B92074" w:rsidRPr="00E33A5C" w:rsidRDefault="00B92074" w:rsidP="00465D52">
            <w:pPr>
              <w:spacing w:line="360" w:lineRule="auto"/>
              <w:jc w:val="right"/>
              <w:rPr>
                <w:rFonts w:ascii="Arial" w:hAnsi="Arial" w:cs="Arial"/>
                <w:b/>
                <w:bCs/>
                <w:sz w:val="20"/>
                <w:szCs w:val="20"/>
                <w:lang w:val="es-CR" w:eastAsia="es-CR"/>
              </w:rPr>
            </w:pPr>
            <w:r w:rsidRPr="00E33A5C">
              <w:rPr>
                <w:rFonts w:ascii="Arial" w:hAnsi="Arial" w:cs="Arial"/>
                <w:b/>
                <w:bCs/>
                <w:sz w:val="20"/>
                <w:szCs w:val="20"/>
                <w:lang w:val="es-CR"/>
              </w:rPr>
              <w:t>99,18%</w:t>
            </w:r>
          </w:p>
        </w:tc>
      </w:tr>
      <w:tr w:rsidR="00B92074" w:rsidRPr="00E33A5C" w14:paraId="5385240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853CDC7"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320A18D8"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148.123,00 </w:t>
            </w:r>
          </w:p>
        </w:tc>
        <w:tc>
          <w:tcPr>
            <w:tcW w:w="1144" w:type="pct"/>
            <w:noWrap/>
            <w:hideMark/>
          </w:tcPr>
          <w:p w14:paraId="4867F03C" w14:textId="77777777" w:rsidR="00B92074" w:rsidRPr="00E33A5C" w:rsidRDefault="00B92074" w:rsidP="00465D5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147.634,67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677F880"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99,67%</w:t>
            </w:r>
          </w:p>
        </w:tc>
      </w:tr>
      <w:tr w:rsidR="00B92074" w:rsidRPr="00E33A5C" w14:paraId="610F97F6"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5C354F1"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219E70D4"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          12.343,25 </w:t>
            </w:r>
          </w:p>
        </w:tc>
        <w:tc>
          <w:tcPr>
            <w:tcW w:w="1144" w:type="pct"/>
            <w:noWrap/>
            <w:hideMark/>
          </w:tcPr>
          <w:p w14:paraId="565B2F3C"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            11.884,46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32FEFCF"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96,28%</w:t>
            </w:r>
          </w:p>
        </w:tc>
      </w:tr>
      <w:tr w:rsidR="00B92074" w:rsidRPr="00E33A5C" w14:paraId="55F05B1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E45A850"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4156DDC7"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653,81 </w:t>
            </w:r>
          </w:p>
        </w:tc>
        <w:tc>
          <w:tcPr>
            <w:tcW w:w="1144" w:type="pct"/>
            <w:noWrap/>
            <w:hideMark/>
          </w:tcPr>
          <w:p w14:paraId="3C86F788" w14:textId="77777777" w:rsidR="00B92074" w:rsidRPr="00E33A5C" w:rsidRDefault="00B92074" w:rsidP="00465D5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542,39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20D2E6E3"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82,96%</w:t>
            </w:r>
          </w:p>
        </w:tc>
      </w:tr>
      <w:tr w:rsidR="00B92074" w:rsidRPr="00E33A5C" w14:paraId="5D56A0EB"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0E29BC2"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lastRenderedPageBreak/>
              <w:t>Intereses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107E0944"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               - </w:t>
            </w:r>
          </w:p>
        </w:tc>
        <w:tc>
          <w:tcPr>
            <w:tcW w:w="1144" w:type="pct"/>
            <w:noWrap/>
            <w:hideMark/>
          </w:tcPr>
          <w:p w14:paraId="4E363A7D"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116EA903"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w:t>
            </w:r>
          </w:p>
        </w:tc>
      </w:tr>
      <w:tr w:rsidR="00B92074" w:rsidRPr="00E33A5C" w14:paraId="1C602295"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5F68467D"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3E651190"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                      -   </w:t>
            </w:r>
          </w:p>
        </w:tc>
        <w:tc>
          <w:tcPr>
            <w:tcW w:w="1144" w:type="pct"/>
            <w:noWrap/>
            <w:hideMark/>
          </w:tcPr>
          <w:p w14:paraId="465F8738" w14:textId="77777777" w:rsidR="00B92074" w:rsidRPr="00E33A5C" w:rsidRDefault="00B92074" w:rsidP="00465D5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9D35B3D"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w:t>
            </w:r>
          </w:p>
        </w:tc>
      </w:tr>
      <w:tr w:rsidR="00B92074" w:rsidRPr="00E33A5C" w14:paraId="74DF430F"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F1B656D"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490EE262"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738,43 </w:t>
            </w:r>
          </w:p>
        </w:tc>
        <w:tc>
          <w:tcPr>
            <w:tcW w:w="1144" w:type="pct"/>
            <w:noWrap/>
            <w:hideMark/>
          </w:tcPr>
          <w:p w14:paraId="5B0FB6FF"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542,16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4EC35F9"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73,42%</w:t>
            </w:r>
          </w:p>
        </w:tc>
      </w:tr>
      <w:tr w:rsidR="00B92074" w:rsidRPr="00E33A5C" w14:paraId="017011D0"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41C79BB"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4376C856"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2.309,48 </w:t>
            </w:r>
          </w:p>
        </w:tc>
        <w:tc>
          <w:tcPr>
            <w:tcW w:w="1144" w:type="pct"/>
            <w:noWrap/>
            <w:hideMark/>
          </w:tcPr>
          <w:p w14:paraId="3EF05712" w14:textId="77777777" w:rsidR="00B92074" w:rsidRPr="00E33A5C" w:rsidRDefault="00B92074" w:rsidP="00465D5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2.216,30</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2549207D"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95,97%</w:t>
            </w:r>
          </w:p>
        </w:tc>
      </w:tr>
      <w:tr w:rsidR="00B92074" w:rsidRPr="00E33A5C" w14:paraId="2DFBEBC8"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43680718"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08E4F5D8"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944,40 </w:t>
            </w:r>
          </w:p>
        </w:tc>
        <w:tc>
          <w:tcPr>
            <w:tcW w:w="1144" w:type="pct"/>
            <w:noWrap/>
            <w:hideMark/>
          </w:tcPr>
          <w:p w14:paraId="52B82168"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944,40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CE6669F"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100,00%</w:t>
            </w:r>
          </w:p>
        </w:tc>
      </w:tr>
      <w:tr w:rsidR="00B92074" w:rsidRPr="00E33A5C" w14:paraId="4FF57627"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491219D"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3EC3423A"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             - </w:t>
            </w:r>
          </w:p>
        </w:tc>
        <w:tc>
          <w:tcPr>
            <w:tcW w:w="1144" w:type="pct"/>
            <w:noWrap/>
            <w:hideMark/>
          </w:tcPr>
          <w:p w14:paraId="63D07BC4" w14:textId="77777777" w:rsidR="00B92074" w:rsidRPr="00E33A5C" w:rsidRDefault="00B92074" w:rsidP="00465D5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0290018"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w:t>
            </w:r>
          </w:p>
        </w:tc>
      </w:tr>
      <w:tr w:rsidR="00B92074" w:rsidRPr="00E33A5C" w14:paraId="631692E6"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6C2A36B" w14:textId="77777777" w:rsidR="00B92074" w:rsidRPr="00E33A5C" w:rsidRDefault="00B92074" w:rsidP="00465D52">
            <w:pPr>
              <w:spacing w:line="360" w:lineRule="auto"/>
              <w:rPr>
                <w:rFonts w:ascii="Arial" w:hAnsi="Arial" w:cs="Arial"/>
                <w:b w:val="0"/>
                <w:color w:val="000000"/>
                <w:sz w:val="20"/>
                <w:szCs w:val="20"/>
                <w:lang w:val="es-CR" w:eastAsia="es-CR"/>
              </w:rPr>
            </w:pPr>
            <w:r w:rsidRPr="00E33A5C">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4403ECE7"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 xml:space="preserve">                 -   </w:t>
            </w:r>
          </w:p>
        </w:tc>
        <w:tc>
          <w:tcPr>
            <w:tcW w:w="1144" w:type="pct"/>
            <w:noWrap/>
            <w:vAlign w:val="center"/>
            <w:hideMark/>
          </w:tcPr>
          <w:p w14:paraId="65A43A20" w14:textId="77777777" w:rsidR="00B92074" w:rsidRPr="00E33A5C" w:rsidRDefault="00B92074" w:rsidP="00465D52">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E33A5C">
              <w:rPr>
                <w:rFonts w:ascii="Arial" w:hAnsi="Arial" w:cs="Arial"/>
                <w:sz w:val="20"/>
                <w:szCs w:val="20"/>
                <w:lang w:val="es-CR"/>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6856C027" w14:textId="77777777" w:rsidR="00B92074" w:rsidRPr="00E33A5C" w:rsidRDefault="00B92074" w:rsidP="00465D52">
            <w:pPr>
              <w:spacing w:line="360" w:lineRule="auto"/>
              <w:jc w:val="right"/>
              <w:rPr>
                <w:rFonts w:ascii="Arial" w:hAnsi="Arial" w:cs="Arial"/>
                <w:sz w:val="20"/>
                <w:szCs w:val="20"/>
                <w:lang w:val="es-CR" w:eastAsia="es-CR"/>
              </w:rPr>
            </w:pPr>
            <w:r w:rsidRPr="00E33A5C">
              <w:rPr>
                <w:rFonts w:ascii="Arial" w:hAnsi="Arial" w:cs="Arial"/>
                <w:sz w:val="20"/>
                <w:szCs w:val="20"/>
                <w:lang w:val="es-CR"/>
              </w:rPr>
              <w:t>-</w:t>
            </w:r>
          </w:p>
        </w:tc>
      </w:tr>
    </w:tbl>
    <w:p w14:paraId="740E6F9F" w14:textId="77777777" w:rsidR="00B92074" w:rsidRPr="00E33A5C" w:rsidRDefault="00B92074" w:rsidP="00B92074">
      <w:pPr>
        <w:spacing w:line="360" w:lineRule="auto"/>
        <w:jc w:val="both"/>
        <w:rPr>
          <w:rFonts w:ascii="Arial" w:hAnsi="Arial" w:cs="Arial"/>
          <w:b/>
          <w:bCs/>
          <w:color w:val="000000"/>
          <w:sz w:val="16"/>
          <w:szCs w:val="16"/>
          <w:lang w:val="es-CR" w:eastAsia="es-CR"/>
        </w:rPr>
      </w:pPr>
      <w:r w:rsidRPr="00E33A5C">
        <w:rPr>
          <w:rFonts w:ascii="Arial" w:hAnsi="Arial" w:cs="Arial"/>
          <w:b/>
          <w:bCs/>
          <w:color w:val="000000"/>
          <w:sz w:val="16"/>
          <w:szCs w:val="16"/>
          <w:lang w:val="es-CR" w:eastAsia="es-CR"/>
        </w:rPr>
        <w:t>Fuente</w:t>
      </w:r>
      <w:r w:rsidRPr="00E33A5C">
        <w:rPr>
          <w:rFonts w:ascii="Arial" w:hAnsi="Arial" w:cs="Arial"/>
          <w:color w:val="000000"/>
          <w:sz w:val="16"/>
          <w:szCs w:val="16"/>
          <w:lang w:val="es-CR" w:eastAsia="es-CR"/>
        </w:rPr>
        <w:t>: Liquidación Sistema Módulo de Poderes al 31 de diciembre 2021.</w:t>
      </w:r>
    </w:p>
    <w:p w14:paraId="68DD2071" w14:textId="77777777" w:rsidR="00B92074" w:rsidRPr="00E33A5C" w:rsidRDefault="00B92074" w:rsidP="00B92074">
      <w:pPr>
        <w:spacing w:line="360" w:lineRule="auto"/>
        <w:jc w:val="both"/>
        <w:rPr>
          <w:rFonts w:ascii="Arial" w:hAnsi="Arial" w:cs="Arial"/>
          <w:b/>
          <w:bCs/>
          <w:color w:val="000000"/>
          <w:sz w:val="16"/>
          <w:szCs w:val="16"/>
          <w:lang w:val="es-CR" w:eastAsia="es-CR"/>
        </w:rPr>
      </w:pPr>
      <w:r w:rsidRPr="00E33A5C">
        <w:rPr>
          <w:rFonts w:ascii="Arial" w:hAnsi="Arial" w:cs="Arial"/>
          <w:color w:val="000000"/>
          <w:sz w:val="16"/>
          <w:szCs w:val="16"/>
          <w:lang w:val="es-CR" w:eastAsia="es-CR"/>
        </w:rPr>
        <w:t>/1 Corresponde al presupuesto inicial incluyendo las modificaciones presupuestarias realizadas durante el 2021.</w:t>
      </w:r>
    </w:p>
    <w:p w14:paraId="06328EA8" w14:textId="77777777" w:rsidR="00B92074" w:rsidRDefault="00B92074" w:rsidP="00B92074">
      <w:pPr>
        <w:spacing w:line="360" w:lineRule="auto"/>
        <w:ind w:right="335"/>
        <w:jc w:val="both"/>
        <w:rPr>
          <w:rFonts w:ascii="Arial" w:hAnsi="Arial" w:cs="Arial"/>
          <w:color w:val="000000"/>
          <w:sz w:val="16"/>
          <w:szCs w:val="16"/>
          <w:lang w:val="es-CR" w:eastAsia="es-CR"/>
        </w:rPr>
      </w:pPr>
      <w:r w:rsidRPr="00E33A5C">
        <w:rPr>
          <w:rFonts w:ascii="Arial" w:hAnsi="Arial" w:cs="Arial"/>
          <w:color w:val="000000"/>
          <w:sz w:val="16"/>
          <w:szCs w:val="16"/>
          <w:lang w:val="es-CR" w:eastAsia="es-CR"/>
        </w:rPr>
        <w:t xml:space="preserve">/2 Se refiere al devengado, que es el reconocimiento del gasto por la recepción de bienes y servicios independientemente de cuando se efectúe el pago de la obligación. </w:t>
      </w:r>
    </w:p>
    <w:p w14:paraId="5C978351" w14:textId="77777777" w:rsidR="00B92074" w:rsidRDefault="00B92074" w:rsidP="00B92074">
      <w:pPr>
        <w:spacing w:line="360" w:lineRule="auto"/>
        <w:ind w:right="335"/>
        <w:jc w:val="both"/>
        <w:rPr>
          <w:rFonts w:ascii="Arial" w:hAnsi="Arial" w:cs="Arial"/>
          <w:color w:val="000000"/>
          <w:sz w:val="16"/>
          <w:szCs w:val="16"/>
          <w:lang w:val="es-CR" w:eastAsia="es-CR"/>
        </w:rPr>
      </w:pPr>
    </w:p>
    <w:p w14:paraId="72D7AECF" w14:textId="77777777" w:rsidR="00B92074" w:rsidRPr="00A42BA0" w:rsidRDefault="00B92074" w:rsidP="00B92074">
      <w:pPr>
        <w:spacing w:after="160" w:line="360" w:lineRule="auto"/>
        <w:jc w:val="both"/>
        <w:rPr>
          <w:rFonts w:ascii="Arial" w:eastAsiaTheme="minorEastAsia" w:hAnsi="Arial" w:cs="Arial"/>
          <w:bCs/>
          <w:sz w:val="20"/>
          <w:szCs w:val="20"/>
          <w:lang w:val="es-CR"/>
        </w:rPr>
      </w:pPr>
    </w:p>
    <w:p w14:paraId="575A3901"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En el programa 927 Servicio Jurisdiccional se obtuvo un porcentaje de ejecución general del 99,18% siendo óptimo a nivel de programa.</w:t>
      </w:r>
    </w:p>
    <w:p w14:paraId="3B49B44E"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En la partida de remuneraciones se ejecutan recursos para atender el servicio de administración de justicia, a través del pago de remuneraciones.  Su ejecución varía de acuerdo a los movimientos de personal que se realice y presenta una alta ejecución de los recursos del 99,67% producto de un adecuado aprovechamiento de los recursos asignados.</w:t>
      </w:r>
    </w:p>
    <w:p w14:paraId="1596DF1E"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En la partida 1 Servicios se ejecutó un 96,28% de los recursos asignados, los cuales se utilizaron para atender los contratos a nivel institucional, así como para atender la Reforma al Código de Trabajo y el programa de Justicia Restaurativa.</w:t>
      </w:r>
    </w:p>
    <w:p w14:paraId="57FA4003"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En la partida 2 Materiales y Suministros se ejecutó un porcentaje de 82,96%, los recursos se destinaron para contratos según demanda tales como kit de mantenimiento de impresoras, suministros de oficina, compra de llantas y baterías para vehículos oficiales, uniformes, guantes descartables y termómetros digitales debido a la pandemia nacional.</w:t>
      </w:r>
    </w:p>
    <w:p w14:paraId="3676A32F"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lastRenderedPageBreak/>
        <w:t>En la partida 5 Bienes Duraderos los recursos ejecutados fue de un 73,42% utilizados para atender proyectos de gran impacto para la Institución como mejoras a los edificios, construcciones de obras, compra de equipo y mobiliario tales como equipo de cómputo, sistemas de audio y grabación, equipos videoconferencia, equipos de fax, entre otros.</w:t>
      </w:r>
    </w:p>
    <w:p w14:paraId="005F11BA"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 xml:space="preserve">La partida 6 Transferencias corrientes tuvo un porcentaje de ejecución del 95,97%, en esta partida se utilizan los recursos para atender el aporte estatal al Fondo de Jubilaciones y Pensiones del Poder Judicial, los aportes de la cuota SEM de la Caja Costarricense de Seguro Social, convenios con universidades estatales, becas y ayudas a funcionarios, prestaciones legales, entre otros. </w:t>
      </w:r>
    </w:p>
    <w:p w14:paraId="5A37C344"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La partida 7 Transferencias de capital se ejecutó en su totalidad, en esta partida se utilizan los recursos 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w:t>
      </w:r>
    </w:p>
    <w:p w14:paraId="284AF879" w14:textId="77777777" w:rsidR="00B92074" w:rsidRPr="00A42BA0" w:rsidRDefault="00B92074" w:rsidP="00B92074">
      <w:pPr>
        <w:spacing w:after="160" w:line="360" w:lineRule="auto"/>
        <w:jc w:val="both"/>
        <w:rPr>
          <w:rFonts w:ascii="Arial" w:eastAsiaTheme="minorEastAsia" w:hAnsi="Arial" w:cs="Arial"/>
          <w:bCs/>
          <w:sz w:val="20"/>
          <w:szCs w:val="20"/>
          <w:lang w:val="es-CR"/>
        </w:rPr>
      </w:pPr>
      <w:r w:rsidRPr="00A42BA0">
        <w:rPr>
          <w:rFonts w:ascii="Arial" w:eastAsiaTheme="minorEastAsia" w:hAnsi="Arial" w:cs="Arial"/>
          <w:bCs/>
          <w:sz w:val="20"/>
          <w:szCs w:val="20"/>
          <w:lang w:val="es-CR"/>
        </w:rPr>
        <w:t>Las partidas que no lograron una ejecución mayor al 90% se debió a diferentes factores que se detallan en el punto 2.2, sin embargo, es importante recalcar que parte de estas razones proviene de los plazos en la aprobación de las modificaciones presupuestarias y presupuesto extraordinario por parte del Ministerio de Hacienda, dado que a pesar que este Poder Judicial se apega a las fechas establecidas para la presentación ante ese Ministerio de las modificaciones para redireccionar los recursos de forma eficiente a diferentes necesidades institucionales y esto imposibilita una ejecución oportuna de los recursos, dado que el tiempo de aprobación es muy amplio y se convierte en una importante limitante, situación que se externa a ese ente mediante oficio No.3596-DE-2021 del 21 de diciembre, del cual se recibió respuesta por parte de ese Ministerio con oficio No. DVME-0002-2022 el 10 de enero del presente año el cual comprenden nuestra preocupación, manifiestan que dado que las normas de ejecución que afectaron la operación normal de la administración hacendaria ya no están vigentes para el periodo presupuestario 2022 se espera que el trámite de aprobación se agilice y se faciliten el uso de los recursos asignados. Además, también están las restricciones producidas por la pandemia del COVID-19, que ha afectado enormemente las importaciones marítimas atrasando el envío de mercancías y servicios requeridos por la Institución.</w:t>
      </w:r>
    </w:p>
    <w:p w14:paraId="39C62873" w14:textId="77777777" w:rsidR="00643174" w:rsidRPr="0078321D" w:rsidRDefault="00643174" w:rsidP="0078321D">
      <w:pPr>
        <w:jc w:val="center"/>
        <w:rPr>
          <w:rFonts w:ascii="Arial" w:hAnsi="Arial" w:cs="Arial"/>
          <w:i/>
          <w:sz w:val="20"/>
          <w:szCs w:val="20"/>
          <w:lang w:val="es-ES_tradnl"/>
        </w:rPr>
      </w:pPr>
    </w:p>
    <w:p w14:paraId="10FF4860" w14:textId="0CC74131" w:rsidR="00975B4C" w:rsidRPr="00FF682F" w:rsidRDefault="00975B4C" w:rsidP="00BE5AA1">
      <w:pPr>
        <w:pStyle w:val="Ttulo2"/>
        <w:keepLines/>
        <w:numPr>
          <w:ilvl w:val="1"/>
          <w:numId w:val="15"/>
        </w:numPr>
        <w:spacing w:before="360" w:line="259" w:lineRule="auto"/>
        <w:ind w:left="284" w:hanging="284"/>
        <w:jc w:val="both"/>
        <w:rPr>
          <w:rFonts w:ascii="Arial" w:hAnsi="Arial" w:cs="Arial"/>
          <w:iCs/>
          <w:color w:val="002060"/>
          <w:spacing w:val="15"/>
          <w:sz w:val="22"/>
        </w:rPr>
      </w:pPr>
      <w:bookmarkStart w:id="19" w:name="_Toc93420473"/>
      <w:r w:rsidRPr="00A93844">
        <w:rPr>
          <w:rFonts w:ascii="Arial" w:hAnsi="Arial" w:cs="Arial"/>
          <w:iCs/>
          <w:color w:val="002060"/>
          <w:spacing w:val="15"/>
          <w:sz w:val="22"/>
        </w:rPr>
        <w:t>Factores y acciones correctivas de la ejecución financiera</w:t>
      </w:r>
      <w:r w:rsidR="00A93844">
        <w:rPr>
          <w:rFonts w:ascii="Arial" w:hAnsi="Arial" w:cs="Arial"/>
          <w:iCs/>
          <w:color w:val="002060"/>
          <w:spacing w:val="15"/>
          <w:sz w:val="22"/>
        </w:rPr>
        <w:t>.</w:t>
      </w:r>
      <w:bookmarkEnd w:id="19"/>
    </w:p>
    <w:p w14:paraId="2975CB2D" w14:textId="77777777" w:rsidR="00A93844" w:rsidRPr="00566303" w:rsidRDefault="00A93844" w:rsidP="00975B4C">
      <w:pPr>
        <w:spacing w:after="120" w:line="360" w:lineRule="auto"/>
        <w:jc w:val="both"/>
        <w:rPr>
          <w:rFonts w:ascii="Arial" w:hAnsi="Arial" w:cs="Arial"/>
          <w:sz w:val="20"/>
          <w:szCs w:val="20"/>
          <w:lang w:val="es-ES_tradnl"/>
        </w:rPr>
      </w:pPr>
    </w:p>
    <w:p w14:paraId="19DFAB05" w14:textId="3063506F" w:rsidR="00CC4458" w:rsidRPr="00AE3D7B" w:rsidRDefault="00CC4458" w:rsidP="00CC4458">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11</w:t>
      </w:r>
      <w:r w:rsidRPr="00AE3D7B">
        <w:rPr>
          <w:rFonts w:ascii="Arial" w:hAnsi="Arial" w:cs="Arial"/>
          <w:b/>
          <w:bCs/>
          <w:i w:val="0"/>
          <w:iCs w:val="0"/>
          <w:color w:val="auto"/>
          <w:sz w:val="20"/>
          <w:szCs w:val="20"/>
        </w:rPr>
        <w:fldChar w:fldCharType="end"/>
      </w:r>
    </w:p>
    <w:p w14:paraId="2C883390" w14:textId="34B09630" w:rsidR="00975B4C" w:rsidRPr="006F7372" w:rsidRDefault="00B40A47" w:rsidP="006F7372">
      <w:pPr>
        <w:spacing w:line="360" w:lineRule="auto"/>
        <w:jc w:val="center"/>
        <w:rPr>
          <w:rFonts w:ascii="Arial" w:eastAsiaTheme="minorEastAsia" w:hAnsi="Arial" w:cs="Arial"/>
          <w:b/>
          <w:sz w:val="20"/>
          <w:szCs w:val="20"/>
          <w:lang w:val="es-CR"/>
        </w:rPr>
      </w:pPr>
      <w:r>
        <w:rPr>
          <w:rFonts w:ascii="Arial" w:hAnsi="Arial" w:cs="Arial"/>
          <w:b/>
          <w:sz w:val="20"/>
          <w:szCs w:val="20"/>
          <w:lang w:val="es-ES_tradnl"/>
        </w:rPr>
        <w:t xml:space="preserve"> </w:t>
      </w:r>
      <w:r w:rsidR="006F7372" w:rsidRPr="006F7372">
        <w:rPr>
          <w:rFonts w:ascii="Arial" w:eastAsiaTheme="minorEastAsia" w:hAnsi="Arial" w:cs="Arial"/>
          <w:b/>
          <w:sz w:val="20"/>
          <w:szCs w:val="20"/>
          <w:lang w:val="es-CR"/>
        </w:rPr>
        <w:t>Factores que afectaron la ejecución financiera</w:t>
      </w:r>
    </w:p>
    <w:p w14:paraId="077DE072" w14:textId="5C4F21A4" w:rsidR="00F47AB0" w:rsidRPr="006F7372" w:rsidRDefault="006F7372" w:rsidP="006F7372">
      <w:pPr>
        <w:spacing w:line="360" w:lineRule="auto"/>
        <w:jc w:val="center"/>
        <w:rPr>
          <w:rFonts w:ascii="Arial" w:eastAsiaTheme="minorEastAsia" w:hAnsi="Arial" w:cs="Arial"/>
          <w:sz w:val="20"/>
          <w:szCs w:val="20"/>
          <w:lang w:val="es-CR"/>
        </w:rPr>
      </w:pPr>
      <w:r w:rsidRPr="006F7372">
        <w:rPr>
          <w:rFonts w:ascii="Arial" w:eastAsiaTheme="minorEastAsia" w:hAnsi="Arial" w:cs="Arial"/>
          <w:sz w:val="20"/>
          <w:szCs w:val="20"/>
          <w:lang w:val="es-CR"/>
        </w:rPr>
        <w:t>927 Servicio Jurisdiccional</w:t>
      </w:r>
    </w:p>
    <w:bookmarkEnd w:id="16"/>
    <w:p w14:paraId="75F668D4" w14:textId="77777777" w:rsidR="00F47AB0" w:rsidRPr="0011789E" w:rsidRDefault="00F47AB0" w:rsidP="00F47AB0">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09209158" w14:textId="77777777" w:rsidR="00F47AB0" w:rsidRDefault="00F47AB0" w:rsidP="00F47AB0">
      <w:pPr>
        <w:jc w:val="center"/>
        <w:rPr>
          <w:rFonts w:ascii="Arial" w:hAnsi="Arial" w:cs="Arial"/>
          <w:sz w:val="20"/>
          <w:szCs w:val="20"/>
          <w:lang w:val="es-ES_tradnl"/>
        </w:rPr>
      </w:pPr>
      <w:r w:rsidRPr="0011789E">
        <w:rPr>
          <w:rFonts w:ascii="Arial" w:hAnsi="Arial" w:cs="Arial"/>
          <w:sz w:val="20"/>
          <w:szCs w:val="20"/>
          <w:lang w:val="es-ES_tradnl"/>
        </w:rPr>
        <w:t>Al 31 de diciembre 202</w:t>
      </w:r>
      <w:r>
        <w:rPr>
          <w:rFonts w:ascii="Arial" w:hAnsi="Arial" w:cs="Arial"/>
          <w:sz w:val="20"/>
          <w:szCs w:val="20"/>
          <w:lang w:val="es-ES_tradnl"/>
        </w:rPr>
        <w:t>1</w:t>
      </w:r>
    </w:p>
    <w:p w14:paraId="7AD8DC38" w14:textId="77777777" w:rsidR="00DB17D8" w:rsidRDefault="00DB17D8" w:rsidP="00F47AB0">
      <w:pPr>
        <w:jc w:val="center"/>
        <w:rPr>
          <w:rFonts w:ascii="Arial" w:hAnsi="Arial" w:cs="Arial"/>
          <w:sz w:val="20"/>
          <w:szCs w:val="20"/>
          <w:lang w:val="es-ES_tradnl"/>
        </w:rPr>
      </w:pPr>
    </w:p>
    <w:tbl>
      <w:tblPr>
        <w:tblW w:w="9771" w:type="dxa"/>
        <w:tblCellMar>
          <w:left w:w="70" w:type="dxa"/>
          <w:right w:w="70" w:type="dxa"/>
        </w:tblCellMar>
        <w:tblLook w:val="04A0" w:firstRow="1" w:lastRow="0" w:firstColumn="1" w:lastColumn="0" w:noHBand="0" w:noVBand="1"/>
      </w:tblPr>
      <w:tblGrid>
        <w:gridCol w:w="1952"/>
        <w:gridCol w:w="1236"/>
        <w:gridCol w:w="1236"/>
        <w:gridCol w:w="329"/>
        <w:gridCol w:w="317"/>
        <w:gridCol w:w="317"/>
        <w:gridCol w:w="328"/>
        <w:gridCol w:w="329"/>
        <w:gridCol w:w="329"/>
        <w:gridCol w:w="317"/>
        <w:gridCol w:w="317"/>
        <w:gridCol w:w="329"/>
        <w:gridCol w:w="363"/>
        <w:gridCol w:w="2072"/>
      </w:tblGrid>
      <w:tr w:rsidR="006F7372" w:rsidRPr="006F7372" w14:paraId="205435A5" w14:textId="77777777" w:rsidTr="00465D52">
        <w:trPr>
          <w:trHeight w:val="288"/>
        </w:trPr>
        <w:tc>
          <w:tcPr>
            <w:tcW w:w="1952" w:type="dxa"/>
            <w:vMerge w:val="restart"/>
            <w:tcBorders>
              <w:top w:val="single" w:sz="8" w:space="0" w:color="4472C4"/>
              <w:left w:val="single" w:sz="8" w:space="0" w:color="4472C4"/>
              <w:bottom w:val="single" w:sz="8" w:space="0" w:color="4472C4"/>
              <w:right w:val="single" w:sz="8" w:space="0" w:color="4472C4"/>
            </w:tcBorders>
            <w:shd w:val="clear" w:color="000000" w:fill="4F81BD"/>
            <w:vAlign w:val="center"/>
            <w:hideMark/>
          </w:tcPr>
          <w:p w14:paraId="6462298D" w14:textId="77777777" w:rsidR="006F7372" w:rsidRPr="006F7372" w:rsidRDefault="006F7372" w:rsidP="006F7372">
            <w:pPr>
              <w:spacing w:line="360" w:lineRule="auto"/>
              <w:jc w:val="center"/>
              <w:rPr>
                <w:rFonts w:ascii="Arial" w:hAnsi="Arial" w:cs="Arial"/>
                <w:b/>
                <w:sz w:val="18"/>
                <w:szCs w:val="18"/>
                <w:lang w:val="es-CR" w:eastAsia="es-CR"/>
              </w:rPr>
            </w:pPr>
            <w:r w:rsidRPr="006F7372">
              <w:rPr>
                <w:rFonts w:ascii="Arial" w:hAnsi="Arial" w:cs="Arial"/>
                <w:b/>
                <w:sz w:val="18"/>
                <w:szCs w:val="18"/>
                <w:lang w:val="es-CR" w:eastAsia="es-CR"/>
              </w:rPr>
              <w:t>Nombre de la partida</w:t>
            </w:r>
          </w:p>
        </w:tc>
        <w:tc>
          <w:tcPr>
            <w:tcW w:w="2472" w:type="dxa"/>
            <w:gridSpan w:val="2"/>
            <w:tcBorders>
              <w:top w:val="single" w:sz="8" w:space="0" w:color="4472C4"/>
              <w:left w:val="nil"/>
              <w:bottom w:val="single" w:sz="8" w:space="0" w:color="4472C4"/>
              <w:right w:val="single" w:sz="8" w:space="0" w:color="4472C4"/>
            </w:tcBorders>
            <w:shd w:val="clear" w:color="000000" w:fill="4F81BD"/>
            <w:vAlign w:val="center"/>
            <w:hideMark/>
          </w:tcPr>
          <w:p w14:paraId="24E0E409" w14:textId="77777777" w:rsidR="006F7372" w:rsidRPr="006F7372" w:rsidRDefault="006F7372" w:rsidP="006F7372">
            <w:pPr>
              <w:spacing w:line="360" w:lineRule="auto"/>
              <w:jc w:val="center"/>
              <w:rPr>
                <w:rFonts w:ascii="Arial" w:hAnsi="Arial" w:cs="Arial"/>
                <w:b/>
                <w:sz w:val="18"/>
                <w:szCs w:val="18"/>
                <w:lang w:val="es-CR" w:eastAsia="es-CR"/>
              </w:rPr>
            </w:pPr>
            <w:r w:rsidRPr="006F7372">
              <w:rPr>
                <w:rFonts w:ascii="Arial" w:hAnsi="Arial" w:cs="Arial"/>
                <w:b/>
                <w:sz w:val="18"/>
                <w:szCs w:val="18"/>
                <w:lang w:val="es-CR" w:eastAsia="es-CR"/>
              </w:rPr>
              <w:t>Nivel de ejecución</w:t>
            </w:r>
          </w:p>
        </w:tc>
        <w:tc>
          <w:tcPr>
            <w:tcW w:w="5347" w:type="dxa"/>
            <w:gridSpan w:val="11"/>
            <w:tcBorders>
              <w:top w:val="single" w:sz="8" w:space="0" w:color="4472C4"/>
              <w:left w:val="nil"/>
              <w:bottom w:val="single" w:sz="8" w:space="0" w:color="4472C4"/>
              <w:right w:val="single" w:sz="8" w:space="0" w:color="4472C4"/>
            </w:tcBorders>
            <w:shd w:val="clear" w:color="000000" w:fill="4F81BD"/>
            <w:vAlign w:val="center"/>
            <w:hideMark/>
          </w:tcPr>
          <w:p w14:paraId="6298F0A1" w14:textId="77777777" w:rsidR="006F7372" w:rsidRPr="006F7372" w:rsidRDefault="006F7372" w:rsidP="006F7372">
            <w:pPr>
              <w:spacing w:line="360" w:lineRule="auto"/>
              <w:jc w:val="center"/>
              <w:rPr>
                <w:rFonts w:ascii="Arial" w:hAnsi="Arial" w:cs="Arial"/>
                <w:b/>
                <w:sz w:val="18"/>
                <w:szCs w:val="18"/>
                <w:lang w:val="es-CR" w:eastAsia="es-CR"/>
              </w:rPr>
            </w:pPr>
            <w:r w:rsidRPr="006F7372">
              <w:rPr>
                <w:rFonts w:ascii="Arial" w:hAnsi="Arial" w:cs="Arial"/>
                <w:b/>
                <w:sz w:val="18"/>
                <w:szCs w:val="18"/>
                <w:lang w:val="es-CR" w:eastAsia="es-CR"/>
              </w:rPr>
              <w:t>Factores al 31/12/2021</w:t>
            </w:r>
          </w:p>
        </w:tc>
      </w:tr>
      <w:tr w:rsidR="006F7372" w:rsidRPr="006F7372" w14:paraId="4AD4626D" w14:textId="77777777" w:rsidTr="00465D52">
        <w:trPr>
          <w:trHeight w:val="588"/>
        </w:trPr>
        <w:tc>
          <w:tcPr>
            <w:tcW w:w="1952" w:type="dxa"/>
            <w:vMerge/>
            <w:tcBorders>
              <w:top w:val="single" w:sz="8" w:space="0" w:color="4472C4"/>
              <w:left w:val="single" w:sz="8" w:space="0" w:color="4472C4"/>
              <w:bottom w:val="single" w:sz="8" w:space="0" w:color="4472C4"/>
              <w:right w:val="single" w:sz="8" w:space="0" w:color="4472C4"/>
            </w:tcBorders>
            <w:vAlign w:val="center"/>
            <w:hideMark/>
          </w:tcPr>
          <w:p w14:paraId="599AB6A8" w14:textId="77777777" w:rsidR="006F7372" w:rsidRPr="006F7372" w:rsidRDefault="006F7372" w:rsidP="006F7372">
            <w:pPr>
              <w:spacing w:line="360" w:lineRule="auto"/>
              <w:rPr>
                <w:rFonts w:ascii="Arial" w:hAnsi="Arial" w:cs="Arial"/>
                <w:b/>
                <w:sz w:val="18"/>
                <w:szCs w:val="18"/>
                <w:lang w:val="es-CR" w:eastAsia="es-CR"/>
              </w:rPr>
            </w:pPr>
          </w:p>
        </w:tc>
        <w:tc>
          <w:tcPr>
            <w:tcW w:w="1236" w:type="dxa"/>
            <w:tcBorders>
              <w:top w:val="nil"/>
              <w:left w:val="nil"/>
              <w:bottom w:val="single" w:sz="8" w:space="0" w:color="4472C4"/>
              <w:right w:val="single" w:sz="8" w:space="0" w:color="4472C4"/>
            </w:tcBorders>
            <w:shd w:val="clear" w:color="000000" w:fill="4F81BD"/>
            <w:vAlign w:val="center"/>
            <w:hideMark/>
          </w:tcPr>
          <w:p w14:paraId="1F5E4252"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 xml:space="preserve">30/06/2021 </w:t>
            </w:r>
            <w:r w:rsidRPr="006F7372">
              <w:rPr>
                <w:rFonts w:ascii="Arial" w:hAnsi="Arial" w:cs="Arial"/>
                <w:b/>
                <w:bCs/>
                <w:sz w:val="18"/>
                <w:szCs w:val="18"/>
                <w:vertAlign w:val="superscript"/>
                <w:lang w:val="es-CR" w:eastAsia="es-CR"/>
              </w:rPr>
              <w:t>/1</w:t>
            </w:r>
          </w:p>
        </w:tc>
        <w:tc>
          <w:tcPr>
            <w:tcW w:w="1236" w:type="dxa"/>
            <w:tcBorders>
              <w:top w:val="nil"/>
              <w:left w:val="nil"/>
              <w:bottom w:val="single" w:sz="8" w:space="0" w:color="4472C4"/>
              <w:right w:val="single" w:sz="8" w:space="0" w:color="4472C4"/>
            </w:tcBorders>
            <w:shd w:val="clear" w:color="000000" w:fill="4F81BD"/>
            <w:vAlign w:val="center"/>
            <w:hideMark/>
          </w:tcPr>
          <w:p w14:paraId="7E22FDDB"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 xml:space="preserve">31/12/2021 </w:t>
            </w:r>
            <w:r w:rsidRPr="006F7372">
              <w:rPr>
                <w:rFonts w:ascii="Arial" w:hAnsi="Arial" w:cs="Arial"/>
                <w:b/>
                <w:bCs/>
                <w:sz w:val="18"/>
                <w:szCs w:val="18"/>
                <w:vertAlign w:val="superscript"/>
                <w:lang w:val="es-CR" w:eastAsia="es-CR"/>
              </w:rPr>
              <w:t>/2</w:t>
            </w:r>
          </w:p>
        </w:tc>
        <w:tc>
          <w:tcPr>
            <w:tcW w:w="329" w:type="dxa"/>
            <w:tcBorders>
              <w:top w:val="nil"/>
              <w:left w:val="nil"/>
              <w:bottom w:val="single" w:sz="8" w:space="0" w:color="4472C4"/>
              <w:right w:val="single" w:sz="8" w:space="0" w:color="4472C4"/>
            </w:tcBorders>
            <w:shd w:val="clear" w:color="000000" w:fill="4F81BD"/>
            <w:vAlign w:val="center"/>
            <w:hideMark/>
          </w:tcPr>
          <w:p w14:paraId="1F71B1FF"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1</w:t>
            </w:r>
          </w:p>
        </w:tc>
        <w:tc>
          <w:tcPr>
            <w:tcW w:w="317" w:type="dxa"/>
            <w:tcBorders>
              <w:top w:val="nil"/>
              <w:left w:val="nil"/>
              <w:bottom w:val="single" w:sz="8" w:space="0" w:color="4472C4"/>
              <w:right w:val="single" w:sz="8" w:space="0" w:color="4472C4"/>
            </w:tcBorders>
            <w:shd w:val="clear" w:color="000000" w:fill="4F81BD"/>
            <w:vAlign w:val="center"/>
            <w:hideMark/>
          </w:tcPr>
          <w:p w14:paraId="67C64BCA"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2</w:t>
            </w:r>
          </w:p>
        </w:tc>
        <w:tc>
          <w:tcPr>
            <w:tcW w:w="317" w:type="dxa"/>
            <w:tcBorders>
              <w:top w:val="nil"/>
              <w:left w:val="nil"/>
              <w:bottom w:val="single" w:sz="8" w:space="0" w:color="4472C4"/>
              <w:right w:val="single" w:sz="8" w:space="0" w:color="4472C4"/>
            </w:tcBorders>
            <w:shd w:val="clear" w:color="000000" w:fill="4F81BD"/>
            <w:vAlign w:val="center"/>
            <w:hideMark/>
          </w:tcPr>
          <w:p w14:paraId="3D568183"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3</w:t>
            </w:r>
          </w:p>
        </w:tc>
        <w:tc>
          <w:tcPr>
            <w:tcW w:w="328" w:type="dxa"/>
            <w:tcBorders>
              <w:top w:val="nil"/>
              <w:left w:val="nil"/>
              <w:bottom w:val="single" w:sz="8" w:space="0" w:color="4472C4"/>
              <w:right w:val="single" w:sz="8" w:space="0" w:color="4472C4"/>
            </w:tcBorders>
            <w:shd w:val="clear" w:color="000000" w:fill="4F81BD"/>
            <w:vAlign w:val="center"/>
            <w:hideMark/>
          </w:tcPr>
          <w:p w14:paraId="3AB36578"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4</w:t>
            </w:r>
          </w:p>
        </w:tc>
        <w:tc>
          <w:tcPr>
            <w:tcW w:w="329" w:type="dxa"/>
            <w:tcBorders>
              <w:top w:val="nil"/>
              <w:left w:val="nil"/>
              <w:bottom w:val="single" w:sz="8" w:space="0" w:color="4472C4"/>
              <w:right w:val="single" w:sz="8" w:space="0" w:color="4472C4"/>
            </w:tcBorders>
            <w:shd w:val="clear" w:color="000000" w:fill="4F81BD"/>
            <w:vAlign w:val="center"/>
            <w:hideMark/>
          </w:tcPr>
          <w:p w14:paraId="0F486F22"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5</w:t>
            </w:r>
          </w:p>
        </w:tc>
        <w:tc>
          <w:tcPr>
            <w:tcW w:w="329" w:type="dxa"/>
            <w:tcBorders>
              <w:top w:val="nil"/>
              <w:left w:val="nil"/>
              <w:bottom w:val="single" w:sz="8" w:space="0" w:color="4472C4"/>
              <w:right w:val="single" w:sz="8" w:space="0" w:color="4472C4"/>
            </w:tcBorders>
            <w:shd w:val="clear" w:color="000000" w:fill="4F81BD"/>
            <w:vAlign w:val="center"/>
            <w:hideMark/>
          </w:tcPr>
          <w:p w14:paraId="68DC2A37"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6</w:t>
            </w:r>
          </w:p>
        </w:tc>
        <w:tc>
          <w:tcPr>
            <w:tcW w:w="317" w:type="dxa"/>
            <w:tcBorders>
              <w:top w:val="nil"/>
              <w:left w:val="nil"/>
              <w:bottom w:val="single" w:sz="8" w:space="0" w:color="4472C4"/>
              <w:right w:val="single" w:sz="8" w:space="0" w:color="4472C4"/>
            </w:tcBorders>
            <w:shd w:val="clear" w:color="000000" w:fill="4F81BD"/>
            <w:vAlign w:val="center"/>
            <w:hideMark/>
          </w:tcPr>
          <w:p w14:paraId="614C6907"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7</w:t>
            </w:r>
          </w:p>
        </w:tc>
        <w:tc>
          <w:tcPr>
            <w:tcW w:w="317" w:type="dxa"/>
            <w:tcBorders>
              <w:top w:val="nil"/>
              <w:left w:val="nil"/>
              <w:bottom w:val="single" w:sz="8" w:space="0" w:color="4472C4"/>
              <w:right w:val="single" w:sz="8" w:space="0" w:color="4472C4"/>
            </w:tcBorders>
            <w:shd w:val="clear" w:color="000000" w:fill="4F81BD"/>
            <w:vAlign w:val="center"/>
            <w:hideMark/>
          </w:tcPr>
          <w:p w14:paraId="4B6624B5"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8</w:t>
            </w:r>
          </w:p>
        </w:tc>
        <w:tc>
          <w:tcPr>
            <w:tcW w:w="329" w:type="dxa"/>
            <w:tcBorders>
              <w:top w:val="nil"/>
              <w:left w:val="nil"/>
              <w:bottom w:val="single" w:sz="8" w:space="0" w:color="4472C4"/>
              <w:right w:val="single" w:sz="8" w:space="0" w:color="4472C4"/>
            </w:tcBorders>
            <w:shd w:val="clear" w:color="000000" w:fill="4F81BD"/>
            <w:vAlign w:val="center"/>
            <w:hideMark/>
          </w:tcPr>
          <w:p w14:paraId="289B1490"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9</w:t>
            </w:r>
          </w:p>
        </w:tc>
        <w:tc>
          <w:tcPr>
            <w:tcW w:w="363" w:type="dxa"/>
            <w:tcBorders>
              <w:top w:val="nil"/>
              <w:left w:val="nil"/>
              <w:bottom w:val="single" w:sz="8" w:space="0" w:color="4472C4"/>
              <w:right w:val="single" w:sz="8" w:space="0" w:color="4472C4"/>
            </w:tcBorders>
            <w:shd w:val="clear" w:color="000000" w:fill="4F81BD"/>
            <w:vAlign w:val="center"/>
            <w:hideMark/>
          </w:tcPr>
          <w:p w14:paraId="6070A5DD"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10</w:t>
            </w:r>
          </w:p>
        </w:tc>
        <w:tc>
          <w:tcPr>
            <w:tcW w:w="2072" w:type="dxa"/>
            <w:tcBorders>
              <w:top w:val="nil"/>
              <w:left w:val="nil"/>
              <w:bottom w:val="single" w:sz="8" w:space="0" w:color="4472C4"/>
              <w:right w:val="single" w:sz="8" w:space="0" w:color="4472C4"/>
            </w:tcBorders>
            <w:shd w:val="clear" w:color="000000" w:fill="4F81BD"/>
            <w:vAlign w:val="center"/>
            <w:hideMark/>
          </w:tcPr>
          <w:p w14:paraId="5C97E90C" w14:textId="77777777" w:rsidR="006F7372" w:rsidRPr="006F7372" w:rsidRDefault="006F7372" w:rsidP="006F7372">
            <w:pPr>
              <w:spacing w:line="360" w:lineRule="auto"/>
              <w:jc w:val="center"/>
              <w:rPr>
                <w:rFonts w:ascii="Arial" w:hAnsi="Arial" w:cs="Arial"/>
                <w:b/>
                <w:bCs/>
                <w:sz w:val="18"/>
                <w:szCs w:val="18"/>
                <w:lang w:val="es-CR" w:eastAsia="es-CR"/>
              </w:rPr>
            </w:pPr>
            <w:r w:rsidRPr="006F7372">
              <w:rPr>
                <w:rFonts w:ascii="Arial" w:hAnsi="Arial" w:cs="Arial"/>
                <w:b/>
                <w:bCs/>
                <w:sz w:val="18"/>
                <w:szCs w:val="18"/>
                <w:lang w:val="es-CR" w:eastAsia="es-CR"/>
              </w:rPr>
              <w:t xml:space="preserve">Descripción </w:t>
            </w:r>
            <w:r w:rsidRPr="006F7372">
              <w:rPr>
                <w:rFonts w:ascii="Arial" w:hAnsi="Arial" w:cs="Arial"/>
                <w:b/>
                <w:bCs/>
                <w:sz w:val="18"/>
                <w:szCs w:val="18"/>
                <w:vertAlign w:val="superscript"/>
                <w:lang w:val="es-CR" w:eastAsia="es-CR"/>
              </w:rPr>
              <w:t>/3</w:t>
            </w:r>
          </w:p>
        </w:tc>
      </w:tr>
      <w:tr w:rsidR="006F7372" w:rsidRPr="006F7372" w14:paraId="298E4BC5" w14:textId="77777777" w:rsidTr="00465D52">
        <w:trPr>
          <w:trHeight w:val="336"/>
        </w:trPr>
        <w:tc>
          <w:tcPr>
            <w:tcW w:w="1952" w:type="dxa"/>
            <w:tcBorders>
              <w:top w:val="nil"/>
              <w:left w:val="single" w:sz="8" w:space="0" w:color="4472C4"/>
              <w:bottom w:val="single" w:sz="8" w:space="0" w:color="4472C4"/>
              <w:right w:val="single" w:sz="8" w:space="0" w:color="4472C4"/>
            </w:tcBorders>
            <w:shd w:val="clear" w:color="auto" w:fill="auto"/>
            <w:vAlign w:val="center"/>
            <w:hideMark/>
          </w:tcPr>
          <w:p w14:paraId="50D0CD1C" w14:textId="77777777" w:rsidR="006F7372" w:rsidRPr="006F7372" w:rsidRDefault="006F7372" w:rsidP="006F7372">
            <w:pPr>
              <w:spacing w:line="360" w:lineRule="auto"/>
              <w:rPr>
                <w:rFonts w:ascii="Arial" w:hAnsi="Arial" w:cs="Arial"/>
                <w:sz w:val="18"/>
                <w:szCs w:val="18"/>
                <w:lang w:val="es-CR" w:eastAsia="es-CR"/>
              </w:rPr>
            </w:pPr>
            <w:r w:rsidRPr="006F7372">
              <w:rPr>
                <w:rFonts w:ascii="Arial" w:hAnsi="Arial" w:cs="Arial"/>
                <w:sz w:val="18"/>
                <w:szCs w:val="18"/>
                <w:lang w:val="es-CR" w:eastAsia="es-CR"/>
              </w:rPr>
              <w:t>Materiales y Suministros.</w:t>
            </w:r>
          </w:p>
        </w:tc>
        <w:tc>
          <w:tcPr>
            <w:tcW w:w="1236" w:type="dxa"/>
            <w:tcBorders>
              <w:top w:val="nil"/>
              <w:left w:val="nil"/>
              <w:bottom w:val="single" w:sz="8" w:space="0" w:color="4472C4"/>
              <w:right w:val="single" w:sz="8" w:space="0" w:color="4472C4"/>
            </w:tcBorders>
            <w:shd w:val="clear" w:color="auto" w:fill="auto"/>
            <w:vAlign w:val="center"/>
            <w:hideMark/>
          </w:tcPr>
          <w:p w14:paraId="75597905"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32,31%</w:t>
            </w:r>
          </w:p>
        </w:tc>
        <w:tc>
          <w:tcPr>
            <w:tcW w:w="1236" w:type="dxa"/>
            <w:tcBorders>
              <w:top w:val="nil"/>
              <w:left w:val="nil"/>
              <w:bottom w:val="single" w:sz="8" w:space="0" w:color="4472C4"/>
              <w:right w:val="single" w:sz="8" w:space="0" w:color="4472C4"/>
            </w:tcBorders>
            <w:shd w:val="clear" w:color="auto" w:fill="auto"/>
            <w:vAlign w:val="center"/>
            <w:hideMark/>
          </w:tcPr>
          <w:p w14:paraId="0484AA75"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82,96%</w:t>
            </w:r>
          </w:p>
        </w:tc>
        <w:tc>
          <w:tcPr>
            <w:tcW w:w="329" w:type="dxa"/>
            <w:tcBorders>
              <w:top w:val="nil"/>
              <w:left w:val="nil"/>
              <w:bottom w:val="single" w:sz="8" w:space="0" w:color="4472C4"/>
              <w:right w:val="single" w:sz="8" w:space="0" w:color="4472C4"/>
            </w:tcBorders>
            <w:shd w:val="clear" w:color="auto" w:fill="auto"/>
            <w:vAlign w:val="center"/>
          </w:tcPr>
          <w:p w14:paraId="708C04DF"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46A3CBF5" w14:textId="77777777" w:rsidR="006F7372" w:rsidRPr="006F7372" w:rsidRDefault="006F7372" w:rsidP="006F7372">
            <w:pPr>
              <w:spacing w:line="360" w:lineRule="auto"/>
              <w:jc w:val="both"/>
              <w:rPr>
                <w:rFonts w:ascii="Arial" w:hAnsi="Arial" w:cs="Arial"/>
                <w:sz w:val="18"/>
                <w:szCs w:val="18"/>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14D4540B" w14:textId="77777777" w:rsidR="006F7372" w:rsidRPr="006F7372" w:rsidRDefault="006F7372" w:rsidP="006F7372">
            <w:pPr>
              <w:spacing w:line="360" w:lineRule="auto"/>
              <w:jc w:val="both"/>
              <w:rPr>
                <w:rFonts w:ascii="Arial" w:hAnsi="Arial" w:cs="Arial"/>
                <w:sz w:val="18"/>
                <w:szCs w:val="18"/>
                <w:lang w:val="es-CR" w:eastAsia="es-CR"/>
              </w:rPr>
            </w:pPr>
          </w:p>
        </w:tc>
        <w:tc>
          <w:tcPr>
            <w:tcW w:w="328" w:type="dxa"/>
            <w:tcBorders>
              <w:top w:val="nil"/>
              <w:left w:val="nil"/>
              <w:bottom w:val="single" w:sz="8" w:space="0" w:color="4472C4"/>
              <w:right w:val="single" w:sz="8" w:space="0" w:color="4472C4"/>
            </w:tcBorders>
            <w:shd w:val="clear" w:color="auto" w:fill="auto"/>
            <w:vAlign w:val="center"/>
          </w:tcPr>
          <w:p w14:paraId="30A8DBE6" w14:textId="77777777" w:rsidR="006F7372" w:rsidRPr="006F7372" w:rsidRDefault="006F7372" w:rsidP="006F7372">
            <w:pPr>
              <w:spacing w:line="360" w:lineRule="auto"/>
              <w:jc w:val="both"/>
              <w:rPr>
                <w:rFonts w:ascii="Arial" w:hAnsi="Arial" w:cs="Arial"/>
                <w:sz w:val="18"/>
                <w:szCs w:val="18"/>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5908DF58"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X</w:t>
            </w:r>
          </w:p>
        </w:tc>
        <w:tc>
          <w:tcPr>
            <w:tcW w:w="329" w:type="dxa"/>
            <w:tcBorders>
              <w:top w:val="nil"/>
              <w:left w:val="nil"/>
              <w:bottom w:val="single" w:sz="8" w:space="0" w:color="4472C4"/>
              <w:right w:val="single" w:sz="8" w:space="0" w:color="4472C4"/>
            </w:tcBorders>
            <w:shd w:val="clear" w:color="auto" w:fill="auto"/>
            <w:vAlign w:val="center"/>
          </w:tcPr>
          <w:p w14:paraId="446D162D"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27F882B5" w14:textId="77777777" w:rsidR="006F7372" w:rsidRPr="006F7372" w:rsidRDefault="006F7372" w:rsidP="006F7372">
            <w:pPr>
              <w:spacing w:line="360" w:lineRule="auto"/>
              <w:jc w:val="both"/>
              <w:rPr>
                <w:rFonts w:ascii="Arial" w:hAnsi="Arial" w:cs="Arial"/>
                <w:sz w:val="18"/>
                <w:szCs w:val="18"/>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03BB22BD" w14:textId="77777777" w:rsidR="006F7372" w:rsidRPr="006F7372" w:rsidRDefault="006F7372" w:rsidP="006F7372">
            <w:pPr>
              <w:spacing w:line="360" w:lineRule="auto"/>
              <w:jc w:val="both"/>
              <w:rPr>
                <w:rFonts w:ascii="Arial" w:hAnsi="Arial" w:cs="Arial"/>
                <w:sz w:val="18"/>
                <w:szCs w:val="18"/>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3D305CFD"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X</w:t>
            </w:r>
          </w:p>
        </w:tc>
        <w:tc>
          <w:tcPr>
            <w:tcW w:w="363" w:type="dxa"/>
            <w:tcBorders>
              <w:top w:val="nil"/>
              <w:left w:val="nil"/>
              <w:bottom w:val="single" w:sz="8" w:space="0" w:color="4472C4"/>
              <w:right w:val="single" w:sz="8" w:space="0" w:color="4472C4"/>
            </w:tcBorders>
            <w:shd w:val="clear" w:color="auto" w:fill="auto"/>
            <w:vAlign w:val="center"/>
            <w:hideMark/>
          </w:tcPr>
          <w:p w14:paraId="036C35D3"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 X</w:t>
            </w:r>
          </w:p>
        </w:tc>
        <w:tc>
          <w:tcPr>
            <w:tcW w:w="2072" w:type="dxa"/>
            <w:tcBorders>
              <w:top w:val="nil"/>
              <w:left w:val="nil"/>
              <w:bottom w:val="single" w:sz="8" w:space="0" w:color="4472C4"/>
              <w:right w:val="single" w:sz="8" w:space="0" w:color="4472C4"/>
            </w:tcBorders>
            <w:shd w:val="clear" w:color="auto" w:fill="auto"/>
            <w:vAlign w:val="center"/>
          </w:tcPr>
          <w:p w14:paraId="69597FF2" w14:textId="749F313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 xml:space="preserve">Con respecto al factor No.9 corresponde al artículo No.7 Normas de Ejecución presupuestarias, punto 1 de la Ley de Presupuesto No.9926, inflexibilidad de realizar modificaciones externas entre partidas, lo que imposibilita a la Institución redireccionar los recursos para cubrir necesidades apremiantes. El factor No.10 corresponde a los trámites de contratación que se realizaron pero que quedaron </w:t>
            </w:r>
            <w:r w:rsidR="00412EB8" w:rsidRPr="006F7372">
              <w:rPr>
                <w:rFonts w:ascii="Arial" w:hAnsi="Arial" w:cs="Arial"/>
                <w:sz w:val="18"/>
                <w:szCs w:val="18"/>
                <w:lang w:val="es-CR" w:eastAsia="es-CR"/>
              </w:rPr>
              <w:t>P</w:t>
            </w:r>
            <w:r w:rsidRPr="006F7372">
              <w:rPr>
                <w:rFonts w:ascii="Arial" w:hAnsi="Arial" w:cs="Arial"/>
                <w:sz w:val="18"/>
                <w:szCs w:val="18"/>
                <w:lang w:val="es-CR" w:eastAsia="es-CR"/>
              </w:rPr>
              <w:t xml:space="preserve">endientes de entrega por parte del proveedor al final el semestre y se trasladaron como compromiso no devengado, así como </w:t>
            </w:r>
            <w:r w:rsidRPr="006F7372">
              <w:rPr>
                <w:rFonts w:ascii="Arial" w:hAnsi="Arial" w:cs="Arial"/>
                <w:sz w:val="18"/>
                <w:szCs w:val="18"/>
                <w:lang w:val="es-CR" w:eastAsia="es-CR"/>
              </w:rPr>
              <w:lastRenderedPageBreak/>
              <w:t>contrataciones infructuosas debido a definiciones de especificaciones técnicas que no se ajustan a los requerimientos de la Institución.</w:t>
            </w:r>
          </w:p>
        </w:tc>
      </w:tr>
      <w:tr w:rsidR="006F7372" w:rsidRPr="006F7372" w14:paraId="4A6DD171" w14:textId="77777777" w:rsidTr="00465D52">
        <w:trPr>
          <w:trHeight w:val="336"/>
        </w:trPr>
        <w:tc>
          <w:tcPr>
            <w:tcW w:w="1952" w:type="dxa"/>
            <w:tcBorders>
              <w:top w:val="nil"/>
              <w:left w:val="single" w:sz="8" w:space="0" w:color="4472C4"/>
              <w:bottom w:val="single" w:sz="8" w:space="0" w:color="4472C4"/>
              <w:right w:val="single" w:sz="8" w:space="0" w:color="4472C4"/>
            </w:tcBorders>
            <w:shd w:val="clear" w:color="auto" w:fill="auto"/>
            <w:vAlign w:val="center"/>
            <w:hideMark/>
          </w:tcPr>
          <w:p w14:paraId="52FD8AC6"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lastRenderedPageBreak/>
              <w:t>Bienes Duraderos</w:t>
            </w:r>
          </w:p>
        </w:tc>
        <w:tc>
          <w:tcPr>
            <w:tcW w:w="1236" w:type="dxa"/>
            <w:tcBorders>
              <w:top w:val="nil"/>
              <w:left w:val="nil"/>
              <w:bottom w:val="single" w:sz="8" w:space="0" w:color="4472C4"/>
              <w:right w:val="single" w:sz="8" w:space="0" w:color="4472C4"/>
            </w:tcBorders>
            <w:shd w:val="clear" w:color="auto" w:fill="auto"/>
            <w:vAlign w:val="center"/>
            <w:hideMark/>
          </w:tcPr>
          <w:p w14:paraId="63C1AF56"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32,31% </w:t>
            </w:r>
          </w:p>
        </w:tc>
        <w:tc>
          <w:tcPr>
            <w:tcW w:w="1236" w:type="dxa"/>
            <w:tcBorders>
              <w:top w:val="nil"/>
              <w:left w:val="nil"/>
              <w:bottom w:val="single" w:sz="8" w:space="0" w:color="4472C4"/>
              <w:right w:val="single" w:sz="8" w:space="0" w:color="4472C4"/>
            </w:tcBorders>
            <w:shd w:val="clear" w:color="auto" w:fill="auto"/>
            <w:vAlign w:val="center"/>
            <w:hideMark/>
          </w:tcPr>
          <w:p w14:paraId="1870552E"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73,42% </w:t>
            </w:r>
          </w:p>
        </w:tc>
        <w:tc>
          <w:tcPr>
            <w:tcW w:w="329" w:type="dxa"/>
            <w:tcBorders>
              <w:top w:val="nil"/>
              <w:left w:val="nil"/>
              <w:bottom w:val="single" w:sz="8" w:space="0" w:color="4472C4"/>
              <w:right w:val="single" w:sz="8" w:space="0" w:color="4472C4"/>
            </w:tcBorders>
            <w:shd w:val="clear" w:color="auto" w:fill="auto"/>
            <w:vAlign w:val="center"/>
            <w:hideMark/>
          </w:tcPr>
          <w:p w14:paraId="28807E82"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X</w:t>
            </w:r>
          </w:p>
        </w:tc>
        <w:tc>
          <w:tcPr>
            <w:tcW w:w="317" w:type="dxa"/>
            <w:tcBorders>
              <w:top w:val="nil"/>
              <w:left w:val="nil"/>
              <w:bottom w:val="single" w:sz="8" w:space="0" w:color="4472C4"/>
              <w:right w:val="single" w:sz="8" w:space="0" w:color="4472C4"/>
            </w:tcBorders>
            <w:shd w:val="clear" w:color="auto" w:fill="auto"/>
            <w:vAlign w:val="center"/>
            <w:hideMark/>
          </w:tcPr>
          <w:p w14:paraId="64820EED"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w:t>
            </w:r>
          </w:p>
        </w:tc>
        <w:tc>
          <w:tcPr>
            <w:tcW w:w="317" w:type="dxa"/>
            <w:tcBorders>
              <w:top w:val="nil"/>
              <w:left w:val="nil"/>
              <w:bottom w:val="single" w:sz="8" w:space="0" w:color="4472C4"/>
              <w:right w:val="single" w:sz="8" w:space="0" w:color="4472C4"/>
            </w:tcBorders>
            <w:shd w:val="clear" w:color="auto" w:fill="auto"/>
            <w:vAlign w:val="center"/>
            <w:hideMark/>
          </w:tcPr>
          <w:p w14:paraId="6C8381CC"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w:t>
            </w:r>
          </w:p>
        </w:tc>
        <w:tc>
          <w:tcPr>
            <w:tcW w:w="328" w:type="dxa"/>
            <w:tcBorders>
              <w:top w:val="nil"/>
              <w:left w:val="nil"/>
              <w:bottom w:val="single" w:sz="8" w:space="0" w:color="4472C4"/>
              <w:right w:val="single" w:sz="8" w:space="0" w:color="4472C4"/>
            </w:tcBorders>
            <w:shd w:val="clear" w:color="auto" w:fill="auto"/>
            <w:vAlign w:val="center"/>
            <w:hideMark/>
          </w:tcPr>
          <w:p w14:paraId="0C1757F0"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76954A28"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X </w:t>
            </w:r>
          </w:p>
        </w:tc>
        <w:tc>
          <w:tcPr>
            <w:tcW w:w="329" w:type="dxa"/>
            <w:tcBorders>
              <w:top w:val="nil"/>
              <w:left w:val="nil"/>
              <w:bottom w:val="single" w:sz="8" w:space="0" w:color="4472C4"/>
              <w:right w:val="single" w:sz="8" w:space="0" w:color="4472C4"/>
            </w:tcBorders>
            <w:shd w:val="clear" w:color="auto" w:fill="auto"/>
            <w:vAlign w:val="center"/>
            <w:hideMark/>
          </w:tcPr>
          <w:p w14:paraId="584AD4AB"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X </w:t>
            </w:r>
          </w:p>
        </w:tc>
        <w:tc>
          <w:tcPr>
            <w:tcW w:w="317" w:type="dxa"/>
            <w:tcBorders>
              <w:top w:val="nil"/>
              <w:left w:val="nil"/>
              <w:bottom w:val="single" w:sz="8" w:space="0" w:color="4472C4"/>
              <w:right w:val="single" w:sz="8" w:space="0" w:color="4472C4"/>
            </w:tcBorders>
            <w:shd w:val="clear" w:color="auto" w:fill="auto"/>
            <w:vAlign w:val="center"/>
            <w:hideMark/>
          </w:tcPr>
          <w:p w14:paraId="49CD92F1"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w:t>
            </w:r>
          </w:p>
        </w:tc>
        <w:tc>
          <w:tcPr>
            <w:tcW w:w="317" w:type="dxa"/>
            <w:tcBorders>
              <w:top w:val="nil"/>
              <w:left w:val="nil"/>
              <w:bottom w:val="single" w:sz="8" w:space="0" w:color="4472C4"/>
              <w:right w:val="single" w:sz="8" w:space="0" w:color="4472C4"/>
            </w:tcBorders>
            <w:shd w:val="clear" w:color="auto" w:fill="auto"/>
            <w:vAlign w:val="center"/>
            <w:hideMark/>
          </w:tcPr>
          <w:p w14:paraId="6E8AF3D3"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63B8E268"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 X</w:t>
            </w:r>
          </w:p>
        </w:tc>
        <w:tc>
          <w:tcPr>
            <w:tcW w:w="363" w:type="dxa"/>
            <w:tcBorders>
              <w:top w:val="nil"/>
              <w:left w:val="nil"/>
              <w:bottom w:val="single" w:sz="8" w:space="0" w:color="4472C4"/>
              <w:right w:val="single" w:sz="8" w:space="0" w:color="4472C4"/>
            </w:tcBorders>
            <w:shd w:val="clear" w:color="auto" w:fill="auto"/>
            <w:vAlign w:val="center"/>
            <w:hideMark/>
          </w:tcPr>
          <w:p w14:paraId="46D29A41" w14:textId="77777777" w:rsidR="006F7372" w:rsidRPr="006F7372" w:rsidRDefault="006F7372" w:rsidP="006F7372">
            <w:pPr>
              <w:spacing w:line="360" w:lineRule="auto"/>
              <w:jc w:val="center"/>
              <w:rPr>
                <w:rFonts w:ascii="Arial" w:hAnsi="Arial" w:cs="Arial"/>
                <w:sz w:val="18"/>
                <w:szCs w:val="18"/>
                <w:lang w:val="es-CR" w:eastAsia="es-CR"/>
              </w:rPr>
            </w:pPr>
            <w:r w:rsidRPr="006F7372">
              <w:rPr>
                <w:rFonts w:ascii="Arial" w:hAnsi="Arial" w:cs="Arial"/>
                <w:sz w:val="18"/>
                <w:szCs w:val="18"/>
                <w:lang w:val="es-CR" w:eastAsia="es-CR"/>
              </w:rPr>
              <w:t>X </w:t>
            </w:r>
          </w:p>
        </w:tc>
        <w:tc>
          <w:tcPr>
            <w:tcW w:w="2072" w:type="dxa"/>
            <w:tcBorders>
              <w:top w:val="nil"/>
              <w:left w:val="nil"/>
              <w:bottom w:val="single" w:sz="8" w:space="0" w:color="4472C4"/>
              <w:right w:val="single" w:sz="8" w:space="0" w:color="4472C4"/>
            </w:tcBorders>
            <w:shd w:val="clear" w:color="auto" w:fill="auto"/>
            <w:vAlign w:val="center"/>
            <w:hideMark/>
          </w:tcPr>
          <w:p w14:paraId="18748DBA" w14:textId="77777777" w:rsidR="006F7372" w:rsidRPr="006F7372" w:rsidRDefault="006F7372" w:rsidP="006F7372">
            <w:pPr>
              <w:spacing w:line="360" w:lineRule="auto"/>
              <w:jc w:val="both"/>
              <w:rPr>
                <w:rFonts w:ascii="Arial" w:hAnsi="Arial" w:cs="Arial"/>
                <w:sz w:val="18"/>
                <w:szCs w:val="18"/>
                <w:lang w:val="es-CR" w:eastAsia="es-CR"/>
              </w:rPr>
            </w:pPr>
            <w:r w:rsidRPr="006F7372">
              <w:rPr>
                <w:rFonts w:ascii="Arial" w:hAnsi="Arial" w:cs="Arial"/>
                <w:sz w:val="18"/>
                <w:szCs w:val="18"/>
                <w:lang w:val="es-CR" w:eastAsia="es-CR"/>
              </w:rPr>
              <w:t> Se mantiene la misma justificación dada en la partida 2 Materiales y suministros.</w:t>
            </w:r>
          </w:p>
        </w:tc>
      </w:tr>
    </w:tbl>
    <w:p w14:paraId="7A3C0EA3" w14:textId="77777777" w:rsidR="00DB17D8" w:rsidRPr="00DB17D8" w:rsidRDefault="00DB17D8" w:rsidP="00DB17D8">
      <w:pPr>
        <w:tabs>
          <w:tab w:val="left" w:pos="2702"/>
        </w:tabs>
        <w:spacing w:line="360" w:lineRule="auto"/>
        <w:rPr>
          <w:rFonts w:ascii="Arial" w:hAnsi="Arial" w:cs="Arial"/>
          <w:color w:val="000000"/>
          <w:sz w:val="16"/>
          <w:szCs w:val="16"/>
          <w:lang w:val="es-CR" w:eastAsia="es-CR"/>
        </w:rPr>
      </w:pPr>
      <w:r w:rsidRPr="00DB17D8">
        <w:rPr>
          <w:rFonts w:ascii="Arial" w:eastAsiaTheme="minorEastAsia" w:hAnsi="Arial" w:cs="Arial"/>
          <w:b/>
          <w:sz w:val="16"/>
          <w:szCs w:val="16"/>
          <w:lang w:val="es-CR"/>
        </w:rPr>
        <w:t>Fuente</w:t>
      </w:r>
      <w:r w:rsidRPr="00DB17D8">
        <w:rPr>
          <w:rFonts w:ascii="Arial" w:eastAsiaTheme="minorEastAsia" w:hAnsi="Arial" w:cs="Arial"/>
          <w:sz w:val="16"/>
          <w:szCs w:val="16"/>
          <w:lang w:val="es-CR"/>
        </w:rPr>
        <w:t xml:space="preserve">: </w:t>
      </w:r>
      <w:r w:rsidRPr="00DB17D8">
        <w:rPr>
          <w:rFonts w:ascii="Arial" w:hAnsi="Arial" w:cs="Arial"/>
          <w:color w:val="000000"/>
          <w:sz w:val="16"/>
          <w:szCs w:val="16"/>
          <w:lang w:val="es-CR" w:eastAsia="es-CR"/>
        </w:rPr>
        <w:t>Liquidación Sistema Módulo de Poderes al 31 de diciembre 2021.</w:t>
      </w:r>
    </w:p>
    <w:p w14:paraId="6D0A6CDC" w14:textId="77777777" w:rsidR="00DB17D8" w:rsidRPr="00DB17D8" w:rsidRDefault="00DB17D8" w:rsidP="00DB17D8">
      <w:pPr>
        <w:tabs>
          <w:tab w:val="left" w:pos="2702"/>
        </w:tabs>
        <w:spacing w:line="360" w:lineRule="auto"/>
        <w:rPr>
          <w:rFonts w:ascii="Arial" w:eastAsiaTheme="minorEastAsia" w:hAnsi="Arial" w:cs="Arial"/>
          <w:sz w:val="16"/>
          <w:szCs w:val="16"/>
          <w:lang w:val="es-CR"/>
        </w:rPr>
      </w:pPr>
      <w:r w:rsidRPr="00DB17D8">
        <w:rPr>
          <w:rFonts w:ascii="Arial" w:eastAsiaTheme="minorEastAsia" w:hAnsi="Arial" w:cs="Arial"/>
          <w:sz w:val="16"/>
          <w:szCs w:val="16"/>
          <w:lang w:val="es-CR"/>
        </w:rPr>
        <w:t xml:space="preserve">/1 Esta información se obtiene del informe semestral. </w:t>
      </w:r>
    </w:p>
    <w:p w14:paraId="43FF389F" w14:textId="77777777" w:rsidR="00DB17D8" w:rsidRPr="00DB17D8" w:rsidRDefault="00DB17D8" w:rsidP="00DB17D8">
      <w:pPr>
        <w:spacing w:line="360" w:lineRule="auto"/>
        <w:contextualSpacing/>
        <w:jc w:val="both"/>
        <w:rPr>
          <w:rFonts w:ascii="Arial" w:eastAsiaTheme="minorEastAsia" w:hAnsi="Arial" w:cs="Arial"/>
          <w:sz w:val="16"/>
          <w:szCs w:val="16"/>
          <w:lang w:val="es-CR"/>
        </w:rPr>
      </w:pPr>
      <w:r w:rsidRPr="00DB17D8">
        <w:rPr>
          <w:rFonts w:ascii="Arial" w:eastAsiaTheme="minorEastAsia" w:hAnsi="Arial" w:cs="Arial"/>
          <w:sz w:val="16"/>
          <w:szCs w:val="16"/>
          <w:lang w:val="es-CR"/>
        </w:rPr>
        <w:t>/2 Esta información se obtiene del archivo Excel remitido por la DGPN, de la hoja “Liquidación”.</w:t>
      </w:r>
    </w:p>
    <w:p w14:paraId="312BF99D" w14:textId="77777777" w:rsidR="00DB17D8" w:rsidRPr="00DB17D8" w:rsidRDefault="00DB17D8" w:rsidP="00DB17D8">
      <w:pPr>
        <w:spacing w:after="160" w:line="360" w:lineRule="auto"/>
        <w:rPr>
          <w:rFonts w:ascii="Arial" w:eastAsiaTheme="minorEastAsia" w:hAnsi="Arial" w:cs="Arial"/>
          <w:sz w:val="16"/>
          <w:szCs w:val="16"/>
          <w:lang w:val="es-CR"/>
        </w:rPr>
      </w:pPr>
      <w:r w:rsidRPr="00DB17D8">
        <w:rPr>
          <w:rFonts w:ascii="Arial" w:eastAsiaTheme="minorEastAsia" w:hAnsi="Arial" w:cs="Arial"/>
          <w:sz w:val="16"/>
          <w:szCs w:val="16"/>
          <w:lang w:val="es-CR"/>
        </w:rPr>
        <w:t>/3 Indicar directriz, norma o descripción del factor “Otros”.</w:t>
      </w:r>
    </w:p>
    <w:p w14:paraId="6544AB77" w14:textId="77777777" w:rsidR="00DB17D8" w:rsidRPr="00DB17D8" w:rsidRDefault="00DB17D8" w:rsidP="00DB17D8">
      <w:pPr>
        <w:spacing w:line="360" w:lineRule="auto"/>
        <w:contextualSpacing/>
        <w:jc w:val="both"/>
        <w:rPr>
          <w:rFonts w:ascii="Arial" w:eastAsiaTheme="minorEastAsia" w:hAnsi="Arial" w:cs="Arial"/>
          <w:bCs/>
          <w:sz w:val="20"/>
          <w:szCs w:val="20"/>
          <w:lang w:val="es-CR"/>
        </w:rPr>
      </w:pPr>
      <w:r w:rsidRPr="00DB17D8">
        <w:rPr>
          <w:rFonts w:ascii="Arial" w:eastAsiaTheme="minorEastAsia" w:hAnsi="Arial" w:cs="Arial"/>
          <w:sz w:val="20"/>
          <w:szCs w:val="20"/>
          <w:lang w:val="es-CR"/>
        </w:rPr>
        <w:t xml:space="preserve">Las partidas 2 Materiales y suministros y la partida 5 tuvieron una ejecución al 31 de diciembre 2021 menor al 90% esto debido a diversos factores tales como el impacto generado por la emergencia sanitaria por el Covid-19, las restricciones impuestas por los diferentes gobiernos </w:t>
      </w:r>
      <w:r w:rsidRPr="00DB17D8">
        <w:rPr>
          <w:rFonts w:ascii="Arial" w:eastAsiaTheme="minorEastAsia" w:hAnsi="Arial" w:cs="Arial"/>
          <w:bCs/>
          <w:sz w:val="20"/>
          <w:szCs w:val="20"/>
          <w:lang w:val="es-CR"/>
        </w:rPr>
        <w:t>afectaron los mercados desde el año 2020 y a pesar que en el año 2021 se realizó una reapertura de dichos mercados, las cuarentenas aplicadas en diferentes países atrasaron las importaciones marítimas de mercancías y materia prima, lo que provocó que también muchos trámites quedaran como infructuosos o como compromisos no devengados por cuanto los proveedores no realizaron la entrega de los bienes solicitados en el tiempo establecido, a pesar de gestionarse el trámite oportunamente, además,  que  solicitaron prórrogas debido a los atrasos en los procesos productivos y la logística de la entrega de materia prima por lo mencionado anteriormente.</w:t>
      </w:r>
    </w:p>
    <w:p w14:paraId="1672EA2C" w14:textId="77777777" w:rsidR="00DB17D8" w:rsidRPr="00DB17D8" w:rsidRDefault="00DB17D8" w:rsidP="00DB17D8">
      <w:pPr>
        <w:spacing w:line="360" w:lineRule="auto"/>
        <w:contextualSpacing/>
        <w:jc w:val="both"/>
        <w:rPr>
          <w:rFonts w:ascii="Arial" w:eastAsiaTheme="minorEastAsia" w:hAnsi="Arial" w:cs="Arial"/>
          <w:bCs/>
          <w:sz w:val="20"/>
          <w:szCs w:val="20"/>
          <w:lang w:val="es-CR"/>
        </w:rPr>
      </w:pPr>
    </w:p>
    <w:p w14:paraId="518E49B7" w14:textId="77777777" w:rsidR="00DB17D8" w:rsidRPr="00DB17D8" w:rsidRDefault="00DB17D8" w:rsidP="00DB17D8">
      <w:pPr>
        <w:spacing w:line="360" w:lineRule="auto"/>
        <w:contextualSpacing/>
        <w:jc w:val="both"/>
        <w:rPr>
          <w:rFonts w:ascii="Arial" w:eastAsiaTheme="minorEastAsia" w:hAnsi="Arial" w:cs="Arial"/>
          <w:sz w:val="20"/>
          <w:szCs w:val="20"/>
          <w:lang w:val="es-CR"/>
        </w:rPr>
      </w:pPr>
      <w:r w:rsidRPr="00DB17D8">
        <w:rPr>
          <w:rFonts w:ascii="Arial" w:eastAsiaTheme="minorEastAsia" w:hAnsi="Arial" w:cs="Arial"/>
          <w:bCs/>
          <w:sz w:val="20"/>
          <w:szCs w:val="20"/>
          <w:lang w:val="es-CR"/>
        </w:rPr>
        <w:t xml:space="preserve">Además, debido a la norma de ejecución que no permite el traslado entre partidas, la Institución se vio inhabilitada en redireccionar recursos a otras necesidades Institucionales, se tuvo que recurrir a realizar presupuestos extraordinarios, los cuales tuvieron una aprobación tardía por parte del Ministerio de Hacienda lo que provocó que los recursos no se ejecutaran en el tiempo esperado y que varios trámites </w:t>
      </w:r>
      <w:r w:rsidRPr="00DB17D8">
        <w:rPr>
          <w:rFonts w:ascii="Arial" w:hAnsi="Arial" w:cs="Arial"/>
          <w:sz w:val="20"/>
          <w:szCs w:val="20"/>
          <w:lang w:val="es-CR" w:eastAsia="es-CR"/>
        </w:rPr>
        <w:t>se trasladaran como compromiso no devengado.</w:t>
      </w:r>
    </w:p>
    <w:p w14:paraId="7D82605B" w14:textId="77777777" w:rsidR="00902A2F" w:rsidRPr="00902A2F" w:rsidRDefault="00902A2F" w:rsidP="00902A2F">
      <w:pPr>
        <w:spacing w:after="160" w:line="360" w:lineRule="auto"/>
        <w:jc w:val="both"/>
        <w:rPr>
          <w:rFonts w:ascii="Arial" w:eastAsiaTheme="minorEastAsia" w:hAnsi="Arial" w:cs="Arial"/>
          <w:sz w:val="20"/>
          <w:szCs w:val="20"/>
          <w:lang w:val="es-CR"/>
        </w:rPr>
      </w:pPr>
    </w:p>
    <w:p w14:paraId="36BA0A91" w14:textId="77777777" w:rsidR="00B32351" w:rsidRDefault="00B32351" w:rsidP="00CC4458">
      <w:pPr>
        <w:pStyle w:val="Descripcin"/>
        <w:jc w:val="center"/>
        <w:rPr>
          <w:rFonts w:ascii="Arial" w:hAnsi="Arial" w:cs="Arial"/>
          <w:b/>
          <w:bCs/>
          <w:i w:val="0"/>
          <w:iCs w:val="0"/>
          <w:color w:val="auto"/>
          <w:sz w:val="20"/>
          <w:szCs w:val="20"/>
        </w:rPr>
      </w:pPr>
      <w:bookmarkStart w:id="20" w:name="_Toc530474646"/>
      <w:bookmarkStart w:id="21" w:name="_Toc25758877"/>
    </w:p>
    <w:p w14:paraId="5BF1C79A" w14:textId="77777777" w:rsidR="00B32351" w:rsidRDefault="00B32351" w:rsidP="00CC4458">
      <w:pPr>
        <w:pStyle w:val="Descripcin"/>
        <w:jc w:val="center"/>
        <w:rPr>
          <w:rFonts w:ascii="Arial" w:hAnsi="Arial" w:cs="Arial"/>
          <w:b/>
          <w:bCs/>
          <w:i w:val="0"/>
          <w:iCs w:val="0"/>
          <w:color w:val="auto"/>
          <w:sz w:val="20"/>
          <w:szCs w:val="20"/>
        </w:rPr>
      </w:pPr>
    </w:p>
    <w:p w14:paraId="7AFD30F3" w14:textId="77777777" w:rsidR="00B32351" w:rsidRDefault="00B32351" w:rsidP="00CC4458">
      <w:pPr>
        <w:pStyle w:val="Descripcin"/>
        <w:jc w:val="center"/>
        <w:rPr>
          <w:rFonts w:ascii="Arial" w:hAnsi="Arial" w:cs="Arial"/>
          <w:b/>
          <w:bCs/>
          <w:i w:val="0"/>
          <w:iCs w:val="0"/>
          <w:color w:val="auto"/>
          <w:sz w:val="20"/>
          <w:szCs w:val="20"/>
        </w:rPr>
      </w:pPr>
    </w:p>
    <w:p w14:paraId="1D4066EC" w14:textId="77777777" w:rsidR="00B32351" w:rsidRDefault="00B32351" w:rsidP="00CC4458">
      <w:pPr>
        <w:pStyle w:val="Descripcin"/>
        <w:jc w:val="center"/>
        <w:rPr>
          <w:rFonts w:ascii="Arial" w:hAnsi="Arial" w:cs="Arial"/>
          <w:b/>
          <w:bCs/>
          <w:i w:val="0"/>
          <w:iCs w:val="0"/>
          <w:color w:val="auto"/>
          <w:sz w:val="20"/>
          <w:szCs w:val="20"/>
        </w:rPr>
      </w:pPr>
    </w:p>
    <w:p w14:paraId="25A47C95" w14:textId="5E4BCE91" w:rsidR="00CC4458" w:rsidRPr="00AE3D7B" w:rsidRDefault="00CC4458" w:rsidP="00CC4458">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12</w:t>
      </w:r>
      <w:r w:rsidRPr="00AE3D7B">
        <w:rPr>
          <w:rFonts w:ascii="Arial" w:hAnsi="Arial" w:cs="Arial"/>
          <w:b/>
          <w:bCs/>
          <w:i w:val="0"/>
          <w:iCs w:val="0"/>
          <w:color w:val="auto"/>
          <w:sz w:val="20"/>
          <w:szCs w:val="20"/>
        </w:rPr>
        <w:fldChar w:fldCharType="end"/>
      </w:r>
    </w:p>
    <w:p w14:paraId="0DB78690" w14:textId="324C3134" w:rsidR="00902A2F" w:rsidRPr="00902A2F" w:rsidRDefault="00902A2F" w:rsidP="00902A2F">
      <w:pPr>
        <w:spacing w:after="160" w:line="360" w:lineRule="auto"/>
        <w:ind w:left="55"/>
        <w:contextualSpacing/>
        <w:jc w:val="center"/>
        <w:rPr>
          <w:rFonts w:ascii="Arial" w:eastAsiaTheme="minorEastAsia" w:hAnsi="Arial" w:cs="Arial"/>
          <w:b/>
          <w:bCs/>
          <w:color w:val="000000"/>
          <w:sz w:val="20"/>
          <w:szCs w:val="20"/>
          <w:lang w:val="es-CR" w:eastAsia="es-CR"/>
        </w:rPr>
      </w:pPr>
      <w:r w:rsidRPr="00902A2F">
        <w:rPr>
          <w:rFonts w:ascii="Arial" w:eastAsiaTheme="minorEastAsia" w:hAnsi="Arial" w:cs="Arial"/>
          <w:b/>
          <w:color w:val="000000"/>
          <w:sz w:val="20"/>
          <w:szCs w:val="20"/>
          <w:lang w:val="es-CR" w:eastAsia="es-CR"/>
        </w:rPr>
        <w:t xml:space="preserve"> </w:t>
      </w:r>
      <w:r w:rsidRPr="00902A2F">
        <w:rPr>
          <w:rFonts w:ascii="Arial" w:eastAsiaTheme="minorEastAsia" w:hAnsi="Arial" w:cs="Arial"/>
          <w:b/>
          <w:sz w:val="20"/>
          <w:szCs w:val="20"/>
          <w:lang w:val="es-CR" w:eastAsia="es-CR"/>
        </w:rPr>
        <w:t>Razones de los resultados obtenidos</w:t>
      </w:r>
    </w:p>
    <w:p w14:paraId="54B1ED65" w14:textId="77777777" w:rsidR="00902A2F" w:rsidRPr="00902A2F" w:rsidRDefault="00902A2F" w:rsidP="00902A2F">
      <w:pPr>
        <w:spacing w:line="360" w:lineRule="auto"/>
        <w:jc w:val="center"/>
        <w:rPr>
          <w:rFonts w:ascii="Arial" w:eastAsiaTheme="minorEastAsia" w:hAnsi="Arial" w:cs="Arial"/>
          <w:sz w:val="20"/>
          <w:szCs w:val="20"/>
          <w:lang w:val="es-CR"/>
        </w:rPr>
      </w:pPr>
      <w:r w:rsidRPr="00902A2F">
        <w:rPr>
          <w:rFonts w:ascii="Arial" w:eastAsiaTheme="minorEastAsia" w:hAnsi="Arial" w:cs="Arial"/>
          <w:sz w:val="20"/>
          <w:szCs w:val="20"/>
          <w:lang w:val="es-CR"/>
        </w:rPr>
        <w:t>927 Servicio Jurisdiccional</w:t>
      </w:r>
    </w:p>
    <w:p w14:paraId="48ED268A" w14:textId="77777777" w:rsidR="00902A2F" w:rsidRPr="00902A2F" w:rsidRDefault="00902A2F" w:rsidP="00902A2F">
      <w:pPr>
        <w:spacing w:after="160" w:line="360" w:lineRule="auto"/>
        <w:ind w:left="55"/>
        <w:contextualSpacing/>
        <w:jc w:val="center"/>
        <w:rPr>
          <w:rFonts w:ascii="Arial" w:eastAsiaTheme="minorEastAsia" w:hAnsi="Arial" w:cs="Arial"/>
          <w:sz w:val="20"/>
          <w:szCs w:val="20"/>
          <w:lang w:val="es-CR"/>
        </w:rPr>
      </w:pPr>
      <w:r w:rsidRPr="00902A2F">
        <w:rPr>
          <w:rFonts w:ascii="Arial" w:eastAsiaTheme="minorEastAsia" w:hAnsi="Arial" w:cs="Arial"/>
          <w:color w:val="000000"/>
          <w:sz w:val="20"/>
          <w:szCs w:val="20"/>
          <w:lang w:val="es-CR" w:eastAsia="es-CR"/>
        </w:rPr>
        <w:t xml:space="preserve">Partidas con avance menor al 45,00% al 30/06/2021 y menor al 90,00% </w:t>
      </w:r>
      <w:r w:rsidRPr="00902A2F">
        <w:rPr>
          <w:rFonts w:ascii="Arial" w:eastAsiaTheme="minorEastAsia" w:hAnsi="Arial" w:cs="Arial"/>
          <w:sz w:val="20"/>
          <w:szCs w:val="20"/>
          <w:lang w:val="es-CR"/>
        </w:rPr>
        <w:t>al 31/12/2021</w:t>
      </w:r>
    </w:p>
    <w:tbl>
      <w:tblPr>
        <w:tblStyle w:val="Listaclara-nfasis19"/>
        <w:tblW w:w="4950" w:type="pct"/>
        <w:tblLook w:val="00A0" w:firstRow="1" w:lastRow="0" w:firstColumn="1" w:lastColumn="0" w:noHBand="0" w:noVBand="0"/>
      </w:tblPr>
      <w:tblGrid>
        <w:gridCol w:w="1317"/>
        <w:gridCol w:w="2241"/>
        <w:gridCol w:w="2733"/>
        <w:gridCol w:w="2108"/>
      </w:tblGrid>
      <w:tr w:rsidR="00902A2F" w:rsidRPr="00902A2F" w14:paraId="1F870597"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4CEC56B8" w14:textId="77777777" w:rsidR="00902A2F" w:rsidRPr="00902A2F" w:rsidRDefault="00902A2F" w:rsidP="00902A2F">
            <w:pPr>
              <w:spacing w:line="360" w:lineRule="auto"/>
              <w:contextualSpacing/>
              <w:jc w:val="center"/>
              <w:rPr>
                <w:rFonts w:ascii="Arial" w:hAnsi="Arial" w:cs="Arial"/>
                <w:bCs w:val="0"/>
                <w:sz w:val="20"/>
                <w:szCs w:val="20"/>
                <w:lang w:val="es-CR"/>
              </w:rPr>
            </w:pPr>
            <w:r w:rsidRPr="00902A2F">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21C7C1D6" w14:textId="77777777" w:rsidR="00902A2F" w:rsidRPr="00902A2F" w:rsidRDefault="00902A2F" w:rsidP="00902A2F">
            <w:pPr>
              <w:spacing w:line="360" w:lineRule="auto"/>
              <w:contextualSpacing/>
              <w:jc w:val="center"/>
              <w:rPr>
                <w:rFonts w:ascii="Arial" w:hAnsi="Arial" w:cs="Arial"/>
                <w:b w:val="0"/>
                <w:bCs w:val="0"/>
                <w:sz w:val="20"/>
                <w:szCs w:val="20"/>
                <w:lang w:val="es-CR"/>
              </w:rPr>
            </w:pPr>
            <w:r w:rsidRPr="00902A2F">
              <w:rPr>
                <w:rFonts w:ascii="Arial" w:hAnsi="Arial" w:cs="Arial"/>
                <w:sz w:val="20"/>
                <w:szCs w:val="20"/>
                <w:lang w:val="es-CR"/>
              </w:rPr>
              <w:t>Factores</w:t>
            </w:r>
          </w:p>
          <w:p w14:paraId="0764054A" w14:textId="77777777" w:rsidR="00902A2F" w:rsidRPr="00902A2F" w:rsidRDefault="00902A2F" w:rsidP="00902A2F">
            <w:pPr>
              <w:spacing w:line="360" w:lineRule="auto"/>
              <w:contextualSpacing/>
              <w:jc w:val="center"/>
              <w:rPr>
                <w:rFonts w:ascii="Arial" w:hAnsi="Arial" w:cs="Arial"/>
                <w:sz w:val="20"/>
                <w:szCs w:val="20"/>
                <w:lang w:val="es-CR"/>
              </w:rPr>
            </w:pPr>
            <w:r w:rsidRPr="00902A2F">
              <w:rPr>
                <w:rFonts w:ascii="Arial" w:hAnsi="Arial" w:cs="Arial"/>
                <w:sz w:val="20"/>
                <w:szCs w:val="20"/>
                <w:lang w:val="es-CR"/>
              </w:rPr>
              <w:t xml:space="preserve">al 30/06/2021 </w:t>
            </w:r>
            <w:r w:rsidRPr="00902A2F">
              <w:rPr>
                <w:rFonts w:ascii="Arial" w:hAnsi="Arial" w:cs="Arial"/>
                <w:sz w:val="20"/>
                <w:szCs w:val="20"/>
                <w:vertAlign w:val="superscript"/>
                <w:lang w:val="es-CR"/>
              </w:rPr>
              <w:t>/1</w:t>
            </w:r>
          </w:p>
        </w:tc>
        <w:tc>
          <w:tcPr>
            <w:tcW w:w="1634" w:type="pct"/>
            <w:vAlign w:val="center"/>
          </w:tcPr>
          <w:p w14:paraId="232B937E" w14:textId="77777777" w:rsidR="00902A2F" w:rsidRPr="00902A2F" w:rsidRDefault="00902A2F" w:rsidP="00902A2F">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902A2F">
              <w:rPr>
                <w:rFonts w:ascii="Arial" w:hAnsi="Arial" w:cs="Arial"/>
                <w:sz w:val="20"/>
                <w:szCs w:val="20"/>
                <w:lang w:val="es-CR"/>
              </w:rPr>
              <w:t xml:space="preserve">Acciones correctivas </w:t>
            </w:r>
            <w:r w:rsidRPr="00902A2F">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59C617AC" w14:textId="77777777" w:rsidR="00902A2F" w:rsidRPr="00902A2F" w:rsidRDefault="00902A2F" w:rsidP="00902A2F">
            <w:pPr>
              <w:spacing w:line="360" w:lineRule="auto"/>
              <w:contextualSpacing/>
              <w:jc w:val="center"/>
              <w:rPr>
                <w:rFonts w:ascii="Arial" w:hAnsi="Arial" w:cs="Arial"/>
                <w:bCs w:val="0"/>
                <w:sz w:val="20"/>
                <w:szCs w:val="20"/>
                <w:lang w:val="es-CR"/>
              </w:rPr>
            </w:pPr>
            <w:r w:rsidRPr="00902A2F">
              <w:rPr>
                <w:rFonts w:ascii="Arial" w:hAnsi="Arial" w:cs="Arial"/>
                <w:sz w:val="20"/>
                <w:szCs w:val="20"/>
                <w:lang w:val="es-CR"/>
              </w:rPr>
              <w:t xml:space="preserve">Razones </w:t>
            </w:r>
            <w:r w:rsidRPr="00902A2F">
              <w:rPr>
                <w:rFonts w:ascii="Arial" w:hAnsi="Arial" w:cs="Arial"/>
                <w:sz w:val="20"/>
                <w:szCs w:val="20"/>
                <w:vertAlign w:val="superscript"/>
                <w:lang w:val="es-CR"/>
              </w:rPr>
              <w:t>/3</w:t>
            </w:r>
          </w:p>
        </w:tc>
      </w:tr>
      <w:tr w:rsidR="00902A2F" w:rsidRPr="00902A2F" w14:paraId="3C975420"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19EE3F1C" w14:textId="77777777" w:rsidR="00902A2F" w:rsidRPr="00902A2F" w:rsidRDefault="00902A2F" w:rsidP="00902A2F">
            <w:pPr>
              <w:spacing w:line="360" w:lineRule="auto"/>
              <w:contextualSpacing/>
              <w:jc w:val="both"/>
              <w:rPr>
                <w:rFonts w:ascii="Arial" w:hAnsi="Arial" w:cs="Arial"/>
                <w:b w:val="0"/>
                <w:bCs w:val="0"/>
                <w:sz w:val="20"/>
                <w:szCs w:val="20"/>
                <w:lang w:val="es-CR"/>
              </w:rPr>
            </w:pPr>
            <w:r w:rsidRPr="00902A2F">
              <w:rPr>
                <w:rFonts w:ascii="Arial" w:hAnsi="Arial" w:cs="Arial"/>
                <w:b w:val="0"/>
                <w:bCs w:val="0"/>
                <w:sz w:val="20"/>
                <w:szCs w:val="20"/>
                <w:lang w:val="es-CR"/>
              </w:rPr>
              <w:t>Servicios.</w:t>
            </w:r>
          </w:p>
        </w:tc>
        <w:tc>
          <w:tcPr>
            <w:cnfStyle w:val="000010000000" w:firstRow="0" w:lastRow="0" w:firstColumn="0" w:lastColumn="0" w:oddVBand="1" w:evenVBand="0" w:oddHBand="0" w:evenHBand="0" w:firstRowFirstColumn="0" w:firstRowLastColumn="0" w:lastRowFirstColumn="0" w:lastRowLastColumn="0"/>
            <w:tcW w:w="1341" w:type="pct"/>
          </w:tcPr>
          <w:p w14:paraId="63F7D310"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1 Impacto generado por la emergencia sanitaria por el COVID-19</w:t>
            </w:r>
          </w:p>
          <w:p w14:paraId="3568E800" w14:textId="1A3002B8" w:rsidR="00902A2F" w:rsidRPr="00412EB8" w:rsidRDefault="00902A2F" w:rsidP="00412EB8">
            <w:pPr>
              <w:pStyle w:val="Prrafodelista"/>
              <w:numPr>
                <w:ilvl w:val="0"/>
                <w:numId w:val="33"/>
              </w:numPr>
              <w:spacing w:line="360" w:lineRule="auto"/>
              <w:jc w:val="both"/>
              <w:rPr>
                <w:rFonts w:ascii="Arial" w:hAnsi="Arial" w:cs="Arial"/>
                <w:bCs/>
                <w:sz w:val="20"/>
                <w:szCs w:val="20"/>
              </w:rPr>
            </w:pPr>
            <w:r w:rsidRPr="00412EB8">
              <w:rPr>
                <w:rFonts w:ascii="Arial" w:hAnsi="Arial" w:cs="Arial"/>
                <w:bCs/>
                <w:sz w:val="20"/>
                <w:szCs w:val="20"/>
              </w:rPr>
              <w:t>Procesos de contratación que se concretan en el segundo semestre</w:t>
            </w:r>
          </w:p>
          <w:p w14:paraId="14992404"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 xml:space="preserve">8 </w:t>
            </w:r>
            <w:proofErr w:type="gramStart"/>
            <w:r w:rsidRPr="00902A2F">
              <w:rPr>
                <w:rFonts w:ascii="Arial" w:hAnsi="Arial" w:cs="Arial"/>
                <w:bCs/>
                <w:sz w:val="20"/>
                <w:szCs w:val="20"/>
              </w:rPr>
              <w:t>Problemas</w:t>
            </w:r>
            <w:proofErr w:type="gramEnd"/>
            <w:r w:rsidRPr="00902A2F">
              <w:rPr>
                <w:rFonts w:ascii="Arial" w:hAnsi="Arial" w:cs="Arial"/>
                <w:bCs/>
                <w:sz w:val="20"/>
                <w:szCs w:val="20"/>
              </w:rPr>
              <w:t xml:space="preserve"> relacionados con los procesos de contratación administrativa</w:t>
            </w:r>
          </w:p>
          <w:p w14:paraId="52076307"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10 Desviaciones entre lo planificado y lo ejecutado</w:t>
            </w:r>
          </w:p>
          <w:p w14:paraId="006ED884"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 xml:space="preserve">11 Normas de ejecución para el ejercicio presupuestario 2021 </w:t>
            </w:r>
            <w:r w:rsidRPr="00902A2F">
              <w:rPr>
                <w:rFonts w:ascii="Arial" w:hAnsi="Arial" w:cs="Arial"/>
                <w:bCs/>
                <w:sz w:val="20"/>
                <w:szCs w:val="20"/>
              </w:rPr>
              <w:lastRenderedPageBreak/>
              <w:t>(En el caso de este factor es la norma 1, debido a la inflexibilidad de modificar el presupuesto asignado, se imposibilita a la institución a redireccionar recursos para cubrir necesidades apremiantes en otras partidas).</w:t>
            </w:r>
          </w:p>
          <w:p w14:paraId="3774F2AE" w14:textId="77777777" w:rsidR="00902A2F" w:rsidRPr="00902A2F" w:rsidRDefault="00902A2F" w:rsidP="00902A2F">
            <w:pPr>
              <w:spacing w:line="360" w:lineRule="auto"/>
              <w:jc w:val="both"/>
              <w:rPr>
                <w:rFonts w:ascii="Arial" w:hAnsi="Arial" w:cs="Arial"/>
                <w:bCs/>
                <w:color w:val="C00000"/>
                <w:sz w:val="20"/>
                <w:szCs w:val="20"/>
                <w:lang w:val="es-CR"/>
              </w:rPr>
            </w:pPr>
          </w:p>
        </w:tc>
        <w:tc>
          <w:tcPr>
            <w:tcW w:w="1634" w:type="pct"/>
          </w:tcPr>
          <w:p w14:paraId="1C8ED5EE" w14:textId="77777777" w:rsidR="00902A2F" w:rsidRPr="00902A2F" w:rsidRDefault="00902A2F" w:rsidP="00902A2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
                <w:sz w:val="20"/>
                <w:szCs w:val="20"/>
                <w:lang w:val="es-CR"/>
              </w:rPr>
              <w:lastRenderedPageBreak/>
              <w:t>Las siguientes acciones correctivas se aplican para todos los factores anotados en la columna correspondiente</w:t>
            </w:r>
            <w:r w:rsidRPr="00902A2F">
              <w:rPr>
                <w:rFonts w:ascii="Arial" w:hAnsi="Arial" w:cs="Arial"/>
                <w:bCs/>
                <w:sz w:val="20"/>
                <w:szCs w:val="20"/>
                <w:lang w:val="es-CR"/>
              </w:rPr>
              <w:t>:</w:t>
            </w:r>
          </w:p>
          <w:p w14:paraId="2EB1CCCD" w14:textId="77777777" w:rsidR="00902A2F" w:rsidRPr="00902A2F" w:rsidRDefault="00902A2F" w:rsidP="00902A2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1) Reuniones de seguimiento periódicas donde se analizarán los recursos asignados con el fin de trasladar lo que corresponda a otras necesidades Institucionales o agilizar los procedimientos para su adecuada ejecución, esto por cuanto, la ejecución también depende del comportamiento y de las restricciones producto de la emergencia sanitaria por la pandemia del COVID 19.</w:t>
            </w:r>
          </w:p>
          <w:p w14:paraId="760A96EE" w14:textId="77777777" w:rsidR="00902A2F" w:rsidRPr="00902A2F" w:rsidRDefault="00902A2F" w:rsidP="00902A2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2) Seguimiento para que el pago de facturas se realice de forma ágil y eficiente.</w:t>
            </w:r>
          </w:p>
          <w:p w14:paraId="0F4D2D16" w14:textId="77777777" w:rsidR="00902A2F" w:rsidRPr="00902A2F" w:rsidRDefault="00902A2F" w:rsidP="00902A2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lastRenderedPageBreak/>
              <w:t>3) Revisión de cronograma de ejecución con el fin de que los recursos se ejecuten de acuerdo a lo programado.</w:t>
            </w:r>
          </w:p>
          <w:p w14:paraId="1EC76BF4" w14:textId="77777777" w:rsidR="00902A2F" w:rsidRPr="00902A2F" w:rsidRDefault="00902A2F" w:rsidP="00902A2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4) Revisión histórica del consumo, para mantener los recursos necesarios para atender las diferentes necesidades, mediante la coordinación periódica con los encargados del proceso de pago a los proveedores, con el fin de maximizar la ejecución de los recursos y procurar un buen servicio al cliente interno y el pago oportuno al cliente externo.</w:t>
            </w:r>
          </w:p>
          <w:p w14:paraId="638523A4" w14:textId="77777777" w:rsidR="00902A2F" w:rsidRPr="00902A2F" w:rsidRDefault="00902A2F" w:rsidP="00902A2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5) Análisis de proyecciones de diferentes rubros para la toma de decisiones, de acuerdo con el comportamiento de los gastos para realizar una adecuada ejecución presupuestaria.</w:t>
            </w:r>
          </w:p>
          <w:p w14:paraId="05B526AB"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C00000"/>
                <w:sz w:val="20"/>
                <w:szCs w:val="20"/>
                <w:lang w:val="es-CR"/>
              </w:rPr>
            </w:pPr>
            <w:r w:rsidRPr="00902A2F">
              <w:rPr>
                <w:rFonts w:ascii="Arial" w:hAnsi="Arial" w:cs="Arial"/>
                <w:bCs/>
                <w:sz w:val="20"/>
                <w:szCs w:val="20"/>
                <w:lang w:val="es-CR"/>
              </w:rPr>
              <w:t xml:space="preserve">6) Fomentar el ahorro en Servicios Públicos en el uso racional de los mismos mediante campañas institucionales y la </w:t>
            </w:r>
            <w:r w:rsidRPr="00902A2F">
              <w:rPr>
                <w:rFonts w:ascii="Arial" w:hAnsi="Arial" w:cs="Arial"/>
                <w:bCs/>
                <w:sz w:val="20"/>
                <w:szCs w:val="20"/>
                <w:lang w:val="es-CR"/>
              </w:rPr>
              <w:lastRenderedPageBreak/>
              <w:t>implementación del Teletrabajo.</w:t>
            </w:r>
          </w:p>
        </w:tc>
        <w:tc>
          <w:tcPr>
            <w:cnfStyle w:val="000010000000" w:firstRow="0" w:lastRow="0" w:firstColumn="0" w:lastColumn="0" w:oddVBand="1" w:evenVBand="0" w:oddHBand="0" w:evenHBand="0" w:firstRowFirstColumn="0" w:firstRowLastColumn="0" w:lastRowFirstColumn="0" w:lastRowLastColumn="0"/>
            <w:tcW w:w="1262" w:type="pct"/>
          </w:tcPr>
          <w:p w14:paraId="11992AAB" w14:textId="77777777" w:rsidR="00902A2F" w:rsidRPr="00902A2F" w:rsidRDefault="00902A2F" w:rsidP="00902A2F">
            <w:pPr>
              <w:spacing w:line="360" w:lineRule="auto"/>
              <w:contextualSpacing/>
              <w:jc w:val="both"/>
              <w:rPr>
                <w:rFonts w:ascii="Arial" w:hAnsi="Arial" w:cs="Arial"/>
                <w:bCs/>
                <w:sz w:val="20"/>
                <w:szCs w:val="20"/>
                <w:lang w:val="es-CR"/>
              </w:rPr>
            </w:pPr>
            <w:r w:rsidRPr="00902A2F">
              <w:rPr>
                <w:rFonts w:ascii="Arial" w:hAnsi="Arial" w:cs="Arial"/>
                <w:bCs/>
                <w:sz w:val="20"/>
                <w:szCs w:val="20"/>
                <w:lang w:val="es-CR"/>
              </w:rPr>
              <w:lastRenderedPageBreak/>
              <w:t xml:space="preserve">Se realizaron reuniones periódicas para el seguimiento oportuno de los recursos, así como los esfuerzos necesarios para que  las gestiones realizadas fueran eficaces y oportunas, sin embargo, debido a la norma de ejecución que no permite el traslado entre partidas, la Institución se vio inhabilitada en redireccionar recursos a otras necesidades Institucionales, además, la aprobación tardía de las modificaciones </w:t>
            </w:r>
            <w:r w:rsidRPr="00902A2F">
              <w:rPr>
                <w:rFonts w:ascii="Arial" w:hAnsi="Arial" w:cs="Arial"/>
                <w:bCs/>
                <w:sz w:val="20"/>
                <w:szCs w:val="20"/>
                <w:lang w:val="es-CR"/>
              </w:rPr>
              <w:lastRenderedPageBreak/>
              <w:t xml:space="preserve">externas y presupuestos extraordinarios por parte del Ministerio de Hacienda provocó que los recursos no se ejecutaran en el tiempo esperado quedando trámites como compromisos no devengados, por otro lado, también la pandemia nacional producto del COVID 19 que viene afectando los mercados desde el año 2020 y que a pesar que en el año 2021 se realizó una reapertura de dichos mercados, las cuarentenas aplicadas en diferentes países atrasó las importaciones marítimas de mercancías y materia prima y en algunos casos se elevaron los costos de los bienes </w:t>
            </w:r>
            <w:r w:rsidRPr="00902A2F">
              <w:rPr>
                <w:rFonts w:ascii="Arial" w:hAnsi="Arial" w:cs="Arial"/>
                <w:bCs/>
                <w:sz w:val="20"/>
                <w:szCs w:val="20"/>
                <w:lang w:val="es-CR"/>
              </w:rPr>
              <w:lastRenderedPageBreak/>
              <w:t xml:space="preserve">y servicios de los proveedores de la Institución, lo que provocó que también muchos trámites quedaran como infructuosos o como compromisos no devengados por cuanto los proveedores no realizaron la entrega de los bienes y servicios solicitados en el tiempo establecido, a pesar de gestionarse el trámite oportunamente, además,  que  solicitaron prórrogas debido a los atrasos en los procesos productivos y la logística de la entrega de materia prima por lo mencionado anteriormente. </w:t>
            </w:r>
          </w:p>
          <w:p w14:paraId="3C068C9B" w14:textId="77777777" w:rsidR="00902A2F" w:rsidRPr="00902A2F" w:rsidRDefault="00902A2F" w:rsidP="00902A2F">
            <w:pPr>
              <w:spacing w:line="360" w:lineRule="auto"/>
              <w:contextualSpacing/>
              <w:jc w:val="both"/>
              <w:rPr>
                <w:rFonts w:ascii="Arial" w:hAnsi="Arial" w:cs="Arial"/>
                <w:bCs/>
                <w:sz w:val="20"/>
                <w:szCs w:val="20"/>
                <w:lang w:val="es-CR"/>
              </w:rPr>
            </w:pPr>
          </w:p>
          <w:p w14:paraId="624CEFC5" w14:textId="77777777" w:rsidR="00902A2F" w:rsidRPr="00902A2F" w:rsidRDefault="00902A2F" w:rsidP="00902A2F">
            <w:pPr>
              <w:spacing w:line="360" w:lineRule="auto"/>
              <w:contextualSpacing/>
              <w:jc w:val="both"/>
              <w:rPr>
                <w:rFonts w:ascii="Arial" w:hAnsi="Arial" w:cs="Arial"/>
                <w:bCs/>
                <w:sz w:val="20"/>
                <w:szCs w:val="20"/>
                <w:lang w:val="es-CR"/>
              </w:rPr>
            </w:pPr>
            <w:r w:rsidRPr="00902A2F">
              <w:rPr>
                <w:rFonts w:ascii="Arial" w:hAnsi="Arial" w:cs="Arial"/>
                <w:bCs/>
                <w:sz w:val="20"/>
                <w:szCs w:val="20"/>
                <w:lang w:val="es-CR"/>
              </w:rPr>
              <w:t xml:space="preserve">Por otro lado, las restricciones por la </w:t>
            </w:r>
            <w:r w:rsidRPr="00902A2F">
              <w:rPr>
                <w:rFonts w:ascii="Arial" w:hAnsi="Arial" w:cs="Arial"/>
                <w:bCs/>
                <w:sz w:val="20"/>
                <w:szCs w:val="20"/>
                <w:lang w:val="es-CR"/>
              </w:rPr>
              <w:lastRenderedPageBreak/>
              <w:t>pandemia producto del COVID 19 ocasionaron que se suspendieran giras, cursos y talleres programados, entre otros, lo que provocaron una baja ejecución presupuestaria.</w:t>
            </w:r>
          </w:p>
        </w:tc>
      </w:tr>
      <w:tr w:rsidR="00902A2F" w:rsidRPr="00902A2F" w14:paraId="47569C86"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763" w:type="pct"/>
          </w:tcPr>
          <w:p w14:paraId="14831742" w14:textId="77777777" w:rsidR="00902A2F" w:rsidRPr="00902A2F" w:rsidRDefault="00902A2F" w:rsidP="00902A2F">
            <w:pPr>
              <w:spacing w:line="360" w:lineRule="auto"/>
              <w:contextualSpacing/>
              <w:jc w:val="both"/>
              <w:rPr>
                <w:rFonts w:ascii="Arial" w:hAnsi="Arial" w:cs="Arial"/>
                <w:b w:val="0"/>
                <w:bCs w:val="0"/>
                <w:sz w:val="20"/>
                <w:szCs w:val="20"/>
                <w:u w:val="single"/>
                <w:lang w:val="es-CR"/>
              </w:rPr>
            </w:pPr>
            <w:r w:rsidRPr="00902A2F">
              <w:rPr>
                <w:rFonts w:ascii="Arial" w:hAnsi="Arial" w:cs="Arial"/>
                <w:b w:val="0"/>
                <w:bCs w:val="0"/>
                <w:sz w:val="20"/>
                <w:szCs w:val="20"/>
                <w:u w:val="single"/>
                <w:lang w:val="es-CR"/>
              </w:rPr>
              <w:lastRenderedPageBreak/>
              <w:t>Materiales y Suministros.</w:t>
            </w:r>
          </w:p>
        </w:tc>
        <w:tc>
          <w:tcPr>
            <w:cnfStyle w:val="000010000000" w:firstRow="0" w:lastRow="0" w:firstColumn="0" w:lastColumn="0" w:oddVBand="1" w:evenVBand="0" w:oddHBand="0" w:evenHBand="0" w:firstRowFirstColumn="0" w:firstRowLastColumn="0" w:lastRowFirstColumn="0" w:lastRowLastColumn="0"/>
            <w:tcW w:w="1341" w:type="pct"/>
          </w:tcPr>
          <w:p w14:paraId="04200B55"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1 Impacto generado por l emergencia sanitaria por el COVID-19</w:t>
            </w:r>
          </w:p>
          <w:p w14:paraId="5C5F72E0" w14:textId="56F1D65C" w:rsidR="00902A2F" w:rsidRPr="00412EB8" w:rsidRDefault="00902A2F" w:rsidP="00412EB8">
            <w:pPr>
              <w:pStyle w:val="Prrafodelista"/>
              <w:numPr>
                <w:ilvl w:val="0"/>
                <w:numId w:val="34"/>
              </w:numPr>
              <w:spacing w:line="360" w:lineRule="auto"/>
              <w:jc w:val="both"/>
              <w:rPr>
                <w:rFonts w:ascii="Arial" w:hAnsi="Arial" w:cs="Arial"/>
                <w:bCs/>
                <w:sz w:val="20"/>
                <w:szCs w:val="20"/>
              </w:rPr>
            </w:pPr>
            <w:r w:rsidRPr="00412EB8">
              <w:rPr>
                <w:rFonts w:ascii="Arial" w:hAnsi="Arial" w:cs="Arial"/>
                <w:bCs/>
                <w:sz w:val="20"/>
                <w:szCs w:val="20"/>
              </w:rPr>
              <w:t>Procesos de contratación que se concretan en el segundo semestre</w:t>
            </w:r>
          </w:p>
          <w:p w14:paraId="54C6E1A7"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 xml:space="preserve">7 </w:t>
            </w:r>
            <w:proofErr w:type="gramStart"/>
            <w:r w:rsidRPr="00902A2F">
              <w:rPr>
                <w:rFonts w:ascii="Arial" w:hAnsi="Arial" w:cs="Arial"/>
                <w:bCs/>
                <w:sz w:val="20"/>
                <w:szCs w:val="20"/>
              </w:rPr>
              <w:t>Variación</w:t>
            </w:r>
            <w:proofErr w:type="gramEnd"/>
            <w:r w:rsidRPr="00902A2F">
              <w:rPr>
                <w:rFonts w:ascii="Arial" w:hAnsi="Arial" w:cs="Arial"/>
                <w:bCs/>
                <w:sz w:val="20"/>
                <w:szCs w:val="20"/>
              </w:rPr>
              <w:t xml:space="preserve"> en la estimación de recursos </w:t>
            </w:r>
          </w:p>
          <w:p w14:paraId="6CCB9B2F"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8 Problemas relacionados con los procesos de contratación administrativa</w:t>
            </w:r>
          </w:p>
          <w:p w14:paraId="5A0D39E8"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 xml:space="preserve">11 Normas de ejecución para el </w:t>
            </w:r>
            <w:r w:rsidRPr="00902A2F">
              <w:rPr>
                <w:rFonts w:ascii="Arial" w:hAnsi="Arial" w:cs="Arial"/>
                <w:bCs/>
                <w:sz w:val="20"/>
                <w:szCs w:val="20"/>
              </w:rPr>
              <w:lastRenderedPageBreak/>
              <w:t>ejercicio presupuestario 2021 (En el caso de este factor es la norma 1, debido a la inflexibilidad de modificar el presupuesto asignado, se imposibilita a la institución a redireccionar recursos para cubrir necesidades apremiantes en otras partidas).</w:t>
            </w:r>
          </w:p>
          <w:p w14:paraId="48735F69" w14:textId="77777777" w:rsidR="00902A2F" w:rsidRPr="00902A2F" w:rsidRDefault="00902A2F" w:rsidP="00902A2F">
            <w:pPr>
              <w:autoSpaceDE w:val="0"/>
              <w:autoSpaceDN w:val="0"/>
              <w:adjustRightInd w:val="0"/>
              <w:spacing w:line="360" w:lineRule="auto"/>
              <w:jc w:val="both"/>
              <w:rPr>
                <w:rFonts w:ascii="Arial" w:hAnsi="Arial" w:cs="Arial"/>
                <w:bCs/>
                <w:color w:val="C00000"/>
                <w:sz w:val="20"/>
                <w:szCs w:val="20"/>
                <w:u w:val="single"/>
                <w:lang w:val="es-CR"/>
              </w:rPr>
            </w:pPr>
          </w:p>
        </w:tc>
        <w:tc>
          <w:tcPr>
            <w:tcW w:w="1634" w:type="pct"/>
          </w:tcPr>
          <w:p w14:paraId="0D2008BA" w14:textId="77777777" w:rsidR="00902A2F" w:rsidRPr="00902A2F" w:rsidRDefault="00902A2F" w:rsidP="00902A2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eastAsia="en-US"/>
              </w:rPr>
            </w:pPr>
            <w:r w:rsidRPr="00902A2F">
              <w:rPr>
                <w:rFonts w:ascii="Arial" w:hAnsi="Arial" w:cs="Arial"/>
                <w:bCs/>
                <w:sz w:val="20"/>
                <w:szCs w:val="20"/>
                <w:lang w:val="es-CR" w:eastAsia="en-US"/>
              </w:rPr>
              <w:lastRenderedPageBreak/>
              <w:t>Las acciones correctivas aplican igual que la partida 1 Servicios para todos los factores mencionados en la columna respectiva.</w:t>
            </w:r>
          </w:p>
          <w:p w14:paraId="20FB8949" w14:textId="77777777" w:rsidR="00902A2F" w:rsidRPr="00902A2F" w:rsidRDefault="00902A2F" w:rsidP="00902A2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C00000"/>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62" w:type="pct"/>
          </w:tcPr>
          <w:p w14:paraId="6CCE7475" w14:textId="77777777" w:rsidR="00902A2F" w:rsidRPr="00902A2F" w:rsidRDefault="00902A2F" w:rsidP="00902A2F">
            <w:pPr>
              <w:spacing w:line="360" w:lineRule="auto"/>
              <w:contextualSpacing/>
              <w:jc w:val="both"/>
              <w:rPr>
                <w:rFonts w:ascii="Arial" w:hAnsi="Arial" w:cs="Arial"/>
                <w:bCs/>
                <w:sz w:val="20"/>
                <w:szCs w:val="20"/>
                <w:lang w:val="es-CR"/>
              </w:rPr>
            </w:pPr>
            <w:r w:rsidRPr="00902A2F">
              <w:rPr>
                <w:rFonts w:ascii="Arial" w:hAnsi="Arial" w:cs="Arial"/>
                <w:bCs/>
                <w:sz w:val="20"/>
                <w:szCs w:val="20"/>
                <w:lang w:val="es-CR"/>
              </w:rPr>
              <w:t>Las razones son las mismas que las indicadas en la partida 1 Servicios.</w:t>
            </w:r>
          </w:p>
        </w:tc>
      </w:tr>
      <w:tr w:rsidR="00902A2F" w:rsidRPr="00902A2F" w14:paraId="116E601D"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60BF896F" w14:textId="77777777" w:rsidR="00902A2F" w:rsidRPr="00902A2F" w:rsidRDefault="00902A2F" w:rsidP="00902A2F">
            <w:pPr>
              <w:spacing w:line="360" w:lineRule="auto"/>
              <w:contextualSpacing/>
              <w:jc w:val="both"/>
              <w:rPr>
                <w:rFonts w:ascii="Arial" w:hAnsi="Arial" w:cs="Arial"/>
                <w:b w:val="0"/>
                <w:bCs w:val="0"/>
                <w:sz w:val="20"/>
                <w:szCs w:val="20"/>
                <w:lang w:val="es-CR"/>
              </w:rPr>
            </w:pPr>
            <w:r w:rsidRPr="00902A2F">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1341" w:type="pct"/>
          </w:tcPr>
          <w:p w14:paraId="2F084F7A" w14:textId="0C0CAB2C" w:rsidR="00902A2F" w:rsidRPr="00412EB8" w:rsidRDefault="00902A2F" w:rsidP="00412EB8">
            <w:pPr>
              <w:pStyle w:val="Prrafodelista"/>
              <w:numPr>
                <w:ilvl w:val="0"/>
                <w:numId w:val="35"/>
              </w:numPr>
              <w:spacing w:line="360" w:lineRule="auto"/>
              <w:jc w:val="both"/>
              <w:rPr>
                <w:rFonts w:ascii="Arial" w:hAnsi="Arial" w:cs="Arial"/>
                <w:bCs/>
                <w:sz w:val="20"/>
                <w:szCs w:val="20"/>
              </w:rPr>
            </w:pPr>
            <w:r w:rsidRPr="00412EB8">
              <w:rPr>
                <w:rFonts w:ascii="Arial" w:hAnsi="Arial" w:cs="Arial"/>
                <w:bCs/>
                <w:sz w:val="20"/>
                <w:szCs w:val="20"/>
              </w:rPr>
              <w:t>Procesos de contratación que se concretan en el segundo semestre</w:t>
            </w:r>
          </w:p>
          <w:p w14:paraId="6CDDC13A"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 xml:space="preserve">7 </w:t>
            </w:r>
            <w:proofErr w:type="gramStart"/>
            <w:r w:rsidRPr="00902A2F">
              <w:rPr>
                <w:rFonts w:ascii="Arial" w:hAnsi="Arial" w:cs="Arial"/>
                <w:bCs/>
                <w:sz w:val="20"/>
                <w:szCs w:val="20"/>
              </w:rPr>
              <w:t>Variación</w:t>
            </w:r>
            <w:proofErr w:type="gramEnd"/>
            <w:r w:rsidRPr="00902A2F">
              <w:rPr>
                <w:rFonts w:ascii="Arial" w:hAnsi="Arial" w:cs="Arial"/>
                <w:bCs/>
                <w:sz w:val="20"/>
                <w:szCs w:val="20"/>
              </w:rPr>
              <w:t xml:space="preserve"> en la estimación de recursos </w:t>
            </w:r>
          </w:p>
          <w:p w14:paraId="124AB9F8" w14:textId="77777777" w:rsidR="00902A2F" w:rsidRPr="00902A2F" w:rsidRDefault="00902A2F" w:rsidP="00902A2F">
            <w:pPr>
              <w:spacing w:line="360" w:lineRule="auto"/>
              <w:jc w:val="both"/>
              <w:rPr>
                <w:rFonts w:ascii="Arial" w:hAnsi="Arial" w:cs="Arial"/>
                <w:bCs/>
                <w:sz w:val="20"/>
                <w:szCs w:val="20"/>
              </w:rPr>
            </w:pPr>
            <w:r w:rsidRPr="00902A2F">
              <w:rPr>
                <w:rFonts w:ascii="Arial" w:hAnsi="Arial" w:cs="Arial"/>
                <w:bCs/>
                <w:sz w:val="20"/>
                <w:szCs w:val="20"/>
              </w:rPr>
              <w:t xml:space="preserve">8 Problemas relacionados con los procesos de </w:t>
            </w:r>
            <w:r w:rsidRPr="00902A2F">
              <w:rPr>
                <w:rFonts w:ascii="Arial" w:hAnsi="Arial" w:cs="Arial"/>
                <w:bCs/>
                <w:sz w:val="20"/>
                <w:szCs w:val="20"/>
              </w:rPr>
              <w:lastRenderedPageBreak/>
              <w:t>contratación administrativa</w:t>
            </w:r>
          </w:p>
          <w:p w14:paraId="57CD2826" w14:textId="77777777" w:rsidR="00902A2F" w:rsidRPr="00902A2F" w:rsidRDefault="00902A2F" w:rsidP="00902A2F">
            <w:pPr>
              <w:spacing w:line="360" w:lineRule="auto"/>
              <w:rPr>
                <w:rFonts w:ascii="Arial" w:hAnsi="Arial" w:cs="Arial"/>
                <w:bCs/>
                <w:sz w:val="20"/>
                <w:szCs w:val="20"/>
                <w:lang w:val="es-CR"/>
              </w:rPr>
            </w:pPr>
          </w:p>
        </w:tc>
        <w:tc>
          <w:tcPr>
            <w:tcW w:w="1634" w:type="pct"/>
          </w:tcPr>
          <w:p w14:paraId="748A1776" w14:textId="77777777" w:rsidR="00902A2F" w:rsidRPr="00902A2F" w:rsidRDefault="00902A2F" w:rsidP="00902A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eastAsia="en-US"/>
              </w:rPr>
            </w:pPr>
            <w:r w:rsidRPr="00902A2F">
              <w:rPr>
                <w:rFonts w:ascii="Arial" w:hAnsi="Arial" w:cs="Arial"/>
                <w:bCs/>
                <w:sz w:val="20"/>
                <w:szCs w:val="20"/>
                <w:lang w:val="es-CR" w:eastAsia="en-US"/>
              </w:rPr>
              <w:lastRenderedPageBreak/>
              <w:t>Las acciones correctivas aplican igual que la partida 1 Servicios para todos los factores mencionados en la columna respectiva.</w:t>
            </w:r>
          </w:p>
          <w:p w14:paraId="70B30C04"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62" w:type="pct"/>
          </w:tcPr>
          <w:p w14:paraId="1FE0E2ED" w14:textId="77777777" w:rsidR="00902A2F" w:rsidRPr="00902A2F" w:rsidRDefault="00902A2F" w:rsidP="00902A2F">
            <w:pPr>
              <w:spacing w:line="360" w:lineRule="auto"/>
              <w:contextualSpacing/>
              <w:jc w:val="both"/>
              <w:rPr>
                <w:rFonts w:ascii="Arial" w:hAnsi="Arial" w:cs="Arial"/>
                <w:bCs/>
                <w:sz w:val="20"/>
                <w:szCs w:val="20"/>
                <w:lang w:val="es-CR"/>
              </w:rPr>
            </w:pPr>
            <w:r w:rsidRPr="00902A2F">
              <w:rPr>
                <w:rFonts w:ascii="Arial" w:hAnsi="Arial" w:cs="Arial"/>
                <w:bCs/>
                <w:sz w:val="20"/>
                <w:szCs w:val="20"/>
                <w:lang w:val="es-CR"/>
              </w:rPr>
              <w:t>Las razones son las mismas que las indicadas en la partida 1 Servicios.</w:t>
            </w:r>
          </w:p>
        </w:tc>
      </w:tr>
    </w:tbl>
    <w:p w14:paraId="5269ECFC" w14:textId="77777777" w:rsidR="00902A2F" w:rsidRPr="00902A2F" w:rsidRDefault="00902A2F" w:rsidP="00902A2F">
      <w:pPr>
        <w:spacing w:after="160" w:line="360" w:lineRule="auto"/>
        <w:contextualSpacing/>
        <w:jc w:val="both"/>
        <w:rPr>
          <w:rFonts w:ascii="Arial" w:eastAsiaTheme="minorEastAsia" w:hAnsi="Arial" w:cs="Arial"/>
          <w:bCs/>
          <w:sz w:val="16"/>
          <w:szCs w:val="16"/>
          <w:lang w:val="es-CR"/>
        </w:rPr>
      </w:pPr>
      <w:r w:rsidRPr="00902A2F">
        <w:rPr>
          <w:rFonts w:ascii="Arial" w:eastAsiaTheme="minorEastAsia" w:hAnsi="Arial" w:cs="Arial"/>
          <w:b/>
          <w:sz w:val="16"/>
          <w:szCs w:val="16"/>
          <w:lang w:val="es-CR"/>
        </w:rPr>
        <w:t>Fuente</w:t>
      </w:r>
      <w:r w:rsidRPr="00902A2F">
        <w:rPr>
          <w:rFonts w:ascii="Arial" w:eastAsiaTheme="minorEastAsia" w:hAnsi="Arial" w:cs="Arial"/>
          <w:sz w:val="16"/>
          <w:szCs w:val="16"/>
          <w:lang w:val="es-CR"/>
        </w:rPr>
        <w:t xml:space="preserve">: </w:t>
      </w:r>
      <w:r w:rsidRPr="00902A2F">
        <w:rPr>
          <w:rFonts w:ascii="Arial" w:hAnsi="Arial" w:cs="Arial"/>
          <w:color w:val="000000"/>
          <w:sz w:val="16"/>
          <w:szCs w:val="16"/>
          <w:lang w:val="es-CR" w:eastAsia="es-CR"/>
        </w:rPr>
        <w:t>Liquidación Sistema Módulo de Poderes al 31 de diciembre 2021.</w:t>
      </w:r>
    </w:p>
    <w:p w14:paraId="44B55F15" w14:textId="77777777" w:rsidR="00902A2F" w:rsidRPr="00902A2F" w:rsidRDefault="00902A2F" w:rsidP="00902A2F">
      <w:pPr>
        <w:spacing w:after="160" w:line="360" w:lineRule="auto"/>
        <w:contextualSpacing/>
        <w:jc w:val="both"/>
        <w:rPr>
          <w:rFonts w:ascii="Arial" w:eastAsiaTheme="minorEastAsia" w:hAnsi="Arial" w:cs="Arial"/>
          <w:sz w:val="16"/>
          <w:szCs w:val="16"/>
          <w:lang w:val="es-CR"/>
        </w:rPr>
      </w:pPr>
      <w:r w:rsidRPr="00902A2F">
        <w:rPr>
          <w:rFonts w:ascii="Arial" w:eastAsiaTheme="minorEastAsia" w:hAnsi="Arial" w:cs="Arial"/>
          <w:sz w:val="16"/>
          <w:szCs w:val="16"/>
          <w:lang w:val="es-CR"/>
        </w:rPr>
        <w:t>/1</w:t>
      </w:r>
      <w:r w:rsidRPr="00902A2F">
        <w:rPr>
          <w:rFonts w:ascii="Arial" w:eastAsiaTheme="minorEastAsia" w:hAnsi="Arial" w:cs="Arial"/>
          <w:b/>
          <w:sz w:val="16"/>
          <w:szCs w:val="16"/>
          <w:lang w:val="es-CR"/>
        </w:rPr>
        <w:t xml:space="preserve"> </w:t>
      </w:r>
      <w:r w:rsidRPr="00902A2F">
        <w:rPr>
          <w:rFonts w:ascii="Arial" w:eastAsiaTheme="minorEastAsia" w:hAnsi="Arial" w:cs="Arial"/>
          <w:sz w:val="16"/>
          <w:szCs w:val="16"/>
          <w:lang w:val="es-CR"/>
        </w:rPr>
        <w:t>Indicar la descripción del factor señalado en el informe de seguimiento semestral.</w:t>
      </w:r>
    </w:p>
    <w:p w14:paraId="7D0D72CE" w14:textId="77777777" w:rsidR="00902A2F" w:rsidRPr="00902A2F" w:rsidRDefault="00902A2F" w:rsidP="00902A2F">
      <w:pPr>
        <w:spacing w:after="160" w:line="360" w:lineRule="auto"/>
        <w:contextualSpacing/>
        <w:jc w:val="both"/>
        <w:rPr>
          <w:rFonts w:ascii="Arial" w:eastAsiaTheme="minorEastAsia" w:hAnsi="Arial" w:cs="Arial"/>
          <w:sz w:val="16"/>
          <w:szCs w:val="16"/>
          <w:lang w:val="es-CR"/>
        </w:rPr>
      </w:pPr>
      <w:r w:rsidRPr="00902A2F">
        <w:rPr>
          <w:rFonts w:ascii="Arial" w:eastAsiaTheme="minorEastAsia" w:hAnsi="Arial" w:cs="Arial"/>
          <w:sz w:val="16"/>
          <w:szCs w:val="16"/>
          <w:lang w:val="es-CR"/>
        </w:rPr>
        <w:t>/2 Se refieren a las acciones propuestas en el informe de seguimiento semestral.</w:t>
      </w:r>
    </w:p>
    <w:p w14:paraId="07FA424C" w14:textId="77777777" w:rsidR="00902A2F" w:rsidRPr="00902A2F" w:rsidRDefault="00902A2F" w:rsidP="00902A2F">
      <w:pPr>
        <w:spacing w:after="160" w:line="360" w:lineRule="auto"/>
        <w:contextualSpacing/>
        <w:jc w:val="both"/>
        <w:rPr>
          <w:rFonts w:ascii="Arial" w:eastAsiaTheme="minorEastAsia" w:hAnsi="Arial" w:cs="Arial"/>
          <w:sz w:val="16"/>
          <w:szCs w:val="16"/>
          <w:lang w:val="es-CR"/>
        </w:rPr>
      </w:pPr>
      <w:r w:rsidRPr="00902A2F">
        <w:rPr>
          <w:rFonts w:ascii="Arial" w:eastAsiaTheme="minorEastAsia" w:hAnsi="Arial" w:cs="Arial"/>
          <w:sz w:val="16"/>
          <w:szCs w:val="16"/>
          <w:lang w:val="es-CR"/>
        </w:rPr>
        <w:t>/3</w:t>
      </w:r>
      <w:r w:rsidRPr="00902A2F">
        <w:rPr>
          <w:rFonts w:ascii="Arial" w:eastAsiaTheme="minorEastAsia" w:hAnsi="Arial" w:cs="Arial"/>
          <w:b/>
          <w:sz w:val="16"/>
          <w:szCs w:val="16"/>
          <w:lang w:val="es-CR"/>
        </w:rPr>
        <w:t xml:space="preserve"> </w:t>
      </w:r>
      <w:r w:rsidRPr="00902A2F">
        <w:rPr>
          <w:rFonts w:ascii="Arial" w:eastAsiaTheme="minorEastAsia" w:hAnsi="Arial" w:cs="Arial"/>
          <w:sz w:val="16"/>
          <w:szCs w:val="16"/>
          <w:lang w:val="es-CR"/>
        </w:rPr>
        <w:t>Propuestas no fueron efectivas para alcanzar un nivel igual o superior al 90% de ejecución, esto por cuanto un porcentaje igual a 90% ya es parte del cumplimiento alto</w:t>
      </w:r>
    </w:p>
    <w:p w14:paraId="77D0B06F" w14:textId="77777777" w:rsidR="00902A2F" w:rsidRDefault="00902A2F" w:rsidP="00902A2F">
      <w:pPr>
        <w:spacing w:after="160" w:line="360" w:lineRule="auto"/>
        <w:jc w:val="both"/>
        <w:rPr>
          <w:rFonts w:ascii="Arial" w:eastAsiaTheme="minorEastAsia" w:hAnsi="Arial" w:cs="Arial"/>
          <w:sz w:val="20"/>
          <w:szCs w:val="20"/>
          <w:lang w:val="es-CR"/>
        </w:rPr>
      </w:pPr>
    </w:p>
    <w:p w14:paraId="16D11F36" w14:textId="77777777" w:rsidR="00B64E59" w:rsidRPr="00902A2F" w:rsidRDefault="00B64E59" w:rsidP="00902A2F">
      <w:pPr>
        <w:spacing w:after="160" w:line="360" w:lineRule="auto"/>
        <w:jc w:val="both"/>
        <w:rPr>
          <w:rFonts w:ascii="Arial" w:eastAsiaTheme="minorEastAsia" w:hAnsi="Arial" w:cs="Arial"/>
          <w:sz w:val="20"/>
          <w:szCs w:val="20"/>
          <w:lang w:val="es-CR"/>
        </w:rPr>
      </w:pPr>
    </w:p>
    <w:p w14:paraId="67704059" w14:textId="1AB695FF" w:rsidR="00CC4458" w:rsidRPr="00AE3D7B" w:rsidRDefault="00CC4458" w:rsidP="00756C6A">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sidR="00756C6A">
        <w:rPr>
          <w:rFonts w:ascii="Arial" w:hAnsi="Arial" w:cs="Arial"/>
          <w:b/>
          <w:bCs/>
          <w:i w:val="0"/>
          <w:iCs w:val="0"/>
          <w:noProof/>
          <w:color w:val="auto"/>
          <w:sz w:val="20"/>
          <w:szCs w:val="20"/>
        </w:rPr>
        <w:t>13</w:t>
      </w:r>
      <w:r w:rsidRPr="00AE3D7B">
        <w:rPr>
          <w:rFonts w:ascii="Arial" w:hAnsi="Arial" w:cs="Arial"/>
          <w:b/>
          <w:bCs/>
          <w:i w:val="0"/>
          <w:iCs w:val="0"/>
          <w:color w:val="auto"/>
          <w:sz w:val="20"/>
          <w:szCs w:val="20"/>
        </w:rPr>
        <w:fldChar w:fldCharType="end"/>
      </w:r>
    </w:p>
    <w:p w14:paraId="1C0D8EDC" w14:textId="58619243" w:rsidR="00902A2F" w:rsidRPr="00902A2F" w:rsidRDefault="00902A2F" w:rsidP="00902A2F">
      <w:pPr>
        <w:spacing w:after="160" w:line="360" w:lineRule="auto"/>
        <w:ind w:left="55"/>
        <w:contextualSpacing/>
        <w:jc w:val="center"/>
        <w:rPr>
          <w:rFonts w:ascii="Arial" w:eastAsiaTheme="minorEastAsia" w:hAnsi="Arial" w:cs="Arial"/>
          <w:b/>
          <w:bCs/>
          <w:color w:val="000000"/>
          <w:sz w:val="20"/>
          <w:szCs w:val="20"/>
          <w:lang w:val="es-CR" w:eastAsia="es-CR"/>
        </w:rPr>
      </w:pPr>
      <w:r w:rsidRPr="00902A2F">
        <w:rPr>
          <w:rFonts w:ascii="Arial" w:eastAsiaTheme="minorEastAsia" w:hAnsi="Arial" w:cs="Arial"/>
          <w:b/>
          <w:sz w:val="20"/>
          <w:szCs w:val="20"/>
          <w:lang w:val="es-CR" w:eastAsia="es-CR"/>
        </w:rPr>
        <w:t>Acciones correctivas y fechas de implementación</w:t>
      </w:r>
    </w:p>
    <w:p w14:paraId="4F2E3D33" w14:textId="77777777" w:rsidR="00902A2F" w:rsidRPr="00902A2F" w:rsidRDefault="00902A2F" w:rsidP="00902A2F">
      <w:pPr>
        <w:spacing w:after="160" w:line="360" w:lineRule="auto"/>
        <w:ind w:left="55"/>
        <w:contextualSpacing/>
        <w:jc w:val="center"/>
        <w:rPr>
          <w:rFonts w:ascii="Arial" w:eastAsiaTheme="minorEastAsia" w:hAnsi="Arial" w:cs="Arial"/>
          <w:color w:val="000000"/>
          <w:sz w:val="20"/>
          <w:szCs w:val="20"/>
          <w:lang w:val="es-CR" w:eastAsia="es-CR"/>
        </w:rPr>
      </w:pPr>
      <w:r w:rsidRPr="00902A2F">
        <w:rPr>
          <w:rFonts w:ascii="Arial" w:eastAsiaTheme="minorEastAsia" w:hAnsi="Arial" w:cs="Arial"/>
          <w:sz w:val="20"/>
          <w:szCs w:val="20"/>
          <w:lang w:val="es-CR"/>
        </w:rPr>
        <w:t>927 Servicio Jurisdiccional</w:t>
      </w:r>
    </w:p>
    <w:p w14:paraId="51210A15" w14:textId="02F8E363" w:rsidR="00902A2F" w:rsidRPr="00902A2F" w:rsidRDefault="00902A2F" w:rsidP="00D0574A">
      <w:pPr>
        <w:spacing w:after="160" w:line="360" w:lineRule="auto"/>
        <w:ind w:left="55"/>
        <w:contextualSpacing/>
        <w:jc w:val="center"/>
        <w:rPr>
          <w:rFonts w:ascii="Arial" w:eastAsiaTheme="minorEastAsia" w:hAnsi="Arial" w:cs="Arial"/>
          <w:color w:val="000000"/>
          <w:sz w:val="20"/>
          <w:szCs w:val="20"/>
          <w:lang w:val="es-CR" w:eastAsia="es-CR"/>
        </w:rPr>
      </w:pPr>
      <w:r w:rsidRPr="00902A2F">
        <w:rPr>
          <w:rFonts w:ascii="Arial" w:eastAsiaTheme="minorEastAsia" w:hAnsi="Arial" w:cs="Arial"/>
          <w:color w:val="000000"/>
          <w:sz w:val="20"/>
          <w:szCs w:val="20"/>
          <w:lang w:val="es-CR" w:eastAsia="es-CR"/>
        </w:rPr>
        <w:t xml:space="preserve">Partidas con ejecución menor al 90,00% </w:t>
      </w:r>
    </w:p>
    <w:tbl>
      <w:tblPr>
        <w:tblStyle w:val="Listaclara-nfasis19"/>
        <w:tblW w:w="5000" w:type="pct"/>
        <w:tblLook w:val="00A0" w:firstRow="1" w:lastRow="0" w:firstColumn="1" w:lastColumn="0" w:noHBand="0" w:noVBand="0"/>
      </w:tblPr>
      <w:tblGrid>
        <w:gridCol w:w="1317"/>
        <w:gridCol w:w="1139"/>
        <w:gridCol w:w="2449"/>
        <w:gridCol w:w="1840"/>
        <w:gridCol w:w="1739"/>
      </w:tblGrid>
      <w:tr w:rsidR="00902A2F" w:rsidRPr="00902A2F" w14:paraId="06C0011A"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76" w:type="pct"/>
            <w:vAlign w:val="center"/>
          </w:tcPr>
          <w:p w14:paraId="7B8CA73C" w14:textId="77777777" w:rsidR="00902A2F" w:rsidRPr="00902A2F" w:rsidRDefault="00902A2F" w:rsidP="00902A2F">
            <w:pPr>
              <w:spacing w:line="360" w:lineRule="auto"/>
              <w:contextualSpacing/>
              <w:jc w:val="center"/>
              <w:rPr>
                <w:rFonts w:ascii="Arial" w:hAnsi="Arial" w:cs="Arial"/>
                <w:bCs w:val="0"/>
                <w:sz w:val="20"/>
                <w:szCs w:val="20"/>
                <w:lang w:val="es-CR"/>
              </w:rPr>
            </w:pPr>
            <w:r w:rsidRPr="00902A2F">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617" w:type="pct"/>
            <w:vAlign w:val="center"/>
          </w:tcPr>
          <w:p w14:paraId="5DF8A04E" w14:textId="77777777" w:rsidR="00902A2F" w:rsidRPr="00902A2F" w:rsidRDefault="00902A2F" w:rsidP="00902A2F">
            <w:pPr>
              <w:spacing w:line="360" w:lineRule="auto"/>
              <w:contextualSpacing/>
              <w:jc w:val="center"/>
              <w:rPr>
                <w:rFonts w:ascii="Arial" w:hAnsi="Arial" w:cs="Arial"/>
                <w:sz w:val="20"/>
                <w:szCs w:val="20"/>
                <w:lang w:val="es-CR"/>
              </w:rPr>
            </w:pPr>
            <w:r w:rsidRPr="00902A2F">
              <w:rPr>
                <w:rFonts w:ascii="Arial" w:hAnsi="Arial" w:cs="Arial"/>
                <w:sz w:val="20"/>
                <w:szCs w:val="20"/>
                <w:lang w:val="es-CR"/>
              </w:rPr>
              <w:t xml:space="preserve">Nivel de ejecución </w:t>
            </w:r>
            <w:r w:rsidRPr="00902A2F">
              <w:rPr>
                <w:rFonts w:ascii="Arial" w:hAnsi="Arial" w:cs="Arial"/>
                <w:sz w:val="20"/>
                <w:szCs w:val="20"/>
                <w:vertAlign w:val="superscript"/>
                <w:lang w:val="es-CR"/>
              </w:rPr>
              <w:t>/1</w:t>
            </w:r>
          </w:p>
        </w:tc>
        <w:tc>
          <w:tcPr>
            <w:tcW w:w="1515" w:type="pct"/>
            <w:vAlign w:val="center"/>
          </w:tcPr>
          <w:p w14:paraId="262AC5C0" w14:textId="77777777" w:rsidR="00902A2F" w:rsidRPr="00902A2F" w:rsidRDefault="00902A2F" w:rsidP="00902A2F">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902A2F">
              <w:rPr>
                <w:rFonts w:ascii="Arial" w:hAnsi="Arial" w:cs="Arial"/>
                <w:sz w:val="20"/>
                <w:szCs w:val="20"/>
                <w:lang w:val="es-CR"/>
              </w:rPr>
              <w:t xml:space="preserve">Acciones correctivas </w:t>
            </w:r>
            <w:r w:rsidRPr="00902A2F">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156" w:type="pct"/>
            <w:vAlign w:val="center"/>
          </w:tcPr>
          <w:p w14:paraId="51F1226D" w14:textId="77777777" w:rsidR="00902A2F" w:rsidRPr="00902A2F" w:rsidRDefault="00902A2F" w:rsidP="00902A2F">
            <w:pPr>
              <w:spacing w:line="360" w:lineRule="auto"/>
              <w:contextualSpacing/>
              <w:jc w:val="center"/>
              <w:rPr>
                <w:rFonts w:ascii="Arial" w:hAnsi="Arial" w:cs="Arial"/>
                <w:sz w:val="20"/>
                <w:szCs w:val="20"/>
                <w:lang w:val="es-CR"/>
              </w:rPr>
            </w:pPr>
            <w:r w:rsidRPr="00902A2F">
              <w:rPr>
                <w:rFonts w:ascii="Arial" w:hAnsi="Arial" w:cs="Arial"/>
                <w:sz w:val="20"/>
                <w:szCs w:val="20"/>
                <w:lang w:val="es-CR"/>
              </w:rPr>
              <w:t xml:space="preserve">Persona responsable de brindar la información </w:t>
            </w:r>
          </w:p>
        </w:tc>
        <w:tc>
          <w:tcPr>
            <w:tcW w:w="935" w:type="pct"/>
            <w:vAlign w:val="center"/>
          </w:tcPr>
          <w:p w14:paraId="2AC29AF9" w14:textId="77777777" w:rsidR="00902A2F" w:rsidRPr="00902A2F" w:rsidRDefault="00902A2F" w:rsidP="00902A2F">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CR"/>
              </w:rPr>
            </w:pPr>
            <w:r w:rsidRPr="00902A2F">
              <w:rPr>
                <w:rFonts w:ascii="Arial" w:hAnsi="Arial" w:cs="Arial"/>
                <w:sz w:val="20"/>
                <w:szCs w:val="20"/>
                <w:lang w:val="es-CR"/>
              </w:rPr>
              <w:t xml:space="preserve">Fecha de implementación </w:t>
            </w:r>
            <w:r w:rsidRPr="00902A2F">
              <w:rPr>
                <w:rFonts w:ascii="Arial" w:hAnsi="Arial" w:cs="Arial"/>
                <w:sz w:val="20"/>
                <w:szCs w:val="20"/>
                <w:vertAlign w:val="superscript"/>
                <w:lang w:val="es-CR"/>
              </w:rPr>
              <w:t>/3</w:t>
            </w:r>
          </w:p>
        </w:tc>
      </w:tr>
      <w:tr w:rsidR="00902A2F" w:rsidRPr="00902A2F" w14:paraId="04CBB4F6"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76" w:type="pct"/>
          </w:tcPr>
          <w:p w14:paraId="0EF6F03B" w14:textId="77777777" w:rsidR="00902A2F" w:rsidRPr="00902A2F" w:rsidRDefault="00902A2F" w:rsidP="00902A2F">
            <w:pPr>
              <w:spacing w:line="360" w:lineRule="auto"/>
              <w:contextualSpacing/>
              <w:jc w:val="both"/>
              <w:rPr>
                <w:rFonts w:ascii="Arial" w:hAnsi="Arial" w:cs="Arial"/>
                <w:b w:val="0"/>
                <w:bCs w:val="0"/>
                <w:sz w:val="20"/>
                <w:szCs w:val="20"/>
                <w:lang w:val="es-CR"/>
              </w:rPr>
            </w:pPr>
            <w:r w:rsidRPr="00902A2F">
              <w:rPr>
                <w:rFonts w:ascii="Arial" w:hAnsi="Arial" w:cs="Arial"/>
                <w:b w:val="0"/>
                <w:bCs w:val="0"/>
                <w:sz w:val="20"/>
                <w:szCs w:val="20"/>
                <w:lang w:val="es-CR"/>
              </w:rPr>
              <w:t>Materiales y Suministros.</w:t>
            </w:r>
          </w:p>
        </w:tc>
        <w:tc>
          <w:tcPr>
            <w:cnfStyle w:val="000010000000" w:firstRow="0" w:lastRow="0" w:firstColumn="0" w:lastColumn="0" w:oddVBand="1" w:evenVBand="0" w:oddHBand="0" w:evenHBand="0" w:firstRowFirstColumn="0" w:firstRowLastColumn="0" w:lastRowFirstColumn="0" w:lastRowLastColumn="0"/>
            <w:tcW w:w="617" w:type="pct"/>
          </w:tcPr>
          <w:p w14:paraId="326ABA3C" w14:textId="77777777" w:rsidR="00902A2F" w:rsidRPr="00902A2F" w:rsidRDefault="00902A2F" w:rsidP="00902A2F">
            <w:pPr>
              <w:spacing w:line="360" w:lineRule="auto"/>
              <w:rPr>
                <w:rFonts w:ascii="Arial" w:hAnsi="Arial" w:cs="Arial"/>
                <w:bCs/>
                <w:sz w:val="20"/>
                <w:szCs w:val="20"/>
                <w:lang w:val="es-CR"/>
              </w:rPr>
            </w:pPr>
            <w:r w:rsidRPr="00902A2F">
              <w:rPr>
                <w:rFonts w:ascii="Arial" w:hAnsi="Arial" w:cs="Arial"/>
                <w:bCs/>
                <w:sz w:val="20"/>
                <w:szCs w:val="20"/>
                <w:lang w:val="es-CR"/>
              </w:rPr>
              <w:t>82,96%</w:t>
            </w:r>
          </w:p>
        </w:tc>
        <w:tc>
          <w:tcPr>
            <w:tcW w:w="1515" w:type="pct"/>
          </w:tcPr>
          <w:p w14:paraId="43776F7B"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Continuar con las reuniones de seguimiento periódicas para el análisis del comportamiento de las partidas y atender las necesidades institucionales con mayor prontitud.</w:t>
            </w:r>
          </w:p>
          <w:p w14:paraId="57FC99CC"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10A51854"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 xml:space="preserve">Mejorar la planificación en los procesos de contratación y la </w:t>
            </w:r>
            <w:r w:rsidRPr="00902A2F">
              <w:rPr>
                <w:rFonts w:ascii="Arial" w:hAnsi="Arial" w:cs="Arial"/>
                <w:bCs/>
                <w:sz w:val="20"/>
                <w:szCs w:val="20"/>
                <w:lang w:val="es-CR"/>
              </w:rPr>
              <w:lastRenderedPageBreak/>
              <w:t>coordinación de las entregas con los proveedores.</w:t>
            </w:r>
          </w:p>
          <w:p w14:paraId="28A3139A"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1333C08F"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Revisión de plan de compras y adquisiciones para que las misma se realicen en forma oportuna.</w:t>
            </w:r>
          </w:p>
          <w:p w14:paraId="436ED79C"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0E525537"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Seguimiento pertinente para la cancelación oportuna de facturas.</w:t>
            </w:r>
          </w:p>
          <w:p w14:paraId="079BD4C8"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003EC02C"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Traslados de recursos oportunos para la atención de necesidades Institucionales.</w:t>
            </w:r>
          </w:p>
          <w:p w14:paraId="025EFE5A"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1150762D"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Análisis de requerimientos institucionales por motivo de las restricciones producto de la pandemia nacional.</w:t>
            </w:r>
          </w:p>
          <w:p w14:paraId="56D25608"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p w14:paraId="5E3B459C"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 xml:space="preserve">Análisis y verificación de los procesos de contratación con el fin de </w:t>
            </w:r>
            <w:r w:rsidRPr="00902A2F">
              <w:rPr>
                <w:rFonts w:ascii="Arial" w:hAnsi="Arial" w:cs="Arial"/>
                <w:bCs/>
                <w:sz w:val="20"/>
                <w:szCs w:val="20"/>
                <w:lang w:val="es-CR"/>
              </w:rPr>
              <w:lastRenderedPageBreak/>
              <w:t>determinar su factibilidad.</w:t>
            </w:r>
          </w:p>
          <w:p w14:paraId="22EA6BF5" w14:textId="77777777" w:rsidR="00902A2F" w:rsidRPr="00902A2F" w:rsidRDefault="00902A2F" w:rsidP="00902A2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156" w:type="pct"/>
          </w:tcPr>
          <w:p w14:paraId="163C5A44" w14:textId="77777777" w:rsidR="00902A2F" w:rsidRPr="00902A2F" w:rsidRDefault="00902A2F" w:rsidP="00902A2F">
            <w:pPr>
              <w:spacing w:line="360" w:lineRule="auto"/>
              <w:contextualSpacing/>
              <w:jc w:val="both"/>
              <w:rPr>
                <w:rFonts w:ascii="Arial" w:hAnsi="Arial" w:cs="Arial"/>
                <w:bCs/>
                <w:sz w:val="20"/>
                <w:szCs w:val="20"/>
                <w:lang w:val="es-CR"/>
              </w:rPr>
            </w:pPr>
            <w:r w:rsidRPr="00902A2F">
              <w:rPr>
                <w:rFonts w:ascii="Arial" w:hAnsi="Arial" w:cs="Arial"/>
                <w:bCs/>
                <w:sz w:val="20"/>
                <w:szCs w:val="20"/>
                <w:lang w:val="es-CR"/>
              </w:rPr>
              <w:lastRenderedPageBreak/>
              <w:t>MBA. Ana Eugenia Romero Jenkins</w:t>
            </w:r>
          </w:p>
        </w:tc>
        <w:tc>
          <w:tcPr>
            <w:tcW w:w="935" w:type="pct"/>
          </w:tcPr>
          <w:p w14:paraId="245FA863" w14:textId="77777777" w:rsidR="00902A2F" w:rsidRPr="00902A2F" w:rsidRDefault="00902A2F" w:rsidP="00902A2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03/01/2022</w:t>
            </w:r>
          </w:p>
        </w:tc>
      </w:tr>
      <w:tr w:rsidR="00902A2F" w:rsidRPr="00902A2F" w14:paraId="101310AA"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776" w:type="pct"/>
          </w:tcPr>
          <w:p w14:paraId="15E9F06D" w14:textId="77777777" w:rsidR="00902A2F" w:rsidRPr="00902A2F" w:rsidRDefault="00902A2F" w:rsidP="00902A2F">
            <w:pPr>
              <w:spacing w:line="360" w:lineRule="auto"/>
              <w:contextualSpacing/>
              <w:jc w:val="both"/>
              <w:rPr>
                <w:rFonts w:ascii="Arial" w:hAnsi="Arial" w:cs="Arial"/>
                <w:b w:val="0"/>
                <w:bCs w:val="0"/>
                <w:sz w:val="20"/>
                <w:szCs w:val="20"/>
                <w:lang w:val="es-CR"/>
              </w:rPr>
            </w:pPr>
            <w:r w:rsidRPr="00902A2F">
              <w:rPr>
                <w:rFonts w:ascii="Arial" w:hAnsi="Arial" w:cs="Arial"/>
                <w:b w:val="0"/>
                <w:bCs w:val="0"/>
                <w:sz w:val="20"/>
                <w:szCs w:val="20"/>
                <w:lang w:val="es-CR"/>
              </w:rPr>
              <w:lastRenderedPageBreak/>
              <w:t>Bienes duraderos.</w:t>
            </w:r>
          </w:p>
        </w:tc>
        <w:tc>
          <w:tcPr>
            <w:cnfStyle w:val="000010000000" w:firstRow="0" w:lastRow="0" w:firstColumn="0" w:lastColumn="0" w:oddVBand="1" w:evenVBand="0" w:oddHBand="0" w:evenHBand="0" w:firstRowFirstColumn="0" w:firstRowLastColumn="0" w:lastRowFirstColumn="0" w:lastRowLastColumn="0"/>
            <w:tcW w:w="617" w:type="pct"/>
          </w:tcPr>
          <w:p w14:paraId="4AB93BC5" w14:textId="77777777" w:rsidR="00902A2F" w:rsidRPr="00902A2F" w:rsidRDefault="00902A2F" w:rsidP="00902A2F">
            <w:pPr>
              <w:spacing w:line="360" w:lineRule="auto"/>
              <w:rPr>
                <w:rFonts w:ascii="Arial" w:hAnsi="Arial" w:cs="Arial"/>
                <w:bCs/>
                <w:sz w:val="20"/>
                <w:szCs w:val="20"/>
                <w:lang w:val="es-CR"/>
              </w:rPr>
            </w:pPr>
            <w:r w:rsidRPr="00902A2F">
              <w:rPr>
                <w:rFonts w:ascii="Arial" w:hAnsi="Arial" w:cs="Arial"/>
                <w:bCs/>
                <w:sz w:val="20"/>
                <w:szCs w:val="20"/>
                <w:lang w:val="es-CR"/>
              </w:rPr>
              <w:t>73,42%</w:t>
            </w:r>
          </w:p>
        </w:tc>
        <w:tc>
          <w:tcPr>
            <w:tcW w:w="1515" w:type="pct"/>
          </w:tcPr>
          <w:p w14:paraId="3F36DAEB" w14:textId="77777777" w:rsidR="00902A2F" w:rsidRPr="00902A2F" w:rsidRDefault="00902A2F" w:rsidP="00902A2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eastAsia="en-US"/>
              </w:rPr>
            </w:pPr>
            <w:r w:rsidRPr="00902A2F">
              <w:rPr>
                <w:rFonts w:ascii="Arial" w:hAnsi="Arial" w:cs="Arial"/>
                <w:bCs/>
                <w:sz w:val="20"/>
                <w:szCs w:val="20"/>
                <w:lang w:val="es-CR" w:eastAsia="en-US"/>
              </w:rPr>
              <w:t>Las acciones correctivas aplican igual que la partida 2 Materiales y suministros.</w:t>
            </w:r>
          </w:p>
          <w:p w14:paraId="367947DB" w14:textId="77777777" w:rsidR="00902A2F" w:rsidRPr="00902A2F" w:rsidRDefault="00902A2F" w:rsidP="00902A2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156" w:type="pct"/>
          </w:tcPr>
          <w:p w14:paraId="65C67845" w14:textId="77777777" w:rsidR="00902A2F" w:rsidRPr="00902A2F" w:rsidRDefault="00902A2F" w:rsidP="00902A2F">
            <w:pPr>
              <w:spacing w:line="360" w:lineRule="auto"/>
              <w:contextualSpacing/>
              <w:jc w:val="both"/>
              <w:rPr>
                <w:rFonts w:ascii="Arial" w:hAnsi="Arial" w:cs="Arial"/>
                <w:bCs/>
                <w:sz w:val="20"/>
                <w:szCs w:val="20"/>
                <w:lang w:val="es-CR"/>
              </w:rPr>
            </w:pPr>
            <w:r w:rsidRPr="00902A2F">
              <w:rPr>
                <w:rFonts w:ascii="Arial" w:hAnsi="Arial" w:cs="Arial"/>
                <w:bCs/>
                <w:sz w:val="20"/>
                <w:szCs w:val="20"/>
                <w:lang w:val="es-CR"/>
              </w:rPr>
              <w:t>MBA. Ana Eugenia Romero Jenkins</w:t>
            </w:r>
          </w:p>
        </w:tc>
        <w:tc>
          <w:tcPr>
            <w:tcW w:w="935" w:type="pct"/>
          </w:tcPr>
          <w:p w14:paraId="0A00D57F" w14:textId="77777777" w:rsidR="00902A2F" w:rsidRPr="00902A2F" w:rsidRDefault="00902A2F" w:rsidP="00902A2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902A2F">
              <w:rPr>
                <w:rFonts w:ascii="Arial" w:hAnsi="Arial" w:cs="Arial"/>
                <w:bCs/>
                <w:sz w:val="20"/>
                <w:szCs w:val="20"/>
                <w:lang w:val="es-CR"/>
              </w:rPr>
              <w:t>03/01/2022</w:t>
            </w:r>
          </w:p>
          <w:p w14:paraId="5D0B283A" w14:textId="77777777" w:rsidR="00902A2F" w:rsidRPr="00902A2F" w:rsidRDefault="00902A2F" w:rsidP="00902A2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p>
        </w:tc>
      </w:tr>
    </w:tbl>
    <w:p w14:paraId="46730A32" w14:textId="77777777" w:rsidR="00902A2F" w:rsidRPr="00902A2F" w:rsidRDefault="00902A2F" w:rsidP="00902A2F">
      <w:pPr>
        <w:spacing w:line="360" w:lineRule="auto"/>
        <w:jc w:val="both"/>
        <w:rPr>
          <w:rFonts w:ascii="Arial" w:eastAsiaTheme="minorEastAsia" w:hAnsi="Arial" w:cs="Arial"/>
          <w:b/>
          <w:sz w:val="16"/>
          <w:szCs w:val="16"/>
          <w:lang w:val="es-CR"/>
        </w:rPr>
      </w:pPr>
      <w:r w:rsidRPr="00902A2F">
        <w:rPr>
          <w:rFonts w:ascii="Arial" w:eastAsiaTheme="minorEastAsia" w:hAnsi="Arial" w:cs="Arial"/>
          <w:b/>
          <w:sz w:val="16"/>
          <w:szCs w:val="16"/>
          <w:lang w:val="es-CR"/>
        </w:rPr>
        <w:t xml:space="preserve">Fuente: </w:t>
      </w:r>
      <w:r w:rsidRPr="00902A2F">
        <w:rPr>
          <w:rFonts w:ascii="Arial" w:hAnsi="Arial" w:cs="Arial"/>
          <w:color w:val="000000"/>
          <w:sz w:val="16"/>
          <w:szCs w:val="16"/>
          <w:lang w:val="es-CR" w:eastAsia="es-CR"/>
        </w:rPr>
        <w:t>Liquidación Sistema Módulo de Poderes al 31 de diciembre 2021.</w:t>
      </w:r>
    </w:p>
    <w:p w14:paraId="465B0218" w14:textId="77777777" w:rsidR="00902A2F" w:rsidRPr="00902A2F" w:rsidRDefault="00902A2F" w:rsidP="00902A2F">
      <w:pPr>
        <w:spacing w:line="360" w:lineRule="auto"/>
        <w:jc w:val="both"/>
        <w:rPr>
          <w:rFonts w:ascii="Arial" w:eastAsiaTheme="minorEastAsia" w:hAnsi="Arial" w:cs="Arial"/>
          <w:sz w:val="16"/>
          <w:szCs w:val="16"/>
          <w:lang w:val="es-CR"/>
        </w:rPr>
      </w:pPr>
      <w:r w:rsidRPr="00902A2F">
        <w:rPr>
          <w:rFonts w:ascii="Arial" w:eastAsiaTheme="minorEastAsia" w:hAnsi="Arial" w:cs="Arial"/>
          <w:sz w:val="16"/>
          <w:szCs w:val="16"/>
          <w:lang w:val="es-CR"/>
        </w:rPr>
        <w:t>/1 Esta información se obtiene del archivo Excel remitido por la DGPN, de la hoja “Liquidación”.</w:t>
      </w:r>
    </w:p>
    <w:p w14:paraId="2C6C3C12" w14:textId="77777777" w:rsidR="00902A2F" w:rsidRPr="00902A2F" w:rsidRDefault="00902A2F" w:rsidP="00902A2F">
      <w:pPr>
        <w:spacing w:line="360" w:lineRule="auto"/>
        <w:jc w:val="both"/>
        <w:rPr>
          <w:rFonts w:ascii="Arial" w:eastAsiaTheme="minorEastAsia" w:hAnsi="Arial" w:cs="Arial"/>
          <w:sz w:val="16"/>
          <w:szCs w:val="16"/>
          <w:lang w:val="es-CR"/>
        </w:rPr>
      </w:pPr>
      <w:r w:rsidRPr="00902A2F">
        <w:rPr>
          <w:rFonts w:ascii="Arial" w:eastAsiaTheme="minorEastAsia" w:hAnsi="Arial" w:cs="Arial"/>
          <w:sz w:val="16"/>
          <w:szCs w:val="16"/>
          <w:lang w:val="es-CR"/>
        </w:rPr>
        <w:t>/2 Se refiere a acciones que implementará el centro gestor en 2022 para subsanar los problemas de ejecución que se presentaron al 31/12/2021.</w:t>
      </w:r>
    </w:p>
    <w:p w14:paraId="4F4940DA" w14:textId="77777777" w:rsidR="00902A2F" w:rsidRPr="00902A2F" w:rsidRDefault="00902A2F" w:rsidP="00902A2F">
      <w:pPr>
        <w:spacing w:line="360" w:lineRule="auto"/>
        <w:jc w:val="both"/>
        <w:rPr>
          <w:rFonts w:ascii="Arial" w:eastAsiaTheme="minorEastAsia" w:hAnsi="Arial" w:cs="Arial"/>
          <w:sz w:val="16"/>
          <w:szCs w:val="16"/>
          <w:lang w:val="es-CR"/>
        </w:rPr>
      </w:pPr>
      <w:r w:rsidRPr="00902A2F">
        <w:rPr>
          <w:rFonts w:ascii="Arial" w:eastAsiaTheme="minorEastAsia" w:hAnsi="Arial" w:cs="Arial"/>
          <w:sz w:val="16"/>
          <w:szCs w:val="16"/>
          <w:lang w:val="es-CR"/>
        </w:rPr>
        <w:t>/3 Se refiere a la fecha en que las acciones correctivas empezarán a ser implementadas por el centro gestor.</w:t>
      </w:r>
    </w:p>
    <w:bookmarkEnd w:id="20"/>
    <w:bookmarkEnd w:id="21"/>
    <w:p w14:paraId="12274BC4" w14:textId="6E0970D6" w:rsidR="000D5481" w:rsidRPr="00B92074" w:rsidRDefault="00742104" w:rsidP="005862D0">
      <w:pPr>
        <w:pStyle w:val="Ttulo2"/>
        <w:keepLines/>
        <w:numPr>
          <w:ilvl w:val="0"/>
          <w:numId w:val="0"/>
        </w:numPr>
        <w:spacing w:before="360" w:line="360" w:lineRule="auto"/>
        <w:jc w:val="left"/>
        <w:rPr>
          <w:rStyle w:val="Ttulodellibro"/>
          <w:rFonts w:cs="Arial"/>
          <w:b/>
          <w:bCs/>
          <w:smallCaps w:val="0"/>
          <w:spacing w:val="0"/>
          <w:szCs w:val="20"/>
          <w:lang w:val="es-ES_tradnl"/>
        </w:rPr>
      </w:pPr>
      <w:r w:rsidRPr="00F91EE1">
        <w:rPr>
          <w:rStyle w:val="Ttulodellibro"/>
          <w:rFonts w:cs="Arial"/>
          <w:color w:val="002060"/>
          <w:sz w:val="28"/>
        </w:rPr>
        <w:br w:type="page"/>
      </w:r>
      <w:bookmarkStart w:id="22" w:name="_Toc25758875"/>
      <w:bookmarkStart w:id="23" w:name="_Toc93420474"/>
      <w:r w:rsidR="000D5481" w:rsidRPr="00110625">
        <w:rPr>
          <w:rStyle w:val="Ttulodellibro"/>
          <w:rFonts w:eastAsiaTheme="majorEastAsia" w:cs="Arial"/>
          <w:b/>
          <w:smallCaps w:val="0"/>
          <w:color w:val="002060"/>
          <w:sz w:val="28"/>
          <w:szCs w:val="28"/>
          <w:lang w:val="es-ES"/>
        </w:rPr>
        <w:lastRenderedPageBreak/>
        <w:t xml:space="preserve">Apartado financiero por </w:t>
      </w:r>
      <w:bookmarkEnd w:id="22"/>
      <w:r w:rsidR="004C0701">
        <w:rPr>
          <w:rStyle w:val="Ttulodellibro"/>
          <w:rFonts w:eastAsiaTheme="majorEastAsia" w:cs="Arial"/>
          <w:b/>
          <w:smallCaps w:val="0"/>
          <w:color w:val="002060"/>
          <w:sz w:val="28"/>
          <w:szCs w:val="28"/>
          <w:lang w:val="es-ES"/>
        </w:rPr>
        <w:t>C</w:t>
      </w:r>
      <w:r w:rsidR="001A0226" w:rsidRPr="00110625">
        <w:rPr>
          <w:rStyle w:val="Ttulodellibro"/>
          <w:rFonts w:eastAsiaTheme="majorEastAsia" w:cs="Arial"/>
          <w:b/>
          <w:smallCaps w:val="0"/>
          <w:color w:val="002060"/>
          <w:sz w:val="28"/>
          <w:szCs w:val="28"/>
          <w:lang w:val="es-ES"/>
        </w:rPr>
        <w:t xml:space="preserve">entro </w:t>
      </w:r>
      <w:r w:rsidR="004C0701">
        <w:rPr>
          <w:rStyle w:val="Ttulodellibro"/>
          <w:rFonts w:eastAsiaTheme="majorEastAsia" w:cs="Arial"/>
          <w:b/>
          <w:smallCaps w:val="0"/>
          <w:color w:val="002060"/>
          <w:sz w:val="28"/>
          <w:szCs w:val="28"/>
          <w:lang w:val="es-ES"/>
        </w:rPr>
        <w:t>G</w:t>
      </w:r>
      <w:r w:rsidR="004C0701" w:rsidRPr="00110625">
        <w:rPr>
          <w:rStyle w:val="Ttulodellibro"/>
          <w:rFonts w:eastAsiaTheme="majorEastAsia" w:cs="Arial"/>
          <w:b/>
          <w:smallCaps w:val="0"/>
          <w:color w:val="002060"/>
          <w:sz w:val="28"/>
          <w:szCs w:val="28"/>
          <w:lang w:val="es-ES"/>
        </w:rPr>
        <w:t>estor: Programa</w:t>
      </w:r>
      <w:r w:rsidR="000D5481" w:rsidRPr="00110625">
        <w:rPr>
          <w:rStyle w:val="Ttulodellibro"/>
          <w:rFonts w:eastAsiaTheme="majorEastAsia" w:cs="Arial"/>
          <w:b/>
          <w:smallCaps w:val="0"/>
          <w:color w:val="002060"/>
          <w:sz w:val="28"/>
          <w:szCs w:val="28"/>
          <w:lang w:val="es-ES"/>
        </w:rPr>
        <w:t xml:space="preserve"> 928 -Organismo de Investigación Judicial</w:t>
      </w:r>
      <w:bookmarkEnd w:id="23"/>
    </w:p>
    <w:p w14:paraId="08925115" w14:textId="5F34FCE1" w:rsidR="000D5481" w:rsidRPr="00F56A61" w:rsidRDefault="000D5481" w:rsidP="00BE5AA1">
      <w:pPr>
        <w:pStyle w:val="Ttulo2"/>
        <w:keepLines/>
        <w:numPr>
          <w:ilvl w:val="1"/>
          <w:numId w:val="15"/>
        </w:numPr>
        <w:spacing w:before="360" w:line="259" w:lineRule="auto"/>
        <w:ind w:left="284" w:hanging="284"/>
        <w:jc w:val="both"/>
        <w:rPr>
          <w:rFonts w:ascii="Arial" w:hAnsi="Arial" w:cs="Arial"/>
          <w:iCs/>
          <w:smallCaps/>
          <w:color w:val="002060"/>
          <w:spacing w:val="15"/>
          <w:sz w:val="22"/>
        </w:rPr>
      </w:pPr>
      <w:bookmarkStart w:id="24" w:name="_Toc93420475"/>
      <w:r w:rsidRPr="00F56A61">
        <w:rPr>
          <w:rFonts w:ascii="Arial" w:hAnsi="Arial" w:cs="Arial"/>
          <w:iCs/>
          <w:color w:val="002060"/>
          <w:spacing w:val="15"/>
          <w:sz w:val="22"/>
        </w:rPr>
        <w:t>Ejecución del Presupuesto 202</w:t>
      </w:r>
      <w:r w:rsidR="001A0226">
        <w:rPr>
          <w:rFonts w:ascii="Arial" w:hAnsi="Arial" w:cs="Arial"/>
          <w:iCs/>
          <w:color w:val="002060"/>
          <w:spacing w:val="15"/>
          <w:sz w:val="22"/>
        </w:rPr>
        <w:t>1</w:t>
      </w:r>
      <w:r w:rsidRPr="00F56A61">
        <w:rPr>
          <w:rFonts w:ascii="Arial" w:hAnsi="Arial" w:cs="Arial"/>
          <w:iCs/>
          <w:color w:val="002060"/>
          <w:spacing w:val="15"/>
          <w:sz w:val="22"/>
        </w:rPr>
        <w:t xml:space="preserve"> asociado a recursos internos</w:t>
      </w:r>
      <w:bookmarkEnd w:id="24"/>
    </w:p>
    <w:p w14:paraId="3100CCFA" w14:textId="77777777" w:rsidR="00F85A5B" w:rsidRDefault="00F85A5B" w:rsidP="0097694E">
      <w:pPr>
        <w:spacing w:before="240"/>
        <w:jc w:val="center"/>
        <w:rPr>
          <w:rFonts w:ascii="Arial" w:eastAsiaTheme="minorEastAsia" w:hAnsi="Arial" w:cs="Arial"/>
          <w:b/>
          <w:sz w:val="20"/>
          <w:szCs w:val="20"/>
          <w:lang w:val="es-ES_tradnl"/>
        </w:rPr>
      </w:pPr>
    </w:p>
    <w:p w14:paraId="3E4AEE53" w14:textId="158F5709" w:rsidR="00756C6A" w:rsidRPr="00AE3D7B" w:rsidRDefault="00756C6A" w:rsidP="00756C6A">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14</w:t>
      </w:r>
      <w:r w:rsidRPr="00AE3D7B">
        <w:rPr>
          <w:rFonts w:ascii="Arial" w:hAnsi="Arial" w:cs="Arial"/>
          <w:b/>
          <w:bCs/>
          <w:i w:val="0"/>
          <w:iCs w:val="0"/>
          <w:color w:val="auto"/>
          <w:sz w:val="20"/>
          <w:szCs w:val="20"/>
        </w:rPr>
        <w:fldChar w:fldCharType="end"/>
      </w:r>
    </w:p>
    <w:p w14:paraId="5840DAF0" w14:textId="5BA5B906" w:rsidR="0097694E" w:rsidRPr="0097694E" w:rsidRDefault="0097694E" w:rsidP="0097694E">
      <w:pPr>
        <w:spacing w:before="240"/>
        <w:jc w:val="center"/>
        <w:rPr>
          <w:rFonts w:ascii="Arial" w:eastAsiaTheme="minorEastAsia" w:hAnsi="Arial" w:cs="Arial"/>
          <w:b/>
          <w:sz w:val="20"/>
          <w:szCs w:val="20"/>
          <w:lang w:val="es-ES_tradnl"/>
        </w:rPr>
      </w:pPr>
      <w:r w:rsidRPr="0097694E">
        <w:rPr>
          <w:rFonts w:ascii="Arial" w:eastAsiaTheme="minorEastAsia" w:hAnsi="Arial" w:cs="Arial"/>
          <w:b/>
          <w:sz w:val="20"/>
          <w:szCs w:val="20"/>
          <w:lang w:val="es-ES_tradnl"/>
        </w:rPr>
        <w:t xml:space="preserve"> Ejecución financiera institucional por clasificación objeto del gasto</w:t>
      </w:r>
    </w:p>
    <w:p w14:paraId="4B1C0C04" w14:textId="1D53AE01" w:rsidR="0097694E" w:rsidRPr="0097694E" w:rsidRDefault="0097694E" w:rsidP="0097694E">
      <w:pPr>
        <w:jc w:val="center"/>
        <w:rPr>
          <w:rFonts w:ascii="Arial" w:eastAsiaTheme="minorEastAsia" w:hAnsi="Arial" w:cs="Arial"/>
          <w:sz w:val="20"/>
          <w:szCs w:val="20"/>
          <w:lang w:val="es-ES_tradnl"/>
        </w:rPr>
      </w:pPr>
      <w:r w:rsidRPr="0097694E">
        <w:rPr>
          <w:rFonts w:ascii="Arial" w:eastAsiaTheme="minorEastAsia" w:hAnsi="Arial" w:cs="Arial"/>
          <w:sz w:val="20"/>
          <w:szCs w:val="20"/>
          <w:lang w:val="es-ES_tradnl"/>
        </w:rPr>
        <w:t xml:space="preserve">Programa </w:t>
      </w:r>
      <w:r w:rsidR="00757C7A">
        <w:rPr>
          <w:rFonts w:ascii="Arial" w:eastAsiaTheme="minorEastAsia" w:hAnsi="Arial" w:cs="Arial"/>
          <w:sz w:val="20"/>
          <w:szCs w:val="20"/>
          <w:lang w:val="es-ES_tradnl"/>
        </w:rPr>
        <w:t>928</w:t>
      </w:r>
      <w:r w:rsidRPr="0097694E">
        <w:rPr>
          <w:rFonts w:ascii="Arial" w:eastAsiaTheme="minorEastAsia" w:hAnsi="Arial" w:cs="Arial"/>
          <w:sz w:val="20"/>
          <w:szCs w:val="20"/>
          <w:lang w:val="es-ES_tradnl"/>
        </w:rPr>
        <w:t xml:space="preserve"> Organismo de Investigación Judicial</w:t>
      </w:r>
    </w:p>
    <w:p w14:paraId="0E05E5B3" w14:textId="77777777" w:rsidR="0097694E" w:rsidRPr="0097694E" w:rsidRDefault="0097694E" w:rsidP="0097694E">
      <w:pPr>
        <w:jc w:val="center"/>
        <w:rPr>
          <w:rFonts w:ascii="Arial" w:eastAsiaTheme="minorEastAsia" w:hAnsi="Arial" w:cs="Arial"/>
          <w:sz w:val="20"/>
          <w:szCs w:val="20"/>
          <w:lang w:val="es-ES_tradnl"/>
        </w:rPr>
      </w:pPr>
      <w:r w:rsidRPr="0097694E">
        <w:rPr>
          <w:rFonts w:ascii="Arial" w:eastAsiaTheme="minorEastAsia" w:hAnsi="Arial" w:cs="Arial"/>
          <w:sz w:val="20"/>
          <w:szCs w:val="20"/>
          <w:lang w:val="es-ES_tradnl"/>
        </w:rPr>
        <w:t>Al 31 de diciembre 2021</w:t>
      </w:r>
    </w:p>
    <w:p w14:paraId="1349BB41" w14:textId="77777777" w:rsidR="0097694E" w:rsidRPr="0097694E" w:rsidRDefault="0097694E" w:rsidP="0097694E">
      <w:pPr>
        <w:jc w:val="center"/>
        <w:rPr>
          <w:rFonts w:ascii="Arial" w:eastAsiaTheme="minorEastAsia" w:hAnsi="Arial" w:cs="Arial"/>
          <w:i/>
          <w:sz w:val="20"/>
          <w:szCs w:val="20"/>
          <w:lang w:val="es-ES_tradnl"/>
        </w:rPr>
      </w:pPr>
      <w:r w:rsidRPr="0097694E">
        <w:rPr>
          <w:rFonts w:ascii="Arial" w:eastAsiaTheme="minorEastAsia" w:hAnsi="Arial" w:cs="Arial"/>
          <w:i/>
          <w:sz w:val="20"/>
          <w:szCs w:val="20"/>
          <w:lang w:val="es-ES_tradnl"/>
        </w:rPr>
        <w:t>(en millones de colones)</w:t>
      </w:r>
    </w:p>
    <w:tbl>
      <w:tblPr>
        <w:tblStyle w:val="Listaclara-nfasis110"/>
        <w:tblW w:w="5000" w:type="pct"/>
        <w:tblLook w:val="00A0" w:firstRow="1" w:lastRow="0" w:firstColumn="1" w:lastColumn="0" w:noHBand="0" w:noVBand="0"/>
      </w:tblPr>
      <w:tblGrid>
        <w:gridCol w:w="3316"/>
        <w:gridCol w:w="1941"/>
        <w:gridCol w:w="1941"/>
        <w:gridCol w:w="1286"/>
      </w:tblGrid>
      <w:tr w:rsidR="0097694E" w:rsidRPr="0097694E" w14:paraId="7A04A4C0" w14:textId="77777777" w:rsidTr="00465D5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954" w:type="pct"/>
            <w:vAlign w:val="center"/>
            <w:hideMark/>
          </w:tcPr>
          <w:p w14:paraId="0EA15B12" w14:textId="77777777" w:rsidR="0097694E" w:rsidRPr="0097694E" w:rsidRDefault="0097694E" w:rsidP="0097694E">
            <w:pPr>
              <w:jc w:val="center"/>
              <w:rPr>
                <w:rFonts w:ascii="Arial" w:hAnsi="Arial" w:cs="Arial"/>
                <w:b w:val="0"/>
                <w:color w:val="FFFFFF"/>
                <w:sz w:val="20"/>
                <w:szCs w:val="20"/>
                <w:lang w:val="es-CR" w:eastAsia="es-CR"/>
              </w:rPr>
            </w:pPr>
            <w:r w:rsidRPr="0097694E">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144" w:type="pct"/>
            <w:vAlign w:val="center"/>
            <w:hideMark/>
          </w:tcPr>
          <w:p w14:paraId="5F2F8CB1" w14:textId="77777777" w:rsidR="0097694E" w:rsidRPr="0097694E" w:rsidRDefault="0097694E" w:rsidP="0097694E">
            <w:pPr>
              <w:jc w:val="center"/>
              <w:rPr>
                <w:rFonts w:ascii="Arial" w:hAnsi="Arial" w:cs="Arial"/>
                <w:b w:val="0"/>
                <w:color w:val="FFFFFF"/>
                <w:sz w:val="20"/>
                <w:szCs w:val="20"/>
                <w:lang w:val="es-CR" w:eastAsia="es-CR"/>
              </w:rPr>
            </w:pPr>
            <w:r w:rsidRPr="0097694E">
              <w:rPr>
                <w:rFonts w:ascii="Arial" w:hAnsi="Arial" w:cs="Arial"/>
                <w:color w:val="FFFFFF"/>
                <w:sz w:val="20"/>
                <w:szCs w:val="20"/>
                <w:lang w:val="es-CR" w:eastAsia="es-CR"/>
              </w:rPr>
              <w:t>Presupuesto actual</w:t>
            </w:r>
            <w:r w:rsidRPr="0097694E">
              <w:rPr>
                <w:rFonts w:ascii="Arial" w:hAnsi="Arial" w:cs="Arial"/>
                <w:color w:val="FFFFFF"/>
                <w:sz w:val="20"/>
                <w:szCs w:val="20"/>
                <w:vertAlign w:val="superscript"/>
                <w:lang w:val="es-CR" w:eastAsia="es-CR"/>
              </w:rPr>
              <w:t>/1</w:t>
            </w:r>
            <w:r w:rsidRPr="0097694E">
              <w:rPr>
                <w:rFonts w:ascii="Arial" w:hAnsi="Arial" w:cs="Arial"/>
                <w:color w:val="FFFFFF"/>
                <w:sz w:val="20"/>
                <w:szCs w:val="20"/>
                <w:lang w:val="es-CR" w:eastAsia="es-CR"/>
              </w:rPr>
              <w:t xml:space="preserve"> 2021</w:t>
            </w:r>
          </w:p>
        </w:tc>
        <w:tc>
          <w:tcPr>
            <w:tcW w:w="1144" w:type="pct"/>
            <w:vAlign w:val="center"/>
            <w:hideMark/>
          </w:tcPr>
          <w:p w14:paraId="3E354342" w14:textId="77777777" w:rsidR="0097694E" w:rsidRPr="0097694E" w:rsidRDefault="0097694E" w:rsidP="009769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97694E">
              <w:rPr>
                <w:rFonts w:ascii="Arial" w:hAnsi="Arial" w:cs="Arial"/>
                <w:color w:val="FFFFFF"/>
                <w:sz w:val="20"/>
                <w:szCs w:val="20"/>
                <w:lang w:val="es-CR" w:eastAsia="es-CR"/>
              </w:rPr>
              <w:t>Presupuesto ejecutado</w:t>
            </w:r>
            <w:r w:rsidRPr="0097694E">
              <w:rPr>
                <w:rFonts w:ascii="Arial" w:hAnsi="Arial" w:cs="Arial"/>
                <w:color w:val="FFFFFF"/>
                <w:sz w:val="20"/>
                <w:szCs w:val="20"/>
                <w:vertAlign w:val="superscript"/>
                <w:lang w:val="es-CR" w:eastAsia="es-CR"/>
              </w:rPr>
              <w:t>/2</w:t>
            </w:r>
            <w:r w:rsidRPr="0097694E">
              <w:rPr>
                <w:rFonts w:ascii="Arial" w:hAnsi="Arial" w:cs="Arial"/>
                <w:color w:val="FFFFFF"/>
                <w:sz w:val="20"/>
                <w:szCs w:val="20"/>
                <w:lang w:val="es-CR" w:eastAsia="es-CR"/>
              </w:rPr>
              <w:t xml:space="preserve"> 2021</w:t>
            </w:r>
          </w:p>
        </w:tc>
        <w:tc>
          <w:tcPr>
            <w:cnfStyle w:val="000010000000" w:firstRow="0" w:lastRow="0" w:firstColumn="0" w:lastColumn="0" w:oddVBand="1" w:evenVBand="0" w:oddHBand="0" w:evenHBand="0" w:firstRowFirstColumn="0" w:firstRowLastColumn="0" w:lastRowFirstColumn="0" w:lastRowLastColumn="0"/>
            <w:tcW w:w="758" w:type="pct"/>
            <w:vAlign w:val="center"/>
            <w:hideMark/>
          </w:tcPr>
          <w:p w14:paraId="1C621677" w14:textId="77777777" w:rsidR="0097694E" w:rsidRPr="0097694E" w:rsidRDefault="0097694E" w:rsidP="0097694E">
            <w:pPr>
              <w:jc w:val="center"/>
              <w:rPr>
                <w:rFonts w:ascii="Arial" w:hAnsi="Arial" w:cs="Arial"/>
                <w:b w:val="0"/>
                <w:color w:val="FFFFFF"/>
                <w:sz w:val="20"/>
                <w:szCs w:val="20"/>
                <w:lang w:val="es-CR" w:eastAsia="es-CR"/>
              </w:rPr>
            </w:pPr>
            <w:r w:rsidRPr="0097694E">
              <w:rPr>
                <w:rFonts w:ascii="Arial" w:hAnsi="Arial" w:cs="Arial"/>
                <w:color w:val="FFFFFF"/>
                <w:sz w:val="20"/>
                <w:szCs w:val="20"/>
                <w:lang w:val="es-CR" w:eastAsia="es-CR"/>
              </w:rPr>
              <w:t>Nivel de ejecución</w:t>
            </w:r>
          </w:p>
        </w:tc>
      </w:tr>
      <w:tr w:rsidR="0097694E" w:rsidRPr="0097694E" w14:paraId="15FAB456" w14:textId="77777777" w:rsidTr="00465D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F314B92" w14:textId="77777777" w:rsidR="0097694E" w:rsidRPr="0097694E" w:rsidRDefault="0097694E" w:rsidP="0097694E">
            <w:pPr>
              <w:rPr>
                <w:rFonts w:ascii="Arial" w:hAnsi="Arial" w:cs="Arial"/>
                <w:sz w:val="20"/>
                <w:szCs w:val="20"/>
                <w:lang w:val="es-CR" w:eastAsia="es-CR"/>
              </w:rPr>
            </w:pPr>
            <w:r w:rsidRPr="0097694E">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412CD038" w14:textId="77777777" w:rsidR="0097694E" w:rsidRPr="0097694E" w:rsidRDefault="0097694E" w:rsidP="0097694E">
            <w:pPr>
              <w:jc w:val="right"/>
              <w:rPr>
                <w:rFonts w:ascii="Arial" w:hAnsi="Arial" w:cs="Arial"/>
                <w:b/>
                <w:bCs/>
                <w:sz w:val="20"/>
                <w:szCs w:val="20"/>
                <w:lang w:val="es-CR" w:eastAsia="es-CR"/>
              </w:rPr>
            </w:pPr>
            <w:r w:rsidRPr="0097694E">
              <w:rPr>
                <w:rFonts w:ascii="Arial" w:hAnsi="Arial" w:cs="Arial"/>
                <w:b/>
                <w:bCs/>
                <w:sz w:val="20"/>
                <w:szCs w:val="20"/>
                <w:lang w:val="es-CR" w:eastAsia="es-CR"/>
              </w:rPr>
              <w:t>98.382,91</w:t>
            </w:r>
          </w:p>
        </w:tc>
        <w:tc>
          <w:tcPr>
            <w:tcW w:w="1144" w:type="pct"/>
            <w:noWrap/>
            <w:vAlign w:val="center"/>
          </w:tcPr>
          <w:p w14:paraId="6F3CC650" w14:textId="77777777" w:rsidR="0097694E" w:rsidRPr="0097694E"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97694E">
              <w:rPr>
                <w:rFonts w:ascii="Arial" w:hAnsi="Arial" w:cs="Arial"/>
                <w:b/>
                <w:bCs/>
                <w:sz w:val="20"/>
                <w:szCs w:val="20"/>
                <w:lang w:val="es-CR" w:eastAsia="es-CR"/>
              </w:rPr>
              <w:t>94.417,28</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990E054" w14:textId="77777777" w:rsidR="0097694E" w:rsidRPr="0097694E" w:rsidRDefault="0097694E" w:rsidP="0097694E">
            <w:pPr>
              <w:jc w:val="right"/>
              <w:rPr>
                <w:rFonts w:ascii="Arial" w:hAnsi="Arial" w:cs="Arial"/>
                <w:b/>
                <w:bCs/>
                <w:sz w:val="20"/>
                <w:szCs w:val="20"/>
                <w:lang w:val="es-CR" w:eastAsia="es-CR"/>
              </w:rPr>
            </w:pPr>
            <w:r w:rsidRPr="0097694E">
              <w:rPr>
                <w:rFonts w:ascii="Arial" w:hAnsi="Arial" w:cs="Arial"/>
                <w:b/>
                <w:bCs/>
                <w:sz w:val="20"/>
                <w:szCs w:val="20"/>
                <w:lang w:val="es-CR" w:eastAsia="es-CR"/>
              </w:rPr>
              <w:t>95,96%</w:t>
            </w:r>
          </w:p>
        </w:tc>
      </w:tr>
      <w:tr w:rsidR="0097694E" w:rsidRPr="0097694E" w14:paraId="5B05EE3E" w14:textId="77777777" w:rsidTr="00465D52">
        <w:trPr>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4DE4F519" w14:textId="77777777" w:rsidR="0097694E" w:rsidRPr="0097694E" w:rsidRDefault="0097694E" w:rsidP="0097694E">
            <w:pPr>
              <w:rPr>
                <w:rFonts w:ascii="Arial" w:hAnsi="Arial" w:cs="Arial"/>
                <w:b w:val="0"/>
                <w:sz w:val="20"/>
                <w:szCs w:val="20"/>
                <w:lang w:val="es-CR" w:eastAsia="es-CR"/>
              </w:rPr>
            </w:pPr>
            <w:r w:rsidRPr="0097694E">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639BA037"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lang w:val="es-CR" w:eastAsia="es-CR"/>
              </w:rPr>
              <w:t>-</w:t>
            </w:r>
          </w:p>
        </w:tc>
        <w:tc>
          <w:tcPr>
            <w:tcW w:w="1144" w:type="pct"/>
            <w:noWrap/>
            <w:vAlign w:val="center"/>
          </w:tcPr>
          <w:p w14:paraId="645E398A" w14:textId="77777777" w:rsidR="0097694E" w:rsidRPr="0097694E" w:rsidRDefault="0097694E" w:rsidP="0097694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DD261FD"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lang w:val="es-CR" w:eastAsia="es-CR"/>
              </w:rPr>
              <w:t>-</w:t>
            </w:r>
          </w:p>
        </w:tc>
      </w:tr>
      <w:tr w:rsidR="0097694E" w:rsidRPr="0097694E" w14:paraId="724D18DC"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D91975E" w14:textId="77777777" w:rsidR="0097694E" w:rsidRPr="0097694E" w:rsidRDefault="0097694E" w:rsidP="0097694E">
            <w:pPr>
              <w:rPr>
                <w:rFonts w:ascii="Arial" w:hAnsi="Arial" w:cs="Arial"/>
                <w:sz w:val="20"/>
                <w:szCs w:val="20"/>
                <w:lang w:val="es-CR" w:eastAsia="es-CR"/>
              </w:rPr>
            </w:pPr>
            <w:r w:rsidRPr="0097694E">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2568B8A2" w14:textId="77777777" w:rsidR="0097694E" w:rsidRPr="00D0574A" w:rsidRDefault="0097694E" w:rsidP="0097694E">
            <w:pPr>
              <w:jc w:val="right"/>
              <w:rPr>
                <w:rFonts w:ascii="Arial" w:hAnsi="Arial" w:cs="Arial"/>
                <w:b/>
                <w:bCs/>
                <w:sz w:val="20"/>
                <w:szCs w:val="20"/>
                <w:lang w:val="es-CR" w:eastAsia="es-CR"/>
              </w:rPr>
            </w:pPr>
            <w:r w:rsidRPr="00D0574A">
              <w:rPr>
                <w:rFonts w:ascii="Arial" w:hAnsi="Arial" w:cs="Arial"/>
                <w:b/>
                <w:bCs/>
                <w:sz w:val="20"/>
                <w:szCs w:val="20"/>
                <w:lang w:val="es-CR" w:eastAsia="es-CR"/>
              </w:rPr>
              <w:t>98.382,91</w:t>
            </w:r>
          </w:p>
        </w:tc>
        <w:tc>
          <w:tcPr>
            <w:tcW w:w="1144" w:type="pct"/>
            <w:noWrap/>
            <w:vAlign w:val="center"/>
          </w:tcPr>
          <w:p w14:paraId="3D7FDD44" w14:textId="77777777" w:rsidR="0097694E" w:rsidRPr="00D0574A"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D0574A">
              <w:rPr>
                <w:rFonts w:ascii="Arial" w:hAnsi="Arial" w:cs="Arial"/>
                <w:b/>
                <w:bCs/>
                <w:sz w:val="20"/>
                <w:szCs w:val="20"/>
                <w:lang w:val="es-CR" w:eastAsia="es-CR"/>
              </w:rPr>
              <w:t>94.417,28</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6D585F4E" w14:textId="77777777" w:rsidR="0097694E" w:rsidRPr="00D0574A" w:rsidRDefault="0097694E" w:rsidP="0097694E">
            <w:pPr>
              <w:jc w:val="right"/>
              <w:rPr>
                <w:rFonts w:ascii="Arial" w:hAnsi="Arial" w:cs="Arial"/>
                <w:b/>
                <w:bCs/>
                <w:sz w:val="20"/>
                <w:szCs w:val="20"/>
                <w:lang w:val="es-CR" w:eastAsia="es-CR"/>
              </w:rPr>
            </w:pPr>
            <w:r w:rsidRPr="00D0574A">
              <w:rPr>
                <w:rFonts w:ascii="Arial" w:hAnsi="Arial" w:cs="Arial"/>
                <w:b/>
                <w:bCs/>
                <w:sz w:val="20"/>
                <w:szCs w:val="20"/>
                <w:lang w:val="es-CR" w:eastAsia="es-CR"/>
              </w:rPr>
              <w:t>95,96%</w:t>
            </w:r>
          </w:p>
        </w:tc>
      </w:tr>
      <w:tr w:rsidR="0097694E" w:rsidRPr="0097694E" w14:paraId="4E3220A4"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2BFB4EC"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5F8C8518"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77.533,88</w:t>
            </w:r>
          </w:p>
        </w:tc>
        <w:tc>
          <w:tcPr>
            <w:tcW w:w="1144" w:type="pct"/>
            <w:noWrap/>
            <w:hideMark/>
          </w:tcPr>
          <w:p w14:paraId="2CDACEE0" w14:textId="77777777" w:rsidR="0097694E" w:rsidRPr="0097694E" w:rsidRDefault="0097694E" w:rsidP="0097694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77.164,28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613F2317"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99,52%</w:t>
            </w:r>
          </w:p>
        </w:tc>
      </w:tr>
      <w:tr w:rsidR="0097694E" w:rsidRPr="0097694E" w14:paraId="5B872C74"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41B1402"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4DDB8829"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6.992,19</w:t>
            </w:r>
          </w:p>
        </w:tc>
        <w:tc>
          <w:tcPr>
            <w:tcW w:w="1144" w:type="pct"/>
            <w:noWrap/>
            <w:hideMark/>
          </w:tcPr>
          <w:p w14:paraId="7A037B69" w14:textId="77777777" w:rsidR="0097694E" w:rsidRPr="0097694E"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6.159,72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2A26846"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88,09%</w:t>
            </w:r>
          </w:p>
        </w:tc>
      </w:tr>
      <w:tr w:rsidR="0097694E" w:rsidRPr="0097694E" w14:paraId="43CF1E70"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BC1550D"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72E8B7AD"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4.090,82 </w:t>
            </w:r>
          </w:p>
        </w:tc>
        <w:tc>
          <w:tcPr>
            <w:tcW w:w="1144" w:type="pct"/>
            <w:noWrap/>
            <w:hideMark/>
          </w:tcPr>
          <w:p w14:paraId="64DB4DAC" w14:textId="77777777" w:rsidR="0097694E" w:rsidRPr="0097694E" w:rsidRDefault="0097694E" w:rsidP="0097694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3.479,07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C3FB9FE"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85,05%</w:t>
            </w:r>
          </w:p>
        </w:tc>
      </w:tr>
      <w:tr w:rsidR="0097694E" w:rsidRPr="0097694E" w14:paraId="3612B4B2"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BCF8E5E"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6495AAA0"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w:t>
            </w:r>
          </w:p>
        </w:tc>
        <w:tc>
          <w:tcPr>
            <w:tcW w:w="1144" w:type="pct"/>
            <w:noWrap/>
            <w:hideMark/>
          </w:tcPr>
          <w:p w14:paraId="5CBFAD57" w14:textId="77777777" w:rsidR="0097694E" w:rsidRPr="0097694E"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069CE0E"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w:t>
            </w:r>
          </w:p>
        </w:tc>
      </w:tr>
      <w:tr w:rsidR="0097694E" w:rsidRPr="0097694E" w14:paraId="1A8973AE"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6AAE0B1"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647A997A"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   </w:t>
            </w:r>
          </w:p>
        </w:tc>
        <w:tc>
          <w:tcPr>
            <w:tcW w:w="1144" w:type="pct"/>
            <w:noWrap/>
            <w:hideMark/>
          </w:tcPr>
          <w:p w14:paraId="4E5EB97B" w14:textId="77777777" w:rsidR="0097694E" w:rsidRPr="0097694E" w:rsidRDefault="0097694E" w:rsidP="0097694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22FE8D8F"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w:t>
            </w:r>
          </w:p>
        </w:tc>
      </w:tr>
      <w:tr w:rsidR="0097694E" w:rsidRPr="0097694E" w14:paraId="3EA0CB63"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6278DB0"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56736A9C"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7.150,38 </w:t>
            </w:r>
          </w:p>
        </w:tc>
        <w:tc>
          <w:tcPr>
            <w:tcW w:w="1144" w:type="pct"/>
            <w:noWrap/>
            <w:hideMark/>
          </w:tcPr>
          <w:p w14:paraId="24CDBC10" w14:textId="77777777" w:rsidR="0097694E" w:rsidRPr="0097694E"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5.033,98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3B4800B"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70,40%</w:t>
            </w:r>
          </w:p>
        </w:tc>
      </w:tr>
      <w:tr w:rsidR="0097694E" w:rsidRPr="0097694E" w14:paraId="561F039D"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9A760F1"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653EDE6E"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1.146,50 </w:t>
            </w:r>
          </w:p>
        </w:tc>
        <w:tc>
          <w:tcPr>
            <w:tcW w:w="1144" w:type="pct"/>
            <w:noWrap/>
            <w:hideMark/>
          </w:tcPr>
          <w:p w14:paraId="37E81CD8" w14:textId="77777777" w:rsidR="0097694E" w:rsidRPr="0097694E" w:rsidRDefault="0097694E" w:rsidP="0097694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1.111,10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EA7601C"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96,91%</w:t>
            </w:r>
          </w:p>
        </w:tc>
      </w:tr>
      <w:tr w:rsidR="0097694E" w:rsidRPr="0097694E" w14:paraId="102CFB50"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EDA7805"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1E3B5DCA"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1.349,91 </w:t>
            </w:r>
          </w:p>
        </w:tc>
        <w:tc>
          <w:tcPr>
            <w:tcW w:w="1144" w:type="pct"/>
            <w:noWrap/>
            <w:hideMark/>
          </w:tcPr>
          <w:p w14:paraId="6689DF87" w14:textId="77777777" w:rsidR="0097694E" w:rsidRPr="0097694E"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1.349,91</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2513361"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100%</w:t>
            </w:r>
          </w:p>
        </w:tc>
      </w:tr>
      <w:tr w:rsidR="0097694E" w:rsidRPr="0097694E" w14:paraId="0C4F7601"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8B1F532"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4E183D6E"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 </w:t>
            </w:r>
          </w:p>
        </w:tc>
        <w:tc>
          <w:tcPr>
            <w:tcW w:w="1144" w:type="pct"/>
            <w:noWrap/>
            <w:hideMark/>
          </w:tcPr>
          <w:p w14:paraId="12F97CA1" w14:textId="77777777" w:rsidR="0097694E" w:rsidRPr="0097694E" w:rsidRDefault="0097694E" w:rsidP="0097694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82EF3E6"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w:t>
            </w:r>
          </w:p>
        </w:tc>
      </w:tr>
      <w:tr w:rsidR="0097694E" w:rsidRPr="0097694E" w14:paraId="21424074"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5F6EC7B9" w14:textId="77777777" w:rsidR="0097694E" w:rsidRPr="0097694E" w:rsidRDefault="0097694E" w:rsidP="0097694E">
            <w:pPr>
              <w:rPr>
                <w:rFonts w:ascii="Arial" w:hAnsi="Arial" w:cs="Arial"/>
                <w:b w:val="0"/>
                <w:color w:val="000000"/>
                <w:sz w:val="20"/>
                <w:szCs w:val="20"/>
                <w:lang w:val="es-CR" w:eastAsia="es-CR"/>
              </w:rPr>
            </w:pPr>
            <w:r w:rsidRPr="0097694E">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37F0E95C"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 xml:space="preserve">                 119,20  </w:t>
            </w:r>
          </w:p>
        </w:tc>
        <w:tc>
          <w:tcPr>
            <w:tcW w:w="1144" w:type="pct"/>
            <w:noWrap/>
            <w:vAlign w:val="center"/>
            <w:hideMark/>
          </w:tcPr>
          <w:p w14:paraId="30355081" w14:textId="77777777" w:rsidR="0097694E" w:rsidRPr="0097694E" w:rsidRDefault="0097694E" w:rsidP="0097694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97694E">
              <w:rPr>
                <w:rFonts w:ascii="Arial" w:hAnsi="Arial" w:cs="Arial"/>
                <w:sz w:val="20"/>
                <w:szCs w:val="20"/>
              </w:rPr>
              <w:t xml:space="preserve">119,20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85E35CA" w14:textId="77777777" w:rsidR="0097694E" w:rsidRPr="0097694E" w:rsidRDefault="0097694E" w:rsidP="0097694E">
            <w:pPr>
              <w:jc w:val="right"/>
              <w:rPr>
                <w:rFonts w:ascii="Arial" w:hAnsi="Arial" w:cs="Arial"/>
                <w:sz w:val="20"/>
                <w:szCs w:val="20"/>
                <w:lang w:val="es-CR" w:eastAsia="es-CR"/>
              </w:rPr>
            </w:pPr>
            <w:r w:rsidRPr="0097694E">
              <w:rPr>
                <w:rFonts w:ascii="Arial" w:hAnsi="Arial" w:cs="Arial"/>
                <w:sz w:val="20"/>
                <w:szCs w:val="20"/>
              </w:rPr>
              <w:t>100%</w:t>
            </w:r>
          </w:p>
        </w:tc>
      </w:tr>
    </w:tbl>
    <w:p w14:paraId="05AF7338" w14:textId="77777777" w:rsidR="0097694E" w:rsidRPr="0097694E" w:rsidRDefault="0097694E" w:rsidP="0097694E">
      <w:pPr>
        <w:jc w:val="both"/>
        <w:rPr>
          <w:rFonts w:ascii="Arial" w:hAnsi="Arial" w:cs="Arial"/>
          <w:b/>
          <w:bCs/>
          <w:color w:val="000000"/>
          <w:sz w:val="16"/>
          <w:szCs w:val="20"/>
          <w:lang w:val="es-CR" w:eastAsia="es-CR"/>
        </w:rPr>
      </w:pPr>
      <w:r w:rsidRPr="0097694E">
        <w:rPr>
          <w:rFonts w:ascii="Arial" w:hAnsi="Arial" w:cs="Arial"/>
          <w:b/>
          <w:bCs/>
          <w:color w:val="000000"/>
          <w:sz w:val="16"/>
          <w:szCs w:val="20"/>
          <w:lang w:val="es-CR" w:eastAsia="es-CR"/>
        </w:rPr>
        <w:t>Fuente</w:t>
      </w:r>
      <w:r w:rsidRPr="0097694E">
        <w:rPr>
          <w:rFonts w:ascii="Arial" w:hAnsi="Arial" w:cs="Arial"/>
          <w:color w:val="000000"/>
          <w:sz w:val="16"/>
          <w:szCs w:val="20"/>
          <w:lang w:val="es-CR" w:eastAsia="es-CR"/>
        </w:rPr>
        <w:t xml:space="preserve">: Módulo de Poderes al </w:t>
      </w:r>
      <w:r w:rsidRPr="0097694E">
        <w:rPr>
          <w:rFonts w:ascii="Arial" w:hAnsi="Arial" w:cs="Arial"/>
          <w:sz w:val="16"/>
          <w:szCs w:val="20"/>
          <w:lang w:val="es-CR" w:eastAsia="es-CR"/>
        </w:rPr>
        <w:t>31-12-2021</w:t>
      </w:r>
    </w:p>
    <w:p w14:paraId="36E3CCFD" w14:textId="77777777" w:rsidR="0097694E" w:rsidRPr="0097694E" w:rsidRDefault="0097694E" w:rsidP="0097694E">
      <w:pPr>
        <w:jc w:val="both"/>
        <w:rPr>
          <w:rFonts w:ascii="Arial" w:hAnsi="Arial" w:cs="Arial"/>
          <w:b/>
          <w:bCs/>
          <w:color w:val="000000"/>
          <w:sz w:val="18"/>
          <w:szCs w:val="20"/>
          <w:lang w:val="es-CR" w:eastAsia="es-CR"/>
        </w:rPr>
      </w:pPr>
      <w:r w:rsidRPr="0097694E">
        <w:rPr>
          <w:rFonts w:ascii="Arial" w:hAnsi="Arial" w:cs="Arial"/>
          <w:color w:val="000000"/>
          <w:sz w:val="16"/>
          <w:szCs w:val="20"/>
          <w:lang w:val="es-CR" w:eastAsia="es-CR"/>
        </w:rPr>
        <w:t>/1 Corresponde al presupuesto inicial incluyendo las modificaciones presupuestarias realizadas durante el 2021.</w:t>
      </w:r>
    </w:p>
    <w:p w14:paraId="5C3BCEBD" w14:textId="77777777" w:rsidR="0097694E" w:rsidRPr="0097694E" w:rsidRDefault="0097694E" w:rsidP="0097694E">
      <w:pPr>
        <w:ind w:right="335"/>
        <w:jc w:val="both"/>
        <w:rPr>
          <w:rFonts w:ascii="Arial" w:hAnsi="Arial" w:cs="Arial"/>
          <w:color w:val="000000"/>
          <w:sz w:val="16"/>
          <w:szCs w:val="20"/>
          <w:lang w:val="es-CR" w:eastAsia="es-CR"/>
        </w:rPr>
      </w:pPr>
      <w:r w:rsidRPr="0097694E">
        <w:rPr>
          <w:rFonts w:ascii="Arial" w:hAnsi="Arial" w:cs="Arial"/>
          <w:color w:val="000000"/>
          <w:sz w:val="16"/>
          <w:szCs w:val="20"/>
          <w:lang w:val="es-CR" w:eastAsia="es-CR"/>
        </w:rPr>
        <w:t xml:space="preserve">/2 Se refiere al devengado, que es el reconocimiento del gasto por la recepción de bienes y servicios independientemente de cuando se efectúe el pago de la obligación. </w:t>
      </w:r>
    </w:p>
    <w:p w14:paraId="7D7717C6" w14:textId="77777777" w:rsidR="0097694E" w:rsidRPr="0097694E" w:rsidRDefault="0097694E" w:rsidP="0097694E">
      <w:pPr>
        <w:spacing w:after="160" w:line="259" w:lineRule="auto"/>
        <w:jc w:val="center"/>
        <w:rPr>
          <w:rFonts w:ascii="Arial" w:eastAsiaTheme="minorEastAsia" w:hAnsi="Arial" w:cs="Arial"/>
          <w:bCs/>
          <w:strike/>
          <w:sz w:val="20"/>
          <w:szCs w:val="20"/>
          <w:u w:val="single"/>
          <w:lang w:val="es-MX"/>
        </w:rPr>
      </w:pPr>
    </w:p>
    <w:p w14:paraId="5CD81571" w14:textId="77777777" w:rsidR="0097694E" w:rsidRPr="0097694E" w:rsidRDefault="0097694E" w:rsidP="0097694E">
      <w:pPr>
        <w:spacing w:after="160" w:line="360" w:lineRule="auto"/>
        <w:rPr>
          <w:rFonts w:ascii="Arial" w:eastAsiaTheme="minorEastAsia" w:hAnsi="Arial" w:cs="Arial"/>
          <w:bCs/>
          <w:sz w:val="20"/>
          <w:szCs w:val="20"/>
          <w:lang w:val="es-MX"/>
        </w:rPr>
      </w:pPr>
      <w:r w:rsidRPr="0097694E">
        <w:rPr>
          <w:rFonts w:ascii="Arial" w:eastAsiaTheme="minorEastAsia" w:hAnsi="Arial" w:cs="Arial"/>
          <w:bCs/>
          <w:sz w:val="20"/>
          <w:szCs w:val="20"/>
          <w:lang w:val="es-MX"/>
        </w:rPr>
        <w:t>El nivel de ejecución alcanzado para cada subpartida representó el esfuerzo que se ha venido realizando por mejorar los procesos de ejecución de presupuesto:</w:t>
      </w:r>
    </w:p>
    <w:p w14:paraId="68BB7C78" w14:textId="77777777" w:rsidR="0097694E" w:rsidRPr="0097694E" w:rsidRDefault="0097694E" w:rsidP="0097694E">
      <w:pPr>
        <w:spacing w:after="160" w:line="360" w:lineRule="auto"/>
        <w:rPr>
          <w:rFonts w:ascii="Arial" w:eastAsiaTheme="minorEastAsia" w:hAnsi="Arial" w:cs="Arial"/>
          <w:bCs/>
          <w:sz w:val="20"/>
          <w:szCs w:val="20"/>
          <w:lang w:val="es-MX"/>
        </w:rPr>
      </w:pPr>
      <w:r w:rsidRPr="0097694E">
        <w:rPr>
          <w:rFonts w:ascii="Arial" w:eastAsiaTheme="minorEastAsia" w:hAnsi="Arial" w:cs="Arial"/>
          <w:bCs/>
          <w:sz w:val="20"/>
          <w:szCs w:val="20"/>
          <w:lang w:val="es-MX"/>
        </w:rPr>
        <w:lastRenderedPageBreak/>
        <w:t>Partida 0: El nivel de ejecución fue bastante alto, lo que indica la adecuada administración de las plazas que conforman este Organismo.</w:t>
      </w:r>
    </w:p>
    <w:p w14:paraId="7BA3016D" w14:textId="70C6902D" w:rsidR="0097694E" w:rsidRPr="0097694E" w:rsidRDefault="0097694E" w:rsidP="0097694E">
      <w:pPr>
        <w:spacing w:after="160" w:line="360" w:lineRule="auto"/>
        <w:jc w:val="both"/>
        <w:rPr>
          <w:rFonts w:ascii="Arial" w:eastAsiaTheme="minorEastAsia" w:hAnsi="Arial" w:cs="Arial"/>
          <w:bCs/>
          <w:sz w:val="20"/>
          <w:szCs w:val="20"/>
          <w:lang w:val="es-MX"/>
        </w:rPr>
      </w:pPr>
      <w:r w:rsidRPr="0097694E">
        <w:rPr>
          <w:rFonts w:ascii="Arial" w:eastAsiaTheme="minorEastAsia" w:hAnsi="Arial" w:cs="Arial"/>
          <w:bCs/>
          <w:sz w:val="20"/>
          <w:szCs w:val="20"/>
          <w:lang w:val="es-MX"/>
        </w:rPr>
        <w:t xml:space="preserve">Partida 1: Como se ha indicado en diferentes ocasiones, esta partida está sujeta a contratos, viáticos y diversos mantenimientos que dependen de la dinámica de las oficinas, sin </w:t>
      </w:r>
      <w:r w:rsidR="004B030F" w:rsidRPr="0097694E">
        <w:rPr>
          <w:rFonts w:ascii="Arial" w:eastAsiaTheme="minorEastAsia" w:hAnsi="Arial" w:cs="Arial"/>
          <w:bCs/>
          <w:sz w:val="20"/>
          <w:szCs w:val="20"/>
          <w:lang w:val="es-MX"/>
        </w:rPr>
        <w:t>embargo,</w:t>
      </w:r>
      <w:r w:rsidRPr="0097694E">
        <w:rPr>
          <w:rFonts w:ascii="Arial" w:eastAsiaTheme="minorEastAsia" w:hAnsi="Arial" w:cs="Arial"/>
          <w:bCs/>
          <w:sz w:val="20"/>
          <w:szCs w:val="20"/>
          <w:lang w:val="es-MX"/>
        </w:rPr>
        <w:t xml:space="preserve"> se considera que el nivel de ejecución fue satisfactorio.</w:t>
      </w:r>
    </w:p>
    <w:p w14:paraId="377A99C6" w14:textId="77777777" w:rsidR="0097694E" w:rsidRPr="0097694E" w:rsidRDefault="0097694E" w:rsidP="0097694E">
      <w:pPr>
        <w:spacing w:after="160" w:line="360" w:lineRule="auto"/>
        <w:jc w:val="both"/>
        <w:rPr>
          <w:rFonts w:ascii="Arial" w:eastAsiaTheme="minorEastAsia" w:hAnsi="Arial" w:cs="Arial"/>
          <w:bCs/>
          <w:sz w:val="20"/>
          <w:szCs w:val="20"/>
          <w:lang w:val="es-MX"/>
        </w:rPr>
      </w:pPr>
      <w:r w:rsidRPr="0097694E">
        <w:rPr>
          <w:rFonts w:ascii="Arial" w:eastAsiaTheme="minorEastAsia" w:hAnsi="Arial" w:cs="Arial"/>
          <w:bCs/>
          <w:sz w:val="20"/>
          <w:szCs w:val="20"/>
          <w:lang w:val="es-MX"/>
        </w:rPr>
        <w:t>Partida 2:  Al igual que en partida 1, esta subpartida posee la característica de que está ligada a la rotación de inventarios y a las demandas que se presenten por diversas razones, el año 2021 particularmente al COVID el cual experimentó una baja importante.</w:t>
      </w:r>
    </w:p>
    <w:p w14:paraId="756A1F69" w14:textId="77777777" w:rsidR="0097694E" w:rsidRPr="0097694E" w:rsidRDefault="0097694E" w:rsidP="0097694E">
      <w:pPr>
        <w:spacing w:after="160" w:line="360" w:lineRule="auto"/>
        <w:jc w:val="both"/>
        <w:rPr>
          <w:rFonts w:ascii="Arial" w:eastAsiaTheme="minorEastAsia" w:hAnsi="Arial" w:cs="Arial"/>
          <w:bCs/>
          <w:sz w:val="20"/>
          <w:szCs w:val="20"/>
          <w:lang w:val="es-MX"/>
        </w:rPr>
      </w:pPr>
      <w:r w:rsidRPr="0097694E">
        <w:rPr>
          <w:rFonts w:ascii="Arial" w:eastAsiaTheme="minorEastAsia" w:hAnsi="Arial" w:cs="Arial"/>
          <w:bCs/>
          <w:sz w:val="20"/>
          <w:szCs w:val="20"/>
          <w:lang w:val="es-MX"/>
        </w:rPr>
        <w:t>Partida 5:  Normalmente los proyectos constructivos son de alto impacto lo que ocasiona que se presenten diferentes factores que pueden atrasarlo, como por ejemplo recursos de apelación, temas de permisos de construcción, que pueden afectar los tiempos.  Es importante rescatar que en su mayoría se tratan de iniciar un año antes, sin embargo, los períodos de ley son extensos a nivel de licitaciones.</w:t>
      </w:r>
    </w:p>
    <w:p w14:paraId="03440139" w14:textId="77777777" w:rsidR="0097694E" w:rsidRPr="0097694E" w:rsidRDefault="0097694E" w:rsidP="0097694E">
      <w:pPr>
        <w:spacing w:after="160" w:line="360" w:lineRule="auto"/>
        <w:jc w:val="both"/>
        <w:rPr>
          <w:rFonts w:ascii="Arial" w:eastAsiaTheme="minorEastAsia" w:hAnsi="Arial" w:cs="Arial"/>
          <w:bCs/>
          <w:sz w:val="20"/>
          <w:szCs w:val="20"/>
          <w:lang w:val="es-MX"/>
        </w:rPr>
      </w:pPr>
      <w:r w:rsidRPr="0097694E">
        <w:rPr>
          <w:rFonts w:ascii="Arial" w:eastAsiaTheme="minorEastAsia" w:hAnsi="Arial" w:cs="Arial"/>
          <w:bCs/>
          <w:sz w:val="20"/>
          <w:szCs w:val="20"/>
          <w:lang w:val="es-MX"/>
        </w:rPr>
        <w:t>Partida 6:  Las transferencias obtuvieron un importante nivel de ejecución, logrando la administración financiera adecuada.</w:t>
      </w:r>
    </w:p>
    <w:p w14:paraId="62EFA7C5" w14:textId="77777777" w:rsidR="0097694E" w:rsidRPr="0097694E" w:rsidRDefault="0097694E" w:rsidP="0097694E">
      <w:pPr>
        <w:spacing w:after="160" w:line="360" w:lineRule="auto"/>
        <w:jc w:val="both"/>
        <w:rPr>
          <w:rFonts w:ascii="Arial" w:eastAsiaTheme="minorEastAsia" w:hAnsi="Arial" w:cs="Arial"/>
          <w:bCs/>
          <w:sz w:val="20"/>
          <w:szCs w:val="20"/>
          <w:lang w:val="es-MX"/>
        </w:rPr>
      </w:pPr>
      <w:r w:rsidRPr="0097694E">
        <w:rPr>
          <w:rFonts w:ascii="Arial" w:eastAsiaTheme="minorEastAsia" w:hAnsi="Arial" w:cs="Arial"/>
          <w:bCs/>
          <w:sz w:val="20"/>
          <w:szCs w:val="20"/>
          <w:lang w:val="es-MX"/>
        </w:rPr>
        <w:t>Partida 7:  Los recursos incorporados fueron debidamente apartados para continuar con el fideicomiso.</w:t>
      </w:r>
    </w:p>
    <w:p w14:paraId="14CD1B19" w14:textId="7EEC9DCC" w:rsidR="000D5481" w:rsidRPr="00D0574A" w:rsidRDefault="0097694E" w:rsidP="00D0574A">
      <w:pPr>
        <w:spacing w:after="160" w:line="360" w:lineRule="auto"/>
        <w:jc w:val="both"/>
        <w:rPr>
          <w:rFonts w:ascii="Arial" w:eastAsiaTheme="minorEastAsia" w:hAnsi="Arial" w:cs="Arial"/>
          <w:bCs/>
          <w:sz w:val="20"/>
          <w:szCs w:val="20"/>
          <w:lang w:val="es-MX"/>
        </w:rPr>
      </w:pPr>
      <w:r w:rsidRPr="0097694E">
        <w:rPr>
          <w:rFonts w:ascii="Arial" w:eastAsiaTheme="minorEastAsia" w:hAnsi="Arial" w:cs="Arial"/>
          <w:bCs/>
          <w:sz w:val="20"/>
          <w:szCs w:val="20"/>
          <w:lang w:val="es-MX"/>
        </w:rPr>
        <w:t>Partida 9:  El nivel de ejecución fue de un 100% lo que demuestra una adecuada administración de los recursos.</w:t>
      </w:r>
    </w:p>
    <w:p w14:paraId="2843FE50" w14:textId="44C69CC6" w:rsidR="00742104" w:rsidRPr="00F85A5B" w:rsidRDefault="000D5481" w:rsidP="00BE5AA1">
      <w:pPr>
        <w:pStyle w:val="Ttulo2"/>
        <w:keepLines/>
        <w:numPr>
          <w:ilvl w:val="1"/>
          <w:numId w:val="15"/>
        </w:numPr>
        <w:spacing w:before="360" w:after="120" w:line="360" w:lineRule="auto"/>
        <w:ind w:left="284" w:hanging="284"/>
        <w:jc w:val="both"/>
        <w:rPr>
          <w:rStyle w:val="Ttulodellibro"/>
          <w:rFonts w:cs="Arial"/>
          <w:b/>
          <w:bCs/>
          <w:iCs/>
          <w:smallCaps w:val="0"/>
          <w:color w:val="002060"/>
          <w:spacing w:val="15"/>
          <w:sz w:val="22"/>
        </w:rPr>
      </w:pPr>
      <w:bookmarkStart w:id="25" w:name="_Toc93420476"/>
      <w:r w:rsidRPr="00722535">
        <w:rPr>
          <w:rFonts w:ascii="Arial" w:hAnsi="Arial" w:cs="Arial"/>
          <w:iCs/>
          <w:color w:val="002060"/>
          <w:spacing w:val="15"/>
          <w:sz w:val="22"/>
        </w:rPr>
        <w:t>Factores y acciones correctivas de la ejecución financiera</w:t>
      </w:r>
      <w:bookmarkEnd w:id="25"/>
      <w:r w:rsidRPr="00722535">
        <w:rPr>
          <w:rFonts w:ascii="Arial" w:hAnsi="Arial" w:cs="Arial"/>
          <w:iCs/>
          <w:color w:val="002060"/>
          <w:spacing w:val="15"/>
          <w:sz w:val="22"/>
        </w:rPr>
        <w:t xml:space="preserve"> </w:t>
      </w:r>
    </w:p>
    <w:p w14:paraId="31953A0C"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bCs/>
          <w:sz w:val="20"/>
          <w:szCs w:val="20"/>
          <w:lang w:val="es-CR"/>
        </w:rPr>
        <w:t xml:space="preserve">Impacto generado por la emergencia sanitaria por el Covid-19. </w:t>
      </w:r>
    </w:p>
    <w:p w14:paraId="44E09E20"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rPr>
      </w:pPr>
      <w:r w:rsidRPr="00757C7A">
        <w:rPr>
          <w:rFonts w:ascii="Arial" w:eastAsiaTheme="minorEastAsia" w:hAnsi="Arial" w:cs="Arial"/>
          <w:bCs/>
          <w:sz w:val="20"/>
          <w:szCs w:val="20"/>
        </w:rPr>
        <w:t xml:space="preserve">Aplicación de directrices presidenciales. </w:t>
      </w:r>
    </w:p>
    <w:p w14:paraId="781EFB34"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bCs/>
          <w:sz w:val="20"/>
          <w:szCs w:val="20"/>
          <w:lang w:val="es-CR"/>
        </w:rPr>
        <w:t>Lineamientos de los entes rectores de la administración financiera.</w:t>
      </w:r>
    </w:p>
    <w:p w14:paraId="5797E1F7"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sz w:val="20"/>
          <w:szCs w:val="20"/>
          <w:lang w:val="es-CR"/>
        </w:rPr>
        <w:t>Políticas administrativas institucionales que ocasionen cambios en la ejecución de recursos y generen ahorros o mayor gasto.</w:t>
      </w:r>
      <w:r w:rsidRPr="00757C7A" w:rsidDel="00DE0053">
        <w:rPr>
          <w:rFonts w:ascii="Arial" w:eastAsiaTheme="minorEastAsia" w:hAnsi="Arial" w:cs="Arial"/>
          <w:bCs/>
          <w:sz w:val="20"/>
          <w:szCs w:val="20"/>
          <w:lang w:val="es-CR"/>
        </w:rPr>
        <w:t xml:space="preserve"> </w:t>
      </w:r>
    </w:p>
    <w:p w14:paraId="78C4A61B"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bCs/>
          <w:sz w:val="20"/>
          <w:szCs w:val="20"/>
          <w:lang w:val="es-CR"/>
        </w:rPr>
        <w:t xml:space="preserve">Variación en la estimación de recursos. </w:t>
      </w:r>
    </w:p>
    <w:p w14:paraId="2B2550CC"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bCs/>
          <w:sz w:val="20"/>
          <w:szCs w:val="20"/>
          <w:lang w:val="es-CR"/>
        </w:rPr>
        <w:t>Problemas relacionados con los procesos de contratación administrativa.</w:t>
      </w:r>
    </w:p>
    <w:p w14:paraId="519966AB"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rPr>
      </w:pPr>
      <w:r w:rsidRPr="00757C7A">
        <w:rPr>
          <w:rFonts w:ascii="Arial" w:eastAsiaTheme="minorEastAsia" w:hAnsi="Arial" w:cs="Arial"/>
          <w:bCs/>
          <w:sz w:val="20"/>
          <w:szCs w:val="20"/>
        </w:rPr>
        <w:t>Liberación de cuota insuficiente.</w:t>
      </w:r>
    </w:p>
    <w:p w14:paraId="05048FAF"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bCs/>
          <w:sz w:val="20"/>
          <w:szCs w:val="20"/>
          <w:lang w:val="es-CR"/>
        </w:rPr>
        <w:t>Desviaciones entre lo planificado y lo ejecutado.</w:t>
      </w:r>
    </w:p>
    <w:p w14:paraId="1B08CCB9"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lang w:val="es-CR"/>
        </w:rPr>
      </w:pPr>
      <w:r w:rsidRPr="00757C7A">
        <w:rPr>
          <w:rFonts w:ascii="Arial" w:eastAsiaTheme="minorEastAsia" w:hAnsi="Arial" w:cs="Arial"/>
          <w:bCs/>
          <w:sz w:val="20"/>
          <w:szCs w:val="20"/>
          <w:lang w:val="es-CR"/>
        </w:rPr>
        <w:t>Normas de ejecución para el ejercicio presupuestario 2021.</w:t>
      </w:r>
    </w:p>
    <w:p w14:paraId="3BA285C3" w14:textId="77777777" w:rsidR="00757C7A" w:rsidRPr="00757C7A" w:rsidRDefault="00757C7A" w:rsidP="00BE5AA1">
      <w:pPr>
        <w:numPr>
          <w:ilvl w:val="0"/>
          <w:numId w:val="17"/>
        </w:numPr>
        <w:spacing w:after="160" w:line="360" w:lineRule="auto"/>
        <w:contextualSpacing/>
        <w:jc w:val="both"/>
        <w:rPr>
          <w:rFonts w:ascii="Arial" w:eastAsiaTheme="minorEastAsia" w:hAnsi="Arial" w:cs="Arial"/>
          <w:bCs/>
          <w:sz w:val="20"/>
          <w:szCs w:val="20"/>
        </w:rPr>
      </w:pPr>
      <w:r w:rsidRPr="00757C7A">
        <w:rPr>
          <w:rFonts w:ascii="Arial" w:eastAsiaTheme="minorEastAsia" w:hAnsi="Arial" w:cs="Arial"/>
          <w:bCs/>
          <w:sz w:val="20"/>
          <w:szCs w:val="20"/>
        </w:rPr>
        <w:lastRenderedPageBreak/>
        <w:t>Otro (Especifique).</w:t>
      </w:r>
    </w:p>
    <w:p w14:paraId="64F2584A" w14:textId="77777777" w:rsidR="00757C7A" w:rsidRPr="00757C7A" w:rsidRDefault="00757C7A" w:rsidP="00757C7A">
      <w:pPr>
        <w:jc w:val="both"/>
        <w:rPr>
          <w:rFonts w:ascii="Arial" w:eastAsia="Arial" w:hAnsi="Arial" w:cs="Arial"/>
          <w:color w:val="000000" w:themeColor="text1"/>
          <w:sz w:val="20"/>
          <w:szCs w:val="20"/>
        </w:rPr>
      </w:pPr>
      <w:r w:rsidRPr="00757C7A">
        <w:rPr>
          <w:rFonts w:ascii="Arial" w:eastAsia="Arial" w:hAnsi="Arial" w:cs="Arial"/>
          <w:color w:val="000000" w:themeColor="text1"/>
          <w:sz w:val="20"/>
          <w:szCs w:val="20"/>
        </w:rPr>
        <w:t>Adicionalmente incluir el resultado obtenido al primer semestre.</w:t>
      </w:r>
    </w:p>
    <w:p w14:paraId="4031EF8A" w14:textId="77777777" w:rsidR="00757C7A" w:rsidRPr="00757C7A" w:rsidRDefault="00757C7A" w:rsidP="00757C7A">
      <w:pPr>
        <w:jc w:val="center"/>
        <w:rPr>
          <w:rFonts w:ascii="Arial" w:eastAsiaTheme="minorEastAsia" w:hAnsi="Arial" w:cs="Arial"/>
          <w:b/>
          <w:sz w:val="20"/>
          <w:szCs w:val="20"/>
          <w:lang w:val="es-ES_tradnl"/>
        </w:rPr>
      </w:pPr>
    </w:p>
    <w:p w14:paraId="25C65523" w14:textId="190C9353" w:rsidR="00756C6A" w:rsidRPr="00AE3D7B" w:rsidRDefault="00756C6A" w:rsidP="00756C6A">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15</w:t>
      </w:r>
      <w:r w:rsidRPr="00AE3D7B">
        <w:rPr>
          <w:rFonts w:ascii="Arial" w:hAnsi="Arial" w:cs="Arial"/>
          <w:b/>
          <w:bCs/>
          <w:i w:val="0"/>
          <w:iCs w:val="0"/>
          <w:color w:val="auto"/>
          <w:sz w:val="20"/>
          <w:szCs w:val="20"/>
        </w:rPr>
        <w:fldChar w:fldCharType="end"/>
      </w:r>
    </w:p>
    <w:p w14:paraId="56BF671C" w14:textId="44BCF3DC" w:rsidR="00757C7A" w:rsidRPr="00757C7A" w:rsidRDefault="00757C7A" w:rsidP="00757C7A">
      <w:pPr>
        <w:jc w:val="center"/>
        <w:rPr>
          <w:rFonts w:ascii="Arial" w:eastAsiaTheme="minorEastAsia" w:hAnsi="Arial" w:cs="Arial"/>
          <w:b/>
          <w:sz w:val="20"/>
          <w:szCs w:val="20"/>
          <w:lang w:val="es-ES_tradnl"/>
        </w:rPr>
      </w:pPr>
      <w:r w:rsidRPr="00757C7A">
        <w:rPr>
          <w:rFonts w:ascii="Arial" w:eastAsiaTheme="minorEastAsia" w:hAnsi="Arial" w:cs="Arial"/>
          <w:b/>
          <w:sz w:val="20"/>
          <w:szCs w:val="20"/>
          <w:lang w:val="es-ES_tradnl"/>
        </w:rPr>
        <w:t>Factores que afectaron la ejecución financiera</w:t>
      </w:r>
    </w:p>
    <w:p w14:paraId="07E37F2F" w14:textId="76AA72D3" w:rsidR="00757C7A" w:rsidRPr="00757C7A" w:rsidRDefault="00290C16" w:rsidP="00757C7A">
      <w:pPr>
        <w:jc w:val="center"/>
        <w:rPr>
          <w:rFonts w:ascii="Arial" w:eastAsiaTheme="minorEastAsia" w:hAnsi="Arial" w:cs="Arial"/>
          <w:sz w:val="20"/>
          <w:szCs w:val="20"/>
          <w:lang w:val="es-ES_tradnl"/>
        </w:rPr>
      </w:pPr>
      <w:r>
        <w:rPr>
          <w:rFonts w:ascii="Arial" w:eastAsiaTheme="minorEastAsia" w:hAnsi="Arial" w:cs="Arial"/>
          <w:sz w:val="20"/>
          <w:szCs w:val="20"/>
          <w:lang w:val="es-ES_tradnl"/>
        </w:rPr>
        <w:t xml:space="preserve">928 </w:t>
      </w:r>
      <w:r w:rsidR="00757C7A" w:rsidRPr="00757C7A">
        <w:rPr>
          <w:rFonts w:ascii="Arial" w:eastAsiaTheme="minorEastAsia" w:hAnsi="Arial" w:cs="Arial"/>
          <w:sz w:val="20"/>
          <w:szCs w:val="20"/>
          <w:lang w:val="es-ES_tradnl"/>
        </w:rPr>
        <w:t>Organismo de Investigación Judicial</w:t>
      </w:r>
    </w:p>
    <w:p w14:paraId="3D92D1AA" w14:textId="77777777" w:rsidR="00757C7A" w:rsidRPr="00757C7A" w:rsidRDefault="00757C7A" w:rsidP="00757C7A">
      <w:pPr>
        <w:jc w:val="center"/>
        <w:rPr>
          <w:rFonts w:ascii="Arial" w:eastAsiaTheme="minorEastAsia" w:hAnsi="Arial" w:cs="Arial"/>
          <w:sz w:val="20"/>
          <w:szCs w:val="20"/>
          <w:lang w:val="es-ES_tradnl"/>
        </w:rPr>
      </w:pPr>
      <w:r w:rsidRPr="00757C7A">
        <w:rPr>
          <w:rFonts w:ascii="Arial" w:eastAsiaTheme="minorEastAsia" w:hAnsi="Arial" w:cs="Arial"/>
          <w:sz w:val="20"/>
          <w:szCs w:val="20"/>
          <w:lang w:val="es-ES_tradnl"/>
        </w:rPr>
        <w:t>Factores para resultados inferiores a 90,00% de ejecución</w:t>
      </w:r>
    </w:p>
    <w:p w14:paraId="44824B50" w14:textId="77777777" w:rsidR="00757C7A" w:rsidRPr="00757C7A" w:rsidRDefault="00757C7A" w:rsidP="00757C7A">
      <w:pPr>
        <w:jc w:val="center"/>
        <w:rPr>
          <w:rFonts w:ascii="Arial" w:eastAsiaTheme="minorEastAsia" w:hAnsi="Arial" w:cs="Arial"/>
          <w:sz w:val="20"/>
          <w:szCs w:val="20"/>
          <w:lang w:val="es-ES_tradnl"/>
        </w:rPr>
      </w:pPr>
      <w:r w:rsidRPr="00757C7A">
        <w:rPr>
          <w:rFonts w:ascii="Arial" w:eastAsiaTheme="minorEastAsia" w:hAnsi="Arial" w:cs="Arial"/>
          <w:sz w:val="20"/>
          <w:szCs w:val="20"/>
          <w:lang w:val="es-ES_tradnl"/>
        </w:rPr>
        <w:t>Al 31 de diciembre 2021</w:t>
      </w:r>
    </w:p>
    <w:tbl>
      <w:tblPr>
        <w:tblW w:w="9200" w:type="dxa"/>
        <w:tblCellMar>
          <w:left w:w="70" w:type="dxa"/>
          <w:right w:w="70" w:type="dxa"/>
        </w:tblCellMar>
        <w:tblLook w:val="04A0" w:firstRow="1" w:lastRow="0" w:firstColumn="1" w:lastColumn="0" w:noHBand="0" w:noVBand="1"/>
      </w:tblPr>
      <w:tblGrid>
        <w:gridCol w:w="1814"/>
        <w:gridCol w:w="1218"/>
        <w:gridCol w:w="1218"/>
        <w:gridCol w:w="309"/>
        <w:gridCol w:w="306"/>
        <w:gridCol w:w="329"/>
        <w:gridCol w:w="314"/>
        <w:gridCol w:w="306"/>
        <w:gridCol w:w="329"/>
        <w:gridCol w:w="306"/>
        <w:gridCol w:w="329"/>
        <w:gridCol w:w="306"/>
        <w:gridCol w:w="363"/>
        <w:gridCol w:w="1753"/>
      </w:tblGrid>
      <w:tr w:rsidR="00757C7A" w:rsidRPr="00757C7A" w14:paraId="6220E85F" w14:textId="77777777" w:rsidTr="00465D52">
        <w:trPr>
          <w:trHeight w:val="288"/>
        </w:trPr>
        <w:tc>
          <w:tcPr>
            <w:tcW w:w="1949" w:type="dxa"/>
            <w:vMerge w:val="restart"/>
            <w:tcBorders>
              <w:top w:val="single" w:sz="8" w:space="0" w:color="4472C4"/>
              <w:left w:val="single" w:sz="8" w:space="0" w:color="4472C4"/>
              <w:bottom w:val="single" w:sz="8" w:space="0" w:color="4472C4"/>
              <w:right w:val="single" w:sz="8" w:space="0" w:color="4472C4"/>
            </w:tcBorders>
            <w:shd w:val="clear" w:color="000000" w:fill="4F81BD"/>
            <w:vAlign w:val="center"/>
            <w:hideMark/>
          </w:tcPr>
          <w:p w14:paraId="55900CC2" w14:textId="77777777" w:rsidR="00757C7A" w:rsidRPr="00757C7A" w:rsidRDefault="00757C7A" w:rsidP="00757C7A">
            <w:pPr>
              <w:jc w:val="center"/>
              <w:rPr>
                <w:rFonts w:ascii="Arial" w:hAnsi="Arial" w:cs="Arial"/>
                <w:b/>
                <w:color w:val="FFFFFF"/>
                <w:sz w:val="20"/>
                <w:szCs w:val="20"/>
                <w:lang w:val="es-CR" w:eastAsia="es-CR"/>
              </w:rPr>
            </w:pPr>
            <w:r w:rsidRPr="00757C7A">
              <w:rPr>
                <w:rFonts w:ascii="Arial" w:hAnsi="Arial" w:cs="Arial"/>
                <w:b/>
                <w:color w:val="FFFFFF"/>
                <w:sz w:val="20"/>
                <w:szCs w:val="20"/>
                <w:lang w:val="es-CR" w:eastAsia="es-CR"/>
              </w:rPr>
              <w:t>Nombre de la partida</w:t>
            </w:r>
          </w:p>
        </w:tc>
        <w:tc>
          <w:tcPr>
            <w:tcW w:w="2470" w:type="dxa"/>
            <w:gridSpan w:val="2"/>
            <w:tcBorders>
              <w:top w:val="single" w:sz="8" w:space="0" w:color="4472C4"/>
              <w:left w:val="nil"/>
              <w:bottom w:val="single" w:sz="8" w:space="0" w:color="4472C4"/>
              <w:right w:val="single" w:sz="8" w:space="0" w:color="4472C4"/>
            </w:tcBorders>
            <w:shd w:val="clear" w:color="000000" w:fill="4F81BD"/>
            <w:vAlign w:val="center"/>
            <w:hideMark/>
          </w:tcPr>
          <w:p w14:paraId="1246605F" w14:textId="77777777" w:rsidR="00757C7A" w:rsidRPr="00757C7A" w:rsidRDefault="00757C7A" w:rsidP="00757C7A">
            <w:pPr>
              <w:jc w:val="center"/>
              <w:rPr>
                <w:rFonts w:ascii="Arial" w:hAnsi="Arial" w:cs="Arial"/>
                <w:b/>
                <w:color w:val="FFFFFF"/>
                <w:sz w:val="20"/>
                <w:szCs w:val="20"/>
                <w:lang w:val="es-CR" w:eastAsia="es-CR"/>
              </w:rPr>
            </w:pPr>
            <w:r w:rsidRPr="00757C7A">
              <w:rPr>
                <w:rFonts w:ascii="Arial" w:hAnsi="Arial" w:cs="Arial"/>
                <w:b/>
                <w:color w:val="FFFFFF"/>
                <w:sz w:val="20"/>
                <w:szCs w:val="20"/>
                <w:lang w:val="es-CR" w:eastAsia="es-CR"/>
              </w:rPr>
              <w:t>Nivel de ejecución</w:t>
            </w:r>
          </w:p>
        </w:tc>
        <w:tc>
          <w:tcPr>
            <w:tcW w:w="4781" w:type="dxa"/>
            <w:gridSpan w:val="11"/>
            <w:tcBorders>
              <w:top w:val="single" w:sz="8" w:space="0" w:color="4472C4"/>
              <w:left w:val="nil"/>
              <w:bottom w:val="single" w:sz="8" w:space="0" w:color="4472C4"/>
              <w:right w:val="single" w:sz="8" w:space="0" w:color="4472C4"/>
            </w:tcBorders>
            <w:shd w:val="clear" w:color="000000" w:fill="4F81BD"/>
            <w:vAlign w:val="center"/>
            <w:hideMark/>
          </w:tcPr>
          <w:p w14:paraId="30EBD396" w14:textId="77777777" w:rsidR="00757C7A" w:rsidRPr="00757C7A" w:rsidRDefault="00757C7A" w:rsidP="00757C7A">
            <w:pPr>
              <w:jc w:val="center"/>
              <w:rPr>
                <w:rFonts w:ascii="Arial" w:hAnsi="Arial" w:cs="Arial"/>
                <w:b/>
                <w:color w:val="FFFFFF"/>
                <w:sz w:val="20"/>
                <w:szCs w:val="20"/>
                <w:lang w:val="es-CR" w:eastAsia="es-CR"/>
              </w:rPr>
            </w:pPr>
            <w:r w:rsidRPr="00757C7A">
              <w:rPr>
                <w:rFonts w:ascii="Arial" w:hAnsi="Arial" w:cs="Arial"/>
                <w:b/>
                <w:color w:val="FFFFFF"/>
                <w:sz w:val="20"/>
                <w:szCs w:val="20"/>
                <w:lang w:val="es-CR" w:eastAsia="es-CR"/>
              </w:rPr>
              <w:t>Factores al 31/12/2021</w:t>
            </w:r>
          </w:p>
        </w:tc>
      </w:tr>
      <w:tr w:rsidR="00757C7A" w:rsidRPr="00757C7A" w14:paraId="6B406A19" w14:textId="77777777" w:rsidTr="00465D52">
        <w:trPr>
          <w:trHeight w:val="588"/>
        </w:trPr>
        <w:tc>
          <w:tcPr>
            <w:tcW w:w="1949" w:type="dxa"/>
            <w:vMerge/>
            <w:tcBorders>
              <w:top w:val="single" w:sz="8" w:space="0" w:color="4472C4"/>
              <w:left w:val="single" w:sz="8" w:space="0" w:color="4472C4"/>
              <w:bottom w:val="single" w:sz="8" w:space="0" w:color="4472C4"/>
              <w:right w:val="single" w:sz="8" w:space="0" w:color="4472C4"/>
            </w:tcBorders>
            <w:vAlign w:val="center"/>
            <w:hideMark/>
          </w:tcPr>
          <w:p w14:paraId="237F7E46" w14:textId="77777777" w:rsidR="00757C7A" w:rsidRPr="00757C7A" w:rsidRDefault="00757C7A" w:rsidP="00757C7A">
            <w:pPr>
              <w:rPr>
                <w:rFonts w:ascii="Arial" w:hAnsi="Arial" w:cs="Arial"/>
                <w:b/>
                <w:color w:val="FFFFFF"/>
                <w:sz w:val="20"/>
                <w:szCs w:val="20"/>
                <w:lang w:val="es-CR" w:eastAsia="es-CR"/>
              </w:rPr>
            </w:pPr>
          </w:p>
        </w:tc>
        <w:tc>
          <w:tcPr>
            <w:tcW w:w="1235" w:type="dxa"/>
            <w:tcBorders>
              <w:top w:val="nil"/>
              <w:left w:val="nil"/>
              <w:bottom w:val="single" w:sz="8" w:space="0" w:color="4472C4"/>
              <w:right w:val="single" w:sz="8" w:space="0" w:color="4472C4"/>
            </w:tcBorders>
            <w:shd w:val="clear" w:color="000000" w:fill="4F81BD"/>
            <w:vAlign w:val="center"/>
            <w:hideMark/>
          </w:tcPr>
          <w:p w14:paraId="6D1BFD46"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 xml:space="preserve">30/06/2021 </w:t>
            </w:r>
            <w:r w:rsidRPr="00757C7A">
              <w:rPr>
                <w:rFonts w:ascii="Arial" w:hAnsi="Arial" w:cs="Arial"/>
                <w:b/>
                <w:bCs/>
                <w:color w:val="FFFFFF"/>
                <w:sz w:val="20"/>
                <w:szCs w:val="20"/>
                <w:vertAlign w:val="superscript"/>
                <w:lang w:val="es-CR" w:eastAsia="es-CR"/>
              </w:rPr>
              <w:t>/1</w:t>
            </w:r>
          </w:p>
        </w:tc>
        <w:tc>
          <w:tcPr>
            <w:tcW w:w="1235" w:type="dxa"/>
            <w:tcBorders>
              <w:top w:val="nil"/>
              <w:left w:val="nil"/>
              <w:bottom w:val="single" w:sz="8" w:space="0" w:color="4472C4"/>
              <w:right w:val="single" w:sz="8" w:space="0" w:color="4472C4"/>
            </w:tcBorders>
            <w:shd w:val="clear" w:color="000000" w:fill="4F81BD"/>
            <w:vAlign w:val="center"/>
            <w:hideMark/>
          </w:tcPr>
          <w:p w14:paraId="65D048F5"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 xml:space="preserve">31/12/2021 </w:t>
            </w:r>
            <w:r w:rsidRPr="00757C7A">
              <w:rPr>
                <w:rFonts w:ascii="Arial" w:hAnsi="Arial" w:cs="Arial"/>
                <w:b/>
                <w:bCs/>
                <w:color w:val="FFFFFF"/>
                <w:sz w:val="20"/>
                <w:szCs w:val="20"/>
                <w:vertAlign w:val="superscript"/>
                <w:lang w:val="es-CR" w:eastAsia="es-CR"/>
              </w:rPr>
              <w:t>/2</w:t>
            </w:r>
          </w:p>
        </w:tc>
        <w:tc>
          <w:tcPr>
            <w:tcW w:w="317" w:type="dxa"/>
            <w:tcBorders>
              <w:top w:val="nil"/>
              <w:left w:val="nil"/>
              <w:bottom w:val="single" w:sz="8" w:space="0" w:color="4472C4"/>
              <w:right w:val="single" w:sz="8" w:space="0" w:color="4472C4"/>
            </w:tcBorders>
            <w:shd w:val="clear" w:color="000000" w:fill="4F81BD"/>
            <w:vAlign w:val="center"/>
            <w:hideMark/>
          </w:tcPr>
          <w:p w14:paraId="028BD9D1"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1</w:t>
            </w:r>
          </w:p>
        </w:tc>
        <w:tc>
          <w:tcPr>
            <w:tcW w:w="317" w:type="dxa"/>
            <w:tcBorders>
              <w:top w:val="nil"/>
              <w:left w:val="nil"/>
              <w:bottom w:val="single" w:sz="8" w:space="0" w:color="4472C4"/>
              <w:right w:val="single" w:sz="8" w:space="0" w:color="4472C4"/>
            </w:tcBorders>
            <w:shd w:val="clear" w:color="000000" w:fill="4F81BD"/>
            <w:vAlign w:val="center"/>
            <w:hideMark/>
          </w:tcPr>
          <w:p w14:paraId="4A2FCF3D"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2</w:t>
            </w:r>
          </w:p>
        </w:tc>
        <w:tc>
          <w:tcPr>
            <w:tcW w:w="329" w:type="dxa"/>
            <w:tcBorders>
              <w:top w:val="nil"/>
              <w:left w:val="nil"/>
              <w:bottom w:val="single" w:sz="8" w:space="0" w:color="4472C4"/>
              <w:right w:val="single" w:sz="8" w:space="0" w:color="4472C4"/>
            </w:tcBorders>
            <w:shd w:val="clear" w:color="000000" w:fill="4F81BD"/>
            <w:vAlign w:val="center"/>
            <w:hideMark/>
          </w:tcPr>
          <w:p w14:paraId="272E265D"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3</w:t>
            </w:r>
          </w:p>
        </w:tc>
        <w:tc>
          <w:tcPr>
            <w:tcW w:w="327" w:type="dxa"/>
            <w:tcBorders>
              <w:top w:val="nil"/>
              <w:left w:val="nil"/>
              <w:bottom w:val="single" w:sz="8" w:space="0" w:color="4472C4"/>
              <w:right w:val="single" w:sz="8" w:space="0" w:color="4472C4"/>
            </w:tcBorders>
            <w:shd w:val="clear" w:color="000000" w:fill="4F81BD"/>
            <w:vAlign w:val="center"/>
            <w:hideMark/>
          </w:tcPr>
          <w:p w14:paraId="3082880A"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4</w:t>
            </w:r>
          </w:p>
        </w:tc>
        <w:tc>
          <w:tcPr>
            <w:tcW w:w="317" w:type="dxa"/>
            <w:tcBorders>
              <w:top w:val="nil"/>
              <w:left w:val="nil"/>
              <w:bottom w:val="single" w:sz="8" w:space="0" w:color="4472C4"/>
              <w:right w:val="single" w:sz="8" w:space="0" w:color="4472C4"/>
            </w:tcBorders>
            <w:shd w:val="clear" w:color="000000" w:fill="4F81BD"/>
            <w:vAlign w:val="center"/>
            <w:hideMark/>
          </w:tcPr>
          <w:p w14:paraId="1AA9C1B3"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5</w:t>
            </w:r>
          </w:p>
        </w:tc>
        <w:tc>
          <w:tcPr>
            <w:tcW w:w="329" w:type="dxa"/>
            <w:tcBorders>
              <w:top w:val="nil"/>
              <w:left w:val="nil"/>
              <w:bottom w:val="single" w:sz="8" w:space="0" w:color="4472C4"/>
              <w:right w:val="single" w:sz="8" w:space="0" w:color="4472C4"/>
            </w:tcBorders>
            <w:shd w:val="clear" w:color="000000" w:fill="4F81BD"/>
            <w:vAlign w:val="center"/>
            <w:hideMark/>
          </w:tcPr>
          <w:p w14:paraId="7D78B03D"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6</w:t>
            </w:r>
          </w:p>
        </w:tc>
        <w:tc>
          <w:tcPr>
            <w:tcW w:w="317" w:type="dxa"/>
            <w:tcBorders>
              <w:top w:val="nil"/>
              <w:left w:val="nil"/>
              <w:bottom w:val="single" w:sz="8" w:space="0" w:color="4472C4"/>
              <w:right w:val="single" w:sz="8" w:space="0" w:color="4472C4"/>
            </w:tcBorders>
            <w:shd w:val="clear" w:color="000000" w:fill="4F81BD"/>
            <w:vAlign w:val="center"/>
            <w:hideMark/>
          </w:tcPr>
          <w:p w14:paraId="1A0E078D"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7</w:t>
            </w:r>
          </w:p>
        </w:tc>
        <w:tc>
          <w:tcPr>
            <w:tcW w:w="329" w:type="dxa"/>
            <w:tcBorders>
              <w:top w:val="nil"/>
              <w:left w:val="nil"/>
              <w:bottom w:val="single" w:sz="8" w:space="0" w:color="4472C4"/>
              <w:right w:val="single" w:sz="8" w:space="0" w:color="4472C4"/>
            </w:tcBorders>
            <w:shd w:val="clear" w:color="000000" w:fill="4F81BD"/>
            <w:vAlign w:val="center"/>
            <w:hideMark/>
          </w:tcPr>
          <w:p w14:paraId="27447B93"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8</w:t>
            </w:r>
          </w:p>
        </w:tc>
        <w:tc>
          <w:tcPr>
            <w:tcW w:w="317" w:type="dxa"/>
            <w:tcBorders>
              <w:top w:val="nil"/>
              <w:left w:val="nil"/>
              <w:bottom w:val="single" w:sz="8" w:space="0" w:color="4472C4"/>
              <w:right w:val="single" w:sz="8" w:space="0" w:color="4472C4"/>
            </w:tcBorders>
            <w:shd w:val="clear" w:color="000000" w:fill="4F81BD"/>
            <w:vAlign w:val="center"/>
            <w:hideMark/>
          </w:tcPr>
          <w:p w14:paraId="09457798"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9</w:t>
            </w:r>
          </w:p>
        </w:tc>
        <w:tc>
          <w:tcPr>
            <w:tcW w:w="363" w:type="dxa"/>
            <w:tcBorders>
              <w:top w:val="nil"/>
              <w:left w:val="nil"/>
              <w:bottom w:val="single" w:sz="8" w:space="0" w:color="4472C4"/>
              <w:right w:val="single" w:sz="8" w:space="0" w:color="4472C4"/>
            </w:tcBorders>
            <w:shd w:val="clear" w:color="000000" w:fill="4F81BD"/>
            <w:vAlign w:val="center"/>
            <w:hideMark/>
          </w:tcPr>
          <w:p w14:paraId="4909B6BE"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10</w:t>
            </w:r>
          </w:p>
        </w:tc>
        <w:tc>
          <w:tcPr>
            <w:tcW w:w="1519" w:type="dxa"/>
            <w:tcBorders>
              <w:top w:val="nil"/>
              <w:left w:val="nil"/>
              <w:bottom w:val="single" w:sz="8" w:space="0" w:color="4472C4"/>
              <w:right w:val="single" w:sz="8" w:space="0" w:color="4472C4"/>
            </w:tcBorders>
            <w:shd w:val="clear" w:color="000000" w:fill="4F81BD"/>
            <w:vAlign w:val="center"/>
            <w:hideMark/>
          </w:tcPr>
          <w:p w14:paraId="14B47D87" w14:textId="77777777" w:rsidR="00757C7A" w:rsidRPr="00757C7A" w:rsidRDefault="00757C7A" w:rsidP="00757C7A">
            <w:pPr>
              <w:jc w:val="center"/>
              <w:rPr>
                <w:rFonts w:ascii="Arial" w:hAnsi="Arial" w:cs="Arial"/>
                <w:b/>
                <w:bCs/>
                <w:color w:val="FFFFFF"/>
                <w:sz w:val="20"/>
                <w:szCs w:val="20"/>
                <w:lang w:val="es-CR" w:eastAsia="es-CR"/>
              </w:rPr>
            </w:pPr>
            <w:r w:rsidRPr="00757C7A">
              <w:rPr>
                <w:rFonts w:ascii="Arial" w:hAnsi="Arial" w:cs="Arial"/>
                <w:b/>
                <w:bCs/>
                <w:color w:val="FFFFFF"/>
                <w:sz w:val="20"/>
                <w:szCs w:val="20"/>
                <w:lang w:val="es-CR" w:eastAsia="es-CR"/>
              </w:rPr>
              <w:t xml:space="preserve">Descripción </w:t>
            </w:r>
            <w:r w:rsidRPr="00757C7A">
              <w:rPr>
                <w:rFonts w:ascii="Arial" w:hAnsi="Arial" w:cs="Arial"/>
                <w:b/>
                <w:bCs/>
                <w:color w:val="FFFFFF"/>
                <w:sz w:val="20"/>
                <w:szCs w:val="20"/>
                <w:vertAlign w:val="superscript"/>
                <w:lang w:val="es-CR" w:eastAsia="es-CR"/>
              </w:rPr>
              <w:t>/3</w:t>
            </w:r>
          </w:p>
        </w:tc>
      </w:tr>
      <w:tr w:rsidR="00757C7A" w:rsidRPr="00757C7A" w14:paraId="4993B28D" w14:textId="77777777" w:rsidTr="00465D52">
        <w:trPr>
          <w:trHeight w:val="336"/>
        </w:trPr>
        <w:tc>
          <w:tcPr>
            <w:tcW w:w="1949" w:type="dxa"/>
            <w:tcBorders>
              <w:top w:val="nil"/>
              <w:left w:val="single" w:sz="8" w:space="0" w:color="4472C4"/>
              <w:bottom w:val="single" w:sz="8" w:space="0" w:color="4472C4"/>
              <w:right w:val="single" w:sz="8" w:space="0" w:color="4472C4"/>
            </w:tcBorders>
            <w:shd w:val="clear" w:color="auto" w:fill="auto"/>
            <w:vAlign w:val="center"/>
            <w:hideMark/>
          </w:tcPr>
          <w:p w14:paraId="21333AEB" w14:textId="77777777" w:rsidR="00757C7A" w:rsidRPr="00757C7A" w:rsidRDefault="00757C7A" w:rsidP="00757C7A">
            <w:pPr>
              <w:rPr>
                <w:rFonts w:ascii="Arial" w:hAnsi="Arial" w:cs="Arial"/>
                <w:sz w:val="20"/>
                <w:szCs w:val="20"/>
                <w:lang w:val="es-CR" w:eastAsia="es-CR"/>
              </w:rPr>
            </w:pPr>
            <w:r w:rsidRPr="00757C7A">
              <w:rPr>
                <w:rFonts w:ascii="Arial" w:hAnsi="Arial" w:cs="Arial"/>
                <w:sz w:val="20"/>
                <w:szCs w:val="20"/>
                <w:lang w:val="es-CR" w:eastAsia="es-CR"/>
              </w:rPr>
              <w:t>Servicios</w:t>
            </w:r>
          </w:p>
        </w:tc>
        <w:tc>
          <w:tcPr>
            <w:tcW w:w="1235" w:type="dxa"/>
            <w:tcBorders>
              <w:top w:val="nil"/>
              <w:left w:val="nil"/>
              <w:bottom w:val="single" w:sz="8" w:space="0" w:color="4472C4"/>
              <w:right w:val="single" w:sz="8" w:space="0" w:color="4472C4"/>
            </w:tcBorders>
            <w:shd w:val="clear" w:color="auto" w:fill="auto"/>
            <w:vAlign w:val="center"/>
            <w:hideMark/>
          </w:tcPr>
          <w:p w14:paraId="45680A55"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35,35%</w:t>
            </w:r>
          </w:p>
        </w:tc>
        <w:tc>
          <w:tcPr>
            <w:tcW w:w="1235" w:type="dxa"/>
            <w:tcBorders>
              <w:top w:val="nil"/>
              <w:left w:val="nil"/>
              <w:bottom w:val="single" w:sz="8" w:space="0" w:color="4472C4"/>
              <w:right w:val="single" w:sz="8" w:space="0" w:color="4472C4"/>
            </w:tcBorders>
            <w:shd w:val="clear" w:color="auto" w:fill="auto"/>
            <w:vAlign w:val="center"/>
            <w:hideMark/>
          </w:tcPr>
          <w:p w14:paraId="43614B3A"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88,09%</w:t>
            </w:r>
          </w:p>
        </w:tc>
        <w:tc>
          <w:tcPr>
            <w:tcW w:w="317" w:type="dxa"/>
            <w:tcBorders>
              <w:top w:val="nil"/>
              <w:left w:val="nil"/>
              <w:bottom w:val="single" w:sz="8" w:space="0" w:color="4472C4"/>
              <w:right w:val="single" w:sz="8" w:space="0" w:color="4472C4"/>
            </w:tcBorders>
            <w:shd w:val="clear" w:color="auto" w:fill="auto"/>
            <w:vAlign w:val="center"/>
            <w:hideMark/>
          </w:tcPr>
          <w:p w14:paraId="068FBC93"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hideMark/>
          </w:tcPr>
          <w:p w14:paraId="53421856"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29AC7947"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 X</w:t>
            </w:r>
          </w:p>
        </w:tc>
        <w:tc>
          <w:tcPr>
            <w:tcW w:w="327" w:type="dxa"/>
            <w:tcBorders>
              <w:top w:val="nil"/>
              <w:left w:val="nil"/>
              <w:bottom w:val="single" w:sz="8" w:space="0" w:color="4472C4"/>
              <w:right w:val="single" w:sz="8" w:space="0" w:color="4472C4"/>
            </w:tcBorders>
            <w:shd w:val="clear" w:color="auto" w:fill="auto"/>
            <w:vAlign w:val="center"/>
            <w:hideMark/>
          </w:tcPr>
          <w:p w14:paraId="58B5710F" w14:textId="77777777" w:rsidR="00757C7A" w:rsidRPr="00757C7A" w:rsidRDefault="00757C7A" w:rsidP="00757C7A">
            <w:pPr>
              <w:jc w:val="center"/>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hideMark/>
          </w:tcPr>
          <w:p w14:paraId="43BF253D"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1704785E"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 </w:t>
            </w:r>
          </w:p>
        </w:tc>
        <w:tc>
          <w:tcPr>
            <w:tcW w:w="317" w:type="dxa"/>
            <w:tcBorders>
              <w:top w:val="nil"/>
              <w:left w:val="nil"/>
              <w:bottom w:val="single" w:sz="8" w:space="0" w:color="4472C4"/>
              <w:right w:val="single" w:sz="8" w:space="0" w:color="4472C4"/>
            </w:tcBorders>
            <w:shd w:val="clear" w:color="auto" w:fill="auto"/>
            <w:vAlign w:val="center"/>
            <w:hideMark/>
          </w:tcPr>
          <w:p w14:paraId="218A7482"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57A46835" w14:textId="77777777" w:rsidR="00757C7A" w:rsidRPr="00757C7A" w:rsidRDefault="00757C7A" w:rsidP="00757C7A">
            <w:pPr>
              <w:jc w:val="center"/>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hideMark/>
          </w:tcPr>
          <w:p w14:paraId="593E8FF2"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502516D2"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X </w:t>
            </w:r>
          </w:p>
        </w:tc>
        <w:tc>
          <w:tcPr>
            <w:tcW w:w="1519" w:type="dxa"/>
            <w:tcBorders>
              <w:top w:val="nil"/>
              <w:left w:val="nil"/>
              <w:bottom w:val="single" w:sz="8" w:space="0" w:color="4472C4"/>
              <w:right w:val="single" w:sz="8" w:space="0" w:color="4472C4"/>
            </w:tcBorders>
            <w:shd w:val="clear" w:color="auto" w:fill="auto"/>
            <w:vAlign w:val="center"/>
            <w:hideMark/>
          </w:tcPr>
          <w:p w14:paraId="39E9634F"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Subpartidas que están relacionadas a mantenimientos y reparaciones, contratos que no permiten estimar gasto real y que no pueden sufrir desfinanciamiento porque pueden comprometer la operatividad de la Policía </w:t>
            </w:r>
          </w:p>
        </w:tc>
      </w:tr>
      <w:tr w:rsidR="00757C7A" w:rsidRPr="00757C7A" w14:paraId="566E9FDF" w14:textId="77777777" w:rsidTr="00465D52">
        <w:trPr>
          <w:trHeight w:val="336"/>
        </w:trPr>
        <w:tc>
          <w:tcPr>
            <w:tcW w:w="1949" w:type="dxa"/>
            <w:tcBorders>
              <w:top w:val="nil"/>
              <w:left w:val="single" w:sz="8" w:space="0" w:color="4472C4"/>
              <w:bottom w:val="single" w:sz="8" w:space="0" w:color="4472C4"/>
              <w:right w:val="single" w:sz="8" w:space="0" w:color="4472C4"/>
            </w:tcBorders>
            <w:shd w:val="clear" w:color="auto" w:fill="auto"/>
            <w:vAlign w:val="center"/>
          </w:tcPr>
          <w:p w14:paraId="4235B7CB" w14:textId="77777777" w:rsidR="00757C7A" w:rsidRPr="00757C7A" w:rsidRDefault="00757C7A" w:rsidP="00757C7A">
            <w:pPr>
              <w:rPr>
                <w:rFonts w:ascii="Arial" w:hAnsi="Arial" w:cs="Arial"/>
                <w:sz w:val="20"/>
                <w:szCs w:val="20"/>
                <w:lang w:val="es-CR" w:eastAsia="es-CR"/>
              </w:rPr>
            </w:pPr>
            <w:r w:rsidRPr="00757C7A">
              <w:rPr>
                <w:rFonts w:ascii="Arial" w:hAnsi="Arial" w:cs="Arial"/>
                <w:sz w:val="20"/>
                <w:szCs w:val="20"/>
                <w:lang w:val="es-CR" w:eastAsia="es-CR"/>
              </w:rPr>
              <w:t>Materiales y Suministros</w:t>
            </w:r>
          </w:p>
        </w:tc>
        <w:tc>
          <w:tcPr>
            <w:tcW w:w="1235" w:type="dxa"/>
            <w:tcBorders>
              <w:top w:val="nil"/>
              <w:left w:val="nil"/>
              <w:bottom w:val="single" w:sz="8" w:space="0" w:color="4472C4"/>
              <w:right w:val="single" w:sz="8" w:space="0" w:color="4472C4"/>
            </w:tcBorders>
            <w:shd w:val="clear" w:color="auto" w:fill="auto"/>
            <w:vAlign w:val="center"/>
          </w:tcPr>
          <w:p w14:paraId="21D8C828"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30,35%</w:t>
            </w:r>
          </w:p>
        </w:tc>
        <w:tc>
          <w:tcPr>
            <w:tcW w:w="1235" w:type="dxa"/>
            <w:tcBorders>
              <w:top w:val="nil"/>
              <w:left w:val="nil"/>
              <w:bottom w:val="single" w:sz="8" w:space="0" w:color="4472C4"/>
              <w:right w:val="single" w:sz="8" w:space="0" w:color="4472C4"/>
            </w:tcBorders>
            <w:shd w:val="clear" w:color="auto" w:fill="auto"/>
            <w:vAlign w:val="center"/>
          </w:tcPr>
          <w:p w14:paraId="14835F1B"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85,05%</w:t>
            </w:r>
          </w:p>
        </w:tc>
        <w:tc>
          <w:tcPr>
            <w:tcW w:w="317" w:type="dxa"/>
            <w:tcBorders>
              <w:top w:val="nil"/>
              <w:left w:val="nil"/>
              <w:bottom w:val="single" w:sz="8" w:space="0" w:color="4472C4"/>
              <w:right w:val="single" w:sz="8" w:space="0" w:color="4472C4"/>
            </w:tcBorders>
            <w:shd w:val="clear" w:color="auto" w:fill="auto"/>
            <w:vAlign w:val="center"/>
          </w:tcPr>
          <w:p w14:paraId="0EE4479C"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669BD302" w14:textId="77777777" w:rsidR="00757C7A" w:rsidRPr="00757C7A" w:rsidRDefault="00757C7A" w:rsidP="00757C7A">
            <w:pPr>
              <w:jc w:val="center"/>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02FADB6E" w14:textId="77777777" w:rsidR="00757C7A" w:rsidRPr="00757C7A" w:rsidRDefault="00757C7A" w:rsidP="00757C7A">
            <w:pPr>
              <w:jc w:val="center"/>
              <w:rPr>
                <w:rFonts w:ascii="Arial" w:hAnsi="Arial" w:cs="Arial"/>
                <w:sz w:val="20"/>
                <w:szCs w:val="20"/>
                <w:lang w:val="es-CR" w:eastAsia="es-CR"/>
              </w:rPr>
            </w:pPr>
          </w:p>
        </w:tc>
        <w:tc>
          <w:tcPr>
            <w:tcW w:w="327" w:type="dxa"/>
            <w:tcBorders>
              <w:top w:val="nil"/>
              <w:left w:val="nil"/>
              <w:bottom w:val="single" w:sz="8" w:space="0" w:color="4472C4"/>
              <w:right w:val="single" w:sz="8" w:space="0" w:color="4472C4"/>
            </w:tcBorders>
            <w:shd w:val="clear" w:color="auto" w:fill="auto"/>
            <w:vAlign w:val="center"/>
          </w:tcPr>
          <w:p w14:paraId="6CC0CD6C" w14:textId="77777777" w:rsidR="00757C7A" w:rsidRPr="00757C7A" w:rsidRDefault="00757C7A" w:rsidP="00757C7A">
            <w:pPr>
              <w:jc w:val="center"/>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3B95867F" w14:textId="77777777" w:rsidR="00757C7A" w:rsidRPr="00757C7A" w:rsidRDefault="00757C7A" w:rsidP="00757C7A">
            <w:pPr>
              <w:jc w:val="center"/>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72559405" w14:textId="77777777" w:rsidR="00757C7A" w:rsidRPr="00757C7A" w:rsidRDefault="00757C7A" w:rsidP="00757C7A">
            <w:pPr>
              <w:jc w:val="center"/>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tcPr>
          <w:p w14:paraId="581C7482" w14:textId="77777777" w:rsidR="00757C7A" w:rsidRPr="00757C7A" w:rsidRDefault="00757C7A" w:rsidP="00757C7A">
            <w:pPr>
              <w:jc w:val="center"/>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56AE8042"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X</w:t>
            </w:r>
          </w:p>
        </w:tc>
        <w:tc>
          <w:tcPr>
            <w:tcW w:w="317" w:type="dxa"/>
            <w:tcBorders>
              <w:top w:val="nil"/>
              <w:left w:val="nil"/>
              <w:bottom w:val="single" w:sz="8" w:space="0" w:color="4472C4"/>
              <w:right w:val="single" w:sz="8" w:space="0" w:color="4472C4"/>
            </w:tcBorders>
            <w:shd w:val="clear" w:color="auto" w:fill="auto"/>
            <w:vAlign w:val="center"/>
          </w:tcPr>
          <w:p w14:paraId="7F7B466E" w14:textId="77777777" w:rsidR="00757C7A" w:rsidRPr="00757C7A" w:rsidRDefault="00757C7A" w:rsidP="00757C7A">
            <w:pPr>
              <w:jc w:val="center"/>
              <w:rPr>
                <w:rFonts w:ascii="Arial" w:hAnsi="Arial" w:cs="Arial"/>
                <w:sz w:val="20"/>
                <w:szCs w:val="20"/>
                <w:lang w:val="es-CR" w:eastAsia="es-CR"/>
              </w:rPr>
            </w:pPr>
          </w:p>
        </w:tc>
        <w:tc>
          <w:tcPr>
            <w:tcW w:w="363" w:type="dxa"/>
            <w:tcBorders>
              <w:top w:val="nil"/>
              <w:left w:val="nil"/>
              <w:bottom w:val="single" w:sz="8" w:space="0" w:color="4472C4"/>
              <w:right w:val="single" w:sz="8" w:space="0" w:color="4472C4"/>
            </w:tcBorders>
            <w:shd w:val="clear" w:color="auto" w:fill="auto"/>
            <w:vAlign w:val="center"/>
          </w:tcPr>
          <w:p w14:paraId="3749DDBA" w14:textId="77777777" w:rsidR="00757C7A" w:rsidRPr="00757C7A" w:rsidRDefault="00757C7A" w:rsidP="00757C7A">
            <w:pPr>
              <w:jc w:val="center"/>
              <w:rPr>
                <w:rFonts w:ascii="Arial" w:hAnsi="Arial" w:cs="Arial"/>
                <w:sz w:val="20"/>
                <w:szCs w:val="20"/>
                <w:lang w:val="es-CR" w:eastAsia="es-CR"/>
              </w:rPr>
            </w:pPr>
          </w:p>
        </w:tc>
        <w:tc>
          <w:tcPr>
            <w:tcW w:w="1519" w:type="dxa"/>
            <w:tcBorders>
              <w:top w:val="nil"/>
              <w:left w:val="nil"/>
              <w:bottom w:val="single" w:sz="8" w:space="0" w:color="4472C4"/>
              <w:right w:val="single" w:sz="8" w:space="0" w:color="4472C4"/>
            </w:tcBorders>
            <w:shd w:val="clear" w:color="auto" w:fill="auto"/>
            <w:vAlign w:val="center"/>
          </w:tcPr>
          <w:p w14:paraId="27CBF479" w14:textId="77777777" w:rsidR="00757C7A" w:rsidRPr="00757C7A" w:rsidRDefault="00757C7A" w:rsidP="00757C7A">
            <w:pPr>
              <w:jc w:val="center"/>
              <w:rPr>
                <w:rFonts w:ascii="Arial" w:hAnsi="Arial" w:cs="Arial"/>
                <w:sz w:val="20"/>
                <w:szCs w:val="20"/>
                <w:lang w:val="es-CR" w:eastAsia="es-CR"/>
              </w:rPr>
            </w:pPr>
          </w:p>
        </w:tc>
      </w:tr>
      <w:tr w:rsidR="00757C7A" w:rsidRPr="00757C7A" w14:paraId="3A7A519A" w14:textId="77777777" w:rsidTr="00465D52">
        <w:trPr>
          <w:trHeight w:val="336"/>
        </w:trPr>
        <w:tc>
          <w:tcPr>
            <w:tcW w:w="1949" w:type="dxa"/>
            <w:tcBorders>
              <w:top w:val="nil"/>
              <w:left w:val="single" w:sz="8" w:space="0" w:color="4472C4"/>
              <w:bottom w:val="single" w:sz="8" w:space="0" w:color="4472C4"/>
              <w:right w:val="single" w:sz="8" w:space="0" w:color="4472C4"/>
            </w:tcBorders>
            <w:shd w:val="clear" w:color="auto" w:fill="auto"/>
            <w:vAlign w:val="center"/>
            <w:hideMark/>
          </w:tcPr>
          <w:p w14:paraId="6CF806A6" w14:textId="77777777" w:rsidR="00757C7A" w:rsidRPr="00757C7A" w:rsidRDefault="00757C7A" w:rsidP="00757C7A">
            <w:pPr>
              <w:rPr>
                <w:rFonts w:ascii="Arial" w:hAnsi="Arial" w:cs="Arial"/>
                <w:sz w:val="20"/>
                <w:szCs w:val="20"/>
                <w:lang w:val="es-CR" w:eastAsia="es-CR"/>
              </w:rPr>
            </w:pPr>
            <w:r w:rsidRPr="00757C7A">
              <w:rPr>
                <w:rFonts w:ascii="Arial" w:hAnsi="Arial" w:cs="Arial"/>
                <w:sz w:val="20"/>
                <w:szCs w:val="20"/>
                <w:lang w:val="es-CR" w:eastAsia="es-CR"/>
              </w:rPr>
              <w:t>Bienes Duraderos</w:t>
            </w:r>
          </w:p>
        </w:tc>
        <w:tc>
          <w:tcPr>
            <w:tcW w:w="1235" w:type="dxa"/>
            <w:tcBorders>
              <w:top w:val="nil"/>
              <w:left w:val="nil"/>
              <w:bottom w:val="single" w:sz="8" w:space="0" w:color="4472C4"/>
              <w:right w:val="single" w:sz="8" w:space="0" w:color="4472C4"/>
            </w:tcBorders>
            <w:shd w:val="clear" w:color="auto" w:fill="auto"/>
            <w:vAlign w:val="center"/>
            <w:hideMark/>
          </w:tcPr>
          <w:p w14:paraId="022409F1"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17,84%</w:t>
            </w:r>
          </w:p>
        </w:tc>
        <w:tc>
          <w:tcPr>
            <w:tcW w:w="1235" w:type="dxa"/>
            <w:tcBorders>
              <w:top w:val="nil"/>
              <w:left w:val="nil"/>
              <w:bottom w:val="single" w:sz="8" w:space="0" w:color="4472C4"/>
              <w:right w:val="single" w:sz="8" w:space="0" w:color="4472C4"/>
            </w:tcBorders>
            <w:shd w:val="clear" w:color="auto" w:fill="auto"/>
            <w:vAlign w:val="center"/>
            <w:hideMark/>
          </w:tcPr>
          <w:p w14:paraId="3B9E0AF0" w14:textId="77777777" w:rsidR="00757C7A" w:rsidRPr="00757C7A" w:rsidRDefault="00757C7A" w:rsidP="00757C7A">
            <w:pPr>
              <w:jc w:val="center"/>
              <w:rPr>
                <w:rFonts w:ascii="Arial" w:hAnsi="Arial" w:cs="Arial"/>
                <w:sz w:val="20"/>
                <w:szCs w:val="20"/>
                <w:lang w:val="es-CR" w:eastAsia="es-CR"/>
              </w:rPr>
            </w:pPr>
            <w:r w:rsidRPr="00757C7A">
              <w:rPr>
                <w:rFonts w:ascii="Arial" w:hAnsi="Arial" w:cs="Arial"/>
                <w:sz w:val="20"/>
                <w:szCs w:val="20"/>
                <w:lang w:val="es-CR" w:eastAsia="es-CR"/>
              </w:rPr>
              <w:t>70,40%</w:t>
            </w:r>
          </w:p>
        </w:tc>
        <w:tc>
          <w:tcPr>
            <w:tcW w:w="317" w:type="dxa"/>
            <w:tcBorders>
              <w:top w:val="nil"/>
              <w:left w:val="nil"/>
              <w:bottom w:val="single" w:sz="8" w:space="0" w:color="4472C4"/>
              <w:right w:val="single" w:sz="8" w:space="0" w:color="4472C4"/>
            </w:tcBorders>
            <w:shd w:val="clear" w:color="auto" w:fill="auto"/>
            <w:vAlign w:val="center"/>
            <w:hideMark/>
          </w:tcPr>
          <w:p w14:paraId="39166F5C"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317" w:type="dxa"/>
            <w:tcBorders>
              <w:top w:val="nil"/>
              <w:left w:val="nil"/>
              <w:bottom w:val="single" w:sz="8" w:space="0" w:color="4472C4"/>
              <w:right w:val="single" w:sz="8" w:space="0" w:color="4472C4"/>
            </w:tcBorders>
            <w:shd w:val="clear" w:color="auto" w:fill="auto"/>
            <w:vAlign w:val="center"/>
            <w:hideMark/>
          </w:tcPr>
          <w:p w14:paraId="2CBAE28E"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18923C07"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327" w:type="dxa"/>
            <w:tcBorders>
              <w:top w:val="nil"/>
              <w:left w:val="nil"/>
              <w:bottom w:val="single" w:sz="8" w:space="0" w:color="4472C4"/>
              <w:right w:val="single" w:sz="8" w:space="0" w:color="4472C4"/>
            </w:tcBorders>
            <w:shd w:val="clear" w:color="auto" w:fill="auto"/>
            <w:vAlign w:val="center"/>
            <w:hideMark/>
          </w:tcPr>
          <w:p w14:paraId="3D15953C" w14:textId="77777777" w:rsidR="00757C7A" w:rsidRPr="00757C7A" w:rsidRDefault="00757C7A" w:rsidP="00757C7A">
            <w:pPr>
              <w:jc w:val="both"/>
              <w:rPr>
                <w:rFonts w:ascii="Arial" w:hAnsi="Arial" w:cs="Arial"/>
                <w:sz w:val="20"/>
                <w:szCs w:val="20"/>
                <w:lang w:val="es-CR" w:eastAsia="es-CR"/>
              </w:rPr>
            </w:pPr>
          </w:p>
        </w:tc>
        <w:tc>
          <w:tcPr>
            <w:tcW w:w="317" w:type="dxa"/>
            <w:tcBorders>
              <w:top w:val="nil"/>
              <w:left w:val="nil"/>
              <w:bottom w:val="single" w:sz="8" w:space="0" w:color="4472C4"/>
              <w:right w:val="single" w:sz="8" w:space="0" w:color="4472C4"/>
            </w:tcBorders>
            <w:shd w:val="clear" w:color="auto" w:fill="auto"/>
            <w:vAlign w:val="center"/>
            <w:hideMark/>
          </w:tcPr>
          <w:p w14:paraId="000AFD96"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40AF0E5A"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X</w:t>
            </w:r>
          </w:p>
        </w:tc>
        <w:tc>
          <w:tcPr>
            <w:tcW w:w="317" w:type="dxa"/>
            <w:tcBorders>
              <w:top w:val="nil"/>
              <w:left w:val="nil"/>
              <w:bottom w:val="single" w:sz="8" w:space="0" w:color="4472C4"/>
              <w:right w:val="single" w:sz="8" w:space="0" w:color="4472C4"/>
            </w:tcBorders>
            <w:shd w:val="clear" w:color="auto" w:fill="auto"/>
            <w:vAlign w:val="center"/>
            <w:hideMark/>
          </w:tcPr>
          <w:p w14:paraId="16C668A4"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54A929CD"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X</w:t>
            </w:r>
          </w:p>
        </w:tc>
        <w:tc>
          <w:tcPr>
            <w:tcW w:w="317" w:type="dxa"/>
            <w:tcBorders>
              <w:top w:val="nil"/>
              <w:left w:val="nil"/>
              <w:bottom w:val="single" w:sz="8" w:space="0" w:color="4472C4"/>
              <w:right w:val="single" w:sz="8" w:space="0" w:color="4472C4"/>
            </w:tcBorders>
            <w:shd w:val="clear" w:color="auto" w:fill="auto"/>
            <w:vAlign w:val="center"/>
            <w:hideMark/>
          </w:tcPr>
          <w:p w14:paraId="78B58F96"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68525FD5"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c>
          <w:tcPr>
            <w:tcW w:w="1519" w:type="dxa"/>
            <w:tcBorders>
              <w:top w:val="nil"/>
              <w:left w:val="nil"/>
              <w:bottom w:val="single" w:sz="8" w:space="0" w:color="4472C4"/>
              <w:right w:val="single" w:sz="8" w:space="0" w:color="4472C4"/>
            </w:tcBorders>
            <w:shd w:val="clear" w:color="auto" w:fill="auto"/>
            <w:vAlign w:val="center"/>
            <w:hideMark/>
          </w:tcPr>
          <w:p w14:paraId="3B334F69" w14:textId="77777777" w:rsidR="00757C7A" w:rsidRPr="00757C7A" w:rsidRDefault="00757C7A" w:rsidP="00757C7A">
            <w:pPr>
              <w:jc w:val="both"/>
              <w:rPr>
                <w:rFonts w:ascii="Arial" w:hAnsi="Arial" w:cs="Arial"/>
                <w:sz w:val="20"/>
                <w:szCs w:val="20"/>
                <w:lang w:val="es-CR" w:eastAsia="es-CR"/>
              </w:rPr>
            </w:pPr>
            <w:r w:rsidRPr="00757C7A">
              <w:rPr>
                <w:rFonts w:ascii="Arial" w:hAnsi="Arial" w:cs="Arial"/>
                <w:sz w:val="20"/>
                <w:szCs w:val="20"/>
                <w:lang w:val="es-CR" w:eastAsia="es-CR"/>
              </w:rPr>
              <w:t> </w:t>
            </w:r>
          </w:p>
        </w:tc>
      </w:tr>
    </w:tbl>
    <w:p w14:paraId="01994E5A" w14:textId="77777777" w:rsidR="00757C7A" w:rsidRPr="00757C7A" w:rsidRDefault="00757C7A" w:rsidP="00757C7A">
      <w:pPr>
        <w:jc w:val="both"/>
        <w:rPr>
          <w:rFonts w:ascii="Arial" w:hAnsi="Arial" w:cs="Arial"/>
          <w:b/>
          <w:bCs/>
          <w:color w:val="000000"/>
          <w:sz w:val="16"/>
          <w:szCs w:val="20"/>
          <w:lang w:val="es-CR" w:eastAsia="es-CR"/>
        </w:rPr>
      </w:pPr>
      <w:r w:rsidRPr="00757C7A">
        <w:rPr>
          <w:rFonts w:ascii="Arial" w:eastAsiaTheme="minorEastAsia" w:hAnsi="Arial" w:cs="Arial"/>
          <w:b/>
          <w:sz w:val="16"/>
          <w:szCs w:val="20"/>
        </w:rPr>
        <w:t>Fuente</w:t>
      </w:r>
      <w:r w:rsidRPr="00757C7A">
        <w:rPr>
          <w:rFonts w:ascii="Arial" w:eastAsiaTheme="minorEastAsia" w:hAnsi="Arial" w:cs="Arial"/>
          <w:sz w:val="16"/>
          <w:szCs w:val="20"/>
        </w:rPr>
        <w:t xml:space="preserve">: </w:t>
      </w:r>
      <w:r w:rsidRPr="00757C7A">
        <w:rPr>
          <w:rFonts w:ascii="Arial" w:hAnsi="Arial" w:cs="Arial"/>
          <w:color w:val="000000"/>
          <w:sz w:val="16"/>
          <w:szCs w:val="20"/>
          <w:lang w:val="es-CR" w:eastAsia="es-CR"/>
        </w:rPr>
        <w:t xml:space="preserve">Módulo de Poderes al </w:t>
      </w:r>
      <w:r w:rsidRPr="00757C7A">
        <w:rPr>
          <w:rFonts w:ascii="Arial" w:hAnsi="Arial" w:cs="Arial"/>
          <w:sz w:val="16"/>
          <w:szCs w:val="20"/>
          <w:lang w:val="es-CR" w:eastAsia="es-CR"/>
        </w:rPr>
        <w:t>31-12-2021</w:t>
      </w:r>
    </w:p>
    <w:p w14:paraId="715F7828" w14:textId="77777777" w:rsidR="00757C7A" w:rsidRPr="00757C7A" w:rsidRDefault="00757C7A" w:rsidP="00757C7A">
      <w:pPr>
        <w:tabs>
          <w:tab w:val="left" w:pos="2702"/>
        </w:tabs>
        <w:spacing w:line="259" w:lineRule="auto"/>
        <w:rPr>
          <w:rFonts w:ascii="Arial" w:eastAsiaTheme="minorEastAsia" w:hAnsi="Arial" w:cs="Arial"/>
          <w:sz w:val="16"/>
          <w:szCs w:val="20"/>
          <w:lang w:val="es-ES_tradnl"/>
        </w:rPr>
      </w:pPr>
      <w:r w:rsidRPr="00757C7A">
        <w:rPr>
          <w:rFonts w:ascii="Arial" w:eastAsiaTheme="minorEastAsia" w:hAnsi="Arial" w:cs="Arial"/>
          <w:sz w:val="16"/>
          <w:szCs w:val="20"/>
          <w:lang w:val="es-ES_tradnl"/>
        </w:rPr>
        <w:t xml:space="preserve">/1 Esta información se obtiene del informe semestral. </w:t>
      </w:r>
    </w:p>
    <w:p w14:paraId="76918FD7" w14:textId="77777777" w:rsidR="00757C7A" w:rsidRPr="00757C7A" w:rsidRDefault="00757C7A" w:rsidP="00757C7A">
      <w:pPr>
        <w:spacing w:line="259" w:lineRule="auto"/>
        <w:contextualSpacing/>
        <w:jc w:val="both"/>
        <w:rPr>
          <w:rFonts w:ascii="Arial" w:eastAsiaTheme="minorEastAsia" w:hAnsi="Arial" w:cs="Arial"/>
          <w:sz w:val="14"/>
          <w:szCs w:val="20"/>
          <w:lang w:val="es-ES_tradnl"/>
        </w:rPr>
      </w:pPr>
      <w:r w:rsidRPr="00757C7A">
        <w:rPr>
          <w:rFonts w:ascii="Arial" w:eastAsiaTheme="minorEastAsia" w:hAnsi="Arial" w:cs="Arial"/>
          <w:sz w:val="16"/>
          <w:szCs w:val="20"/>
          <w:lang w:val="es-ES_tradnl"/>
        </w:rPr>
        <w:t>/2 Esta información se obtiene del archivo Excel remitido por la DGPN, de la hoja “Liquidación”.</w:t>
      </w:r>
    </w:p>
    <w:p w14:paraId="4948137B" w14:textId="77777777" w:rsidR="00757C7A" w:rsidRPr="00757C7A" w:rsidRDefault="00757C7A" w:rsidP="00757C7A">
      <w:pPr>
        <w:spacing w:after="160" w:line="259" w:lineRule="auto"/>
        <w:rPr>
          <w:rFonts w:ascii="Arial" w:eastAsiaTheme="minorEastAsia" w:hAnsi="Arial" w:cs="Arial"/>
          <w:sz w:val="16"/>
          <w:szCs w:val="20"/>
          <w:lang w:val="es-ES_tradnl"/>
        </w:rPr>
      </w:pPr>
      <w:r w:rsidRPr="00757C7A">
        <w:rPr>
          <w:rFonts w:ascii="Arial" w:eastAsiaTheme="minorEastAsia" w:hAnsi="Arial" w:cs="Arial"/>
          <w:sz w:val="16"/>
          <w:szCs w:val="20"/>
          <w:lang w:val="es-ES_tradnl"/>
        </w:rPr>
        <w:t>/3 Indicar directriz, norma o descripción del factor “Otros”.</w:t>
      </w:r>
    </w:p>
    <w:p w14:paraId="528A254E" w14:textId="77777777" w:rsidR="00CD7194" w:rsidRDefault="00CD7194" w:rsidP="00757C7A">
      <w:pPr>
        <w:spacing w:after="160" w:line="360" w:lineRule="auto"/>
        <w:jc w:val="both"/>
        <w:rPr>
          <w:rFonts w:ascii="Arial" w:eastAsiaTheme="minorEastAsia" w:hAnsi="Arial" w:cs="Arial"/>
          <w:bCs/>
          <w:sz w:val="20"/>
          <w:szCs w:val="20"/>
          <w:lang w:val="es-MX"/>
        </w:rPr>
      </w:pPr>
    </w:p>
    <w:p w14:paraId="6203958D" w14:textId="07AEA8B0" w:rsidR="00757C7A" w:rsidRPr="00757C7A" w:rsidRDefault="00757C7A" w:rsidP="00757C7A">
      <w:pPr>
        <w:spacing w:after="160" w:line="360" w:lineRule="auto"/>
        <w:jc w:val="both"/>
        <w:rPr>
          <w:rFonts w:ascii="Arial" w:eastAsiaTheme="minorEastAsia" w:hAnsi="Arial" w:cs="Arial"/>
          <w:bCs/>
          <w:strike/>
          <w:sz w:val="20"/>
          <w:szCs w:val="20"/>
          <w:u w:val="single"/>
          <w:lang w:val="es-MX"/>
        </w:rPr>
      </w:pPr>
      <w:r w:rsidRPr="00757C7A">
        <w:rPr>
          <w:rFonts w:ascii="Arial" w:eastAsiaTheme="minorEastAsia" w:hAnsi="Arial" w:cs="Arial"/>
          <w:bCs/>
          <w:sz w:val="20"/>
          <w:szCs w:val="20"/>
          <w:lang w:val="es-MX"/>
        </w:rPr>
        <w:t>Con respecto a las subpartidas que no presentaron un nivel de ejecución al requerido tanto para el primer semestre como para el segundo, se debe considerar que mucho influye en la demanda de servicios que se requieren por lo tanto es difícil preveer el gasto real, no obstante es importante rescatar que para el 2021 la partida de servicios tuvo un nivel de ejecución bastante importante a pesar de la imprevisibilidad y con respecto a la partida de materiales el nivel de ejecución fue bastante importante a pesar de que se tuvo que enfrentar factores como el COVID 19 y por último en construcción el nivel de avance no fue el esperado sin embargo son proyectos de alto impacto que por la orden de inicio se consideró que los mismos se iban a ejecutar en su mayoría en el 2022.</w:t>
      </w:r>
    </w:p>
    <w:p w14:paraId="692F9F5C" w14:textId="515A9046" w:rsidR="00756C6A" w:rsidRPr="00AE3D7B" w:rsidRDefault="00756C6A" w:rsidP="00756C6A">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lastRenderedPageBreak/>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16</w:t>
      </w:r>
      <w:r w:rsidRPr="00AE3D7B">
        <w:rPr>
          <w:rFonts w:ascii="Arial" w:hAnsi="Arial" w:cs="Arial"/>
          <w:b/>
          <w:bCs/>
          <w:i w:val="0"/>
          <w:iCs w:val="0"/>
          <w:color w:val="auto"/>
          <w:sz w:val="20"/>
          <w:szCs w:val="20"/>
        </w:rPr>
        <w:fldChar w:fldCharType="end"/>
      </w:r>
    </w:p>
    <w:p w14:paraId="4C0C48DE" w14:textId="63016B81" w:rsidR="00757C7A" w:rsidRPr="00757C7A" w:rsidRDefault="00757C7A" w:rsidP="00757C7A">
      <w:pPr>
        <w:spacing w:after="160" w:line="259" w:lineRule="auto"/>
        <w:ind w:left="55"/>
        <w:contextualSpacing/>
        <w:jc w:val="center"/>
        <w:rPr>
          <w:rFonts w:ascii="Arial" w:eastAsiaTheme="minorEastAsia" w:hAnsi="Arial" w:cs="Arial"/>
          <w:b/>
          <w:bCs/>
          <w:color w:val="000000"/>
          <w:sz w:val="20"/>
          <w:szCs w:val="20"/>
          <w:lang w:val="es-CR" w:eastAsia="es-CR"/>
        </w:rPr>
      </w:pPr>
      <w:r w:rsidRPr="00757C7A">
        <w:rPr>
          <w:rFonts w:ascii="Arial" w:eastAsiaTheme="minorEastAsia" w:hAnsi="Arial" w:cs="Arial"/>
          <w:b/>
          <w:sz w:val="20"/>
          <w:szCs w:val="20"/>
          <w:lang w:val="es-CR" w:eastAsia="es-CR"/>
        </w:rPr>
        <w:t>Razones de los resultados obtenidos</w:t>
      </w:r>
    </w:p>
    <w:p w14:paraId="0E5447C4" w14:textId="13EA87E1" w:rsidR="00757C7A" w:rsidRPr="00757C7A" w:rsidRDefault="00BC1E19" w:rsidP="00757C7A">
      <w:pPr>
        <w:jc w:val="center"/>
        <w:rPr>
          <w:rFonts w:ascii="Arial" w:eastAsiaTheme="minorEastAsia" w:hAnsi="Arial" w:cs="Arial"/>
          <w:sz w:val="20"/>
          <w:szCs w:val="20"/>
          <w:lang w:val="es-ES_tradnl"/>
        </w:rPr>
      </w:pPr>
      <w:r>
        <w:rPr>
          <w:rFonts w:ascii="Arial" w:eastAsiaTheme="minorEastAsia" w:hAnsi="Arial" w:cs="Arial"/>
          <w:sz w:val="20"/>
          <w:szCs w:val="20"/>
          <w:lang w:val="es-ES_tradnl"/>
        </w:rPr>
        <w:t>Programa 9</w:t>
      </w:r>
      <w:r w:rsidR="00614AE3">
        <w:rPr>
          <w:rFonts w:ascii="Arial" w:eastAsiaTheme="minorEastAsia" w:hAnsi="Arial" w:cs="Arial"/>
          <w:sz w:val="20"/>
          <w:szCs w:val="20"/>
          <w:lang w:val="es-ES_tradnl"/>
        </w:rPr>
        <w:t>2</w:t>
      </w:r>
      <w:r>
        <w:rPr>
          <w:rFonts w:ascii="Arial" w:eastAsiaTheme="minorEastAsia" w:hAnsi="Arial" w:cs="Arial"/>
          <w:sz w:val="20"/>
          <w:szCs w:val="20"/>
          <w:lang w:val="es-ES_tradnl"/>
        </w:rPr>
        <w:t xml:space="preserve">8 </w:t>
      </w:r>
      <w:r w:rsidR="00757C7A" w:rsidRPr="00757C7A">
        <w:rPr>
          <w:rFonts w:ascii="Arial" w:eastAsiaTheme="minorEastAsia" w:hAnsi="Arial" w:cs="Arial"/>
          <w:sz w:val="20"/>
          <w:szCs w:val="20"/>
          <w:lang w:val="es-ES_tradnl"/>
        </w:rPr>
        <w:t>Organismo de Investigación Judicial</w:t>
      </w:r>
    </w:p>
    <w:p w14:paraId="5251D8E2" w14:textId="77777777" w:rsidR="00757C7A" w:rsidRPr="00757C7A" w:rsidRDefault="00757C7A" w:rsidP="00757C7A">
      <w:pPr>
        <w:spacing w:after="160" w:line="259" w:lineRule="auto"/>
        <w:ind w:left="55"/>
        <w:contextualSpacing/>
        <w:jc w:val="center"/>
        <w:rPr>
          <w:rFonts w:ascii="Arial" w:eastAsiaTheme="minorEastAsia" w:hAnsi="Arial" w:cs="Arial"/>
          <w:sz w:val="20"/>
          <w:szCs w:val="20"/>
          <w:lang w:val="es-ES_tradnl"/>
        </w:rPr>
      </w:pPr>
      <w:r w:rsidRPr="00757C7A">
        <w:rPr>
          <w:rFonts w:ascii="Arial" w:eastAsiaTheme="minorEastAsia" w:hAnsi="Arial" w:cs="Arial"/>
          <w:color w:val="000000"/>
          <w:sz w:val="20"/>
          <w:szCs w:val="20"/>
          <w:lang w:val="es-CR" w:eastAsia="es-CR"/>
        </w:rPr>
        <w:t xml:space="preserve">Partidas con avance menor al 45,00% al 30/06/2021 y menor al 90,00% </w:t>
      </w:r>
      <w:r w:rsidRPr="00757C7A">
        <w:rPr>
          <w:rFonts w:ascii="Arial" w:eastAsiaTheme="minorEastAsia" w:hAnsi="Arial" w:cs="Arial"/>
          <w:sz w:val="20"/>
          <w:szCs w:val="20"/>
          <w:lang w:val="es-ES_tradnl"/>
        </w:rPr>
        <w:t>al 31/12/2021</w:t>
      </w:r>
    </w:p>
    <w:p w14:paraId="28FA3629" w14:textId="77777777" w:rsidR="00757C7A" w:rsidRPr="00757C7A" w:rsidRDefault="00757C7A" w:rsidP="00757C7A">
      <w:pPr>
        <w:spacing w:after="160" w:line="259" w:lineRule="auto"/>
        <w:ind w:left="55"/>
        <w:contextualSpacing/>
        <w:jc w:val="center"/>
        <w:rPr>
          <w:rFonts w:ascii="Arial" w:eastAsiaTheme="minorEastAsia" w:hAnsi="Arial" w:cs="Arial"/>
          <w:sz w:val="20"/>
          <w:szCs w:val="20"/>
          <w:lang w:val="es-ES_tradnl"/>
        </w:rPr>
      </w:pPr>
    </w:p>
    <w:tbl>
      <w:tblPr>
        <w:tblStyle w:val="Listaclara-nfasis113"/>
        <w:tblW w:w="4950" w:type="pct"/>
        <w:tblLook w:val="00A0" w:firstRow="1" w:lastRow="0" w:firstColumn="1" w:lastColumn="0" w:noHBand="0" w:noVBand="0"/>
      </w:tblPr>
      <w:tblGrid>
        <w:gridCol w:w="1281"/>
        <w:gridCol w:w="2253"/>
        <w:gridCol w:w="2745"/>
        <w:gridCol w:w="2120"/>
      </w:tblGrid>
      <w:tr w:rsidR="00757C7A" w:rsidRPr="00757C7A" w14:paraId="3D6E1D70"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21FC977E" w14:textId="77777777" w:rsidR="00757C7A" w:rsidRPr="00757C7A" w:rsidRDefault="00757C7A" w:rsidP="00757C7A">
            <w:pPr>
              <w:contextualSpacing/>
              <w:jc w:val="center"/>
              <w:rPr>
                <w:rFonts w:ascii="Arial" w:hAnsi="Arial" w:cs="Arial"/>
                <w:bCs w:val="0"/>
                <w:sz w:val="20"/>
                <w:szCs w:val="20"/>
                <w:lang w:val="es-CR"/>
              </w:rPr>
            </w:pPr>
            <w:r w:rsidRPr="00757C7A">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724C7305" w14:textId="77777777" w:rsidR="00757C7A" w:rsidRPr="00757C7A" w:rsidRDefault="00757C7A" w:rsidP="00757C7A">
            <w:pPr>
              <w:contextualSpacing/>
              <w:jc w:val="center"/>
              <w:rPr>
                <w:rFonts w:ascii="Arial" w:hAnsi="Arial" w:cs="Arial"/>
                <w:b w:val="0"/>
                <w:bCs w:val="0"/>
                <w:sz w:val="20"/>
                <w:szCs w:val="20"/>
                <w:lang w:val="es-CR"/>
              </w:rPr>
            </w:pPr>
            <w:r w:rsidRPr="00757C7A">
              <w:rPr>
                <w:rFonts w:ascii="Arial" w:hAnsi="Arial" w:cs="Arial"/>
                <w:sz w:val="20"/>
                <w:szCs w:val="20"/>
                <w:lang w:val="es-CR"/>
              </w:rPr>
              <w:t>Factores</w:t>
            </w:r>
          </w:p>
          <w:p w14:paraId="79E57422" w14:textId="77777777" w:rsidR="00757C7A" w:rsidRPr="00757C7A" w:rsidRDefault="00757C7A" w:rsidP="00757C7A">
            <w:pPr>
              <w:contextualSpacing/>
              <w:jc w:val="center"/>
              <w:rPr>
                <w:rFonts w:ascii="Arial" w:hAnsi="Arial" w:cs="Arial"/>
                <w:sz w:val="20"/>
                <w:szCs w:val="20"/>
                <w:lang w:val="es-CR"/>
              </w:rPr>
            </w:pPr>
            <w:r w:rsidRPr="00757C7A">
              <w:rPr>
                <w:rFonts w:ascii="Arial" w:hAnsi="Arial" w:cs="Arial"/>
                <w:sz w:val="20"/>
                <w:szCs w:val="20"/>
                <w:lang w:val="es-CR"/>
              </w:rPr>
              <w:t xml:space="preserve">al 30/06/2021 </w:t>
            </w:r>
            <w:r w:rsidRPr="00757C7A">
              <w:rPr>
                <w:rFonts w:ascii="Arial" w:hAnsi="Arial" w:cs="Arial"/>
                <w:sz w:val="20"/>
                <w:szCs w:val="20"/>
                <w:vertAlign w:val="superscript"/>
                <w:lang w:val="es-CR"/>
              </w:rPr>
              <w:t>/1</w:t>
            </w:r>
          </w:p>
        </w:tc>
        <w:tc>
          <w:tcPr>
            <w:tcW w:w="1634" w:type="pct"/>
            <w:vAlign w:val="center"/>
          </w:tcPr>
          <w:p w14:paraId="72A53D27" w14:textId="77777777" w:rsidR="00757C7A" w:rsidRPr="00757C7A" w:rsidRDefault="00757C7A" w:rsidP="00757C7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757C7A">
              <w:rPr>
                <w:rFonts w:ascii="Arial" w:hAnsi="Arial" w:cs="Arial"/>
                <w:sz w:val="20"/>
                <w:szCs w:val="20"/>
                <w:lang w:val="es-CR"/>
              </w:rPr>
              <w:t xml:space="preserve">Acciones correctivas </w:t>
            </w:r>
            <w:r w:rsidRPr="00757C7A">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4827E44C" w14:textId="77777777" w:rsidR="00757C7A" w:rsidRPr="00757C7A" w:rsidRDefault="00757C7A" w:rsidP="00757C7A">
            <w:pPr>
              <w:contextualSpacing/>
              <w:jc w:val="center"/>
              <w:rPr>
                <w:rFonts w:ascii="Arial" w:hAnsi="Arial" w:cs="Arial"/>
                <w:bCs w:val="0"/>
                <w:sz w:val="20"/>
                <w:szCs w:val="20"/>
                <w:lang w:val="es-CR"/>
              </w:rPr>
            </w:pPr>
            <w:r w:rsidRPr="00757C7A">
              <w:rPr>
                <w:rFonts w:ascii="Arial" w:hAnsi="Arial" w:cs="Arial"/>
                <w:sz w:val="20"/>
                <w:szCs w:val="20"/>
                <w:lang w:val="es-CR"/>
              </w:rPr>
              <w:t xml:space="preserve">Razones </w:t>
            </w:r>
            <w:r w:rsidRPr="00757C7A">
              <w:rPr>
                <w:rFonts w:ascii="Arial" w:hAnsi="Arial" w:cs="Arial"/>
                <w:sz w:val="20"/>
                <w:szCs w:val="20"/>
                <w:vertAlign w:val="superscript"/>
                <w:lang w:val="es-CR"/>
              </w:rPr>
              <w:t>/3</w:t>
            </w:r>
          </w:p>
        </w:tc>
      </w:tr>
      <w:tr w:rsidR="00757C7A" w:rsidRPr="00757C7A" w14:paraId="6A13FC8B"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446C25C2" w14:textId="77777777" w:rsidR="00757C7A" w:rsidRPr="00757C7A" w:rsidRDefault="00757C7A" w:rsidP="00757C7A">
            <w:pPr>
              <w:contextualSpacing/>
              <w:jc w:val="both"/>
              <w:rPr>
                <w:rFonts w:ascii="Arial" w:hAnsi="Arial" w:cs="Arial"/>
                <w:b w:val="0"/>
                <w:bCs w:val="0"/>
                <w:sz w:val="20"/>
                <w:szCs w:val="20"/>
                <w:lang w:val="es-CR"/>
              </w:rPr>
            </w:pPr>
            <w:bookmarkStart w:id="26" w:name="_Hlk92977582"/>
            <w:r w:rsidRPr="00757C7A">
              <w:rPr>
                <w:rFonts w:ascii="Arial" w:hAnsi="Arial" w:cs="Arial"/>
                <w:b w:val="0"/>
                <w:bCs w:val="0"/>
                <w:sz w:val="20"/>
                <w:szCs w:val="20"/>
                <w:lang w:val="es-CR"/>
              </w:rPr>
              <w:t>Servicios.</w:t>
            </w:r>
          </w:p>
        </w:tc>
        <w:tc>
          <w:tcPr>
            <w:cnfStyle w:val="000010000000" w:firstRow="0" w:lastRow="0" w:firstColumn="0" w:lastColumn="0" w:oddVBand="1" w:evenVBand="0" w:oddHBand="0" w:evenHBand="0" w:firstRowFirstColumn="0" w:firstRowLastColumn="0" w:lastRowFirstColumn="0" w:lastRowLastColumn="0"/>
            <w:tcW w:w="1341" w:type="pct"/>
          </w:tcPr>
          <w:p w14:paraId="03F155AD" w14:textId="77777777" w:rsidR="00757C7A" w:rsidRPr="00757C7A" w:rsidRDefault="00757C7A" w:rsidP="00757C7A">
            <w:pPr>
              <w:rPr>
                <w:rFonts w:ascii="Arial" w:hAnsi="Arial" w:cs="Arial"/>
                <w:bCs/>
                <w:sz w:val="20"/>
                <w:szCs w:val="20"/>
                <w:lang w:val="es-CR"/>
              </w:rPr>
            </w:pPr>
            <w:r w:rsidRPr="00757C7A">
              <w:rPr>
                <w:rFonts w:ascii="Arial" w:hAnsi="Arial" w:cs="Arial"/>
                <w:bCs/>
                <w:sz w:val="20"/>
                <w:szCs w:val="20"/>
                <w:lang w:val="es-CR"/>
              </w:rPr>
              <w:t>1, 3,10</w:t>
            </w:r>
          </w:p>
          <w:p w14:paraId="5C708B4A" w14:textId="77777777" w:rsidR="00757C7A" w:rsidRPr="00757C7A" w:rsidRDefault="00757C7A" w:rsidP="00757C7A">
            <w:pPr>
              <w:rPr>
                <w:rFonts w:ascii="Arial" w:hAnsi="Arial" w:cs="Arial"/>
                <w:bCs/>
                <w:sz w:val="20"/>
                <w:szCs w:val="20"/>
                <w:lang w:val="es-CR"/>
              </w:rPr>
            </w:pPr>
          </w:p>
        </w:tc>
        <w:tc>
          <w:tcPr>
            <w:tcW w:w="1634" w:type="pct"/>
          </w:tcPr>
          <w:p w14:paraId="649C6D9F"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Factor 1, 3 y 10: Como se ha indicado en informes anteriores, las subpartidas correspondientes a servicios son imprevisibles y es difícil poder establecer parámetros reales de ejecución ya que las mismas dependen de diferentes factores que pueden afectar en una ejecución más aterrizada.  Para el año 2021 por el factor COVID siguió afectando algunos servicios. </w:t>
            </w:r>
          </w:p>
          <w:p w14:paraId="60266180"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Por motivo de la pandemia, el servicio de lavandería disminuyó considerablemente, debido a que la cantidad de pacientes que se atienden en Medicina Legal y el Departamento de Ciencias Forenses bajó. También se disminuyó el uso de sabanas y paños; en vista que se empezaron a utilizar productos desechables como sábanas descartables, </w:t>
            </w:r>
            <w:r w:rsidRPr="00757C7A">
              <w:rPr>
                <w:rFonts w:ascii="Arial" w:hAnsi="Arial" w:cs="Arial"/>
                <w:bCs/>
                <w:sz w:val="20"/>
                <w:szCs w:val="20"/>
              </w:rPr>
              <w:lastRenderedPageBreak/>
              <w:t>cobertor de papel para las camillas y toallas de papel.</w:t>
            </w:r>
          </w:p>
          <w:p w14:paraId="3B774531"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Los servicios médicos disminuyeron por el mismo tema. También se encontró algunos sobrantes importantes en mantenimientos de equipos los cuales se someterán a revisión.  </w:t>
            </w:r>
          </w:p>
          <w:p w14:paraId="69A62C89"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Para los servicios del pago de radio troncalizado, reparación de vehículos y pago de viáticos, los mismos son ejecutados y pagados mensualmente.  </w:t>
            </w:r>
          </w:p>
          <w:p w14:paraId="27076567"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
                <w:sz w:val="20"/>
                <w:szCs w:val="20"/>
              </w:rPr>
              <w:t>Acciones correctivas</w:t>
            </w:r>
            <w:r w:rsidRPr="00757C7A">
              <w:rPr>
                <w:rFonts w:ascii="Arial" w:hAnsi="Arial" w:cs="Arial"/>
                <w:bCs/>
                <w:sz w:val="20"/>
                <w:szCs w:val="20"/>
              </w:rPr>
              <w:t>: factores 1, 3 y 10:  se procederá a revisar los históricos y proyecciones de contratos para determinar si hay subpartidas que proyectan alguna disminución del gasto para tratar de redireccionar los recursos.</w:t>
            </w:r>
          </w:p>
          <w:p w14:paraId="61C9EDE4"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Para los servicios que son pagados mensualmente y se terminan de contratar en el II semestre, se estará dando un seguimiento en la </w:t>
            </w:r>
            <w:r w:rsidRPr="00757C7A">
              <w:rPr>
                <w:rFonts w:ascii="Arial" w:hAnsi="Arial" w:cs="Arial"/>
                <w:bCs/>
                <w:sz w:val="20"/>
                <w:szCs w:val="20"/>
              </w:rPr>
              <w:lastRenderedPageBreak/>
              <w:t xml:space="preserve">presentación de facturas por parte del proveedor, para coordinar los pagos a la brevedad posible. </w:t>
            </w:r>
          </w:p>
          <w:p w14:paraId="1AB83CFD" w14:textId="77777777" w:rsidR="00757C7A" w:rsidRPr="00757C7A" w:rsidRDefault="00757C7A" w:rsidP="00757C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C00000"/>
                <w:sz w:val="20"/>
                <w:szCs w:val="20"/>
                <w:lang w:val="es-CR"/>
              </w:rPr>
            </w:pPr>
            <w:r w:rsidRPr="00757C7A">
              <w:rPr>
                <w:rFonts w:ascii="Arial" w:hAnsi="Arial" w:cs="Arial"/>
                <w:bCs/>
                <w:sz w:val="20"/>
                <w:szCs w:val="20"/>
              </w:rPr>
              <w:t>Se estará realizando un seguimiento de con las oficinas de las líneas que aún están sin tramitar, esto con el fin de verificar la necesidad o bien cederlo para atender otras necesidades institucionales.</w:t>
            </w:r>
          </w:p>
        </w:tc>
        <w:tc>
          <w:tcPr>
            <w:cnfStyle w:val="000010000000" w:firstRow="0" w:lastRow="0" w:firstColumn="0" w:lastColumn="0" w:oddVBand="1" w:evenVBand="0" w:oddHBand="0" w:evenHBand="0" w:firstRowFirstColumn="0" w:firstRowLastColumn="0" w:lastRowFirstColumn="0" w:lastRowLastColumn="0"/>
            <w:tcW w:w="1262" w:type="pct"/>
          </w:tcPr>
          <w:p w14:paraId="290884BD" w14:textId="77777777" w:rsidR="00757C7A" w:rsidRPr="00757C7A" w:rsidRDefault="00757C7A" w:rsidP="00757C7A">
            <w:pPr>
              <w:spacing w:line="360" w:lineRule="auto"/>
              <w:contextualSpacing/>
              <w:jc w:val="both"/>
              <w:rPr>
                <w:rFonts w:ascii="Arial" w:hAnsi="Arial" w:cs="Arial"/>
                <w:bCs/>
                <w:sz w:val="20"/>
                <w:szCs w:val="20"/>
              </w:rPr>
            </w:pPr>
            <w:r w:rsidRPr="00757C7A">
              <w:rPr>
                <w:rFonts w:ascii="Arial" w:hAnsi="Arial" w:cs="Arial"/>
                <w:bCs/>
                <w:sz w:val="20"/>
                <w:szCs w:val="20"/>
              </w:rPr>
              <w:lastRenderedPageBreak/>
              <w:t>Con respecto a la partida de servicios hay algunas subpartidas que por su naturaleza no es posible prever el gasto real, por ejemplo, la subpartida 10805 que corresponde a mantenimiento de equipo de transporte, depende de los mantenimientos correctivos que se deban realizar, así como los eventos que por colisiones u otros se presenten.  Para esta subpartida se presentaron compromisos no devengados que se dieron en el último mes y que era no posible el pago.</w:t>
            </w:r>
          </w:p>
          <w:p w14:paraId="46D8FD6F" w14:textId="77777777" w:rsidR="00757C7A" w:rsidRPr="00757C7A" w:rsidRDefault="00757C7A" w:rsidP="00757C7A">
            <w:pPr>
              <w:spacing w:line="360" w:lineRule="auto"/>
              <w:jc w:val="both"/>
              <w:rPr>
                <w:sz w:val="20"/>
                <w:szCs w:val="20"/>
              </w:rPr>
            </w:pPr>
            <w:r w:rsidRPr="00757C7A">
              <w:rPr>
                <w:rFonts w:ascii="Arial" w:hAnsi="Arial" w:cs="Arial"/>
                <w:bCs/>
                <w:sz w:val="20"/>
                <w:szCs w:val="20"/>
              </w:rPr>
              <w:t xml:space="preserve">Además, se tienen los contratos de </w:t>
            </w:r>
            <w:r w:rsidRPr="00757C7A">
              <w:rPr>
                <w:rFonts w:ascii="Arial" w:hAnsi="Arial" w:cs="Arial"/>
                <w:bCs/>
                <w:sz w:val="20"/>
                <w:szCs w:val="20"/>
              </w:rPr>
              <w:lastRenderedPageBreak/>
              <w:t>mantenimientos de equipos, los cuales son principalmente equipos especializados de los Departamentos de Ciencias Forenses y Medicina Legal que pactan en los contratos cambio de partes o consumibles pero que dependerán del estado de los mismos un gasto más elevado.</w:t>
            </w:r>
          </w:p>
          <w:p w14:paraId="0D7F5CB3" w14:textId="77777777" w:rsidR="00757C7A" w:rsidRPr="00757C7A" w:rsidRDefault="00757C7A" w:rsidP="00757C7A">
            <w:pPr>
              <w:contextualSpacing/>
              <w:jc w:val="both"/>
              <w:rPr>
                <w:rFonts w:ascii="Arial" w:hAnsi="Arial" w:cs="Arial"/>
                <w:bCs/>
                <w:sz w:val="20"/>
                <w:szCs w:val="20"/>
              </w:rPr>
            </w:pPr>
          </w:p>
        </w:tc>
      </w:tr>
      <w:bookmarkEnd w:id="26"/>
      <w:tr w:rsidR="00757C7A" w:rsidRPr="00757C7A" w14:paraId="367913EA"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763" w:type="pct"/>
          </w:tcPr>
          <w:p w14:paraId="1BCC3F35" w14:textId="77777777" w:rsidR="00757C7A" w:rsidRPr="00757C7A" w:rsidRDefault="00757C7A" w:rsidP="00757C7A">
            <w:pPr>
              <w:contextualSpacing/>
              <w:jc w:val="both"/>
              <w:rPr>
                <w:rFonts w:ascii="Arial" w:hAnsi="Arial" w:cs="Arial"/>
                <w:b w:val="0"/>
                <w:bCs w:val="0"/>
                <w:color w:val="C00000"/>
                <w:sz w:val="20"/>
                <w:szCs w:val="20"/>
                <w:lang w:val="es-CR"/>
              </w:rPr>
            </w:pPr>
            <w:r w:rsidRPr="00757C7A">
              <w:rPr>
                <w:rFonts w:ascii="Arial" w:hAnsi="Arial" w:cs="Arial"/>
                <w:b w:val="0"/>
                <w:bCs w:val="0"/>
                <w:sz w:val="20"/>
                <w:szCs w:val="20"/>
                <w:lang w:val="es-CR"/>
              </w:rPr>
              <w:lastRenderedPageBreak/>
              <w:t>Materiales y Suministros</w:t>
            </w:r>
          </w:p>
        </w:tc>
        <w:tc>
          <w:tcPr>
            <w:cnfStyle w:val="000010000000" w:firstRow="0" w:lastRow="0" w:firstColumn="0" w:lastColumn="0" w:oddVBand="1" w:evenVBand="0" w:oddHBand="0" w:evenHBand="0" w:firstRowFirstColumn="0" w:firstRowLastColumn="0" w:lastRowFirstColumn="0" w:lastRowLastColumn="0"/>
            <w:tcW w:w="1341" w:type="pct"/>
          </w:tcPr>
          <w:p w14:paraId="05A19E83" w14:textId="77777777" w:rsidR="00757C7A" w:rsidRPr="00757C7A" w:rsidRDefault="00757C7A" w:rsidP="00757C7A">
            <w:pPr>
              <w:rPr>
                <w:rFonts w:ascii="Arial" w:hAnsi="Arial" w:cs="Arial"/>
                <w:bCs/>
                <w:color w:val="C00000"/>
                <w:sz w:val="20"/>
                <w:szCs w:val="20"/>
                <w:lang w:val="es-CR"/>
              </w:rPr>
            </w:pPr>
            <w:r w:rsidRPr="00757C7A">
              <w:rPr>
                <w:rFonts w:ascii="Arial" w:hAnsi="Arial" w:cs="Arial"/>
                <w:bCs/>
                <w:sz w:val="20"/>
                <w:szCs w:val="20"/>
              </w:rPr>
              <w:t>1, 2 y 10</w:t>
            </w:r>
          </w:p>
        </w:tc>
        <w:tc>
          <w:tcPr>
            <w:tcW w:w="1634" w:type="pct"/>
          </w:tcPr>
          <w:p w14:paraId="244ABB4B" w14:textId="77777777" w:rsidR="00757C7A" w:rsidRPr="00757C7A" w:rsidRDefault="00757C7A" w:rsidP="00757C7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Factor 1, 2 y 10: El impacto generado con el covid, vino a variar las metodologías de trabajo y se tuvo una disminución en los inventarios de artículos que por lo general tenían una rotación más alta. </w:t>
            </w:r>
          </w:p>
          <w:p w14:paraId="61FFEC75" w14:textId="77777777" w:rsidR="00757C7A" w:rsidRPr="00757C7A" w:rsidRDefault="00757C7A" w:rsidP="00757C7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Existen otras subpartidas como la 20402 para compra de repuestos para vehículos y la 20203 de alimentación de detenidos, en donde los montos consumidos son bastante altos, pero se va pagando mensualmente.</w:t>
            </w:r>
          </w:p>
          <w:p w14:paraId="321F37E5" w14:textId="77777777" w:rsidR="00757C7A" w:rsidRPr="00757C7A" w:rsidRDefault="00757C7A" w:rsidP="00757C7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Además, se tiene proyectado realizar compras de montos considerables </w:t>
            </w:r>
            <w:r w:rsidRPr="00757C7A">
              <w:rPr>
                <w:rFonts w:ascii="Arial" w:hAnsi="Arial" w:cs="Arial"/>
                <w:bCs/>
                <w:sz w:val="20"/>
                <w:szCs w:val="20"/>
              </w:rPr>
              <w:lastRenderedPageBreak/>
              <w:t xml:space="preserve">para el II semestre, como por ejemplo compra de guantes para uso de cárceles, repuestos para equipo de radio-comunicación y chalecos antibalas.  </w:t>
            </w:r>
          </w:p>
          <w:p w14:paraId="72B01B8A" w14:textId="2FBE46E2" w:rsidR="00757C7A" w:rsidRPr="00757C7A" w:rsidRDefault="00757C7A" w:rsidP="00757C7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57C7A">
              <w:rPr>
                <w:rFonts w:ascii="Arial" w:hAnsi="Arial" w:cs="Arial"/>
                <w:b/>
                <w:sz w:val="20"/>
                <w:szCs w:val="20"/>
              </w:rPr>
              <w:t>Acciones Correctivas</w:t>
            </w:r>
            <w:r w:rsidRPr="00757C7A">
              <w:rPr>
                <w:rFonts w:ascii="Arial" w:hAnsi="Arial" w:cs="Arial"/>
                <w:bCs/>
                <w:sz w:val="20"/>
                <w:szCs w:val="20"/>
              </w:rPr>
              <w:t xml:space="preserve">, factores 1, 2 y 10: Se reforzará aún más el control de líneas asignadas a las oficinas usuarias para brindar plazos razonables de ejecución y que el presupuesto se logre ejecutar en los casos que se permita en un tiempo menor.  Se continuará con la línea de </w:t>
            </w:r>
            <w:r w:rsidR="00412EB8" w:rsidRPr="00757C7A">
              <w:rPr>
                <w:rFonts w:ascii="Arial" w:hAnsi="Arial" w:cs="Arial"/>
                <w:bCs/>
                <w:sz w:val="20"/>
                <w:szCs w:val="20"/>
              </w:rPr>
              <w:t>c</w:t>
            </w:r>
            <w:r w:rsidRPr="00757C7A">
              <w:rPr>
                <w:rFonts w:ascii="Arial" w:hAnsi="Arial" w:cs="Arial"/>
                <w:bCs/>
                <w:sz w:val="20"/>
                <w:szCs w:val="20"/>
              </w:rPr>
              <w:t xml:space="preserve">ompras conjuntas, las cuales permiten unificar procedimientos que agilizan </w:t>
            </w:r>
            <w:r w:rsidR="00412EB8" w:rsidRPr="00757C7A">
              <w:rPr>
                <w:rFonts w:ascii="Arial" w:hAnsi="Arial" w:cs="Arial"/>
                <w:bCs/>
                <w:sz w:val="20"/>
                <w:szCs w:val="20"/>
              </w:rPr>
              <w:t>L</w:t>
            </w:r>
            <w:r w:rsidRPr="00757C7A">
              <w:rPr>
                <w:rFonts w:ascii="Arial" w:hAnsi="Arial" w:cs="Arial"/>
                <w:bCs/>
                <w:sz w:val="20"/>
                <w:szCs w:val="20"/>
              </w:rPr>
              <w:t xml:space="preserve">as entregas de las necesidades a las distintas oficinas.  Se reforzará aún más el tema de contratos según demanda, en caso de que se tengan líneas que pueden ingresar bajo esta modalidad y se revisarán mensualmente disminuciones en el gasto que permita reforzar otras </w:t>
            </w:r>
            <w:r w:rsidRPr="00757C7A">
              <w:rPr>
                <w:rFonts w:ascii="Arial" w:hAnsi="Arial" w:cs="Arial"/>
                <w:bCs/>
                <w:sz w:val="20"/>
                <w:szCs w:val="20"/>
              </w:rPr>
              <w:lastRenderedPageBreak/>
              <w:t>subpartidas que presenten faltantes.</w:t>
            </w:r>
          </w:p>
          <w:p w14:paraId="691D64AE" w14:textId="77777777" w:rsidR="00757C7A" w:rsidRPr="00757C7A" w:rsidRDefault="00757C7A" w:rsidP="00757C7A">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En el caso de las compras que se tienen programadas para el II semestre, se realizaran en los primeros meses, esto con el fin de cumplir con la meta y así asegurar que los artículos están ingresando en este año y evitar compromisos no devengados. </w:t>
            </w:r>
          </w:p>
          <w:p w14:paraId="27AC689D" w14:textId="77777777" w:rsidR="00757C7A" w:rsidRPr="00757C7A" w:rsidRDefault="00757C7A" w:rsidP="00757C7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C00000"/>
                <w:sz w:val="20"/>
                <w:szCs w:val="20"/>
                <w:lang w:val="es-CR"/>
              </w:rPr>
            </w:pPr>
            <w:r w:rsidRPr="00757C7A">
              <w:rPr>
                <w:rFonts w:ascii="Arial" w:hAnsi="Arial" w:cs="Arial"/>
                <w:bCs/>
                <w:sz w:val="20"/>
                <w:szCs w:val="20"/>
              </w:rPr>
              <w:t>Se estará realizando un seguimiento con las oficinas de las líneas que aún están sin tramitar, esto con el fin de verificar la necesidad o bien cederlo para atender otras necesidades institucionales.</w:t>
            </w:r>
          </w:p>
        </w:tc>
        <w:tc>
          <w:tcPr>
            <w:cnfStyle w:val="000010000000" w:firstRow="0" w:lastRow="0" w:firstColumn="0" w:lastColumn="0" w:oddVBand="1" w:evenVBand="0" w:oddHBand="0" w:evenHBand="0" w:firstRowFirstColumn="0" w:firstRowLastColumn="0" w:lastRowFirstColumn="0" w:lastRowLastColumn="0"/>
            <w:tcW w:w="1262" w:type="pct"/>
          </w:tcPr>
          <w:p w14:paraId="1C361D1D" w14:textId="76B7D021" w:rsidR="00757C7A" w:rsidRPr="00757C7A" w:rsidRDefault="00757C7A" w:rsidP="00757C7A">
            <w:pPr>
              <w:spacing w:line="360" w:lineRule="auto"/>
              <w:jc w:val="both"/>
              <w:rPr>
                <w:sz w:val="20"/>
                <w:szCs w:val="20"/>
              </w:rPr>
            </w:pPr>
            <w:r w:rsidRPr="00757C7A">
              <w:rPr>
                <w:rFonts w:ascii="Arial" w:hAnsi="Arial" w:cs="Arial"/>
                <w:bCs/>
                <w:sz w:val="20"/>
                <w:szCs w:val="20"/>
              </w:rPr>
              <w:lastRenderedPageBreak/>
              <w:t xml:space="preserve">En el caso de las partidas 2, se tienen identificadas subpartidas que por su naturaleza corresponden a contratos según demanda como es el caso de reactivos del Departamento de Ciencias Forenses y Medicina Legal los cuales dependen de la rotación de inventarios.  Mismo efecto sucede con la compra de repuestos que dependen de los mantenimientos </w:t>
            </w:r>
            <w:r w:rsidRPr="00757C7A">
              <w:rPr>
                <w:rFonts w:ascii="Arial" w:hAnsi="Arial" w:cs="Arial"/>
                <w:bCs/>
                <w:sz w:val="20"/>
                <w:szCs w:val="20"/>
              </w:rPr>
              <w:lastRenderedPageBreak/>
              <w:t xml:space="preserve">preventivos y correctivos de la flotilla vehicular la cual ronda en </w:t>
            </w:r>
            <w:r w:rsidR="00CD7194" w:rsidRPr="00757C7A">
              <w:rPr>
                <w:rFonts w:ascii="Arial" w:hAnsi="Arial" w:cs="Arial"/>
                <w:bCs/>
                <w:sz w:val="20"/>
                <w:szCs w:val="20"/>
              </w:rPr>
              <w:t>600 vehículos</w:t>
            </w:r>
            <w:r w:rsidRPr="00757C7A">
              <w:rPr>
                <w:rFonts w:ascii="Arial" w:hAnsi="Arial" w:cs="Arial"/>
                <w:bCs/>
                <w:sz w:val="20"/>
                <w:szCs w:val="20"/>
              </w:rPr>
              <w:t xml:space="preserve">.  Por otra </w:t>
            </w:r>
            <w:r w:rsidR="00CD7194" w:rsidRPr="00757C7A">
              <w:rPr>
                <w:rFonts w:ascii="Arial" w:hAnsi="Arial" w:cs="Arial"/>
                <w:bCs/>
                <w:sz w:val="20"/>
                <w:szCs w:val="20"/>
              </w:rPr>
              <w:t>parte,</w:t>
            </w:r>
            <w:r w:rsidRPr="00757C7A">
              <w:rPr>
                <w:rFonts w:ascii="Arial" w:hAnsi="Arial" w:cs="Arial"/>
                <w:bCs/>
                <w:sz w:val="20"/>
                <w:szCs w:val="20"/>
              </w:rPr>
              <w:t xml:space="preserve"> están los repuestos de los equipos especializados de Ciencias Forenses y Medicina Legal que dependen del estado de los mismos.  Además, por el tema COVID se presupuestó para afrontar la pandemia, sin embargo, al darse un efecto a la baja que permitió una demanda menor.  </w:t>
            </w:r>
          </w:p>
          <w:p w14:paraId="63079F59" w14:textId="77777777" w:rsidR="00757C7A" w:rsidRPr="00757C7A" w:rsidRDefault="00757C7A" w:rsidP="00757C7A">
            <w:pPr>
              <w:contextualSpacing/>
              <w:jc w:val="both"/>
              <w:rPr>
                <w:rFonts w:ascii="Arial" w:hAnsi="Arial" w:cs="Arial"/>
                <w:bCs/>
                <w:sz w:val="20"/>
                <w:szCs w:val="20"/>
              </w:rPr>
            </w:pPr>
          </w:p>
        </w:tc>
      </w:tr>
      <w:tr w:rsidR="00757C7A" w:rsidRPr="00757C7A" w14:paraId="06BB207A"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5DFDD824" w14:textId="77777777" w:rsidR="00757C7A" w:rsidRPr="00757C7A" w:rsidRDefault="00757C7A" w:rsidP="00757C7A">
            <w:pPr>
              <w:spacing w:line="360" w:lineRule="auto"/>
              <w:contextualSpacing/>
              <w:jc w:val="both"/>
              <w:rPr>
                <w:rFonts w:ascii="Arial" w:hAnsi="Arial" w:cs="Arial"/>
                <w:b w:val="0"/>
                <w:bCs w:val="0"/>
                <w:sz w:val="20"/>
                <w:szCs w:val="20"/>
                <w:lang w:val="es-CR"/>
              </w:rPr>
            </w:pPr>
            <w:r w:rsidRPr="00757C7A">
              <w:rPr>
                <w:rFonts w:ascii="Arial" w:hAnsi="Arial" w:cs="Arial"/>
                <w:b w:val="0"/>
                <w:bCs w:val="0"/>
                <w:sz w:val="20"/>
                <w:szCs w:val="20"/>
              </w:rPr>
              <w:lastRenderedPageBreak/>
              <w:t>Bienes duraderos</w:t>
            </w:r>
          </w:p>
        </w:tc>
        <w:tc>
          <w:tcPr>
            <w:cnfStyle w:val="000010000000" w:firstRow="0" w:lastRow="0" w:firstColumn="0" w:lastColumn="0" w:oddVBand="1" w:evenVBand="0" w:oddHBand="0" w:evenHBand="0" w:firstRowFirstColumn="0" w:firstRowLastColumn="0" w:lastRowFirstColumn="0" w:lastRowLastColumn="0"/>
            <w:tcW w:w="1341" w:type="pct"/>
          </w:tcPr>
          <w:p w14:paraId="6E59B8A3" w14:textId="77777777" w:rsidR="00757C7A" w:rsidRPr="00757C7A" w:rsidRDefault="00757C7A" w:rsidP="00757C7A">
            <w:pPr>
              <w:spacing w:line="360" w:lineRule="auto"/>
              <w:rPr>
                <w:rFonts w:ascii="Arial" w:hAnsi="Arial" w:cs="Arial"/>
                <w:bCs/>
                <w:sz w:val="20"/>
                <w:szCs w:val="20"/>
                <w:lang w:val="es-CR"/>
              </w:rPr>
            </w:pPr>
            <w:r w:rsidRPr="00757C7A">
              <w:rPr>
                <w:rFonts w:ascii="Arial" w:hAnsi="Arial" w:cs="Arial"/>
                <w:bCs/>
                <w:sz w:val="20"/>
                <w:szCs w:val="20"/>
              </w:rPr>
              <w:t>10 y 3</w:t>
            </w:r>
          </w:p>
        </w:tc>
        <w:tc>
          <w:tcPr>
            <w:tcW w:w="1634" w:type="pct"/>
          </w:tcPr>
          <w:p w14:paraId="030D4413"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Factor 10 y 3:  Para este año se están trabajando proyectos con montos bastante importantes. En el caso del incinerador de drogas los recursos fueron inyectados por parte del ICD en el mes de abril, por lo que se tramitó de manera urgente el tema de especificaciones y se </w:t>
            </w:r>
            <w:r w:rsidRPr="00757C7A">
              <w:rPr>
                <w:rFonts w:ascii="Arial" w:hAnsi="Arial" w:cs="Arial"/>
                <w:bCs/>
                <w:sz w:val="20"/>
                <w:szCs w:val="20"/>
              </w:rPr>
              <w:lastRenderedPageBreak/>
              <w:t xml:space="preserve">procedió con el envío a la Proveeduría. </w:t>
            </w:r>
          </w:p>
          <w:p w14:paraId="2EF92DF2"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Con respecto al proyecto de Morgue Auxiliar, el mismo dio inicio en el mes de junio, debido a que se tuvieron que atender varias consultas para el proveedor y por parte de la Contraloría. </w:t>
            </w:r>
          </w:p>
          <w:p w14:paraId="28647ABA"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757C7A">
              <w:rPr>
                <w:rFonts w:ascii="Arial" w:hAnsi="Arial" w:cs="Arial"/>
                <w:bCs/>
                <w:sz w:val="20"/>
                <w:szCs w:val="20"/>
              </w:rPr>
              <w:t xml:space="preserve">Así mismo, para los vehículos, se encuentra en trámite la ejecución de 50% de 2 contrataciones y la compra de una grúa. Además, el saldo que está quedando es para afrontar posibles pagos que se tengan que realizar después de los avalúos realizados a los vehículos que se entregan como parte de pago. También se deja un remanente por temas de diferencial cambiario. </w:t>
            </w:r>
          </w:p>
          <w:p w14:paraId="31C50BEF" w14:textId="4A7F13F3"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Se </w:t>
            </w:r>
            <w:r w:rsidR="00CD7194" w:rsidRPr="00757C7A">
              <w:rPr>
                <w:rFonts w:ascii="Arial" w:hAnsi="Arial" w:cs="Arial"/>
                <w:bCs/>
                <w:sz w:val="20"/>
                <w:szCs w:val="20"/>
              </w:rPr>
              <w:t>está</w:t>
            </w:r>
            <w:r w:rsidRPr="00757C7A">
              <w:rPr>
                <w:rFonts w:ascii="Arial" w:hAnsi="Arial" w:cs="Arial"/>
                <w:bCs/>
                <w:sz w:val="20"/>
                <w:szCs w:val="20"/>
              </w:rPr>
              <w:t xml:space="preserve"> coordinando con el Dirección de Tecnología de la Información una compra importante de equipos de cómputo. </w:t>
            </w:r>
          </w:p>
          <w:p w14:paraId="6F67ABE9"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
                <w:sz w:val="20"/>
                <w:szCs w:val="20"/>
              </w:rPr>
              <w:t>Acciones Correctivas,</w:t>
            </w:r>
            <w:r w:rsidRPr="00757C7A">
              <w:rPr>
                <w:rFonts w:ascii="Arial" w:hAnsi="Arial" w:cs="Arial"/>
                <w:bCs/>
                <w:sz w:val="20"/>
                <w:szCs w:val="20"/>
              </w:rPr>
              <w:t xml:space="preserve"> factores 3 y 10: Se brindará </w:t>
            </w:r>
            <w:r w:rsidRPr="00757C7A">
              <w:rPr>
                <w:rFonts w:ascii="Arial" w:hAnsi="Arial" w:cs="Arial"/>
                <w:bCs/>
                <w:sz w:val="20"/>
                <w:szCs w:val="20"/>
              </w:rPr>
              <w:lastRenderedPageBreak/>
              <w:t>un seguimiento a los proyectos en trámite.  En caso de verificar que por factores externos o internos alguna línea no se pueda adquirir, se tratará de redireccionar los recursos a otras necesidades institucionales.</w:t>
            </w:r>
          </w:p>
          <w:p w14:paraId="773AEC8C"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En el caso de las compras que se tienen programadas para el II semestre, se realizaran en los primeros meses, esto con el fin de cumplir con meta y así asegurar que los artículos están ingresando en este año y evitar compromisos no devengados. </w:t>
            </w:r>
          </w:p>
          <w:p w14:paraId="2A91AE12" w14:textId="77777777" w:rsidR="00757C7A" w:rsidRPr="00757C7A" w:rsidRDefault="00757C7A" w:rsidP="00757C7A">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57C7A">
              <w:rPr>
                <w:rFonts w:ascii="Arial" w:hAnsi="Arial" w:cs="Arial"/>
                <w:bCs/>
                <w:sz w:val="20"/>
                <w:szCs w:val="20"/>
              </w:rPr>
              <w:t xml:space="preserve">Para los proyectos de Construcción se esta estará dando un seguimiento con el acompañamiento del Departamento de Servicios Generales. </w:t>
            </w:r>
          </w:p>
          <w:p w14:paraId="31CFC214" w14:textId="77777777" w:rsidR="00757C7A" w:rsidRPr="00757C7A" w:rsidRDefault="00757C7A" w:rsidP="00757C7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62" w:type="pct"/>
          </w:tcPr>
          <w:p w14:paraId="0A55556E" w14:textId="3361FAD4" w:rsidR="00757C7A" w:rsidRPr="00757C7A" w:rsidRDefault="00757C7A" w:rsidP="00757C7A">
            <w:pPr>
              <w:spacing w:line="360" w:lineRule="auto"/>
              <w:contextualSpacing/>
              <w:jc w:val="both"/>
              <w:rPr>
                <w:rFonts w:ascii="Arial" w:hAnsi="Arial" w:cs="Arial"/>
                <w:bCs/>
                <w:sz w:val="20"/>
                <w:szCs w:val="20"/>
                <w:lang w:val="es-CR"/>
              </w:rPr>
            </w:pPr>
            <w:r w:rsidRPr="00757C7A">
              <w:rPr>
                <w:rFonts w:ascii="Arial" w:hAnsi="Arial" w:cs="Arial"/>
                <w:bCs/>
                <w:sz w:val="20"/>
                <w:szCs w:val="20"/>
                <w:lang w:val="es-CR"/>
              </w:rPr>
              <w:lastRenderedPageBreak/>
              <w:t xml:space="preserve">Los tres megaproyectos que se tenían para </w:t>
            </w:r>
            <w:r w:rsidR="00CD7194" w:rsidRPr="00757C7A">
              <w:rPr>
                <w:rFonts w:ascii="Arial" w:hAnsi="Arial" w:cs="Arial"/>
                <w:bCs/>
                <w:sz w:val="20"/>
                <w:szCs w:val="20"/>
                <w:lang w:val="es-CR"/>
              </w:rPr>
              <w:t>el 2021</w:t>
            </w:r>
            <w:r w:rsidRPr="00757C7A">
              <w:rPr>
                <w:rFonts w:ascii="Arial" w:hAnsi="Arial" w:cs="Arial"/>
                <w:bCs/>
                <w:sz w:val="20"/>
                <w:szCs w:val="20"/>
                <w:lang w:val="es-CR"/>
              </w:rPr>
              <w:t xml:space="preserve"> no se lograron culminar, en el caso de la Morgue Auxiliar ya se tenía preestablecido que la ejecución recaería tanto en el 2021 como el 2022 debido a la orden de inicio </w:t>
            </w:r>
            <w:r w:rsidRPr="00757C7A">
              <w:rPr>
                <w:rFonts w:ascii="Arial" w:hAnsi="Arial" w:cs="Arial"/>
                <w:bCs/>
                <w:sz w:val="20"/>
                <w:szCs w:val="20"/>
                <w:lang w:val="es-CR"/>
              </w:rPr>
              <w:lastRenderedPageBreak/>
              <w:t>del mismo.  En cuanto a los proyectos del incinerador los pedidos correspondientes se generaron en el último trimestre del año por lo que no fue posible ejecutarlos.</w:t>
            </w:r>
          </w:p>
        </w:tc>
      </w:tr>
    </w:tbl>
    <w:p w14:paraId="53D98EAF" w14:textId="77777777" w:rsidR="00757C7A" w:rsidRPr="00757C7A" w:rsidRDefault="00757C7A" w:rsidP="00757C7A">
      <w:pPr>
        <w:spacing w:after="160" w:line="259" w:lineRule="auto"/>
        <w:contextualSpacing/>
        <w:jc w:val="both"/>
        <w:rPr>
          <w:rFonts w:ascii="Arial" w:eastAsiaTheme="minorEastAsia" w:hAnsi="Arial" w:cs="Arial"/>
          <w:bCs/>
          <w:sz w:val="16"/>
          <w:szCs w:val="16"/>
          <w:lang w:val="es-CR"/>
        </w:rPr>
      </w:pPr>
      <w:r w:rsidRPr="00757C7A">
        <w:rPr>
          <w:rFonts w:ascii="Arial" w:eastAsiaTheme="minorEastAsia" w:hAnsi="Arial" w:cs="Arial"/>
          <w:b/>
          <w:sz w:val="16"/>
          <w:szCs w:val="16"/>
          <w:lang w:val="es-CR"/>
        </w:rPr>
        <w:lastRenderedPageBreak/>
        <w:t>Fuente</w:t>
      </w:r>
      <w:r w:rsidRPr="00757C7A">
        <w:rPr>
          <w:rFonts w:ascii="Arial" w:eastAsiaTheme="minorEastAsia" w:hAnsi="Arial" w:cs="Arial"/>
          <w:sz w:val="16"/>
          <w:szCs w:val="16"/>
          <w:lang w:val="es-CR"/>
        </w:rPr>
        <w:t xml:space="preserve">: </w:t>
      </w:r>
      <w:r w:rsidRPr="00757C7A">
        <w:rPr>
          <w:rFonts w:ascii="Arial" w:eastAsiaTheme="minorEastAsia" w:hAnsi="Arial" w:cs="Arial"/>
          <w:sz w:val="16"/>
          <w:szCs w:val="20"/>
        </w:rPr>
        <w:t>Módulo de poderes al 31-12-21</w:t>
      </w:r>
    </w:p>
    <w:p w14:paraId="5C43A969" w14:textId="77777777" w:rsidR="00757C7A" w:rsidRPr="00757C7A" w:rsidRDefault="00757C7A" w:rsidP="00757C7A">
      <w:pPr>
        <w:spacing w:after="160" w:line="259" w:lineRule="auto"/>
        <w:contextualSpacing/>
        <w:jc w:val="both"/>
        <w:rPr>
          <w:rFonts w:ascii="Arial" w:eastAsiaTheme="minorEastAsia" w:hAnsi="Arial" w:cs="Arial"/>
          <w:sz w:val="16"/>
          <w:szCs w:val="16"/>
          <w:lang w:val="es-CR"/>
        </w:rPr>
      </w:pPr>
      <w:r w:rsidRPr="00757C7A">
        <w:rPr>
          <w:rFonts w:ascii="Arial" w:eastAsiaTheme="minorEastAsia" w:hAnsi="Arial" w:cs="Arial"/>
          <w:sz w:val="16"/>
          <w:szCs w:val="16"/>
          <w:lang w:val="es-CR"/>
        </w:rPr>
        <w:t>/1</w:t>
      </w:r>
      <w:r w:rsidRPr="00757C7A">
        <w:rPr>
          <w:rFonts w:ascii="Arial" w:eastAsiaTheme="minorEastAsia" w:hAnsi="Arial" w:cs="Arial"/>
          <w:b/>
          <w:sz w:val="16"/>
          <w:szCs w:val="16"/>
          <w:lang w:val="es-CR"/>
        </w:rPr>
        <w:t xml:space="preserve"> </w:t>
      </w:r>
      <w:r w:rsidRPr="00757C7A">
        <w:rPr>
          <w:rFonts w:ascii="Arial" w:eastAsiaTheme="minorEastAsia" w:hAnsi="Arial" w:cs="Arial"/>
          <w:sz w:val="16"/>
          <w:szCs w:val="16"/>
          <w:lang w:val="es-CR"/>
        </w:rPr>
        <w:t>Indicar la descripción del factor señalado en el informe de seguimiento semestral.</w:t>
      </w:r>
    </w:p>
    <w:p w14:paraId="2AC7192E" w14:textId="77777777" w:rsidR="00757C7A" w:rsidRPr="00757C7A" w:rsidRDefault="00757C7A" w:rsidP="00757C7A">
      <w:pPr>
        <w:spacing w:after="160" w:line="259" w:lineRule="auto"/>
        <w:contextualSpacing/>
        <w:jc w:val="both"/>
        <w:rPr>
          <w:rFonts w:ascii="Arial" w:eastAsiaTheme="minorEastAsia" w:hAnsi="Arial" w:cs="Arial"/>
          <w:sz w:val="16"/>
          <w:szCs w:val="16"/>
          <w:lang w:val="es-CR"/>
        </w:rPr>
      </w:pPr>
      <w:r w:rsidRPr="00757C7A">
        <w:rPr>
          <w:rFonts w:ascii="Arial" w:eastAsiaTheme="minorEastAsia" w:hAnsi="Arial" w:cs="Arial"/>
          <w:sz w:val="16"/>
          <w:szCs w:val="16"/>
          <w:lang w:val="es-CR"/>
        </w:rPr>
        <w:t>/2 Se refieren a las acciones propuestas en el informe de seguimiento semestral.</w:t>
      </w:r>
    </w:p>
    <w:p w14:paraId="331DD31A" w14:textId="77777777" w:rsidR="00757C7A" w:rsidRDefault="00757C7A" w:rsidP="00757C7A">
      <w:pPr>
        <w:spacing w:after="160" w:line="259" w:lineRule="auto"/>
        <w:contextualSpacing/>
        <w:jc w:val="both"/>
        <w:rPr>
          <w:rFonts w:ascii="Arial" w:eastAsiaTheme="minorEastAsia" w:hAnsi="Arial" w:cs="Arial"/>
          <w:sz w:val="16"/>
          <w:szCs w:val="16"/>
          <w:lang w:val="es-CR"/>
        </w:rPr>
      </w:pPr>
      <w:r w:rsidRPr="00757C7A">
        <w:rPr>
          <w:rFonts w:ascii="Arial" w:eastAsiaTheme="minorEastAsia" w:hAnsi="Arial" w:cs="Arial"/>
          <w:sz w:val="16"/>
          <w:szCs w:val="16"/>
          <w:lang w:val="es-CR"/>
        </w:rPr>
        <w:t>/3</w:t>
      </w:r>
      <w:r w:rsidRPr="00757C7A">
        <w:rPr>
          <w:rFonts w:ascii="Arial" w:eastAsiaTheme="minorEastAsia" w:hAnsi="Arial" w:cs="Arial"/>
          <w:b/>
          <w:sz w:val="16"/>
          <w:szCs w:val="16"/>
          <w:lang w:val="es-CR"/>
        </w:rPr>
        <w:t xml:space="preserve"> </w:t>
      </w:r>
      <w:r w:rsidRPr="00757C7A">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52CF246C" w14:textId="77777777" w:rsidR="00CD7194" w:rsidRDefault="00CD7194" w:rsidP="00757C7A">
      <w:pPr>
        <w:spacing w:after="160" w:line="259" w:lineRule="auto"/>
        <w:contextualSpacing/>
        <w:jc w:val="both"/>
        <w:rPr>
          <w:rFonts w:ascii="Arial" w:eastAsiaTheme="minorEastAsia" w:hAnsi="Arial" w:cs="Arial"/>
          <w:sz w:val="16"/>
          <w:szCs w:val="16"/>
          <w:lang w:val="es-CR"/>
        </w:rPr>
      </w:pPr>
    </w:p>
    <w:p w14:paraId="1131FEB3" w14:textId="77777777" w:rsidR="00CD7194" w:rsidRDefault="00CD7194" w:rsidP="00757C7A">
      <w:pPr>
        <w:spacing w:after="160" w:line="259" w:lineRule="auto"/>
        <w:contextualSpacing/>
        <w:jc w:val="both"/>
        <w:rPr>
          <w:rFonts w:ascii="Arial" w:eastAsiaTheme="minorEastAsia" w:hAnsi="Arial" w:cs="Arial"/>
          <w:sz w:val="16"/>
          <w:szCs w:val="16"/>
          <w:lang w:val="es-CR"/>
        </w:rPr>
      </w:pPr>
    </w:p>
    <w:p w14:paraId="4273B389" w14:textId="77777777" w:rsidR="00CD7194" w:rsidRDefault="00CD7194" w:rsidP="00757C7A">
      <w:pPr>
        <w:spacing w:after="160" w:line="259" w:lineRule="auto"/>
        <w:contextualSpacing/>
        <w:jc w:val="both"/>
        <w:rPr>
          <w:rFonts w:ascii="Arial" w:eastAsiaTheme="minorEastAsia" w:hAnsi="Arial" w:cs="Arial"/>
          <w:sz w:val="16"/>
          <w:szCs w:val="16"/>
          <w:lang w:val="es-CR"/>
        </w:rPr>
      </w:pPr>
    </w:p>
    <w:p w14:paraId="0CF159A5" w14:textId="77777777" w:rsidR="00CD7194" w:rsidRPr="00757C7A" w:rsidRDefault="00CD7194" w:rsidP="00757C7A">
      <w:pPr>
        <w:spacing w:after="160" w:line="259" w:lineRule="auto"/>
        <w:contextualSpacing/>
        <w:jc w:val="both"/>
        <w:rPr>
          <w:rFonts w:ascii="Arial" w:eastAsiaTheme="minorEastAsia" w:hAnsi="Arial" w:cs="Arial"/>
          <w:sz w:val="16"/>
          <w:szCs w:val="16"/>
          <w:lang w:val="es-CR"/>
        </w:rPr>
      </w:pPr>
    </w:p>
    <w:p w14:paraId="1A385AAC" w14:textId="77777777" w:rsidR="00757C7A" w:rsidRPr="00757C7A" w:rsidRDefault="00757C7A" w:rsidP="00757C7A">
      <w:pPr>
        <w:spacing w:after="160" w:line="259" w:lineRule="auto"/>
        <w:contextualSpacing/>
        <w:jc w:val="both"/>
        <w:rPr>
          <w:rFonts w:ascii="Arial" w:eastAsiaTheme="minorEastAsia" w:hAnsi="Arial" w:cs="Arial"/>
          <w:b/>
          <w:sz w:val="16"/>
          <w:szCs w:val="16"/>
          <w:lang w:val="es-CR"/>
        </w:rPr>
      </w:pPr>
    </w:p>
    <w:p w14:paraId="13D00671" w14:textId="50EEE019" w:rsidR="00961918" w:rsidRPr="00AE3D7B" w:rsidRDefault="00961918" w:rsidP="00961918">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17</w:t>
      </w:r>
      <w:r w:rsidRPr="00AE3D7B">
        <w:rPr>
          <w:rFonts w:ascii="Arial" w:hAnsi="Arial" w:cs="Arial"/>
          <w:b/>
          <w:bCs/>
          <w:i w:val="0"/>
          <w:iCs w:val="0"/>
          <w:color w:val="auto"/>
          <w:sz w:val="20"/>
          <w:szCs w:val="20"/>
        </w:rPr>
        <w:fldChar w:fldCharType="end"/>
      </w:r>
    </w:p>
    <w:p w14:paraId="7BCA88D7" w14:textId="2E93D7CC" w:rsidR="00757C7A" w:rsidRPr="00757C7A" w:rsidRDefault="00757C7A" w:rsidP="00757C7A">
      <w:pPr>
        <w:spacing w:after="160" w:line="259" w:lineRule="auto"/>
        <w:ind w:left="55"/>
        <w:contextualSpacing/>
        <w:jc w:val="center"/>
        <w:rPr>
          <w:rFonts w:ascii="Arial" w:eastAsiaTheme="minorEastAsia" w:hAnsi="Arial" w:cs="Arial"/>
          <w:b/>
          <w:bCs/>
          <w:color w:val="000000"/>
          <w:sz w:val="20"/>
          <w:szCs w:val="20"/>
          <w:lang w:val="es-CR" w:eastAsia="es-CR"/>
        </w:rPr>
      </w:pPr>
      <w:r w:rsidRPr="00757C7A">
        <w:rPr>
          <w:rFonts w:ascii="Arial" w:eastAsiaTheme="minorEastAsia" w:hAnsi="Arial" w:cs="Arial"/>
          <w:b/>
          <w:sz w:val="20"/>
          <w:szCs w:val="20"/>
          <w:lang w:val="es-CR" w:eastAsia="es-CR"/>
        </w:rPr>
        <w:t>Acciones correctivas y fechas de implementación</w:t>
      </w:r>
    </w:p>
    <w:p w14:paraId="23F093DF" w14:textId="543F6B16" w:rsidR="00757C7A" w:rsidRPr="00757C7A" w:rsidRDefault="00BC1E19" w:rsidP="00757C7A">
      <w:pPr>
        <w:jc w:val="center"/>
        <w:rPr>
          <w:rFonts w:ascii="Arial" w:eastAsiaTheme="minorEastAsia" w:hAnsi="Arial" w:cs="Arial"/>
          <w:sz w:val="20"/>
          <w:szCs w:val="20"/>
          <w:lang w:val="es-ES_tradnl"/>
        </w:rPr>
      </w:pPr>
      <w:r>
        <w:rPr>
          <w:rFonts w:ascii="Arial" w:eastAsiaTheme="minorEastAsia" w:hAnsi="Arial" w:cs="Arial"/>
          <w:sz w:val="20"/>
          <w:szCs w:val="20"/>
          <w:lang w:val="es-ES_tradnl"/>
        </w:rPr>
        <w:t xml:space="preserve">Programa </w:t>
      </w:r>
      <w:r w:rsidR="00B96040">
        <w:rPr>
          <w:rFonts w:ascii="Arial" w:eastAsiaTheme="minorEastAsia" w:hAnsi="Arial" w:cs="Arial"/>
          <w:sz w:val="20"/>
          <w:szCs w:val="20"/>
          <w:lang w:val="es-ES_tradnl"/>
        </w:rPr>
        <w:t xml:space="preserve">928 </w:t>
      </w:r>
      <w:r w:rsidR="00757C7A" w:rsidRPr="00757C7A">
        <w:rPr>
          <w:rFonts w:ascii="Arial" w:eastAsiaTheme="minorEastAsia" w:hAnsi="Arial" w:cs="Arial"/>
          <w:sz w:val="20"/>
          <w:szCs w:val="20"/>
          <w:lang w:val="es-ES_tradnl"/>
        </w:rPr>
        <w:t>Organismo de Investigación Judicial</w:t>
      </w:r>
    </w:p>
    <w:p w14:paraId="5F659DEA" w14:textId="77777777" w:rsidR="00757C7A" w:rsidRPr="00757C7A" w:rsidRDefault="00757C7A" w:rsidP="00757C7A">
      <w:pPr>
        <w:spacing w:after="160" w:line="259" w:lineRule="auto"/>
        <w:ind w:left="55"/>
        <w:contextualSpacing/>
        <w:jc w:val="center"/>
        <w:rPr>
          <w:rFonts w:ascii="Arial" w:eastAsiaTheme="minorEastAsia" w:hAnsi="Arial" w:cs="Arial"/>
          <w:color w:val="000000"/>
          <w:sz w:val="20"/>
          <w:szCs w:val="20"/>
          <w:lang w:val="es-CR" w:eastAsia="es-CR"/>
        </w:rPr>
      </w:pPr>
      <w:r w:rsidRPr="00757C7A">
        <w:rPr>
          <w:rFonts w:ascii="Arial" w:eastAsiaTheme="minorEastAsia" w:hAnsi="Arial" w:cs="Arial"/>
          <w:color w:val="000000"/>
          <w:sz w:val="20"/>
          <w:szCs w:val="20"/>
          <w:lang w:val="es-CR" w:eastAsia="es-CR"/>
        </w:rPr>
        <w:t xml:space="preserve">Partidas con ejecución menor al 90,00% </w:t>
      </w:r>
    </w:p>
    <w:p w14:paraId="5867F3EC" w14:textId="77777777" w:rsidR="00757C7A" w:rsidRPr="00757C7A" w:rsidRDefault="00757C7A" w:rsidP="00757C7A">
      <w:pPr>
        <w:jc w:val="center"/>
        <w:rPr>
          <w:rFonts w:ascii="Arial" w:eastAsiaTheme="minorEastAsia" w:hAnsi="Arial" w:cs="Arial"/>
          <w:color w:val="000000"/>
          <w:sz w:val="20"/>
          <w:szCs w:val="20"/>
          <w:lang w:val="es-CR" w:eastAsia="es-CR"/>
        </w:rPr>
      </w:pPr>
      <w:r w:rsidRPr="00757C7A">
        <w:rPr>
          <w:rFonts w:ascii="Arial" w:eastAsiaTheme="minorEastAsia" w:hAnsi="Arial" w:cs="Arial"/>
          <w:sz w:val="20"/>
          <w:szCs w:val="20"/>
          <w:lang w:val="es-ES_tradnl"/>
        </w:rPr>
        <w:t>Al 31 de diciembre 2021</w:t>
      </w:r>
    </w:p>
    <w:tbl>
      <w:tblPr>
        <w:tblStyle w:val="Listaclara-nfasis113"/>
        <w:tblW w:w="4921" w:type="pct"/>
        <w:tblLook w:val="00A0" w:firstRow="1" w:lastRow="0" w:firstColumn="1" w:lastColumn="0" w:noHBand="0" w:noVBand="0"/>
      </w:tblPr>
      <w:tblGrid>
        <w:gridCol w:w="1283"/>
        <w:gridCol w:w="1139"/>
        <w:gridCol w:w="2577"/>
        <w:gridCol w:w="1612"/>
        <w:gridCol w:w="1739"/>
      </w:tblGrid>
      <w:tr w:rsidR="00757C7A" w:rsidRPr="00757C7A" w14:paraId="5AEBE897"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8" w:type="pct"/>
            <w:vAlign w:val="center"/>
          </w:tcPr>
          <w:p w14:paraId="27057D60" w14:textId="77777777" w:rsidR="00757C7A" w:rsidRPr="00757C7A" w:rsidRDefault="00757C7A" w:rsidP="00757C7A">
            <w:pPr>
              <w:contextualSpacing/>
              <w:jc w:val="center"/>
              <w:rPr>
                <w:rFonts w:ascii="Arial" w:hAnsi="Arial" w:cs="Arial"/>
                <w:bCs w:val="0"/>
                <w:sz w:val="20"/>
                <w:szCs w:val="20"/>
                <w:lang w:val="es-CR"/>
              </w:rPr>
            </w:pPr>
            <w:r w:rsidRPr="00757C7A">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682" w:type="pct"/>
            <w:vAlign w:val="center"/>
          </w:tcPr>
          <w:p w14:paraId="18A7A125" w14:textId="77777777" w:rsidR="00757C7A" w:rsidRPr="00757C7A" w:rsidRDefault="00757C7A" w:rsidP="00757C7A">
            <w:pPr>
              <w:contextualSpacing/>
              <w:jc w:val="center"/>
              <w:rPr>
                <w:rFonts w:ascii="Arial" w:hAnsi="Arial" w:cs="Arial"/>
                <w:sz w:val="20"/>
                <w:szCs w:val="20"/>
                <w:lang w:val="es-CR"/>
              </w:rPr>
            </w:pPr>
            <w:r w:rsidRPr="00757C7A">
              <w:rPr>
                <w:rFonts w:ascii="Arial" w:hAnsi="Arial" w:cs="Arial"/>
                <w:sz w:val="20"/>
                <w:szCs w:val="20"/>
                <w:lang w:val="es-CR"/>
              </w:rPr>
              <w:t xml:space="preserve">Nivel de ejecución </w:t>
            </w:r>
            <w:r w:rsidRPr="00757C7A">
              <w:rPr>
                <w:rFonts w:ascii="Arial" w:hAnsi="Arial" w:cs="Arial"/>
                <w:sz w:val="20"/>
                <w:szCs w:val="20"/>
                <w:vertAlign w:val="superscript"/>
                <w:lang w:val="es-CR"/>
              </w:rPr>
              <w:t>/1</w:t>
            </w:r>
          </w:p>
        </w:tc>
        <w:tc>
          <w:tcPr>
            <w:tcW w:w="1543" w:type="pct"/>
            <w:vAlign w:val="center"/>
          </w:tcPr>
          <w:p w14:paraId="71DDD70A" w14:textId="77777777" w:rsidR="00757C7A" w:rsidRPr="00757C7A" w:rsidRDefault="00757C7A" w:rsidP="00757C7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757C7A">
              <w:rPr>
                <w:rFonts w:ascii="Arial" w:hAnsi="Arial" w:cs="Arial"/>
                <w:sz w:val="20"/>
                <w:szCs w:val="20"/>
                <w:lang w:val="es-CR"/>
              </w:rPr>
              <w:t xml:space="preserve">Acciones correctivas </w:t>
            </w:r>
            <w:r w:rsidRPr="00757C7A">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965" w:type="pct"/>
            <w:vAlign w:val="center"/>
          </w:tcPr>
          <w:p w14:paraId="668F893A" w14:textId="77777777" w:rsidR="00757C7A" w:rsidRPr="00757C7A" w:rsidRDefault="00757C7A" w:rsidP="00757C7A">
            <w:pPr>
              <w:contextualSpacing/>
              <w:jc w:val="center"/>
              <w:rPr>
                <w:rFonts w:ascii="Arial" w:hAnsi="Arial" w:cs="Arial"/>
                <w:sz w:val="20"/>
                <w:szCs w:val="20"/>
                <w:lang w:val="es-CR"/>
              </w:rPr>
            </w:pPr>
            <w:r w:rsidRPr="00757C7A">
              <w:rPr>
                <w:rFonts w:ascii="Arial" w:hAnsi="Arial" w:cs="Arial"/>
                <w:sz w:val="20"/>
                <w:szCs w:val="20"/>
                <w:lang w:val="es-CR"/>
              </w:rPr>
              <w:t xml:space="preserve">Persona responsable de brindar la información </w:t>
            </w:r>
          </w:p>
        </w:tc>
        <w:tc>
          <w:tcPr>
            <w:tcW w:w="1041" w:type="pct"/>
            <w:vAlign w:val="center"/>
          </w:tcPr>
          <w:p w14:paraId="2B9053CF" w14:textId="77777777" w:rsidR="00757C7A" w:rsidRPr="00757C7A" w:rsidRDefault="00757C7A" w:rsidP="00757C7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CR"/>
              </w:rPr>
            </w:pPr>
            <w:r w:rsidRPr="00757C7A">
              <w:rPr>
                <w:rFonts w:ascii="Arial" w:hAnsi="Arial" w:cs="Arial"/>
                <w:sz w:val="20"/>
                <w:szCs w:val="20"/>
                <w:lang w:val="es-CR"/>
              </w:rPr>
              <w:t xml:space="preserve">Fecha de implementación </w:t>
            </w:r>
            <w:r w:rsidRPr="00757C7A">
              <w:rPr>
                <w:rFonts w:ascii="Arial" w:hAnsi="Arial" w:cs="Arial"/>
                <w:sz w:val="20"/>
                <w:szCs w:val="20"/>
                <w:vertAlign w:val="superscript"/>
                <w:lang w:val="es-CR"/>
              </w:rPr>
              <w:t>/3</w:t>
            </w:r>
          </w:p>
        </w:tc>
      </w:tr>
      <w:tr w:rsidR="00757C7A" w:rsidRPr="00757C7A" w14:paraId="7A1EC284" w14:textId="77777777" w:rsidTr="00465D52">
        <w:trPr>
          <w:cnfStyle w:val="000000100000" w:firstRow="0" w:lastRow="0" w:firstColumn="0" w:lastColumn="0" w:oddVBand="0" w:evenVBand="0" w:oddHBand="1" w:evenHBand="0" w:firstRowFirstColumn="0" w:firstRowLastColumn="0" w:lastRowFirstColumn="0" w:lastRowLastColumn="0"/>
          <w:trHeight w:val="2471"/>
        </w:trPr>
        <w:tc>
          <w:tcPr>
            <w:cnfStyle w:val="001000000000" w:firstRow="0" w:lastRow="0" w:firstColumn="1" w:lastColumn="0" w:oddVBand="0" w:evenVBand="0" w:oddHBand="0" w:evenHBand="0" w:firstRowFirstColumn="0" w:firstRowLastColumn="0" w:lastRowFirstColumn="0" w:lastRowLastColumn="0"/>
            <w:tcW w:w="768" w:type="pct"/>
          </w:tcPr>
          <w:p w14:paraId="2746D222" w14:textId="77777777" w:rsidR="00757C7A" w:rsidRPr="00757C7A" w:rsidRDefault="00757C7A" w:rsidP="00757C7A">
            <w:pPr>
              <w:contextualSpacing/>
              <w:jc w:val="both"/>
              <w:rPr>
                <w:rFonts w:ascii="Arial" w:hAnsi="Arial" w:cs="Arial"/>
                <w:b w:val="0"/>
                <w:bCs w:val="0"/>
                <w:sz w:val="20"/>
                <w:szCs w:val="20"/>
                <w:lang w:val="es-CR"/>
              </w:rPr>
            </w:pPr>
            <w:r w:rsidRPr="00757C7A">
              <w:rPr>
                <w:rFonts w:ascii="Arial" w:hAnsi="Arial" w:cs="Arial"/>
                <w:b w:val="0"/>
                <w:bCs w:val="0"/>
                <w:sz w:val="20"/>
                <w:szCs w:val="20"/>
                <w:lang w:val="es-CR"/>
              </w:rPr>
              <w:t>Servicios</w:t>
            </w:r>
          </w:p>
        </w:tc>
        <w:tc>
          <w:tcPr>
            <w:cnfStyle w:val="000010000000" w:firstRow="0" w:lastRow="0" w:firstColumn="0" w:lastColumn="0" w:oddVBand="1" w:evenVBand="0" w:oddHBand="0" w:evenHBand="0" w:firstRowFirstColumn="0" w:firstRowLastColumn="0" w:lastRowFirstColumn="0" w:lastRowLastColumn="0"/>
            <w:tcW w:w="682" w:type="pct"/>
          </w:tcPr>
          <w:p w14:paraId="62F81DB1" w14:textId="77777777" w:rsidR="00757C7A" w:rsidRPr="00757C7A" w:rsidRDefault="00757C7A" w:rsidP="00757C7A">
            <w:pPr>
              <w:rPr>
                <w:rFonts w:ascii="Arial" w:hAnsi="Arial" w:cs="Arial"/>
                <w:bCs/>
                <w:sz w:val="20"/>
                <w:szCs w:val="20"/>
                <w:lang w:val="es-CR"/>
              </w:rPr>
            </w:pPr>
            <w:r w:rsidRPr="00757C7A">
              <w:rPr>
                <w:rFonts w:ascii="Arial" w:hAnsi="Arial" w:cs="Arial"/>
                <w:bCs/>
                <w:sz w:val="20"/>
                <w:szCs w:val="20"/>
                <w:lang w:val="es-CR"/>
              </w:rPr>
              <w:t>88,09%</w:t>
            </w:r>
          </w:p>
        </w:tc>
        <w:tc>
          <w:tcPr>
            <w:tcW w:w="1543" w:type="pct"/>
          </w:tcPr>
          <w:p w14:paraId="63980A1B" w14:textId="7D474BCD" w:rsidR="00757C7A" w:rsidRPr="00757C7A" w:rsidRDefault="00757C7A" w:rsidP="00757C7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sz w:val="20"/>
                <w:szCs w:val="20"/>
                <w:lang w:val="es-CR"/>
              </w:rPr>
              <w:t xml:space="preserve">Se tratará en la medida de lo posible llevar el control mensual del gasto de las subpartidas que han presentado altos porcentajes de ejecución con el fin de valorar la posibilidad de redireccionar recursos, no </w:t>
            </w:r>
            <w:r w:rsidR="002422B1" w:rsidRPr="00757C7A">
              <w:rPr>
                <w:rFonts w:ascii="Arial" w:hAnsi="Arial" w:cs="Arial"/>
                <w:sz w:val="20"/>
                <w:szCs w:val="20"/>
                <w:lang w:val="es-CR"/>
              </w:rPr>
              <w:t>obstante,</w:t>
            </w:r>
            <w:r w:rsidRPr="00757C7A">
              <w:rPr>
                <w:rFonts w:ascii="Arial" w:hAnsi="Arial" w:cs="Arial"/>
                <w:sz w:val="20"/>
                <w:szCs w:val="20"/>
                <w:lang w:val="es-CR"/>
              </w:rPr>
              <w:t xml:space="preserve"> es importante recordar que son subpartidas con gasto imprevisible.</w:t>
            </w:r>
          </w:p>
        </w:tc>
        <w:tc>
          <w:tcPr>
            <w:cnfStyle w:val="000010000000" w:firstRow="0" w:lastRow="0" w:firstColumn="0" w:lastColumn="0" w:oddVBand="1" w:evenVBand="0" w:oddHBand="0" w:evenHBand="0" w:firstRowFirstColumn="0" w:firstRowLastColumn="0" w:lastRowFirstColumn="0" w:lastRowLastColumn="0"/>
            <w:tcW w:w="965" w:type="pct"/>
          </w:tcPr>
          <w:p w14:paraId="5AC8A2D8" w14:textId="77777777" w:rsidR="00757C7A" w:rsidRPr="00757C7A" w:rsidRDefault="00757C7A" w:rsidP="00757C7A">
            <w:pPr>
              <w:contextualSpacing/>
              <w:jc w:val="both"/>
              <w:rPr>
                <w:rFonts w:ascii="Arial" w:hAnsi="Arial" w:cs="Arial"/>
                <w:bCs/>
                <w:sz w:val="20"/>
                <w:szCs w:val="20"/>
                <w:lang w:val="es-CR"/>
              </w:rPr>
            </w:pPr>
            <w:r w:rsidRPr="00757C7A">
              <w:rPr>
                <w:rFonts w:ascii="Arial" w:hAnsi="Arial" w:cs="Arial"/>
                <w:bCs/>
                <w:sz w:val="20"/>
                <w:szCs w:val="20"/>
                <w:lang w:val="es-CR"/>
              </w:rPr>
              <w:t>Carolina Castillo Obando</w:t>
            </w:r>
          </w:p>
        </w:tc>
        <w:tc>
          <w:tcPr>
            <w:tcW w:w="1041" w:type="pct"/>
          </w:tcPr>
          <w:p w14:paraId="5E1C2E08" w14:textId="77777777" w:rsidR="00757C7A" w:rsidRPr="00757C7A" w:rsidRDefault="00757C7A" w:rsidP="00757C7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01-03-2022</w:t>
            </w:r>
          </w:p>
        </w:tc>
      </w:tr>
      <w:tr w:rsidR="00757C7A" w:rsidRPr="00757C7A" w14:paraId="3719754F"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768" w:type="pct"/>
          </w:tcPr>
          <w:p w14:paraId="09194B73" w14:textId="77777777" w:rsidR="00757C7A" w:rsidRPr="00757C7A" w:rsidRDefault="00757C7A" w:rsidP="00757C7A">
            <w:pPr>
              <w:contextualSpacing/>
              <w:jc w:val="both"/>
              <w:rPr>
                <w:rFonts w:ascii="Arial" w:hAnsi="Arial" w:cs="Arial"/>
                <w:b w:val="0"/>
                <w:bCs w:val="0"/>
                <w:sz w:val="20"/>
                <w:szCs w:val="20"/>
                <w:lang w:val="es-CR"/>
              </w:rPr>
            </w:pPr>
            <w:r w:rsidRPr="00757C7A">
              <w:rPr>
                <w:rFonts w:ascii="Arial" w:hAnsi="Arial" w:cs="Arial"/>
                <w:b w:val="0"/>
                <w:bCs w:val="0"/>
                <w:sz w:val="20"/>
                <w:szCs w:val="20"/>
                <w:lang w:val="es-CR"/>
              </w:rPr>
              <w:t>Materiales y suministros.</w:t>
            </w:r>
          </w:p>
        </w:tc>
        <w:tc>
          <w:tcPr>
            <w:cnfStyle w:val="000010000000" w:firstRow="0" w:lastRow="0" w:firstColumn="0" w:lastColumn="0" w:oddVBand="1" w:evenVBand="0" w:oddHBand="0" w:evenHBand="0" w:firstRowFirstColumn="0" w:firstRowLastColumn="0" w:lastRowFirstColumn="0" w:lastRowLastColumn="0"/>
            <w:tcW w:w="682" w:type="pct"/>
          </w:tcPr>
          <w:p w14:paraId="2A703A3E" w14:textId="77777777" w:rsidR="00757C7A" w:rsidRPr="00757C7A" w:rsidRDefault="00757C7A" w:rsidP="00757C7A">
            <w:pPr>
              <w:rPr>
                <w:rFonts w:ascii="Arial" w:hAnsi="Arial" w:cs="Arial"/>
                <w:bCs/>
                <w:sz w:val="20"/>
                <w:szCs w:val="20"/>
                <w:lang w:val="es-CR"/>
              </w:rPr>
            </w:pPr>
            <w:r w:rsidRPr="00757C7A">
              <w:rPr>
                <w:rFonts w:ascii="Arial" w:hAnsi="Arial" w:cs="Arial"/>
                <w:bCs/>
                <w:sz w:val="20"/>
                <w:szCs w:val="20"/>
                <w:lang w:val="es-CR"/>
              </w:rPr>
              <w:t>85,05%</w:t>
            </w:r>
          </w:p>
        </w:tc>
        <w:tc>
          <w:tcPr>
            <w:tcW w:w="1543" w:type="pct"/>
          </w:tcPr>
          <w:p w14:paraId="2E773098" w14:textId="77777777" w:rsidR="00757C7A" w:rsidRPr="00757C7A" w:rsidRDefault="00757C7A" w:rsidP="00757C7A">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Se continuará con la realización de compras conjuntas a nivel nacional.</w:t>
            </w:r>
          </w:p>
          <w:p w14:paraId="2D90096B" w14:textId="77777777" w:rsidR="00757C7A" w:rsidRPr="00757C7A" w:rsidRDefault="00757C7A" w:rsidP="00757C7A">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Se continuará enviando recordatorios a las oficinas de líneas pendientes de ejecución, dándoles plazos de tramitación en menor tiempo.</w:t>
            </w:r>
          </w:p>
          <w:p w14:paraId="09C60B51" w14:textId="77777777" w:rsidR="00757C7A" w:rsidRPr="00757C7A" w:rsidRDefault="00757C7A" w:rsidP="00757C7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 xml:space="preserve">Se estará procurando vigilar la rotación de inventarios de líneas que tienen presupuestos </w:t>
            </w:r>
            <w:r w:rsidRPr="00757C7A">
              <w:rPr>
                <w:rFonts w:ascii="Arial" w:hAnsi="Arial" w:cs="Arial"/>
                <w:bCs/>
                <w:sz w:val="20"/>
                <w:szCs w:val="20"/>
                <w:lang w:val="es-CR"/>
              </w:rPr>
              <w:lastRenderedPageBreak/>
              <w:t>asignados de alta cuantía con el fin de valorar redireccionamiento de recursos.</w:t>
            </w:r>
          </w:p>
        </w:tc>
        <w:tc>
          <w:tcPr>
            <w:cnfStyle w:val="000010000000" w:firstRow="0" w:lastRow="0" w:firstColumn="0" w:lastColumn="0" w:oddVBand="1" w:evenVBand="0" w:oddHBand="0" w:evenHBand="0" w:firstRowFirstColumn="0" w:firstRowLastColumn="0" w:lastRowFirstColumn="0" w:lastRowLastColumn="0"/>
            <w:tcW w:w="965" w:type="pct"/>
          </w:tcPr>
          <w:p w14:paraId="0DACD3CF" w14:textId="77777777" w:rsidR="00757C7A" w:rsidRPr="00757C7A" w:rsidRDefault="00757C7A" w:rsidP="00757C7A">
            <w:pPr>
              <w:contextualSpacing/>
              <w:jc w:val="both"/>
              <w:rPr>
                <w:rFonts w:ascii="Arial" w:hAnsi="Arial" w:cs="Arial"/>
                <w:bCs/>
                <w:sz w:val="20"/>
                <w:szCs w:val="20"/>
                <w:lang w:val="es-CR"/>
              </w:rPr>
            </w:pPr>
            <w:r w:rsidRPr="00757C7A">
              <w:rPr>
                <w:rFonts w:ascii="Arial" w:hAnsi="Arial" w:cs="Arial"/>
                <w:bCs/>
                <w:sz w:val="20"/>
                <w:szCs w:val="20"/>
                <w:lang w:val="es-CR"/>
              </w:rPr>
              <w:lastRenderedPageBreak/>
              <w:t>Carolina Castillo Obando</w:t>
            </w:r>
          </w:p>
        </w:tc>
        <w:tc>
          <w:tcPr>
            <w:tcW w:w="1041" w:type="pct"/>
          </w:tcPr>
          <w:p w14:paraId="3A465436" w14:textId="77777777" w:rsidR="00757C7A" w:rsidRPr="00757C7A" w:rsidRDefault="00757C7A" w:rsidP="00757C7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01-06-2022</w:t>
            </w:r>
          </w:p>
        </w:tc>
      </w:tr>
      <w:tr w:rsidR="00757C7A" w:rsidRPr="00757C7A" w14:paraId="2D2613AB"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8" w:type="pct"/>
          </w:tcPr>
          <w:p w14:paraId="66B61B6F" w14:textId="77777777" w:rsidR="00757C7A" w:rsidRPr="00757C7A" w:rsidRDefault="00757C7A" w:rsidP="00757C7A">
            <w:pPr>
              <w:spacing w:line="360" w:lineRule="auto"/>
              <w:contextualSpacing/>
              <w:jc w:val="both"/>
              <w:rPr>
                <w:rFonts w:ascii="Arial" w:hAnsi="Arial" w:cs="Arial"/>
                <w:b w:val="0"/>
                <w:bCs w:val="0"/>
                <w:sz w:val="20"/>
                <w:szCs w:val="20"/>
                <w:lang w:val="es-CR"/>
              </w:rPr>
            </w:pPr>
            <w:r w:rsidRPr="00757C7A">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682" w:type="pct"/>
          </w:tcPr>
          <w:p w14:paraId="734752F4" w14:textId="77777777" w:rsidR="00757C7A" w:rsidRPr="00757C7A" w:rsidRDefault="00757C7A" w:rsidP="00757C7A">
            <w:pPr>
              <w:spacing w:line="360" w:lineRule="auto"/>
              <w:rPr>
                <w:rFonts w:ascii="Arial" w:hAnsi="Arial" w:cs="Arial"/>
                <w:bCs/>
                <w:sz w:val="20"/>
                <w:szCs w:val="20"/>
                <w:lang w:val="es-CR"/>
              </w:rPr>
            </w:pPr>
            <w:r w:rsidRPr="00757C7A">
              <w:rPr>
                <w:rFonts w:ascii="Arial" w:hAnsi="Arial" w:cs="Arial"/>
                <w:bCs/>
                <w:sz w:val="20"/>
                <w:szCs w:val="20"/>
                <w:lang w:val="es-CR"/>
              </w:rPr>
              <w:t>70,40%</w:t>
            </w:r>
          </w:p>
        </w:tc>
        <w:tc>
          <w:tcPr>
            <w:tcW w:w="1543" w:type="pct"/>
          </w:tcPr>
          <w:p w14:paraId="12464E7C" w14:textId="77777777" w:rsidR="00757C7A" w:rsidRPr="00757C7A" w:rsidRDefault="00757C7A" w:rsidP="00757C7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Se identificarán aquellas líneas con montos presupuestarios elevados para enviar la compra en el I trimestre.</w:t>
            </w:r>
          </w:p>
          <w:p w14:paraId="2E3D97A1" w14:textId="77777777" w:rsidR="00757C7A" w:rsidRPr="00757C7A" w:rsidRDefault="00757C7A" w:rsidP="00757C7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Se estará dando seguimiento a los proyectos de construcción en conjunto con Servicios Generales para verificar avances.</w:t>
            </w:r>
          </w:p>
          <w:p w14:paraId="0BEED841" w14:textId="77777777" w:rsidR="00757C7A" w:rsidRPr="00757C7A" w:rsidRDefault="00757C7A" w:rsidP="00757C7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Se estarán enviando recordatorios a las diferentes oficinas para que agilicen trámites de compras.</w:t>
            </w:r>
          </w:p>
          <w:p w14:paraId="64EAE424" w14:textId="77777777" w:rsidR="00757C7A" w:rsidRPr="00757C7A" w:rsidRDefault="00757C7A" w:rsidP="00757C7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Se identificarán cuales líneas no van a ser requeridas para redirección de recursos.</w:t>
            </w:r>
          </w:p>
        </w:tc>
        <w:tc>
          <w:tcPr>
            <w:cnfStyle w:val="000010000000" w:firstRow="0" w:lastRow="0" w:firstColumn="0" w:lastColumn="0" w:oddVBand="1" w:evenVBand="0" w:oddHBand="0" w:evenHBand="0" w:firstRowFirstColumn="0" w:firstRowLastColumn="0" w:lastRowFirstColumn="0" w:lastRowLastColumn="0"/>
            <w:tcW w:w="965" w:type="pct"/>
          </w:tcPr>
          <w:p w14:paraId="223F3191" w14:textId="77777777" w:rsidR="00757C7A" w:rsidRPr="00757C7A" w:rsidRDefault="00757C7A" w:rsidP="00757C7A">
            <w:pPr>
              <w:spacing w:line="360" w:lineRule="auto"/>
              <w:contextualSpacing/>
              <w:jc w:val="both"/>
              <w:rPr>
                <w:rFonts w:ascii="Arial" w:hAnsi="Arial" w:cs="Arial"/>
                <w:bCs/>
                <w:sz w:val="20"/>
                <w:szCs w:val="20"/>
                <w:lang w:val="es-CR"/>
              </w:rPr>
            </w:pPr>
            <w:r w:rsidRPr="00757C7A">
              <w:rPr>
                <w:rFonts w:ascii="Arial" w:hAnsi="Arial" w:cs="Arial"/>
                <w:bCs/>
                <w:sz w:val="20"/>
                <w:szCs w:val="20"/>
                <w:lang w:val="es-CR"/>
              </w:rPr>
              <w:t>Carolina Castillo Obando</w:t>
            </w:r>
          </w:p>
        </w:tc>
        <w:tc>
          <w:tcPr>
            <w:tcW w:w="1041" w:type="pct"/>
          </w:tcPr>
          <w:p w14:paraId="6D5D3E25" w14:textId="77777777" w:rsidR="00757C7A" w:rsidRPr="00757C7A" w:rsidRDefault="00757C7A" w:rsidP="00757C7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57C7A">
              <w:rPr>
                <w:rFonts w:ascii="Arial" w:hAnsi="Arial" w:cs="Arial"/>
                <w:bCs/>
                <w:sz w:val="20"/>
                <w:szCs w:val="20"/>
                <w:lang w:val="es-CR"/>
              </w:rPr>
              <w:t>31-03-2022</w:t>
            </w:r>
          </w:p>
        </w:tc>
      </w:tr>
    </w:tbl>
    <w:p w14:paraId="28CD5546" w14:textId="77777777" w:rsidR="00757C7A" w:rsidRPr="00757C7A" w:rsidRDefault="00757C7A" w:rsidP="00757C7A">
      <w:pPr>
        <w:jc w:val="both"/>
        <w:rPr>
          <w:rFonts w:ascii="Arial" w:eastAsiaTheme="minorEastAsia" w:hAnsi="Arial" w:cs="Arial"/>
          <w:b/>
          <w:sz w:val="16"/>
          <w:szCs w:val="16"/>
          <w:lang w:val="es-CR"/>
        </w:rPr>
      </w:pPr>
      <w:r w:rsidRPr="00757C7A">
        <w:rPr>
          <w:rFonts w:ascii="Arial" w:eastAsiaTheme="minorEastAsia" w:hAnsi="Arial" w:cs="Arial"/>
          <w:b/>
          <w:sz w:val="16"/>
          <w:szCs w:val="16"/>
          <w:lang w:val="es-CR"/>
        </w:rPr>
        <w:t xml:space="preserve">Fuente: </w:t>
      </w:r>
      <w:r w:rsidRPr="00757C7A">
        <w:rPr>
          <w:rFonts w:ascii="Arial" w:eastAsiaTheme="minorEastAsia" w:hAnsi="Arial" w:cs="Arial"/>
          <w:sz w:val="16"/>
          <w:szCs w:val="20"/>
        </w:rPr>
        <w:t>Módulo de Poderes al 31-12-21</w:t>
      </w:r>
    </w:p>
    <w:p w14:paraId="684D2336" w14:textId="77777777" w:rsidR="00757C7A" w:rsidRPr="00757C7A" w:rsidRDefault="00757C7A" w:rsidP="00757C7A">
      <w:pPr>
        <w:jc w:val="both"/>
        <w:rPr>
          <w:rFonts w:ascii="Arial" w:eastAsiaTheme="minorEastAsia" w:hAnsi="Arial" w:cs="Arial"/>
          <w:sz w:val="16"/>
          <w:szCs w:val="20"/>
          <w:lang w:val="es-ES_tradnl"/>
        </w:rPr>
      </w:pPr>
      <w:r w:rsidRPr="00757C7A">
        <w:rPr>
          <w:rFonts w:ascii="Arial" w:eastAsiaTheme="minorEastAsia" w:hAnsi="Arial" w:cs="Arial"/>
          <w:sz w:val="16"/>
          <w:szCs w:val="20"/>
          <w:lang w:val="es-ES_tradnl"/>
        </w:rPr>
        <w:t>/1 Esta información se obtiene del archivo Excel remitido por la DGPN, de la hoja “Liquidación”.</w:t>
      </w:r>
    </w:p>
    <w:p w14:paraId="724CC513" w14:textId="77777777" w:rsidR="00757C7A" w:rsidRPr="00757C7A" w:rsidRDefault="00757C7A" w:rsidP="00757C7A">
      <w:pPr>
        <w:jc w:val="both"/>
        <w:rPr>
          <w:rFonts w:ascii="Arial" w:eastAsiaTheme="minorEastAsia" w:hAnsi="Arial" w:cs="Arial"/>
          <w:sz w:val="16"/>
          <w:szCs w:val="20"/>
          <w:lang w:val="es-ES_tradnl"/>
        </w:rPr>
      </w:pPr>
      <w:r w:rsidRPr="00757C7A">
        <w:rPr>
          <w:rFonts w:ascii="Arial" w:eastAsiaTheme="minorEastAsia" w:hAnsi="Arial" w:cs="Arial"/>
          <w:sz w:val="16"/>
          <w:szCs w:val="20"/>
          <w:lang w:val="es-ES_tradnl"/>
        </w:rPr>
        <w:t>/2 Se refiere a acciones que implementará el centro gestor en 2022 para subsanar los problemas de ejecución que se presentaron al 31/12/2021.</w:t>
      </w:r>
    </w:p>
    <w:p w14:paraId="063170C7" w14:textId="77777777" w:rsidR="00757C7A" w:rsidRPr="00757C7A" w:rsidRDefault="00757C7A" w:rsidP="00757C7A">
      <w:pPr>
        <w:jc w:val="both"/>
        <w:rPr>
          <w:rFonts w:ascii="Arial" w:eastAsiaTheme="minorEastAsia" w:hAnsi="Arial" w:cs="Arial"/>
          <w:sz w:val="16"/>
          <w:szCs w:val="20"/>
          <w:lang w:val="es-ES_tradnl"/>
        </w:rPr>
      </w:pPr>
      <w:r w:rsidRPr="00757C7A">
        <w:rPr>
          <w:rFonts w:ascii="Arial" w:eastAsiaTheme="minorEastAsia" w:hAnsi="Arial" w:cs="Arial"/>
          <w:sz w:val="16"/>
          <w:szCs w:val="20"/>
          <w:lang w:val="es-ES_tradnl"/>
        </w:rPr>
        <w:t>/3 Se refiere a la fecha en que las acciones correctivas empezarán a ser implementadas por el centro gestor.</w:t>
      </w:r>
    </w:p>
    <w:p w14:paraId="337D8014" w14:textId="77777777" w:rsidR="00D740CC" w:rsidRDefault="00D740CC" w:rsidP="00D740CC">
      <w:pPr>
        <w:autoSpaceDE w:val="0"/>
        <w:autoSpaceDN w:val="0"/>
        <w:adjustRightInd w:val="0"/>
        <w:jc w:val="both"/>
        <w:rPr>
          <w:rFonts w:ascii="Arial" w:hAnsi="Arial" w:cs="Arial"/>
          <w:sz w:val="20"/>
          <w:szCs w:val="20"/>
          <w:lang w:val="es-CR"/>
        </w:rPr>
      </w:pPr>
    </w:p>
    <w:p w14:paraId="48141568" w14:textId="77777777" w:rsidR="00CA034C" w:rsidRDefault="00CA034C" w:rsidP="00D740CC">
      <w:pPr>
        <w:autoSpaceDE w:val="0"/>
        <w:autoSpaceDN w:val="0"/>
        <w:adjustRightInd w:val="0"/>
        <w:jc w:val="both"/>
        <w:rPr>
          <w:rFonts w:ascii="Arial" w:hAnsi="Arial" w:cs="Arial"/>
          <w:sz w:val="20"/>
          <w:szCs w:val="20"/>
          <w:lang w:val="es-CR"/>
        </w:rPr>
      </w:pPr>
    </w:p>
    <w:p w14:paraId="47224115" w14:textId="77777777" w:rsidR="00CA034C" w:rsidRDefault="00CA034C" w:rsidP="00D740CC">
      <w:pPr>
        <w:autoSpaceDE w:val="0"/>
        <w:autoSpaceDN w:val="0"/>
        <w:adjustRightInd w:val="0"/>
        <w:jc w:val="both"/>
        <w:rPr>
          <w:rFonts w:ascii="Arial" w:hAnsi="Arial" w:cs="Arial"/>
          <w:sz w:val="20"/>
          <w:szCs w:val="20"/>
          <w:lang w:val="es-CR"/>
        </w:rPr>
      </w:pPr>
    </w:p>
    <w:p w14:paraId="7EA918A7" w14:textId="77777777" w:rsidR="00CA034C" w:rsidRDefault="00CA034C" w:rsidP="00D740CC">
      <w:pPr>
        <w:autoSpaceDE w:val="0"/>
        <w:autoSpaceDN w:val="0"/>
        <w:adjustRightInd w:val="0"/>
        <w:jc w:val="both"/>
        <w:rPr>
          <w:rFonts w:ascii="Arial" w:hAnsi="Arial" w:cs="Arial"/>
          <w:sz w:val="20"/>
          <w:szCs w:val="20"/>
          <w:lang w:val="es-CR"/>
        </w:rPr>
      </w:pPr>
    </w:p>
    <w:p w14:paraId="05BC12B8" w14:textId="77777777" w:rsidR="00CA034C" w:rsidRDefault="00CA034C" w:rsidP="00D740CC">
      <w:pPr>
        <w:autoSpaceDE w:val="0"/>
        <w:autoSpaceDN w:val="0"/>
        <w:adjustRightInd w:val="0"/>
        <w:jc w:val="both"/>
        <w:rPr>
          <w:rFonts w:ascii="Arial" w:hAnsi="Arial" w:cs="Arial"/>
          <w:sz w:val="20"/>
          <w:szCs w:val="20"/>
          <w:lang w:val="es-CR"/>
        </w:rPr>
      </w:pPr>
    </w:p>
    <w:p w14:paraId="3D10CDC6" w14:textId="77777777" w:rsidR="00CA034C" w:rsidRDefault="00CA034C" w:rsidP="00D740CC">
      <w:pPr>
        <w:autoSpaceDE w:val="0"/>
        <w:autoSpaceDN w:val="0"/>
        <w:adjustRightInd w:val="0"/>
        <w:jc w:val="both"/>
        <w:rPr>
          <w:rFonts w:ascii="Arial" w:hAnsi="Arial" w:cs="Arial"/>
          <w:sz w:val="20"/>
          <w:szCs w:val="20"/>
          <w:lang w:val="es-CR"/>
        </w:rPr>
      </w:pPr>
    </w:p>
    <w:p w14:paraId="66EADF0D" w14:textId="77777777" w:rsidR="00CA034C" w:rsidRDefault="00CA034C" w:rsidP="00D740CC">
      <w:pPr>
        <w:autoSpaceDE w:val="0"/>
        <w:autoSpaceDN w:val="0"/>
        <w:adjustRightInd w:val="0"/>
        <w:jc w:val="both"/>
        <w:rPr>
          <w:rFonts w:ascii="Arial" w:hAnsi="Arial" w:cs="Arial"/>
          <w:sz w:val="20"/>
          <w:szCs w:val="20"/>
          <w:lang w:val="es-CR"/>
        </w:rPr>
      </w:pPr>
    </w:p>
    <w:p w14:paraId="2B64E907" w14:textId="77777777" w:rsidR="00CA034C" w:rsidRDefault="00CA034C" w:rsidP="00D740CC">
      <w:pPr>
        <w:autoSpaceDE w:val="0"/>
        <w:autoSpaceDN w:val="0"/>
        <w:adjustRightInd w:val="0"/>
        <w:jc w:val="both"/>
        <w:rPr>
          <w:rFonts w:ascii="Arial" w:hAnsi="Arial" w:cs="Arial"/>
          <w:sz w:val="20"/>
          <w:szCs w:val="20"/>
          <w:lang w:val="es-CR"/>
        </w:rPr>
      </w:pPr>
    </w:p>
    <w:p w14:paraId="5B4388E5" w14:textId="2F18FD6E" w:rsidR="00164138" w:rsidRPr="00110625" w:rsidRDefault="00164138" w:rsidP="00F91EE1">
      <w:pPr>
        <w:pStyle w:val="Ttulo2"/>
        <w:numPr>
          <w:ilvl w:val="0"/>
          <w:numId w:val="0"/>
        </w:numPr>
        <w:ind w:left="576" w:hanging="576"/>
        <w:rPr>
          <w:rStyle w:val="Ttulodellibro"/>
          <w:rFonts w:eastAsiaTheme="majorEastAsia" w:cs="Arial"/>
          <w:b/>
          <w:smallCaps w:val="0"/>
          <w:color w:val="002060"/>
          <w:sz w:val="28"/>
          <w:szCs w:val="28"/>
          <w:lang w:val="es-ES"/>
        </w:rPr>
      </w:pPr>
      <w:bookmarkStart w:id="27" w:name="_Toc93420477"/>
      <w:r w:rsidRPr="00110625">
        <w:rPr>
          <w:rStyle w:val="Ttulodellibro"/>
          <w:rFonts w:eastAsiaTheme="majorEastAsia" w:cs="Arial"/>
          <w:b/>
          <w:smallCaps w:val="0"/>
          <w:color w:val="002060"/>
          <w:sz w:val="28"/>
          <w:szCs w:val="28"/>
          <w:lang w:val="es-ES"/>
        </w:rPr>
        <w:t xml:space="preserve">Apartado financiero por </w:t>
      </w:r>
      <w:r w:rsidR="00DE6F60">
        <w:rPr>
          <w:rStyle w:val="Ttulodellibro"/>
          <w:rFonts w:eastAsiaTheme="majorEastAsia" w:cs="Arial"/>
          <w:b/>
          <w:smallCaps w:val="0"/>
          <w:color w:val="002060"/>
          <w:sz w:val="28"/>
          <w:szCs w:val="28"/>
          <w:lang w:val="es-ES"/>
        </w:rPr>
        <w:t>C</w:t>
      </w:r>
      <w:r w:rsidR="00E50AD1" w:rsidRPr="00110625">
        <w:rPr>
          <w:rStyle w:val="Ttulodellibro"/>
          <w:rFonts w:eastAsiaTheme="majorEastAsia" w:cs="Arial"/>
          <w:b/>
          <w:smallCaps w:val="0"/>
          <w:color w:val="002060"/>
          <w:sz w:val="28"/>
          <w:szCs w:val="28"/>
          <w:lang w:val="es-ES"/>
        </w:rPr>
        <w:t xml:space="preserve">entro </w:t>
      </w:r>
      <w:r w:rsidR="00DE6F60">
        <w:rPr>
          <w:rStyle w:val="Ttulodellibro"/>
          <w:rFonts w:eastAsiaTheme="majorEastAsia" w:cs="Arial"/>
          <w:b/>
          <w:smallCaps w:val="0"/>
          <w:color w:val="002060"/>
          <w:sz w:val="28"/>
          <w:szCs w:val="28"/>
          <w:lang w:val="es-ES"/>
        </w:rPr>
        <w:t>G</w:t>
      </w:r>
      <w:r w:rsidR="00E028DE" w:rsidRPr="00110625">
        <w:rPr>
          <w:rStyle w:val="Ttulodellibro"/>
          <w:rFonts w:eastAsiaTheme="majorEastAsia" w:cs="Arial"/>
          <w:b/>
          <w:smallCaps w:val="0"/>
          <w:color w:val="002060"/>
          <w:sz w:val="28"/>
          <w:szCs w:val="28"/>
          <w:lang w:val="es-ES"/>
        </w:rPr>
        <w:t>estor: Programa</w:t>
      </w:r>
      <w:r w:rsidRPr="00110625">
        <w:rPr>
          <w:rStyle w:val="Ttulodellibro"/>
          <w:rFonts w:eastAsiaTheme="majorEastAsia" w:cs="Arial"/>
          <w:b/>
          <w:smallCaps w:val="0"/>
          <w:color w:val="002060"/>
          <w:sz w:val="28"/>
          <w:szCs w:val="28"/>
          <w:lang w:val="es-ES"/>
        </w:rPr>
        <w:t xml:space="preserve"> 929 Ministerio Público</w:t>
      </w:r>
      <w:bookmarkEnd w:id="27"/>
    </w:p>
    <w:p w14:paraId="0D2933D1" w14:textId="77777777" w:rsidR="00CA034C" w:rsidRPr="00CB7633" w:rsidRDefault="00CA034C" w:rsidP="00A540EE">
      <w:pPr>
        <w:rPr>
          <w:rFonts w:ascii="Arial" w:hAnsi="Arial" w:cs="Arial"/>
          <w:lang w:val="es-MX"/>
        </w:rPr>
      </w:pPr>
    </w:p>
    <w:p w14:paraId="48E79461" w14:textId="3F6024B2" w:rsidR="00164138" w:rsidRDefault="00164138" w:rsidP="00BE5AA1">
      <w:pPr>
        <w:pStyle w:val="Ttulo2"/>
        <w:keepLines/>
        <w:numPr>
          <w:ilvl w:val="1"/>
          <w:numId w:val="15"/>
        </w:numPr>
        <w:spacing w:before="360" w:line="259" w:lineRule="auto"/>
        <w:ind w:left="284" w:hanging="284"/>
        <w:jc w:val="both"/>
        <w:rPr>
          <w:rFonts w:ascii="Arial" w:hAnsi="Arial" w:cs="Arial"/>
          <w:iCs/>
          <w:color w:val="002060"/>
          <w:spacing w:val="15"/>
          <w:sz w:val="22"/>
        </w:rPr>
      </w:pPr>
      <w:bookmarkStart w:id="28" w:name="_Toc93420478"/>
      <w:r w:rsidRPr="00F56A61">
        <w:rPr>
          <w:rFonts w:ascii="Arial" w:hAnsi="Arial" w:cs="Arial"/>
          <w:iCs/>
          <w:color w:val="002060"/>
          <w:spacing w:val="15"/>
          <w:sz w:val="22"/>
        </w:rPr>
        <w:t>Ejecución del Presupuesto 202</w:t>
      </w:r>
      <w:r w:rsidR="00E028DE">
        <w:rPr>
          <w:rFonts w:ascii="Arial" w:hAnsi="Arial" w:cs="Arial"/>
          <w:iCs/>
          <w:color w:val="002060"/>
          <w:spacing w:val="15"/>
          <w:sz w:val="22"/>
        </w:rPr>
        <w:t>1</w:t>
      </w:r>
      <w:r w:rsidRPr="00F56A61">
        <w:rPr>
          <w:rFonts w:ascii="Arial" w:hAnsi="Arial" w:cs="Arial"/>
          <w:iCs/>
          <w:color w:val="002060"/>
          <w:spacing w:val="15"/>
          <w:sz w:val="22"/>
        </w:rPr>
        <w:t xml:space="preserve"> asociado a recursos internos</w:t>
      </w:r>
      <w:bookmarkEnd w:id="28"/>
    </w:p>
    <w:p w14:paraId="6E4D7317" w14:textId="77777777" w:rsidR="0019529E" w:rsidRPr="0019529E" w:rsidRDefault="0019529E" w:rsidP="0019529E">
      <w:pPr>
        <w:rPr>
          <w:lang w:val="es-MX"/>
        </w:rPr>
      </w:pPr>
    </w:p>
    <w:p w14:paraId="7718031C" w14:textId="1F45D869" w:rsidR="00961918" w:rsidRPr="00AE3D7B" w:rsidRDefault="00961918" w:rsidP="00961918">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18</w:t>
      </w:r>
      <w:r w:rsidRPr="00AE3D7B">
        <w:rPr>
          <w:rFonts w:ascii="Arial" w:hAnsi="Arial" w:cs="Arial"/>
          <w:b/>
          <w:bCs/>
          <w:i w:val="0"/>
          <w:iCs w:val="0"/>
          <w:color w:val="auto"/>
          <w:sz w:val="20"/>
          <w:szCs w:val="20"/>
        </w:rPr>
        <w:fldChar w:fldCharType="end"/>
      </w:r>
    </w:p>
    <w:p w14:paraId="5499847E" w14:textId="6F3C35D1" w:rsidR="0019529E" w:rsidRPr="00A540EE" w:rsidRDefault="0019529E" w:rsidP="0019529E">
      <w:pPr>
        <w:spacing w:before="240"/>
        <w:jc w:val="center"/>
        <w:rPr>
          <w:rFonts w:ascii="Arial" w:eastAsiaTheme="minorEastAsia" w:hAnsi="Arial" w:cs="Arial"/>
          <w:b/>
          <w:sz w:val="20"/>
          <w:szCs w:val="20"/>
          <w:lang w:val="es-ES_tradnl"/>
        </w:rPr>
      </w:pPr>
      <w:r w:rsidRPr="00A540EE">
        <w:rPr>
          <w:rFonts w:ascii="Arial" w:eastAsiaTheme="minorEastAsia" w:hAnsi="Arial" w:cs="Arial"/>
          <w:b/>
          <w:sz w:val="20"/>
          <w:szCs w:val="20"/>
          <w:lang w:val="es-ES_tradnl"/>
        </w:rPr>
        <w:t>Ejecución financiera institucional por clasificación objeto del gasto</w:t>
      </w:r>
    </w:p>
    <w:p w14:paraId="207CB695" w14:textId="77777777" w:rsidR="0019529E" w:rsidRPr="00A540EE" w:rsidRDefault="0019529E" w:rsidP="0019529E">
      <w:pPr>
        <w:jc w:val="center"/>
        <w:rPr>
          <w:rFonts w:ascii="Arial" w:eastAsiaTheme="minorEastAsia" w:hAnsi="Arial" w:cs="Arial"/>
          <w:sz w:val="20"/>
          <w:szCs w:val="20"/>
          <w:lang w:val="es-ES_tradnl"/>
        </w:rPr>
      </w:pPr>
      <w:r w:rsidRPr="00A540EE">
        <w:rPr>
          <w:rFonts w:ascii="Arial" w:eastAsiaTheme="minorEastAsia" w:hAnsi="Arial" w:cs="Arial"/>
          <w:sz w:val="20"/>
          <w:szCs w:val="20"/>
          <w:lang w:val="es-ES_tradnl"/>
        </w:rPr>
        <w:t>Programa 929 Ministerio Público</w:t>
      </w:r>
    </w:p>
    <w:p w14:paraId="6B753FAD" w14:textId="77777777" w:rsidR="0019529E" w:rsidRPr="00A540EE" w:rsidRDefault="0019529E" w:rsidP="0019529E">
      <w:pPr>
        <w:jc w:val="center"/>
        <w:rPr>
          <w:rFonts w:ascii="Arial" w:eastAsiaTheme="minorEastAsia" w:hAnsi="Arial" w:cs="Arial"/>
          <w:sz w:val="20"/>
          <w:szCs w:val="20"/>
          <w:lang w:val="es-ES_tradnl"/>
        </w:rPr>
      </w:pPr>
      <w:r w:rsidRPr="00A540EE">
        <w:rPr>
          <w:rFonts w:ascii="Arial" w:eastAsiaTheme="minorEastAsia" w:hAnsi="Arial" w:cs="Arial"/>
          <w:sz w:val="20"/>
          <w:szCs w:val="20"/>
          <w:lang w:val="es-ES_tradnl"/>
        </w:rPr>
        <w:t>Al 31 de diciembre 2021</w:t>
      </w:r>
    </w:p>
    <w:p w14:paraId="0C18CFFB" w14:textId="77777777" w:rsidR="0019529E" w:rsidRPr="00A540EE" w:rsidRDefault="0019529E" w:rsidP="0019529E">
      <w:pPr>
        <w:jc w:val="center"/>
        <w:rPr>
          <w:rFonts w:ascii="Arial" w:eastAsiaTheme="minorEastAsia" w:hAnsi="Arial" w:cs="Arial"/>
          <w:i/>
          <w:sz w:val="20"/>
          <w:szCs w:val="20"/>
          <w:lang w:val="es-ES_tradnl"/>
        </w:rPr>
      </w:pPr>
      <w:r w:rsidRPr="00A540EE">
        <w:rPr>
          <w:rFonts w:ascii="Arial" w:eastAsiaTheme="minorEastAsia" w:hAnsi="Arial" w:cs="Arial"/>
          <w:i/>
          <w:sz w:val="20"/>
          <w:szCs w:val="20"/>
          <w:lang w:val="es-ES_tradnl"/>
        </w:rPr>
        <w:t>(en millones de colones)</w:t>
      </w:r>
    </w:p>
    <w:tbl>
      <w:tblPr>
        <w:tblStyle w:val="Listaclara-nfasis114"/>
        <w:tblW w:w="5000" w:type="pct"/>
        <w:tblLook w:val="00A0" w:firstRow="1" w:lastRow="0" w:firstColumn="1" w:lastColumn="0" w:noHBand="0" w:noVBand="0"/>
      </w:tblPr>
      <w:tblGrid>
        <w:gridCol w:w="3316"/>
        <w:gridCol w:w="1941"/>
        <w:gridCol w:w="1941"/>
        <w:gridCol w:w="1286"/>
      </w:tblGrid>
      <w:tr w:rsidR="0019529E" w:rsidRPr="00A540EE" w14:paraId="43CF88DF" w14:textId="77777777" w:rsidTr="00465D5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954" w:type="pct"/>
            <w:vAlign w:val="center"/>
            <w:hideMark/>
          </w:tcPr>
          <w:p w14:paraId="2EEF74AD" w14:textId="77777777" w:rsidR="0019529E" w:rsidRPr="00A540EE" w:rsidRDefault="0019529E" w:rsidP="00465D52">
            <w:pPr>
              <w:jc w:val="center"/>
              <w:rPr>
                <w:rFonts w:ascii="Arial" w:hAnsi="Arial" w:cs="Arial"/>
                <w:b w:val="0"/>
                <w:color w:val="FFFFFF"/>
                <w:sz w:val="20"/>
                <w:szCs w:val="20"/>
                <w:lang w:val="es-CR" w:eastAsia="es-CR"/>
              </w:rPr>
            </w:pPr>
            <w:r w:rsidRPr="00A540EE">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144" w:type="pct"/>
            <w:vAlign w:val="center"/>
            <w:hideMark/>
          </w:tcPr>
          <w:p w14:paraId="335BD5EF" w14:textId="77777777" w:rsidR="0019529E" w:rsidRPr="00A540EE" w:rsidRDefault="0019529E" w:rsidP="00465D52">
            <w:pPr>
              <w:jc w:val="center"/>
              <w:rPr>
                <w:rFonts w:ascii="Arial" w:hAnsi="Arial" w:cs="Arial"/>
                <w:b w:val="0"/>
                <w:color w:val="FFFFFF"/>
                <w:sz w:val="20"/>
                <w:szCs w:val="20"/>
                <w:lang w:val="es-CR" w:eastAsia="es-CR"/>
              </w:rPr>
            </w:pPr>
            <w:r w:rsidRPr="00A540EE">
              <w:rPr>
                <w:rFonts w:ascii="Arial" w:hAnsi="Arial" w:cs="Arial"/>
                <w:color w:val="FFFFFF"/>
                <w:sz w:val="20"/>
                <w:szCs w:val="20"/>
                <w:lang w:val="es-CR" w:eastAsia="es-CR"/>
              </w:rPr>
              <w:t>Presupuesto actual</w:t>
            </w:r>
            <w:r w:rsidRPr="00A540EE">
              <w:rPr>
                <w:rFonts w:ascii="Arial" w:hAnsi="Arial" w:cs="Arial"/>
                <w:color w:val="FFFFFF"/>
                <w:sz w:val="20"/>
                <w:szCs w:val="20"/>
                <w:vertAlign w:val="superscript"/>
                <w:lang w:val="es-CR" w:eastAsia="es-CR"/>
              </w:rPr>
              <w:t>/1</w:t>
            </w:r>
            <w:r w:rsidRPr="00A540EE">
              <w:rPr>
                <w:rFonts w:ascii="Arial" w:hAnsi="Arial" w:cs="Arial"/>
                <w:color w:val="FFFFFF"/>
                <w:sz w:val="20"/>
                <w:szCs w:val="20"/>
                <w:lang w:val="es-CR" w:eastAsia="es-CR"/>
              </w:rPr>
              <w:t xml:space="preserve"> 2021</w:t>
            </w:r>
          </w:p>
        </w:tc>
        <w:tc>
          <w:tcPr>
            <w:tcW w:w="1144" w:type="pct"/>
            <w:vAlign w:val="center"/>
            <w:hideMark/>
          </w:tcPr>
          <w:p w14:paraId="652AF76E" w14:textId="77777777" w:rsidR="0019529E" w:rsidRPr="00A540EE" w:rsidRDefault="0019529E"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A540EE">
              <w:rPr>
                <w:rFonts w:ascii="Arial" w:hAnsi="Arial" w:cs="Arial"/>
                <w:color w:val="FFFFFF"/>
                <w:sz w:val="20"/>
                <w:szCs w:val="20"/>
                <w:lang w:val="es-CR" w:eastAsia="es-CR"/>
              </w:rPr>
              <w:t>Presupuesto ejecutado</w:t>
            </w:r>
            <w:r w:rsidRPr="00A540EE">
              <w:rPr>
                <w:rFonts w:ascii="Arial" w:hAnsi="Arial" w:cs="Arial"/>
                <w:color w:val="FFFFFF"/>
                <w:sz w:val="20"/>
                <w:szCs w:val="20"/>
                <w:vertAlign w:val="superscript"/>
                <w:lang w:val="es-CR" w:eastAsia="es-CR"/>
              </w:rPr>
              <w:t>/2</w:t>
            </w:r>
            <w:r w:rsidRPr="00A540EE">
              <w:rPr>
                <w:rFonts w:ascii="Arial" w:hAnsi="Arial" w:cs="Arial"/>
                <w:color w:val="FFFFFF"/>
                <w:sz w:val="20"/>
                <w:szCs w:val="20"/>
                <w:lang w:val="es-CR" w:eastAsia="es-CR"/>
              </w:rPr>
              <w:t xml:space="preserve"> 2021</w:t>
            </w:r>
          </w:p>
        </w:tc>
        <w:tc>
          <w:tcPr>
            <w:cnfStyle w:val="000010000000" w:firstRow="0" w:lastRow="0" w:firstColumn="0" w:lastColumn="0" w:oddVBand="1" w:evenVBand="0" w:oddHBand="0" w:evenHBand="0" w:firstRowFirstColumn="0" w:firstRowLastColumn="0" w:lastRowFirstColumn="0" w:lastRowLastColumn="0"/>
            <w:tcW w:w="758" w:type="pct"/>
            <w:vAlign w:val="center"/>
            <w:hideMark/>
          </w:tcPr>
          <w:p w14:paraId="3C632D59" w14:textId="77777777" w:rsidR="0019529E" w:rsidRPr="00A540EE" w:rsidRDefault="0019529E" w:rsidP="00465D52">
            <w:pPr>
              <w:jc w:val="center"/>
              <w:rPr>
                <w:rFonts w:ascii="Arial" w:hAnsi="Arial" w:cs="Arial"/>
                <w:b w:val="0"/>
                <w:color w:val="FFFFFF"/>
                <w:sz w:val="20"/>
                <w:szCs w:val="20"/>
                <w:lang w:val="es-CR" w:eastAsia="es-CR"/>
              </w:rPr>
            </w:pPr>
            <w:r w:rsidRPr="00A540EE">
              <w:rPr>
                <w:rFonts w:ascii="Arial" w:hAnsi="Arial" w:cs="Arial"/>
                <w:color w:val="FFFFFF"/>
                <w:sz w:val="20"/>
                <w:szCs w:val="20"/>
                <w:lang w:val="es-CR" w:eastAsia="es-CR"/>
              </w:rPr>
              <w:t>Nivel de ejecución</w:t>
            </w:r>
          </w:p>
        </w:tc>
      </w:tr>
      <w:tr w:rsidR="0019529E" w:rsidRPr="00A540EE" w14:paraId="5389371D" w14:textId="77777777" w:rsidTr="00465D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BC2AF2D" w14:textId="77777777" w:rsidR="0019529E" w:rsidRPr="00A540EE" w:rsidRDefault="0019529E" w:rsidP="00465D52">
            <w:pPr>
              <w:rPr>
                <w:rFonts w:ascii="Arial" w:hAnsi="Arial" w:cs="Arial"/>
                <w:sz w:val="20"/>
                <w:szCs w:val="20"/>
                <w:lang w:val="es-CR" w:eastAsia="es-CR"/>
              </w:rPr>
            </w:pPr>
            <w:r w:rsidRPr="00A540EE">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144" w:type="pct"/>
            <w:noWrap/>
          </w:tcPr>
          <w:p w14:paraId="46C714DC" w14:textId="77777777" w:rsidR="0019529E" w:rsidRPr="003E061D" w:rsidRDefault="0019529E" w:rsidP="00465D52">
            <w:pPr>
              <w:jc w:val="right"/>
              <w:rPr>
                <w:rFonts w:ascii="Arial" w:hAnsi="Arial" w:cs="Arial"/>
                <w:b/>
                <w:bCs/>
                <w:sz w:val="20"/>
                <w:szCs w:val="20"/>
                <w:lang w:val="es-CR" w:eastAsia="es-CR"/>
              </w:rPr>
            </w:pPr>
            <w:r w:rsidRPr="003E061D">
              <w:rPr>
                <w:rFonts w:ascii="Arial" w:hAnsi="Arial" w:cs="Arial"/>
                <w:b/>
                <w:bCs/>
                <w:sz w:val="20"/>
                <w:szCs w:val="20"/>
              </w:rPr>
              <w:t xml:space="preserve"> 53.454,50 </w:t>
            </w:r>
          </w:p>
        </w:tc>
        <w:tc>
          <w:tcPr>
            <w:tcW w:w="1144" w:type="pct"/>
            <w:noWrap/>
          </w:tcPr>
          <w:p w14:paraId="5E7808A6" w14:textId="77777777" w:rsidR="0019529E" w:rsidRPr="003E061D"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3E061D">
              <w:rPr>
                <w:rFonts w:ascii="Arial" w:hAnsi="Arial" w:cs="Arial"/>
                <w:b/>
                <w:bCs/>
                <w:sz w:val="20"/>
                <w:szCs w:val="20"/>
              </w:rPr>
              <w:t xml:space="preserve"> 52.851,06 </w:t>
            </w:r>
          </w:p>
        </w:tc>
        <w:tc>
          <w:tcPr>
            <w:cnfStyle w:val="000010000000" w:firstRow="0" w:lastRow="0" w:firstColumn="0" w:lastColumn="0" w:oddVBand="1" w:evenVBand="0" w:oddHBand="0" w:evenHBand="0" w:firstRowFirstColumn="0" w:firstRowLastColumn="0" w:lastRowFirstColumn="0" w:lastRowLastColumn="0"/>
            <w:tcW w:w="758" w:type="pct"/>
            <w:noWrap/>
          </w:tcPr>
          <w:p w14:paraId="3DF0A225" w14:textId="77777777" w:rsidR="0019529E" w:rsidRPr="003E061D" w:rsidRDefault="0019529E" w:rsidP="00465D52">
            <w:pPr>
              <w:jc w:val="right"/>
              <w:rPr>
                <w:rFonts w:ascii="Arial" w:hAnsi="Arial" w:cs="Arial"/>
                <w:b/>
                <w:bCs/>
                <w:sz w:val="20"/>
                <w:szCs w:val="20"/>
                <w:lang w:val="es-CR" w:eastAsia="es-CR"/>
              </w:rPr>
            </w:pPr>
            <w:r w:rsidRPr="003E061D">
              <w:rPr>
                <w:rFonts w:ascii="Arial" w:hAnsi="Arial" w:cs="Arial"/>
                <w:b/>
                <w:bCs/>
                <w:sz w:val="20"/>
                <w:szCs w:val="20"/>
              </w:rPr>
              <w:t>98,87%</w:t>
            </w:r>
          </w:p>
        </w:tc>
      </w:tr>
      <w:tr w:rsidR="0019529E" w:rsidRPr="00A540EE" w14:paraId="754CCDBA" w14:textId="77777777" w:rsidTr="00465D52">
        <w:trPr>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52142CED"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6B0C4E52"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w:t>
            </w:r>
          </w:p>
        </w:tc>
        <w:tc>
          <w:tcPr>
            <w:tcW w:w="1144" w:type="pct"/>
            <w:noWrap/>
            <w:vAlign w:val="center"/>
          </w:tcPr>
          <w:p w14:paraId="522591E7" w14:textId="77777777" w:rsidR="0019529E" w:rsidRPr="00A540EE" w:rsidRDefault="0019529E"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65B3D56"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w:t>
            </w:r>
          </w:p>
        </w:tc>
      </w:tr>
      <w:tr w:rsidR="0019529E" w:rsidRPr="00A540EE" w14:paraId="3F43C20E"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E7D4F56" w14:textId="77777777" w:rsidR="0019529E" w:rsidRPr="00A540EE" w:rsidRDefault="0019529E" w:rsidP="00465D52">
            <w:pPr>
              <w:rPr>
                <w:rFonts w:ascii="Arial" w:hAnsi="Arial" w:cs="Arial"/>
                <w:sz w:val="20"/>
                <w:szCs w:val="20"/>
                <w:lang w:val="es-CR" w:eastAsia="es-CR"/>
              </w:rPr>
            </w:pPr>
            <w:r w:rsidRPr="00A540EE">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144" w:type="pct"/>
            <w:noWrap/>
          </w:tcPr>
          <w:p w14:paraId="485945F9" w14:textId="77777777" w:rsidR="0019529E" w:rsidRPr="003E061D" w:rsidRDefault="0019529E" w:rsidP="00465D52">
            <w:pPr>
              <w:jc w:val="right"/>
              <w:rPr>
                <w:rFonts w:ascii="Arial" w:hAnsi="Arial" w:cs="Arial"/>
                <w:b/>
                <w:bCs/>
                <w:sz w:val="20"/>
                <w:szCs w:val="20"/>
                <w:lang w:val="es-CR" w:eastAsia="es-CR"/>
              </w:rPr>
            </w:pPr>
            <w:r w:rsidRPr="003E061D">
              <w:rPr>
                <w:rFonts w:ascii="Arial" w:hAnsi="Arial" w:cs="Arial"/>
                <w:b/>
                <w:bCs/>
                <w:sz w:val="20"/>
                <w:szCs w:val="20"/>
              </w:rPr>
              <w:t xml:space="preserve"> 53.454,50 </w:t>
            </w:r>
          </w:p>
        </w:tc>
        <w:tc>
          <w:tcPr>
            <w:tcW w:w="1144" w:type="pct"/>
            <w:noWrap/>
          </w:tcPr>
          <w:p w14:paraId="23DE2FFC" w14:textId="77777777" w:rsidR="0019529E" w:rsidRPr="003E061D"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3E061D">
              <w:rPr>
                <w:rFonts w:ascii="Arial" w:hAnsi="Arial" w:cs="Arial"/>
                <w:b/>
                <w:bCs/>
                <w:sz w:val="20"/>
                <w:szCs w:val="20"/>
              </w:rPr>
              <w:t xml:space="preserve"> 52.851,06 </w:t>
            </w:r>
          </w:p>
        </w:tc>
        <w:tc>
          <w:tcPr>
            <w:cnfStyle w:val="000010000000" w:firstRow="0" w:lastRow="0" w:firstColumn="0" w:lastColumn="0" w:oddVBand="1" w:evenVBand="0" w:oddHBand="0" w:evenHBand="0" w:firstRowFirstColumn="0" w:firstRowLastColumn="0" w:lastRowFirstColumn="0" w:lastRowLastColumn="0"/>
            <w:tcW w:w="758" w:type="pct"/>
            <w:noWrap/>
          </w:tcPr>
          <w:p w14:paraId="1DE397D0" w14:textId="77777777" w:rsidR="0019529E" w:rsidRPr="003E061D" w:rsidRDefault="0019529E" w:rsidP="00465D52">
            <w:pPr>
              <w:jc w:val="right"/>
              <w:rPr>
                <w:rFonts w:ascii="Arial" w:hAnsi="Arial" w:cs="Arial"/>
                <w:b/>
                <w:bCs/>
                <w:sz w:val="20"/>
                <w:szCs w:val="20"/>
                <w:lang w:val="es-CR" w:eastAsia="es-CR"/>
              </w:rPr>
            </w:pPr>
            <w:r w:rsidRPr="003E061D">
              <w:rPr>
                <w:rFonts w:ascii="Arial" w:hAnsi="Arial" w:cs="Arial"/>
                <w:b/>
                <w:bCs/>
                <w:sz w:val="20"/>
                <w:szCs w:val="20"/>
              </w:rPr>
              <w:t>98,87%</w:t>
            </w:r>
          </w:p>
        </w:tc>
      </w:tr>
      <w:tr w:rsidR="0019529E" w:rsidRPr="00A540EE" w14:paraId="6B387F40"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5787578"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193F4307"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48.869,60 </w:t>
            </w:r>
          </w:p>
        </w:tc>
        <w:tc>
          <w:tcPr>
            <w:tcW w:w="1144" w:type="pct"/>
            <w:noWrap/>
            <w:hideMark/>
          </w:tcPr>
          <w:p w14:paraId="2AFB337E" w14:textId="77777777" w:rsidR="0019529E" w:rsidRPr="00A540EE" w:rsidRDefault="0019529E"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48.660,27 </w:t>
            </w:r>
          </w:p>
        </w:tc>
        <w:tc>
          <w:tcPr>
            <w:cnfStyle w:val="000010000000" w:firstRow="0" w:lastRow="0" w:firstColumn="0" w:lastColumn="0" w:oddVBand="1" w:evenVBand="0" w:oddHBand="0" w:evenHBand="0" w:firstRowFirstColumn="0" w:firstRowLastColumn="0" w:lastRowFirstColumn="0" w:lastRowLastColumn="0"/>
            <w:tcW w:w="758" w:type="pct"/>
            <w:noWrap/>
          </w:tcPr>
          <w:p w14:paraId="01F33B59"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99,57%</w:t>
            </w:r>
          </w:p>
        </w:tc>
      </w:tr>
      <w:tr w:rsidR="0019529E" w:rsidRPr="00A540EE" w14:paraId="7D8212E1"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176A3C0"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6F74E413"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2.932,40 </w:t>
            </w:r>
          </w:p>
        </w:tc>
        <w:tc>
          <w:tcPr>
            <w:tcW w:w="1144" w:type="pct"/>
            <w:noWrap/>
            <w:hideMark/>
          </w:tcPr>
          <w:p w14:paraId="725E9952" w14:textId="77777777" w:rsidR="0019529E" w:rsidRPr="00A540EE"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2.683,84 </w:t>
            </w:r>
          </w:p>
        </w:tc>
        <w:tc>
          <w:tcPr>
            <w:cnfStyle w:val="000010000000" w:firstRow="0" w:lastRow="0" w:firstColumn="0" w:lastColumn="0" w:oddVBand="1" w:evenVBand="0" w:oddHBand="0" w:evenHBand="0" w:firstRowFirstColumn="0" w:firstRowLastColumn="0" w:lastRowFirstColumn="0" w:lastRowLastColumn="0"/>
            <w:tcW w:w="758" w:type="pct"/>
            <w:noWrap/>
          </w:tcPr>
          <w:p w14:paraId="322CD8B3"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91,52%</w:t>
            </w:r>
          </w:p>
        </w:tc>
      </w:tr>
      <w:tr w:rsidR="0019529E" w:rsidRPr="00A540EE" w14:paraId="38FE5D8E"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21B495D"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6BDA1F91"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221,85 </w:t>
            </w:r>
          </w:p>
        </w:tc>
        <w:tc>
          <w:tcPr>
            <w:tcW w:w="1144" w:type="pct"/>
            <w:noWrap/>
            <w:hideMark/>
          </w:tcPr>
          <w:p w14:paraId="29F9F304" w14:textId="77777777" w:rsidR="0019529E" w:rsidRPr="00A540EE" w:rsidRDefault="0019529E"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190,61 </w:t>
            </w:r>
          </w:p>
        </w:tc>
        <w:tc>
          <w:tcPr>
            <w:cnfStyle w:val="000010000000" w:firstRow="0" w:lastRow="0" w:firstColumn="0" w:lastColumn="0" w:oddVBand="1" w:evenVBand="0" w:oddHBand="0" w:evenHBand="0" w:firstRowFirstColumn="0" w:firstRowLastColumn="0" w:lastRowFirstColumn="0" w:lastRowLastColumn="0"/>
            <w:tcW w:w="758" w:type="pct"/>
            <w:noWrap/>
          </w:tcPr>
          <w:p w14:paraId="74ECBC3D"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85,91%</w:t>
            </w:r>
          </w:p>
        </w:tc>
      </w:tr>
      <w:tr w:rsidR="0019529E" w:rsidRPr="00A540EE" w14:paraId="7B638D87"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157F1EC"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75E89C55"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w:t>
            </w:r>
          </w:p>
        </w:tc>
        <w:tc>
          <w:tcPr>
            <w:tcW w:w="1144" w:type="pct"/>
            <w:noWrap/>
            <w:hideMark/>
          </w:tcPr>
          <w:p w14:paraId="77C27285" w14:textId="77777777" w:rsidR="0019529E" w:rsidRPr="00A540EE"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9B04C14"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w:t>
            </w:r>
          </w:p>
        </w:tc>
      </w:tr>
      <w:tr w:rsidR="0019529E" w:rsidRPr="00A540EE" w14:paraId="51EF8E1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5397465"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7833265F"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   </w:t>
            </w:r>
          </w:p>
        </w:tc>
        <w:tc>
          <w:tcPr>
            <w:tcW w:w="1144" w:type="pct"/>
            <w:noWrap/>
            <w:hideMark/>
          </w:tcPr>
          <w:p w14:paraId="5D5408FD" w14:textId="77777777" w:rsidR="0019529E" w:rsidRPr="00A540EE" w:rsidRDefault="0019529E"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BE9C320"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w:t>
            </w:r>
          </w:p>
        </w:tc>
      </w:tr>
      <w:tr w:rsidR="0019529E" w:rsidRPr="00A540EE" w14:paraId="470980B5"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E2A34A8"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6433155A"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261,88 </w:t>
            </w:r>
          </w:p>
        </w:tc>
        <w:tc>
          <w:tcPr>
            <w:tcW w:w="1144" w:type="pct"/>
            <w:noWrap/>
            <w:hideMark/>
          </w:tcPr>
          <w:p w14:paraId="16C71582" w14:textId="77777777" w:rsidR="0019529E" w:rsidRPr="00A540EE"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218,49 </w:t>
            </w:r>
          </w:p>
        </w:tc>
        <w:tc>
          <w:tcPr>
            <w:cnfStyle w:val="000010000000" w:firstRow="0" w:lastRow="0" w:firstColumn="0" w:lastColumn="0" w:oddVBand="1" w:evenVBand="0" w:oddHBand="0" w:evenHBand="0" w:firstRowFirstColumn="0" w:firstRowLastColumn="0" w:lastRowFirstColumn="0" w:lastRowLastColumn="0"/>
            <w:tcW w:w="758" w:type="pct"/>
            <w:noWrap/>
          </w:tcPr>
          <w:p w14:paraId="6E90E0B5"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83,43%</w:t>
            </w:r>
          </w:p>
        </w:tc>
      </w:tr>
      <w:tr w:rsidR="0019529E" w:rsidRPr="00A540EE" w14:paraId="2344CB4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529B6A75" w14:textId="77777777" w:rsidR="0019529E" w:rsidRPr="00A540EE" w:rsidRDefault="0019529E" w:rsidP="00465D52">
            <w:pPr>
              <w:rPr>
                <w:rFonts w:ascii="Arial" w:hAnsi="Arial" w:cs="Arial"/>
                <w:b w:val="0"/>
                <w:sz w:val="20"/>
                <w:szCs w:val="20"/>
                <w:lang w:val="es-CR" w:eastAsia="es-CR"/>
              </w:rPr>
            </w:pPr>
            <w:r w:rsidRPr="00A540EE">
              <w:rPr>
                <w:rFonts w:ascii="Arial" w:hAnsi="Arial" w:cs="Arial"/>
                <w:b w:val="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2F4FE804"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813,55 </w:t>
            </w:r>
          </w:p>
        </w:tc>
        <w:tc>
          <w:tcPr>
            <w:tcW w:w="1144" w:type="pct"/>
            <w:noWrap/>
            <w:hideMark/>
          </w:tcPr>
          <w:p w14:paraId="2784AF4E" w14:textId="77777777" w:rsidR="0019529E" w:rsidRPr="00A540EE" w:rsidRDefault="0019529E"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742,63 </w:t>
            </w:r>
          </w:p>
        </w:tc>
        <w:tc>
          <w:tcPr>
            <w:cnfStyle w:val="000010000000" w:firstRow="0" w:lastRow="0" w:firstColumn="0" w:lastColumn="0" w:oddVBand="1" w:evenVBand="0" w:oddHBand="0" w:evenHBand="0" w:firstRowFirstColumn="0" w:firstRowLastColumn="0" w:lastRowFirstColumn="0" w:lastRowLastColumn="0"/>
            <w:tcW w:w="758" w:type="pct"/>
            <w:noWrap/>
          </w:tcPr>
          <w:p w14:paraId="2846129D"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91,28%</w:t>
            </w:r>
          </w:p>
        </w:tc>
      </w:tr>
      <w:tr w:rsidR="0019529E" w:rsidRPr="00A540EE" w14:paraId="4C539BDC"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1365BA0" w14:textId="77777777" w:rsidR="0019529E" w:rsidRPr="00A540EE" w:rsidRDefault="0019529E" w:rsidP="00465D52">
            <w:pPr>
              <w:rPr>
                <w:rFonts w:ascii="Arial" w:hAnsi="Arial" w:cs="Arial"/>
                <w:b w:val="0"/>
                <w:color w:val="000000"/>
                <w:sz w:val="20"/>
                <w:szCs w:val="20"/>
                <w:lang w:val="es-CR" w:eastAsia="es-CR"/>
              </w:rPr>
            </w:pPr>
            <w:r w:rsidRPr="00A540EE">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3D65C8E4"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355,20 </w:t>
            </w:r>
          </w:p>
        </w:tc>
        <w:tc>
          <w:tcPr>
            <w:tcW w:w="1144" w:type="pct"/>
            <w:noWrap/>
            <w:hideMark/>
          </w:tcPr>
          <w:p w14:paraId="04D89C69" w14:textId="77777777" w:rsidR="0019529E" w:rsidRPr="00A540EE"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355,20 </w:t>
            </w:r>
          </w:p>
        </w:tc>
        <w:tc>
          <w:tcPr>
            <w:cnfStyle w:val="000010000000" w:firstRow="0" w:lastRow="0" w:firstColumn="0" w:lastColumn="0" w:oddVBand="1" w:evenVBand="0" w:oddHBand="0" w:evenHBand="0" w:firstRowFirstColumn="0" w:firstRowLastColumn="0" w:lastRowFirstColumn="0" w:lastRowLastColumn="0"/>
            <w:tcW w:w="758" w:type="pct"/>
            <w:noWrap/>
          </w:tcPr>
          <w:p w14:paraId="04F529DC"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100,00%</w:t>
            </w:r>
          </w:p>
        </w:tc>
      </w:tr>
      <w:tr w:rsidR="0019529E" w:rsidRPr="00A540EE" w14:paraId="3535881F"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E8F36F1" w14:textId="77777777" w:rsidR="0019529E" w:rsidRPr="00A540EE" w:rsidRDefault="0019529E" w:rsidP="00465D52">
            <w:pPr>
              <w:rPr>
                <w:rFonts w:ascii="Arial" w:hAnsi="Arial" w:cs="Arial"/>
                <w:b w:val="0"/>
                <w:color w:val="000000"/>
                <w:sz w:val="20"/>
                <w:szCs w:val="20"/>
                <w:lang w:val="es-CR" w:eastAsia="es-CR"/>
              </w:rPr>
            </w:pPr>
            <w:r w:rsidRPr="00A540EE">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144" w:type="pct"/>
            <w:noWrap/>
            <w:hideMark/>
          </w:tcPr>
          <w:p w14:paraId="173B843C"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w:t>
            </w:r>
          </w:p>
        </w:tc>
        <w:tc>
          <w:tcPr>
            <w:tcW w:w="1144" w:type="pct"/>
            <w:noWrap/>
            <w:hideMark/>
          </w:tcPr>
          <w:p w14:paraId="614CAC9D" w14:textId="77777777" w:rsidR="0019529E" w:rsidRPr="00A540EE" w:rsidRDefault="0019529E"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586F36D"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w:t>
            </w:r>
          </w:p>
        </w:tc>
      </w:tr>
      <w:tr w:rsidR="0019529E" w:rsidRPr="00A540EE" w14:paraId="113A889E"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1B3D9D6" w14:textId="77777777" w:rsidR="0019529E" w:rsidRPr="00A540EE" w:rsidRDefault="0019529E" w:rsidP="00465D52">
            <w:pPr>
              <w:rPr>
                <w:rFonts w:ascii="Arial" w:hAnsi="Arial" w:cs="Arial"/>
                <w:b w:val="0"/>
                <w:color w:val="000000"/>
                <w:sz w:val="20"/>
                <w:szCs w:val="20"/>
                <w:lang w:val="es-CR" w:eastAsia="es-CR"/>
              </w:rPr>
            </w:pPr>
            <w:r w:rsidRPr="00A540EE">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4BB8D902"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 xml:space="preserve">                 -   </w:t>
            </w:r>
          </w:p>
        </w:tc>
        <w:tc>
          <w:tcPr>
            <w:tcW w:w="1144" w:type="pct"/>
            <w:noWrap/>
            <w:vAlign w:val="center"/>
            <w:hideMark/>
          </w:tcPr>
          <w:p w14:paraId="0D69FBA5" w14:textId="77777777" w:rsidR="0019529E" w:rsidRPr="00A540EE" w:rsidRDefault="0019529E"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540EE">
              <w:rPr>
                <w:rFonts w:ascii="Arial" w:hAnsi="Arial" w:cs="Arial"/>
                <w:sz w:val="20"/>
                <w:szCs w:val="20"/>
              </w:rPr>
              <w:t xml:space="preserve">                -   </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35E79B38" w14:textId="77777777" w:rsidR="0019529E" w:rsidRPr="00A540EE" w:rsidRDefault="0019529E" w:rsidP="00465D52">
            <w:pPr>
              <w:jc w:val="right"/>
              <w:rPr>
                <w:rFonts w:ascii="Arial" w:hAnsi="Arial" w:cs="Arial"/>
                <w:sz w:val="20"/>
                <w:szCs w:val="20"/>
                <w:lang w:val="es-CR" w:eastAsia="es-CR"/>
              </w:rPr>
            </w:pPr>
            <w:r w:rsidRPr="00A540EE">
              <w:rPr>
                <w:rFonts w:ascii="Arial" w:hAnsi="Arial" w:cs="Arial"/>
                <w:sz w:val="20"/>
                <w:szCs w:val="20"/>
              </w:rPr>
              <w:t>-</w:t>
            </w:r>
          </w:p>
        </w:tc>
      </w:tr>
    </w:tbl>
    <w:p w14:paraId="0D97BDA3" w14:textId="77777777" w:rsidR="0019529E" w:rsidRPr="00A540EE" w:rsidRDefault="0019529E" w:rsidP="0019529E">
      <w:pPr>
        <w:jc w:val="both"/>
        <w:rPr>
          <w:rFonts w:ascii="Arial" w:hAnsi="Arial" w:cs="Arial"/>
          <w:b/>
          <w:bCs/>
          <w:color w:val="000000"/>
          <w:sz w:val="16"/>
          <w:szCs w:val="20"/>
          <w:lang w:val="es-CR" w:eastAsia="es-CR"/>
        </w:rPr>
      </w:pPr>
      <w:r w:rsidRPr="00A540EE">
        <w:rPr>
          <w:rFonts w:ascii="Arial" w:hAnsi="Arial" w:cs="Arial"/>
          <w:b/>
          <w:bCs/>
          <w:color w:val="000000"/>
          <w:sz w:val="16"/>
          <w:szCs w:val="20"/>
          <w:lang w:val="es-CR" w:eastAsia="es-CR"/>
        </w:rPr>
        <w:t>Fuente</w:t>
      </w:r>
      <w:r w:rsidRPr="00A540EE">
        <w:rPr>
          <w:rFonts w:ascii="Arial" w:hAnsi="Arial" w:cs="Arial"/>
          <w:color w:val="000000"/>
          <w:sz w:val="16"/>
          <w:szCs w:val="20"/>
          <w:lang w:val="es-CR" w:eastAsia="es-CR"/>
        </w:rPr>
        <w:t>: Módulo de Poderes, Liquidación Presupuestaria del Poder Judicial, al 31 de diciembre de 2021.</w:t>
      </w:r>
    </w:p>
    <w:p w14:paraId="1152DE73" w14:textId="77777777" w:rsidR="0019529E" w:rsidRPr="00A540EE" w:rsidRDefault="0019529E" w:rsidP="0019529E">
      <w:pPr>
        <w:jc w:val="both"/>
        <w:rPr>
          <w:rFonts w:ascii="Arial" w:hAnsi="Arial" w:cs="Arial"/>
          <w:b/>
          <w:bCs/>
          <w:color w:val="000000"/>
          <w:sz w:val="18"/>
          <w:szCs w:val="20"/>
          <w:lang w:val="es-CR" w:eastAsia="es-CR"/>
        </w:rPr>
      </w:pPr>
      <w:r w:rsidRPr="00A540EE">
        <w:rPr>
          <w:rFonts w:ascii="Arial" w:hAnsi="Arial" w:cs="Arial"/>
          <w:color w:val="000000"/>
          <w:sz w:val="16"/>
          <w:szCs w:val="20"/>
          <w:lang w:val="es-CR" w:eastAsia="es-CR"/>
        </w:rPr>
        <w:t>/1 Corresponde al presupuesto inicial incluyendo las modificaciones presupuestarias realizadas durante el 2021.</w:t>
      </w:r>
    </w:p>
    <w:p w14:paraId="332C9927" w14:textId="77777777" w:rsidR="0019529E" w:rsidRPr="00A540EE" w:rsidRDefault="0019529E" w:rsidP="0019529E">
      <w:pPr>
        <w:ind w:right="335"/>
        <w:jc w:val="both"/>
        <w:rPr>
          <w:rFonts w:ascii="Arial" w:hAnsi="Arial" w:cs="Arial"/>
          <w:color w:val="000000"/>
          <w:sz w:val="16"/>
          <w:szCs w:val="20"/>
          <w:lang w:val="es-CR" w:eastAsia="es-CR"/>
        </w:rPr>
      </w:pPr>
      <w:r w:rsidRPr="00A540EE">
        <w:rPr>
          <w:rFonts w:ascii="Arial" w:hAnsi="Arial" w:cs="Arial"/>
          <w:color w:val="000000"/>
          <w:sz w:val="16"/>
          <w:szCs w:val="20"/>
          <w:lang w:val="es-CR" w:eastAsia="es-CR"/>
        </w:rPr>
        <w:t xml:space="preserve">/2 Se refiere al devengado, que es el reconocimiento del gasto por la recepción de bienes y servicios independientemente de cuando se efectúe el pago de la obligación. </w:t>
      </w:r>
    </w:p>
    <w:p w14:paraId="50FC298F" w14:textId="77777777" w:rsidR="0019529E" w:rsidRPr="00A540EE" w:rsidRDefault="0019529E" w:rsidP="0019529E">
      <w:pPr>
        <w:spacing w:after="160" w:line="259" w:lineRule="auto"/>
        <w:jc w:val="center"/>
        <w:rPr>
          <w:rFonts w:ascii="Arial" w:eastAsiaTheme="minorEastAsia" w:hAnsi="Arial" w:cs="Arial"/>
          <w:bCs/>
          <w:strike/>
          <w:sz w:val="20"/>
          <w:szCs w:val="20"/>
          <w:u w:val="single"/>
          <w:lang w:val="es-MX"/>
        </w:rPr>
      </w:pPr>
    </w:p>
    <w:p w14:paraId="74D33C38" w14:textId="77777777" w:rsidR="0019529E" w:rsidRPr="00A540E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A540EE">
        <w:rPr>
          <w:rFonts w:ascii="Arial" w:eastAsiaTheme="minorEastAsia" w:hAnsi="Arial" w:cs="Arial"/>
          <w:b/>
          <w:bCs/>
          <w:sz w:val="20"/>
          <w:szCs w:val="20"/>
          <w:lang w:val="es-ES_tradnl"/>
        </w:rPr>
        <w:t xml:space="preserve">Partida 0: Remuneraciones </w:t>
      </w:r>
    </w:p>
    <w:p w14:paraId="66BA3869" w14:textId="77777777" w:rsidR="0019529E" w:rsidRPr="00A540EE" w:rsidRDefault="0019529E" w:rsidP="0019529E">
      <w:pPr>
        <w:spacing w:before="240" w:after="160" w:line="360" w:lineRule="auto"/>
        <w:jc w:val="both"/>
        <w:rPr>
          <w:rFonts w:ascii="Arial" w:eastAsiaTheme="minorEastAsia" w:hAnsi="Arial" w:cs="Arial"/>
          <w:sz w:val="20"/>
          <w:szCs w:val="20"/>
          <w:lang w:val="es-ES_tradnl"/>
        </w:rPr>
      </w:pPr>
      <w:r w:rsidRPr="00A540EE">
        <w:rPr>
          <w:rFonts w:ascii="Arial" w:eastAsiaTheme="minorEastAsia" w:hAnsi="Arial" w:cs="Arial"/>
          <w:sz w:val="20"/>
          <w:szCs w:val="20"/>
          <w:lang w:val="es-ES_tradnl"/>
        </w:rPr>
        <w:lastRenderedPageBreak/>
        <w:t xml:space="preserve">La partida 0 denominada “Remuneraciones” alcanzó una ejecución del 99,57%, lo que se considera un nivel ideal de ejecución; por medio de esta subpartida, se canaliza el pago de salarios a los funcionarios, vacaciones, aguinaldo, salario escolar, contribución patronal a la seguridad social, entre otros. </w:t>
      </w:r>
    </w:p>
    <w:p w14:paraId="11130EF5" w14:textId="77777777" w:rsidR="0019529E" w:rsidRPr="00A540E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A540EE">
        <w:rPr>
          <w:rFonts w:ascii="Arial" w:eastAsiaTheme="minorEastAsia" w:hAnsi="Arial" w:cs="Arial"/>
          <w:b/>
          <w:bCs/>
          <w:sz w:val="20"/>
          <w:szCs w:val="20"/>
          <w:lang w:val="es-ES_tradnl"/>
        </w:rPr>
        <w:t>Partida 1: Servicios</w:t>
      </w:r>
    </w:p>
    <w:p w14:paraId="23317551" w14:textId="77777777" w:rsidR="0019529E" w:rsidRPr="00A540EE" w:rsidRDefault="0019529E" w:rsidP="0019529E">
      <w:pPr>
        <w:spacing w:before="240" w:after="160" w:line="360" w:lineRule="auto"/>
        <w:jc w:val="both"/>
        <w:rPr>
          <w:rFonts w:ascii="Arial" w:eastAsiaTheme="minorEastAsia" w:hAnsi="Arial" w:cs="Arial"/>
          <w:sz w:val="20"/>
          <w:szCs w:val="20"/>
          <w:lang w:val="es-ES_tradnl"/>
        </w:rPr>
      </w:pPr>
      <w:r w:rsidRPr="00A540EE">
        <w:rPr>
          <w:rFonts w:ascii="Arial" w:eastAsiaTheme="minorEastAsia" w:hAnsi="Arial" w:cs="Arial"/>
          <w:sz w:val="20"/>
          <w:szCs w:val="20"/>
          <w:lang w:val="es-ES_tradnl"/>
        </w:rPr>
        <w:t>Con respecto a la partida 1 “Servicios” se logró una ejecución en un  91,52%, por medio de esta se tramitó el pago de alquiler de locales, pago de servicios públicos, servicios de limpieza y seguridad, servicios de grúa, viáticos y transporte de funcionarios, ayudas económicas a ofendidos y testigos, pago de peritajes, traducciones en lesco, lengua indígena y diferentes idiomas, gastos de mantenimiento y reparación de equipo y mobiliario de oficina, así como de mantenimiento de la flotilla vehicular.</w:t>
      </w:r>
    </w:p>
    <w:p w14:paraId="3B6E73A0" w14:textId="77777777" w:rsidR="0019529E" w:rsidRPr="00A540E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A540EE">
        <w:rPr>
          <w:rFonts w:ascii="Arial" w:eastAsiaTheme="minorEastAsia" w:hAnsi="Arial" w:cs="Arial"/>
          <w:b/>
          <w:bCs/>
          <w:sz w:val="20"/>
          <w:szCs w:val="20"/>
          <w:lang w:val="es-ES_tradnl"/>
        </w:rPr>
        <w:t>Partida 2: Materiales y Suministros</w:t>
      </w:r>
    </w:p>
    <w:p w14:paraId="17569ABE" w14:textId="77777777" w:rsidR="0019529E" w:rsidRPr="00A540EE" w:rsidRDefault="0019529E" w:rsidP="0019529E">
      <w:pPr>
        <w:spacing w:before="240" w:after="160" w:line="360" w:lineRule="auto"/>
        <w:jc w:val="both"/>
        <w:rPr>
          <w:rFonts w:ascii="Arial" w:eastAsiaTheme="minorEastAsia" w:hAnsi="Arial" w:cs="Arial"/>
          <w:sz w:val="20"/>
          <w:szCs w:val="20"/>
          <w:lang w:val="es-ES_tradnl"/>
        </w:rPr>
      </w:pPr>
      <w:r w:rsidRPr="00A540EE">
        <w:rPr>
          <w:rFonts w:ascii="Arial" w:eastAsiaTheme="minorEastAsia" w:hAnsi="Arial" w:cs="Arial"/>
          <w:sz w:val="20"/>
          <w:szCs w:val="20"/>
          <w:lang w:val="es-ES_tradnl"/>
        </w:rPr>
        <w:t>En la partida 2 “Materiales y Suministros” se obtuvo un 85,91% de ejecución, siendo que los recursos en su mayoría se encontraban asignados a la adquisición de bienes y suministros de oficina, combustible y repuestos para la flotilla de vehículos a nivel nacional, además, se incluyó en esta partida la adquisición de tintas, tóner, kit de mantenimiento y otros, esto para las impresoras y equipos multifuncionales de las diferentes oficinas del Ministerio Público.</w:t>
      </w:r>
    </w:p>
    <w:p w14:paraId="707B27CA" w14:textId="77777777" w:rsidR="0019529E" w:rsidRPr="00A540E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A540EE">
        <w:rPr>
          <w:rFonts w:ascii="Arial" w:eastAsiaTheme="minorEastAsia" w:hAnsi="Arial" w:cs="Arial"/>
          <w:b/>
          <w:bCs/>
          <w:sz w:val="20"/>
          <w:szCs w:val="20"/>
          <w:lang w:val="es-ES_tradnl"/>
        </w:rPr>
        <w:t>Partida 5: Bienes Duraderos</w:t>
      </w:r>
    </w:p>
    <w:p w14:paraId="3FB25623" w14:textId="4B7F8A55" w:rsidR="0019529E" w:rsidRPr="00A540EE" w:rsidRDefault="0019529E" w:rsidP="0019529E">
      <w:pPr>
        <w:spacing w:before="240" w:after="160" w:line="360" w:lineRule="auto"/>
        <w:jc w:val="both"/>
        <w:rPr>
          <w:rFonts w:ascii="Arial" w:eastAsiaTheme="minorEastAsia" w:hAnsi="Arial" w:cs="Arial"/>
          <w:sz w:val="20"/>
          <w:szCs w:val="20"/>
          <w:lang w:val="es-ES_tradnl"/>
        </w:rPr>
      </w:pPr>
      <w:r w:rsidRPr="00A540EE">
        <w:rPr>
          <w:rFonts w:ascii="Arial" w:eastAsiaTheme="minorEastAsia" w:hAnsi="Arial" w:cs="Arial"/>
          <w:sz w:val="20"/>
          <w:szCs w:val="20"/>
          <w:lang w:val="es-ES_tradnl"/>
        </w:rPr>
        <w:t xml:space="preserve">En la partida 5 “Bienes Duraderos” se alcanzó una ejecución del 83,43%, recursos que fueron destinados a la adquisición de equipo y mobiliario de oficina para atender las necesidades a nivel nacional del Ministerio Público, como lo son sillas, bibliotecas, muebles modulares, escritorios, teléfonos, impresoras, fax, equipos multifuncionales, compra de equipo para la Fiscalía Adjunta de Probidad, Transparencia y Anticorrupción y el Área de Prensa de la </w:t>
      </w:r>
      <w:r w:rsidR="008A3AC8">
        <w:rPr>
          <w:rFonts w:ascii="Arial" w:eastAsiaTheme="minorEastAsia" w:hAnsi="Arial" w:cs="Arial"/>
          <w:sz w:val="20"/>
          <w:szCs w:val="20"/>
          <w:lang w:val="es-ES_tradnl"/>
        </w:rPr>
        <w:t>F</w:t>
      </w:r>
      <w:r w:rsidR="008A3AC8" w:rsidRPr="00A540EE">
        <w:rPr>
          <w:rFonts w:ascii="Arial" w:eastAsiaTheme="minorEastAsia" w:hAnsi="Arial" w:cs="Arial"/>
          <w:sz w:val="20"/>
          <w:szCs w:val="20"/>
          <w:lang w:val="es-ES_tradnl"/>
        </w:rPr>
        <w:t xml:space="preserve">iscalía </w:t>
      </w:r>
      <w:r w:rsidR="008A3AC8">
        <w:rPr>
          <w:rFonts w:ascii="Arial" w:eastAsiaTheme="minorEastAsia" w:hAnsi="Arial" w:cs="Arial"/>
          <w:sz w:val="20"/>
          <w:szCs w:val="20"/>
          <w:lang w:val="es-ES_tradnl"/>
        </w:rPr>
        <w:t>G</w:t>
      </w:r>
      <w:r w:rsidR="008A3AC8" w:rsidRPr="00A540EE">
        <w:rPr>
          <w:rFonts w:ascii="Arial" w:eastAsiaTheme="minorEastAsia" w:hAnsi="Arial" w:cs="Arial"/>
          <w:sz w:val="20"/>
          <w:szCs w:val="20"/>
          <w:lang w:val="es-ES_tradnl"/>
        </w:rPr>
        <w:t>eneral</w:t>
      </w:r>
      <w:r w:rsidRPr="00A540EE">
        <w:rPr>
          <w:rFonts w:ascii="Arial" w:eastAsiaTheme="minorEastAsia" w:hAnsi="Arial" w:cs="Arial"/>
          <w:sz w:val="20"/>
          <w:szCs w:val="20"/>
          <w:lang w:val="es-ES_tradnl"/>
        </w:rPr>
        <w:t xml:space="preserve"> entre otros. </w:t>
      </w:r>
    </w:p>
    <w:p w14:paraId="379F49F7" w14:textId="77777777" w:rsidR="0019529E" w:rsidRPr="00A540E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A540EE">
        <w:rPr>
          <w:rFonts w:ascii="Arial" w:eastAsiaTheme="minorEastAsia" w:hAnsi="Arial" w:cs="Arial"/>
          <w:b/>
          <w:bCs/>
          <w:sz w:val="20"/>
          <w:szCs w:val="20"/>
          <w:lang w:val="es-ES_tradnl"/>
        </w:rPr>
        <w:t xml:space="preserve">Partida 6: Transferencias Corrientes </w:t>
      </w:r>
    </w:p>
    <w:p w14:paraId="74E56CFB" w14:textId="77777777" w:rsidR="0019529E" w:rsidRPr="00A540EE" w:rsidRDefault="0019529E" w:rsidP="0019529E">
      <w:pPr>
        <w:spacing w:after="160" w:line="360" w:lineRule="auto"/>
        <w:jc w:val="both"/>
        <w:rPr>
          <w:rFonts w:ascii="Arial" w:eastAsiaTheme="minorEastAsia" w:hAnsi="Arial" w:cs="Arial"/>
          <w:sz w:val="20"/>
          <w:szCs w:val="20"/>
          <w:lang w:val="es-ES_tradnl"/>
        </w:rPr>
      </w:pPr>
      <w:r w:rsidRPr="00A540EE">
        <w:rPr>
          <w:rFonts w:ascii="Arial" w:eastAsiaTheme="minorEastAsia" w:hAnsi="Arial" w:cs="Arial"/>
          <w:sz w:val="20"/>
          <w:szCs w:val="20"/>
          <w:lang w:val="es-ES_tradnl"/>
        </w:rPr>
        <w:t xml:space="preserve">La partida 6 de “Transferencias Corrientes” se ejecutó en un 91,28%; en esta partida se presupuestó los recursos para dar becas a funcionarios del Ministerio Publico, para los programas previamente aprobados por el Consejo Superior, así mismo se tramitan las Transferencias Corrientes a Instituciones Descentralizadas no empresariales, las cuales son utilizadas para el pago de aporte de la Caja Costarricense del Seguro Social, asimismo, se canalizan los rubros de transferencias corrientes a otras entidades privadas sin fines de lucro, </w:t>
      </w:r>
      <w:r w:rsidRPr="00A540EE">
        <w:rPr>
          <w:rFonts w:ascii="Arial" w:eastAsiaTheme="minorEastAsia" w:hAnsi="Arial" w:cs="Arial"/>
          <w:sz w:val="20"/>
          <w:szCs w:val="20"/>
          <w:lang w:val="es-ES_tradnl"/>
        </w:rPr>
        <w:lastRenderedPageBreak/>
        <w:t>para el pago al aporte estatal del Fondo de Jubilaciones del personal del Ministerio Público; ambos rubros son administrados por el Departamento de Financiero Contable.</w:t>
      </w:r>
    </w:p>
    <w:p w14:paraId="2092DABD" w14:textId="77777777" w:rsidR="0019529E" w:rsidRPr="00A540E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A540EE">
        <w:rPr>
          <w:rFonts w:ascii="Arial" w:eastAsiaTheme="minorEastAsia" w:hAnsi="Arial" w:cs="Arial"/>
          <w:b/>
          <w:bCs/>
          <w:sz w:val="20"/>
          <w:szCs w:val="20"/>
          <w:lang w:val="es-ES_tradnl"/>
        </w:rPr>
        <w:t>Partida 7: Transferencias de Capital</w:t>
      </w:r>
    </w:p>
    <w:p w14:paraId="3CDE3A62" w14:textId="77777777" w:rsidR="0019529E" w:rsidRPr="00A540EE" w:rsidRDefault="0019529E" w:rsidP="0019529E">
      <w:pPr>
        <w:spacing w:line="360" w:lineRule="auto"/>
        <w:jc w:val="both"/>
        <w:rPr>
          <w:rFonts w:ascii="Arial" w:eastAsiaTheme="minorEastAsia" w:hAnsi="Arial" w:cs="Arial"/>
          <w:sz w:val="20"/>
          <w:szCs w:val="20"/>
          <w:lang w:val="es-ES_tradnl"/>
        </w:rPr>
      </w:pPr>
      <w:r w:rsidRPr="00A540EE">
        <w:rPr>
          <w:rFonts w:ascii="Arial" w:eastAsiaTheme="minorEastAsia" w:hAnsi="Arial" w:cs="Arial"/>
          <w:sz w:val="20"/>
          <w:szCs w:val="20"/>
          <w:lang w:val="es-ES_tradnl"/>
        </w:rPr>
        <w:t>La partida 7 de “Transferencias de Capital” se ejecutó en un 100,00%; siendo que en esta partida se incluyeron los aportes que la Institución otorga a personas, entes y órganos del sector público, privado y externo para financiar gastos de capital con el propósito de satisfacer diversas necesidades públicas. Este rubro es administrado por el Departamento de Financiero Contable</w:t>
      </w:r>
    </w:p>
    <w:p w14:paraId="075D1235" w14:textId="2DEAA0D8" w:rsidR="00B02E64" w:rsidRPr="005C56F8" w:rsidRDefault="005C56F8" w:rsidP="00BE5AA1">
      <w:pPr>
        <w:pStyle w:val="Ttulo2"/>
        <w:keepLines/>
        <w:numPr>
          <w:ilvl w:val="1"/>
          <w:numId w:val="15"/>
        </w:numPr>
        <w:spacing w:before="360" w:line="259" w:lineRule="auto"/>
        <w:ind w:left="284" w:hanging="284"/>
        <w:jc w:val="both"/>
        <w:rPr>
          <w:rFonts w:ascii="Arial" w:hAnsi="Arial" w:cs="Arial"/>
          <w:iCs/>
          <w:color w:val="002060"/>
          <w:spacing w:val="15"/>
          <w:sz w:val="22"/>
        </w:rPr>
      </w:pPr>
      <w:r>
        <w:rPr>
          <w:rFonts w:ascii="Arial" w:hAnsi="Arial" w:cs="Arial"/>
          <w:iCs/>
          <w:color w:val="002060"/>
          <w:spacing w:val="15"/>
          <w:sz w:val="22"/>
        </w:rPr>
        <w:t xml:space="preserve"> </w:t>
      </w:r>
      <w:bookmarkStart w:id="29" w:name="_Toc93420479"/>
      <w:r w:rsidR="00164138" w:rsidRPr="00F56A61">
        <w:rPr>
          <w:rFonts w:ascii="Arial" w:hAnsi="Arial" w:cs="Arial"/>
          <w:iCs/>
          <w:color w:val="002060"/>
          <w:spacing w:val="15"/>
          <w:sz w:val="22"/>
        </w:rPr>
        <w:t>Factores y acciones correctivas de la ejecución</w:t>
      </w:r>
      <w:r w:rsidR="002A4A3C">
        <w:rPr>
          <w:rFonts w:ascii="Arial" w:hAnsi="Arial" w:cs="Arial"/>
          <w:iCs/>
          <w:color w:val="002060"/>
          <w:spacing w:val="15"/>
          <w:sz w:val="22"/>
        </w:rPr>
        <w:t xml:space="preserve"> </w:t>
      </w:r>
      <w:r>
        <w:rPr>
          <w:rFonts w:ascii="Arial" w:hAnsi="Arial" w:cs="Arial"/>
          <w:iCs/>
          <w:color w:val="002060"/>
          <w:spacing w:val="15"/>
          <w:sz w:val="22"/>
        </w:rPr>
        <w:t>financiera</w:t>
      </w:r>
      <w:bookmarkEnd w:id="29"/>
      <w:r w:rsidR="0019529E" w:rsidRPr="005C56F8">
        <w:rPr>
          <w:rFonts w:ascii="Arial" w:hAnsi="Arial" w:cs="Arial"/>
          <w:iCs/>
          <w:color w:val="002060"/>
          <w:spacing w:val="15"/>
          <w:sz w:val="22"/>
        </w:rPr>
        <w:tab/>
      </w:r>
    </w:p>
    <w:p w14:paraId="70A008A7" w14:textId="77777777" w:rsidR="002A4A3C" w:rsidRPr="005C56F8" w:rsidRDefault="002A4A3C" w:rsidP="0019529E">
      <w:pPr>
        <w:jc w:val="both"/>
        <w:rPr>
          <w:rFonts w:ascii="Arial" w:hAnsi="Arial" w:cs="Arial"/>
          <w:b/>
          <w:bCs/>
          <w:iCs/>
          <w:color w:val="002060"/>
          <w:spacing w:val="15"/>
          <w:sz w:val="22"/>
          <w:lang w:val="es-MX"/>
        </w:rPr>
      </w:pPr>
    </w:p>
    <w:p w14:paraId="24B93D7E" w14:textId="77777777" w:rsidR="002A4A3C" w:rsidRDefault="002A4A3C" w:rsidP="0019529E">
      <w:pPr>
        <w:jc w:val="both"/>
        <w:rPr>
          <w:rFonts w:ascii="Arial" w:eastAsia="Arial" w:hAnsi="Arial" w:cs="Arial"/>
          <w:color w:val="000000" w:themeColor="text1"/>
          <w:sz w:val="20"/>
          <w:szCs w:val="20"/>
        </w:rPr>
      </w:pPr>
    </w:p>
    <w:p w14:paraId="462CFA39"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rPr>
      </w:pPr>
      <w:r w:rsidRPr="005C56F8">
        <w:rPr>
          <w:rFonts w:ascii="Arial" w:eastAsiaTheme="minorEastAsia" w:hAnsi="Arial" w:cs="Arial"/>
          <w:bCs/>
          <w:sz w:val="20"/>
          <w:szCs w:val="20"/>
        </w:rPr>
        <w:t xml:space="preserve">Aplicación de directrices presidenciales. </w:t>
      </w:r>
    </w:p>
    <w:p w14:paraId="468830C7"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lang w:val="es-CR"/>
        </w:rPr>
      </w:pPr>
      <w:r w:rsidRPr="005C56F8">
        <w:rPr>
          <w:rFonts w:ascii="Arial" w:eastAsiaTheme="minorEastAsia" w:hAnsi="Arial" w:cs="Arial"/>
          <w:bCs/>
          <w:sz w:val="20"/>
          <w:szCs w:val="20"/>
          <w:lang w:val="es-CR"/>
        </w:rPr>
        <w:t>Lineamientos de los entes rectores de la administración financiera.</w:t>
      </w:r>
    </w:p>
    <w:p w14:paraId="71C4147D"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lang w:val="es-CR"/>
        </w:rPr>
      </w:pPr>
      <w:r w:rsidRPr="005C56F8">
        <w:rPr>
          <w:rFonts w:ascii="Arial" w:eastAsiaTheme="minorEastAsia" w:hAnsi="Arial" w:cs="Arial"/>
          <w:sz w:val="20"/>
          <w:szCs w:val="20"/>
          <w:lang w:val="es-CR"/>
        </w:rPr>
        <w:t>Políticas administrativas institucionales que ocasionen cambios en la ejecución de recursos y generen ahorros o mayor gasto.</w:t>
      </w:r>
      <w:r w:rsidRPr="005C56F8" w:rsidDel="00DE0053">
        <w:rPr>
          <w:rFonts w:ascii="Arial" w:eastAsiaTheme="minorEastAsia" w:hAnsi="Arial" w:cs="Arial"/>
          <w:bCs/>
          <w:sz w:val="20"/>
          <w:szCs w:val="20"/>
          <w:lang w:val="es-CR"/>
        </w:rPr>
        <w:t xml:space="preserve"> </w:t>
      </w:r>
    </w:p>
    <w:p w14:paraId="0A52E338"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lang w:val="es-CR"/>
        </w:rPr>
      </w:pPr>
      <w:r w:rsidRPr="005C56F8">
        <w:rPr>
          <w:rFonts w:ascii="Arial" w:eastAsiaTheme="minorEastAsia" w:hAnsi="Arial" w:cs="Arial"/>
          <w:bCs/>
          <w:sz w:val="20"/>
          <w:szCs w:val="20"/>
          <w:lang w:val="es-CR"/>
        </w:rPr>
        <w:t xml:space="preserve">Variación en la estimación de recursos. </w:t>
      </w:r>
    </w:p>
    <w:p w14:paraId="28E38CB9"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lang w:val="es-CR"/>
        </w:rPr>
      </w:pPr>
      <w:r w:rsidRPr="005C56F8">
        <w:rPr>
          <w:rFonts w:ascii="Arial" w:eastAsiaTheme="minorEastAsia" w:hAnsi="Arial" w:cs="Arial"/>
          <w:bCs/>
          <w:sz w:val="20"/>
          <w:szCs w:val="20"/>
          <w:lang w:val="es-CR"/>
        </w:rPr>
        <w:t>Problemas relacionados con los procesos de contratación administrativa.</w:t>
      </w:r>
    </w:p>
    <w:p w14:paraId="3C9A6395"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rPr>
      </w:pPr>
      <w:r w:rsidRPr="005C56F8">
        <w:rPr>
          <w:rFonts w:ascii="Arial" w:eastAsiaTheme="minorEastAsia" w:hAnsi="Arial" w:cs="Arial"/>
          <w:bCs/>
          <w:sz w:val="20"/>
          <w:szCs w:val="20"/>
        </w:rPr>
        <w:t>Liberación de cuota insuficiente.</w:t>
      </w:r>
    </w:p>
    <w:p w14:paraId="09EB24D2"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lang w:val="es-CR"/>
        </w:rPr>
      </w:pPr>
      <w:r w:rsidRPr="005C56F8">
        <w:rPr>
          <w:rFonts w:ascii="Arial" w:eastAsiaTheme="minorEastAsia" w:hAnsi="Arial" w:cs="Arial"/>
          <w:bCs/>
          <w:sz w:val="20"/>
          <w:szCs w:val="20"/>
          <w:lang w:val="es-CR"/>
        </w:rPr>
        <w:t>Desviaciones entre lo planificado y lo ejecutado.</w:t>
      </w:r>
    </w:p>
    <w:p w14:paraId="1CF05007"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lang w:val="es-CR"/>
        </w:rPr>
      </w:pPr>
      <w:r w:rsidRPr="005C56F8">
        <w:rPr>
          <w:rFonts w:ascii="Arial" w:eastAsiaTheme="minorEastAsia" w:hAnsi="Arial" w:cs="Arial"/>
          <w:bCs/>
          <w:sz w:val="20"/>
          <w:szCs w:val="20"/>
          <w:lang w:val="es-CR"/>
        </w:rPr>
        <w:t>Normas de ejecución para el ejercicio presupuestario 2021.</w:t>
      </w:r>
    </w:p>
    <w:p w14:paraId="4A3AD7D0" w14:textId="77777777" w:rsidR="005C56F8" w:rsidRPr="005C56F8" w:rsidRDefault="005C56F8" w:rsidP="00BE5AA1">
      <w:pPr>
        <w:numPr>
          <w:ilvl w:val="0"/>
          <w:numId w:val="27"/>
        </w:numPr>
        <w:spacing w:after="160" w:line="360" w:lineRule="auto"/>
        <w:contextualSpacing/>
        <w:jc w:val="both"/>
        <w:rPr>
          <w:rFonts w:ascii="Arial" w:eastAsiaTheme="minorEastAsia" w:hAnsi="Arial" w:cs="Arial"/>
          <w:bCs/>
          <w:sz w:val="20"/>
          <w:szCs w:val="20"/>
        </w:rPr>
      </w:pPr>
      <w:r w:rsidRPr="005C56F8">
        <w:rPr>
          <w:rFonts w:ascii="Arial" w:eastAsiaTheme="minorEastAsia" w:hAnsi="Arial" w:cs="Arial"/>
          <w:bCs/>
          <w:sz w:val="20"/>
          <w:szCs w:val="20"/>
        </w:rPr>
        <w:t>Otro (Especifique).</w:t>
      </w:r>
    </w:p>
    <w:p w14:paraId="4E76140A" w14:textId="77777777" w:rsidR="005C56F8" w:rsidRPr="005C56F8" w:rsidRDefault="005C56F8" w:rsidP="005C56F8">
      <w:pPr>
        <w:jc w:val="both"/>
        <w:rPr>
          <w:rFonts w:ascii="Arial" w:eastAsia="Arial" w:hAnsi="Arial" w:cs="Arial"/>
          <w:color w:val="000000" w:themeColor="text1"/>
          <w:sz w:val="20"/>
          <w:szCs w:val="20"/>
        </w:rPr>
      </w:pPr>
      <w:r w:rsidRPr="005C56F8">
        <w:rPr>
          <w:rFonts w:ascii="Arial" w:eastAsia="Arial" w:hAnsi="Arial" w:cs="Arial"/>
          <w:color w:val="000000" w:themeColor="text1"/>
          <w:sz w:val="20"/>
          <w:szCs w:val="20"/>
        </w:rPr>
        <w:t>Adicionalmente incluir el resultado obtenido al primer semestre.</w:t>
      </w:r>
    </w:p>
    <w:p w14:paraId="22EB966E" w14:textId="77777777" w:rsidR="005C56F8" w:rsidRPr="005C56F8" w:rsidRDefault="005C56F8" w:rsidP="005C56F8">
      <w:pPr>
        <w:jc w:val="both"/>
        <w:rPr>
          <w:rFonts w:ascii="Arial" w:eastAsia="Arial" w:hAnsi="Arial" w:cs="Arial"/>
          <w:color w:val="000000" w:themeColor="text1"/>
          <w:sz w:val="20"/>
          <w:szCs w:val="20"/>
        </w:rPr>
      </w:pPr>
    </w:p>
    <w:p w14:paraId="2ACEEFF7" w14:textId="77777777" w:rsidR="0019529E" w:rsidRPr="0019529E" w:rsidRDefault="0019529E" w:rsidP="00BF0246">
      <w:pPr>
        <w:rPr>
          <w:rFonts w:ascii="Arial" w:eastAsiaTheme="minorEastAsia" w:hAnsi="Arial" w:cs="Arial"/>
          <w:b/>
          <w:sz w:val="20"/>
          <w:szCs w:val="20"/>
          <w:lang w:val="es-ES_tradnl"/>
        </w:rPr>
      </w:pPr>
    </w:p>
    <w:p w14:paraId="17A8EFB1" w14:textId="511D6EDA" w:rsidR="00961918" w:rsidRPr="00AE3D7B" w:rsidRDefault="00961918" w:rsidP="00961918">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19</w:t>
      </w:r>
      <w:r w:rsidRPr="00AE3D7B">
        <w:rPr>
          <w:rFonts w:ascii="Arial" w:hAnsi="Arial" w:cs="Arial"/>
          <w:b/>
          <w:bCs/>
          <w:i w:val="0"/>
          <w:iCs w:val="0"/>
          <w:color w:val="auto"/>
          <w:sz w:val="20"/>
          <w:szCs w:val="20"/>
        </w:rPr>
        <w:fldChar w:fldCharType="end"/>
      </w:r>
    </w:p>
    <w:p w14:paraId="5FD89525" w14:textId="470011DF" w:rsidR="0019529E" w:rsidRPr="0019529E" w:rsidRDefault="0019529E" w:rsidP="0019529E">
      <w:pPr>
        <w:jc w:val="center"/>
        <w:rPr>
          <w:rFonts w:ascii="Arial" w:eastAsiaTheme="minorEastAsia" w:hAnsi="Arial" w:cs="Arial"/>
          <w:b/>
          <w:sz w:val="20"/>
          <w:szCs w:val="20"/>
          <w:lang w:val="es-ES_tradnl"/>
        </w:rPr>
      </w:pPr>
      <w:r w:rsidRPr="0019529E">
        <w:rPr>
          <w:rFonts w:ascii="Arial" w:eastAsiaTheme="minorEastAsia" w:hAnsi="Arial" w:cs="Arial"/>
          <w:b/>
          <w:sz w:val="20"/>
          <w:szCs w:val="20"/>
          <w:lang w:val="es-ES_tradnl"/>
        </w:rPr>
        <w:t>Factores que afectaron la ejecución financiera</w:t>
      </w:r>
    </w:p>
    <w:p w14:paraId="12DE920C" w14:textId="77777777" w:rsidR="0019529E" w:rsidRPr="0019529E" w:rsidRDefault="0019529E" w:rsidP="0019529E">
      <w:pPr>
        <w:jc w:val="center"/>
        <w:rPr>
          <w:rFonts w:ascii="Arial" w:eastAsiaTheme="minorEastAsia" w:hAnsi="Arial" w:cs="Arial"/>
          <w:sz w:val="20"/>
          <w:szCs w:val="20"/>
          <w:lang w:val="es-ES_tradnl"/>
        </w:rPr>
      </w:pPr>
      <w:r w:rsidRPr="0019529E">
        <w:rPr>
          <w:rFonts w:ascii="Arial" w:eastAsiaTheme="minorEastAsia" w:hAnsi="Arial" w:cs="Arial"/>
          <w:sz w:val="20"/>
          <w:szCs w:val="20"/>
          <w:lang w:val="es-ES_tradnl"/>
        </w:rPr>
        <w:t>Programa 929 Ministerio Público</w:t>
      </w:r>
    </w:p>
    <w:p w14:paraId="7F959585" w14:textId="77777777" w:rsidR="0019529E" w:rsidRPr="0019529E" w:rsidRDefault="0019529E" w:rsidP="0019529E">
      <w:pPr>
        <w:jc w:val="center"/>
        <w:rPr>
          <w:rFonts w:ascii="Arial" w:eastAsiaTheme="minorEastAsia" w:hAnsi="Arial" w:cs="Arial"/>
          <w:sz w:val="20"/>
          <w:szCs w:val="20"/>
          <w:lang w:val="es-ES_tradnl"/>
        </w:rPr>
      </w:pPr>
      <w:r w:rsidRPr="0019529E">
        <w:rPr>
          <w:rFonts w:ascii="Arial" w:eastAsiaTheme="minorEastAsia" w:hAnsi="Arial" w:cs="Arial"/>
          <w:sz w:val="20"/>
          <w:szCs w:val="20"/>
          <w:lang w:val="es-ES_tradnl"/>
        </w:rPr>
        <w:t>Factores para resultados inferiores a 90,00% de ejecución</w:t>
      </w:r>
    </w:p>
    <w:p w14:paraId="2896143E" w14:textId="77777777" w:rsidR="0019529E" w:rsidRPr="0019529E" w:rsidRDefault="0019529E" w:rsidP="0019529E">
      <w:pPr>
        <w:jc w:val="center"/>
        <w:rPr>
          <w:rFonts w:ascii="Arial" w:eastAsiaTheme="minorEastAsia" w:hAnsi="Arial" w:cs="Arial"/>
          <w:sz w:val="20"/>
          <w:szCs w:val="20"/>
          <w:lang w:val="es-ES_tradnl"/>
        </w:rPr>
      </w:pPr>
      <w:r w:rsidRPr="0019529E">
        <w:rPr>
          <w:rFonts w:ascii="Arial" w:eastAsiaTheme="minorEastAsia" w:hAnsi="Arial" w:cs="Arial"/>
          <w:sz w:val="20"/>
          <w:szCs w:val="20"/>
          <w:lang w:val="es-ES_tradnl"/>
        </w:rPr>
        <w:t>Al 31 de diciembre 2021</w:t>
      </w:r>
    </w:p>
    <w:tbl>
      <w:tblPr>
        <w:tblW w:w="9200" w:type="dxa"/>
        <w:tblCellMar>
          <w:left w:w="70" w:type="dxa"/>
          <w:right w:w="70" w:type="dxa"/>
        </w:tblCellMar>
        <w:tblLook w:val="04A0" w:firstRow="1" w:lastRow="0" w:firstColumn="1" w:lastColumn="0" w:noHBand="0" w:noVBand="1"/>
      </w:tblPr>
      <w:tblGrid>
        <w:gridCol w:w="1957"/>
        <w:gridCol w:w="1236"/>
        <w:gridCol w:w="1236"/>
        <w:gridCol w:w="329"/>
        <w:gridCol w:w="317"/>
        <w:gridCol w:w="317"/>
        <w:gridCol w:w="328"/>
        <w:gridCol w:w="317"/>
        <w:gridCol w:w="328"/>
        <w:gridCol w:w="317"/>
        <w:gridCol w:w="329"/>
        <w:gridCol w:w="317"/>
        <w:gridCol w:w="363"/>
        <w:gridCol w:w="1509"/>
      </w:tblGrid>
      <w:tr w:rsidR="0019529E" w:rsidRPr="0019529E" w14:paraId="76631DEE" w14:textId="77777777" w:rsidTr="00465D52">
        <w:trPr>
          <w:trHeight w:val="288"/>
        </w:trPr>
        <w:tc>
          <w:tcPr>
            <w:tcW w:w="1967" w:type="dxa"/>
            <w:vMerge w:val="restart"/>
            <w:tcBorders>
              <w:top w:val="single" w:sz="8" w:space="0" w:color="4472C4"/>
              <w:left w:val="single" w:sz="8" w:space="0" w:color="4472C4"/>
              <w:bottom w:val="single" w:sz="8" w:space="0" w:color="4472C4"/>
              <w:right w:val="single" w:sz="8" w:space="0" w:color="4472C4"/>
            </w:tcBorders>
            <w:shd w:val="clear" w:color="000000" w:fill="4F81BD"/>
            <w:vAlign w:val="center"/>
            <w:hideMark/>
          </w:tcPr>
          <w:p w14:paraId="20934AFE" w14:textId="77777777" w:rsidR="0019529E" w:rsidRPr="0019529E" w:rsidRDefault="0019529E" w:rsidP="0019529E">
            <w:pPr>
              <w:jc w:val="center"/>
              <w:rPr>
                <w:rFonts w:ascii="Arial" w:hAnsi="Arial" w:cs="Arial"/>
                <w:b/>
                <w:color w:val="FFFFFF"/>
                <w:sz w:val="20"/>
                <w:szCs w:val="20"/>
                <w:lang w:val="es-CR" w:eastAsia="es-CR"/>
              </w:rPr>
            </w:pPr>
            <w:r w:rsidRPr="0019529E">
              <w:rPr>
                <w:rFonts w:ascii="Arial" w:hAnsi="Arial" w:cs="Arial"/>
                <w:b/>
                <w:color w:val="FFFFFF"/>
                <w:sz w:val="20"/>
                <w:szCs w:val="20"/>
                <w:lang w:val="es-CR" w:eastAsia="es-CR"/>
              </w:rPr>
              <w:t>Nombre de la partida</w:t>
            </w:r>
          </w:p>
        </w:tc>
        <w:tc>
          <w:tcPr>
            <w:tcW w:w="2474" w:type="dxa"/>
            <w:gridSpan w:val="2"/>
            <w:tcBorders>
              <w:top w:val="single" w:sz="8" w:space="0" w:color="4472C4"/>
              <w:left w:val="nil"/>
              <w:bottom w:val="single" w:sz="8" w:space="0" w:color="4472C4"/>
              <w:right w:val="single" w:sz="8" w:space="0" w:color="4472C4"/>
            </w:tcBorders>
            <w:shd w:val="clear" w:color="000000" w:fill="4F81BD"/>
            <w:vAlign w:val="center"/>
            <w:hideMark/>
          </w:tcPr>
          <w:p w14:paraId="4DB0BC27" w14:textId="77777777" w:rsidR="0019529E" w:rsidRPr="0019529E" w:rsidRDefault="0019529E" w:rsidP="0019529E">
            <w:pPr>
              <w:jc w:val="center"/>
              <w:rPr>
                <w:rFonts w:ascii="Arial" w:hAnsi="Arial" w:cs="Arial"/>
                <w:b/>
                <w:color w:val="FFFFFF"/>
                <w:sz w:val="20"/>
                <w:szCs w:val="20"/>
                <w:lang w:val="es-CR" w:eastAsia="es-CR"/>
              </w:rPr>
            </w:pPr>
            <w:r w:rsidRPr="0019529E">
              <w:rPr>
                <w:rFonts w:ascii="Arial" w:hAnsi="Arial" w:cs="Arial"/>
                <w:b/>
                <w:color w:val="FFFFFF"/>
                <w:sz w:val="20"/>
                <w:szCs w:val="20"/>
                <w:lang w:val="es-CR" w:eastAsia="es-CR"/>
              </w:rPr>
              <w:t>Nivel de ejecución</w:t>
            </w:r>
          </w:p>
        </w:tc>
        <w:tc>
          <w:tcPr>
            <w:tcW w:w="4759" w:type="dxa"/>
            <w:gridSpan w:val="11"/>
            <w:tcBorders>
              <w:top w:val="single" w:sz="8" w:space="0" w:color="4472C4"/>
              <w:left w:val="nil"/>
              <w:bottom w:val="single" w:sz="8" w:space="0" w:color="4472C4"/>
              <w:right w:val="single" w:sz="8" w:space="0" w:color="4472C4"/>
            </w:tcBorders>
            <w:shd w:val="clear" w:color="000000" w:fill="4F81BD"/>
            <w:vAlign w:val="center"/>
            <w:hideMark/>
          </w:tcPr>
          <w:p w14:paraId="102F01C2" w14:textId="77777777" w:rsidR="0019529E" w:rsidRPr="0019529E" w:rsidRDefault="0019529E" w:rsidP="0019529E">
            <w:pPr>
              <w:jc w:val="center"/>
              <w:rPr>
                <w:rFonts w:ascii="Arial" w:hAnsi="Arial" w:cs="Arial"/>
                <w:b/>
                <w:color w:val="FFFFFF"/>
                <w:sz w:val="20"/>
                <w:szCs w:val="20"/>
                <w:lang w:val="es-CR" w:eastAsia="es-CR"/>
              </w:rPr>
            </w:pPr>
            <w:r w:rsidRPr="0019529E">
              <w:rPr>
                <w:rFonts w:ascii="Arial" w:hAnsi="Arial" w:cs="Arial"/>
                <w:b/>
                <w:color w:val="FFFFFF"/>
                <w:sz w:val="20"/>
                <w:szCs w:val="20"/>
                <w:lang w:val="es-CR" w:eastAsia="es-CR"/>
              </w:rPr>
              <w:t>Factores al 31/12/2021</w:t>
            </w:r>
          </w:p>
        </w:tc>
      </w:tr>
      <w:tr w:rsidR="001F48DF" w:rsidRPr="0019529E" w14:paraId="56C4B91D" w14:textId="77777777" w:rsidTr="00465D52">
        <w:trPr>
          <w:trHeight w:val="588"/>
        </w:trPr>
        <w:tc>
          <w:tcPr>
            <w:tcW w:w="1967" w:type="dxa"/>
            <w:vMerge/>
            <w:tcBorders>
              <w:top w:val="single" w:sz="8" w:space="0" w:color="4472C4"/>
              <w:left w:val="single" w:sz="8" w:space="0" w:color="4472C4"/>
              <w:bottom w:val="single" w:sz="8" w:space="0" w:color="4472C4"/>
              <w:right w:val="single" w:sz="8" w:space="0" w:color="4472C4"/>
            </w:tcBorders>
            <w:vAlign w:val="center"/>
            <w:hideMark/>
          </w:tcPr>
          <w:p w14:paraId="538024FA" w14:textId="77777777" w:rsidR="0019529E" w:rsidRPr="0019529E" w:rsidRDefault="0019529E" w:rsidP="0019529E">
            <w:pPr>
              <w:rPr>
                <w:rFonts w:ascii="Arial" w:hAnsi="Arial" w:cs="Arial"/>
                <w:b/>
                <w:color w:val="FFFFFF"/>
                <w:sz w:val="20"/>
                <w:szCs w:val="20"/>
                <w:lang w:val="es-CR" w:eastAsia="es-CR"/>
              </w:rPr>
            </w:pPr>
          </w:p>
        </w:tc>
        <w:tc>
          <w:tcPr>
            <w:tcW w:w="1237" w:type="dxa"/>
            <w:tcBorders>
              <w:top w:val="nil"/>
              <w:left w:val="nil"/>
              <w:bottom w:val="single" w:sz="8" w:space="0" w:color="4472C4"/>
              <w:right w:val="single" w:sz="8" w:space="0" w:color="4472C4"/>
            </w:tcBorders>
            <w:shd w:val="clear" w:color="000000" w:fill="4F81BD"/>
            <w:vAlign w:val="center"/>
            <w:hideMark/>
          </w:tcPr>
          <w:p w14:paraId="76176BD9"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 xml:space="preserve">30/06/2021 </w:t>
            </w:r>
            <w:r w:rsidRPr="0019529E">
              <w:rPr>
                <w:rFonts w:ascii="Arial" w:hAnsi="Arial" w:cs="Arial"/>
                <w:b/>
                <w:bCs/>
                <w:color w:val="FFFFFF"/>
                <w:sz w:val="20"/>
                <w:szCs w:val="20"/>
                <w:vertAlign w:val="superscript"/>
                <w:lang w:val="es-CR" w:eastAsia="es-CR"/>
              </w:rPr>
              <w:t>/1</w:t>
            </w:r>
          </w:p>
        </w:tc>
        <w:tc>
          <w:tcPr>
            <w:tcW w:w="1237" w:type="dxa"/>
            <w:tcBorders>
              <w:top w:val="nil"/>
              <w:left w:val="nil"/>
              <w:bottom w:val="single" w:sz="8" w:space="0" w:color="4472C4"/>
              <w:right w:val="single" w:sz="8" w:space="0" w:color="4472C4"/>
            </w:tcBorders>
            <w:shd w:val="clear" w:color="000000" w:fill="4F81BD"/>
            <w:vAlign w:val="center"/>
            <w:hideMark/>
          </w:tcPr>
          <w:p w14:paraId="7B916CA6"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 xml:space="preserve">31/12/2021 </w:t>
            </w:r>
            <w:r w:rsidRPr="0019529E">
              <w:rPr>
                <w:rFonts w:ascii="Arial" w:hAnsi="Arial" w:cs="Arial"/>
                <w:b/>
                <w:bCs/>
                <w:color w:val="FFFFFF"/>
                <w:sz w:val="20"/>
                <w:szCs w:val="20"/>
                <w:vertAlign w:val="superscript"/>
                <w:lang w:val="es-CR" w:eastAsia="es-CR"/>
              </w:rPr>
              <w:t>/2</w:t>
            </w:r>
          </w:p>
        </w:tc>
        <w:tc>
          <w:tcPr>
            <w:tcW w:w="318" w:type="dxa"/>
            <w:tcBorders>
              <w:top w:val="nil"/>
              <w:left w:val="nil"/>
              <w:bottom w:val="single" w:sz="8" w:space="0" w:color="4472C4"/>
              <w:right w:val="single" w:sz="8" w:space="0" w:color="4472C4"/>
            </w:tcBorders>
            <w:shd w:val="clear" w:color="000000" w:fill="4F81BD"/>
            <w:vAlign w:val="center"/>
            <w:hideMark/>
          </w:tcPr>
          <w:p w14:paraId="15021039"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1</w:t>
            </w:r>
          </w:p>
        </w:tc>
        <w:tc>
          <w:tcPr>
            <w:tcW w:w="318" w:type="dxa"/>
            <w:tcBorders>
              <w:top w:val="nil"/>
              <w:left w:val="nil"/>
              <w:bottom w:val="single" w:sz="8" w:space="0" w:color="4472C4"/>
              <w:right w:val="single" w:sz="8" w:space="0" w:color="4472C4"/>
            </w:tcBorders>
            <w:shd w:val="clear" w:color="000000" w:fill="4F81BD"/>
            <w:vAlign w:val="center"/>
            <w:hideMark/>
          </w:tcPr>
          <w:p w14:paraId="0B350E30"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2</w:t>
            </w:r>
          </w:p>
        </w:tc>
        <w:tc>
          <w:tcPr>
            <w:tcW w:w="318" w:type="dxa"/>
            <w:tcBorders>
              <w:top w:val="nil"/>
              <w:left w:val="nil"/>
              <w:bottom w:val="single" w:sz="8" w:space="0" w:color="4472C4"/>
              <w:right w:val="single" w:sz="8" w:space="0" w:color="4472C4"/>
            </w:tcBorders>
            <w:shd w:val="clear" w:color="000000" w:fill="4F81BD"/>
            <w:vAlign w:val="center"/>
            <w:hideMark/>
          </w:tcPr>
          <w:p w14:paraId="0D6DF2C0"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3</w:t>
            </w:r>
          </w:p>
        </w:tc>
        <w:tc>
          <w:tcPr>
            <w:tcW w:w="329" w:type="dxa"/>
            <w:tcBorders>
              <w:top w:val="nil"/>
              <w:left w:val="nil"/>
              <w:bottom w:val="single" w:sz="8" w:space="0" w:color="4472C4"/>
              <w:right w:val="single" w:sz="8" w:space="0" w:color="4472C4"/>
            </w:tcBorders>
            <w:shd w:val="clear" w:color="000000" w:fill="4F81BD"/>
            <w:vAlign w:val="center"/>
            <w:hideMark/>
          </w:tcPr>
          <w:p w14:paraId="4E0662C7"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4</w:t>
            </w:r>
          </w:p>
        </w:tc>
        <w:tc>
          <w:tcPr>
            <w:tcW w:w="318" w:type="dxa"/>
            <w:tcBorders>
              <w:top w:val="nil"/>
              <w:left w:val="nil"/>
              <w:bottom w:val="single" w:sz="8" w:space="0" w:color="4472C4"/>
              <w:right w:val="single" w:sz="8" w:space="0" w:color="4472C4"/>
            </w:tcBorders>
            <w:shd w:val="clear" w:color="000000" w:fill="4F81BD"/>
            <w:vAlign w:val="center"/>
            <w:hideMark/>
          </w:tcPr>
          <w:p w14:paraId="66083A84"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5</w:t>
            </w:r>
          </w:p>
        </w:tc>
        <w:tc>
          <w:tcPr>
            <w:tcW w:w="329" w:type="dxa"/>
            <w:tcBorders>
              <w:top w:val="nil"/>
              <w:left w:val="nil"/>
              <w:bottom w:val="single" w:sz="8" w:space="0" w:color="4472C4"/>
              <w:right w:val="single" w:sz="8" w:space="0" w:color="4472C4"/>
            </w:tcBorders>
            <w:shd w:val="clear" w:color="000000" w:fill="4F81BD"/>
            <w:vAlign w:val="center"/>
            <w:hideMark/>
          </w:tcPr>
          <w:p w14:paraId="64B9CC11"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6</w:t>
            </w:r>
          </w:p>
        </w:tc>
        <w:tc>
          <w:tcPr>
            <w:tcW w:w="318" w:type="dxa"/>
            <w:tcBorders>
              <w:top w:val="nil"/>
              <w:left w:val="nil"/>
              <w:bottom w:val="single" w:sz="8" w:space="0" w:color="4472C4"/>
              <w:right w:val="single" w:sz="8" w:space="0" w:color="4472C4"/>
            </w:tcBorders>
            <w:shd w:val="clear" w:color="000000" w:fill="4F81BD"/>
            <w:vAlign w:val="center"/>
            <w:hideMark/>
          </w:tcPr>
          <w:p w14:paraId="46D69A84"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7</w:t>
            </w:r>
          </w:p>
        </w:tc>
        <w:tc>
          <w:tcPr>
            <w:tcW w:w="318" w:type="dxa"/>
            <w:tcBorders>
              <w:top w:val="nil"/>
              <w:left w:val="nil"/>
              <w:bottom w:val="single" w:sz="8" w:space="0" w:color="4472C4"/>
              <w:right w:val="single" w:sz="8" w:space="0" w:color="4472C4"/>
            </w:tcBorders>
            <w:shd w:val="clear" w:color="000000" w:fill="4F81BD"/>
            <w:vAlign w:val="center"/>
            <w:hideMark/>
          </w:tcPr>
          <w:p w14:paraId="31F29AD6"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8</w:t>
            </w:r>
          </w:p>
        </w:tc>
        <w:tc>
          <w:tcPr>
            <w:tcW w:w="318" w:type="dxa"/>
            <w:tcBorders>
              <w:top w:val="nil"/>
              <w:left w:val="nil"/>
              <w:bottom w:val="single" w:sz="8" w:space="0" w:color="4472C4"/>
              <w:right w:val="single" w:sz="8" w:space="0" w:color="4472C4"/>
            </w:tcBorders>
            <w:shd w:val="clear" w:color="000000" w:fill="4F81BD"/>
            <w:vAlign w:val="center"/>
            <w:hideMark/>
          </w:tcPr>
          <w:p w14:paraId="432AD843"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9</w:t>
            </w:r>
          </w:p>
        </w:tc>
        <w:tc>
          <w:tcPr>
            <w:tcW w:w="363" w:type="dxa"/>
            <w:tcBorders>
              <w:top w:val="nil"/>
              <w:left w:val="nil"/>
              <w:bottom w:val="single" w:sz="8" w:space="0" w:color="4472C4"/>
              <w:right w:val="single" w:sz="8" w:space="0" w:color="4472C4"/>
            </w:tcBorders>
            <w:shd w:val="clear" w:color="000000" w:fill="4F81BD"/>
            <w:vAlign w:val="center"/>
            <w:hideMark/>
          </w:tcPr>
          <w:p w14:paraId="5DB757FB"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10</w:t>
            </w:r>
          </w:p>
        </w:tc>
        <w:tc>
          <w:tcPr>
            <w:tcW w:w="1512" w:type="dxa"/>
            <w:tcBorders>
              <w:top w:val="nil"/>
              <w:left w:val="nil"/>
              <w:bottom w:val="single" w:sz="8" w:space="0" w:color="4472C4"/>
              <w:right w:val="single" w:sz="8" w:space="0" w:color="4472C4"/>
            </w:tcBorders>
            <w:shd w:val="clear" w:color="000000" w:fill="4F81BD"/>
            <w:vAlign w:val="center"/>
            <w:hideMark/>
          </w:tcPr>
          <w:p w14:paraId="5DB729A0" w14:textId="77777777" w:rsidR="0019529E" w:rsidRPr="0019529E" w:rsidRDefault="0019529E" w:rsidP="0019529E">
            <w:pPr>
              <w:jc w:val="center"/>
              <w:rPr>
                <w:rFonts w:ascii="Arial" w:hAnsi="Arial" w:cs="Arial"/>
                <w:b/>
                <w:bCs/>
                <w:color w:val="FFFFFF"/>
                <w:sz w:val="20"/>
                <w:szCs w:val="20"/>
                <w:lang w:val="es-CR" w:eastAsia="es-CR"/>
              </w:rPr>
            </w:pPr>
            <w:r w:rsidRPr="0019529E">
              <w:rPr>
                <w:rFonts w:ascii="Arial" w:hAnsi="Arial" w:cs="Arial"/>
                <w:b/>
                <w:bCs/>
                <w:color w:val="FFFFFF"/>
                <w:sz w:val="20"/>
                <w:szCs w:val="20"/>
                <w:lang w:val="es-CR" w:eastAsia="es-CR"/>
              </w:rPr>
              <w:t xml:space="preserve">Descripción </w:t>
            </w:r>
            <w:r w:rsidRPr="0019529E">
              <w:rPr>
                <w:rFonts w:ascii="Arial" w:hAnsi="Arial" w:cs="Arial"/>
                <w:b/>
                <w:bCs/>
                <w:color w:val="FFFFFF"/>
                <w:sz w:val="20"/>
                <w:szCs w:val="20"/>
                <w:vertAlign w:val="superscript"/>
                <w:lang w:val="es-CR" w:eastAsia="es-CR"/>
              </w:rPr>
              <w:t>/3</w:t>
            </w:r>
          </w:p>
        </w:tc>
      </w:tr>
      <w:tr w:rsidR="0019529E" w:rsidRPr="0019529E" w14:paraId="3A3558FA" w14:textId="77777777" w:rsidTr="00465D52">
        <w:trPr>
          <w:trHeight w:val="336"/>
        </w:trPr>
        <w:tc>
          <w:tcPr>
            <w:tcW w:w="1967" w:type="dxa"/>
            <w:tcBorders>
              <w:top w:val="nil"/>
              <w:left w:val="single" w:sz="8" w:space="0" w:color="4472C4"/>
              <w:bottom w:val="single" w:sz="8" w:space="0" w:color="4472C4"/>
              <w:right w:val="single" w:sz="8" w:space="0" w:color="4472C4"/>
            </w:tcBorders>
            <w:shd w:val="clear" w:color="auto" w:fill="auto"/>
            <w:vAlign w:val="center"/>
            <w:hideMark/>
          </w:tcPr>
          <w:p w14:paraId="53FE6D25" w14:textId="77777777" w:rsidR="0019529E" w:rsidRPr="0019529E" w:rsidRDefault="0019529E" w:rsidP="0019529E">
            <w:pPr>
              <w:rPr>
                <w:rFonts w:ascii="Arial" w:hAnsi="Arial" w:cs="Arial"/>
                <w:sz w:val="20"/>
                <w:szCs w:val="20"/>
                <w:lang w:val="es-CR" w:eastAsia="es-CR"/>
              </w:rPr>
            </w:pPr>
            <w:r w:rsidRPr="0019529E">
              <w:rPr>
                <w:rFonts w:ascii="Arial" w:hAnsi="Arial" w:cs="Arial"/>
                <w:sz w:val="20"/>
                <w:szCs w:val="20"/>
                <w:lang w:val="es-CR" w:eastAsia="es-CR"/>
              </w:rPr>
              <w:t>Materiales y Suministros</w:t>
            </w:r>
          </w:p>
        </w:tc>
        <w:tc>
          <w:tcPr>
            <w:tcW w:w="1237" w:type="dxa"/>
            <w:tcBorders>
              <w:top w:val="nil"/>
              <w:left w:val="nil"/>
              <w:bottom w:val="single" w:sz="8" w:space="0" w:color="4472C4"/>
              <w:right w:val="single" w:sz="8" w:space="0" w:color="4472C4"/>
            </w:tcBorders>
            <w:shd w:val="clear" w:color="auto" w:fill="auto"/>
            <w:vAlign w:val="center"/>
            <w:hideMark/>
          </w:tcPr>
          <w:p w14:paraId="62ADF596"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19,23%</w:t>
            </w:r>
          </w:p>
        </w:tc>
        <w:tc>
          <w:tcPr>
            <w:tcW w:w="1237" w:type="dxa"/>
            <w:tcBorders>
              <w:top w:val="nil"/>
              <w:left w:val="nil"/>
              <w:bottom w:val="single" w:sz="8" w:space="0" w:color="4472C4"/>
              <w:right w:val="single" w:sz="8" w:space="0" w:color="4472C4"/>
            </w:tcBorders>
            <w:shd w:val="clear" w:color="auto" w:fill="auto"/>
            <w:vAlign w:val="center"/>
            <w:hideMark/>
          </w:tcPr>
          <w:p w14:paraId="46B370D4"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85,91%</w:t>
            </w:r>
          </w:p>
        </w:tc>
        <w:tc>
          <w:tcPr>
            <w:tcW w:w="318" w:type="dxa"/>
            <w:tcBorders>
              <w:top w:val="nil"/>
              <w:left w:val="nil"/>
              <w:bottom w:val="single" w:sz="8" w:space="0" w:color="4472C4"/>
              <w:right w:val="single" w:sz="8" w:space="0" w:color="4472C4"/>
            </w:tcBorders>
            <w:shd w:val="clear" w:color="auto" w:fill="auto"/>
            <w:vAlign w:val="center"/>
            <w:hideMark/>
          </w:tcPr>
          <w:p w14:paraId="6CFC6016"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X</w:t>
            </w:r>
          </w:p>
        </w:tc>
        <w:tc>
          <w:tcPr>
            <w:tcW w:w="318" w:type="dxa"/>
            <w:tcBorders>
              <w:top w:val="nil"/>
              <w:left w:val="nil"/>
              <w:bottom w:val="single" w:sz="8" w:space="0" w:color="4472C4"/>
              <w:right w:val="single" w:sz="8" w:space="0" w:color="4472C4"/>
            </w:tcBorders>
            <w:shd w:val="clear" w:color="auto" w:fill="auto"/>
            <w:vAlign w:val="center"/>
            <w:hideMark/>
          </w:tcPr>
          <w:p w14:paraId="28FF1B7D"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5DCE48AD"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tcPr>
          <w:p w14:paraId="4DC6EC83"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X</w:t>
            </w:r>
          </w:p>
        </w:tc>
        <w:tc>
          <w:tcPr>
            <w:tcW w:w="318" w:type="dxa"/>
            <w:tcBorders>
              <w:top w:val="nil"/>
              <w:left w:val="nil"/>
              <w:bottom w:val="single" w:sz="8" w:space="0" w:color="4472C4"/>
              <w:right w:val="single" w:sz="8" w:space="0" w:color="4472C4"/>
            </w:tcBorders>
            <w:shd w:val="clear" w:color="auto" w:fill="auto"/>
            <w:vAlign w:val="center"/>
          </w:tcPr>
          <w:p w14:paraId="636C4B5C" w14:textId="77777777" w:rsidR="0019529E" w:rsidRPr="0019529E" w:rsidRDefault="0019529E" w:rsidP="0019529E">
            <w:pPr>
              <w:jc w:val="center"/>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4C93E63B"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X</w:t>
            </w:r>
          </w:p>
        </w:tc>
        <w:tc>
          <w:tcPr>
            <w:tcW w:w="318" w:type="dxa"/>
            <w:tcBorders>
              <w:top w:val="nil"/>
              <w:left w:val="nil"/>
              <w:bottom w:val="single" w:sz="8" w:space="0" w:color="4472C4"/>
              <w:right w:val="single" w:sz="8" w:space="0" w:color="4472C4"/>
            </w:tcBorders>
            <w:shd w:val="clear" w:color="auto" w:fill="auto"/>
            <w:vAlign w:val="center"/>
            <w:hideMark/>
          </w:tcPr>
          <w:p w14:paraId="60F44F28"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178D96B0" w14:textId="77777777" w:rsidR="0019529E" w:rsidRPr="0019529E" w:rsidRDefault="0019529E" w:rsidP="0019529E">
            <w:pPr>
              <w:jc w:val="center"/>
              <w:rPr>
                <w:rFonts w:ascii="Arial" w:hAnsi="Arial" w:cs="Arial"/>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hideMark/>
          </w:tcPr>
          <w:p w14:paraId="2DDA99A8"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364592F4"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 </w:t>
            </w:r>
          </w:p>
        </w:tc>
        <w:tc>
          <w:tcPr>
            <w:tcW w:w="1512" w:type="dxa"/>
            <w:tcBorders>
              <w:top w:val="nil"/>
              <w:left w:val="nil"/>
              <w:bottom w:val="single" w:sz="8" w:space="0" w:color="4472C4"/>
              <w:right w:val="single" w:sz="8" w:space="0" w:color="4472C4"/>
            </w:tcBorders>
            <w:shd w:val="clear" w:color="auto" w:fill="auto"/>
            <w:vAlign w:val="center"/>
            <w:hideMark/>
          </w:tcPr>
          <w:p w14:paraId="26237B13" w14:textId="161C3159" w:rsidR="0019529E" w:rsidRPr="0019529E" w:rsidRDefault="00EB57C5" w:rsidP="00EB57C5">
            <w:pPr>
              <w:jc w:val="center"/>
              <w:rPr>
                <w:rFonts w:ascii="Arial" w:hAnsi="Arial" w:cs="Arial"/>
                <w:sz w:val="20"/>
                <w:szCs w:val="20"/>
                <w:lang w:val="es-CR" w:eastAsia="es-CR"/>
              </w:rPr>
            </w:pPr>
            <w:r>
              <w:rPr>
                <w:rFonts w:ascii="Arial" w:hAnsi="Arial" w:cs="Arial"/>
                <w:sz w:val="20"/>
                <w:szCs w:val="20"/>
                <w:lang w:val="es-CR" w:eastAsia="es-CR"/>
              </w:rPr>
              <w:t>-</w:t>
            </w:r>
          </w:p>
        </w:tc>
      </w:tr>
      <w:tr w:rsidR="0019529E" w:rsidRPr="0019529E" w14:paraId="009566B7" w14:textId="77777777" w:rsidTr="00465D52">
        <w:trPr>
          <w:trHeight w:val="336"/>
        </w:trPr>
        <w:tc>
          <w:tcPr>
            <w:tcW w:w="1967" w:type="dxa"/>
            <w:tcBorders>
              <w:top w:val="nil"/>
              <w:left w:val="single" w:sz="8" w:space="0" w:color="4472C4"/>
              <w:bottom w:val="single" w:sz="8" w:space="0" w:color="4472C4"/>
              <w:right w:val="single" w:sz="8" w:space="0" w:color="4472C4"/>
            </w:tcBorders>
            <w:shd w:val="clear" w:color="auto" w:fill="auto"/>
            <w:vAlign w:val="center"/>
            <w:hideMark/>
          </w:tcPr>
          <w:p w14:paraId="2BA336D4" w14:textId="77777777" w:rsidR="0019529E" w:rsidRPr="0019529E" w:rsidRDefault="0019529E" w:rsidP="0019529E">
            <w:pPr>
              <w:rPr>
                <w:rFonts w:ascii="Arial" w:hAnsi="Arial" w:cs="Arial"/>
                <w:sz w:val="20"/>
                <w:szCs w:val="20"/>
                <w:lang w:val="es-CR" w:eastAsia="es-CR"/>
              </w:rPr>
            </w:pPr>
            <w:r w:rsidRPr="0019529E">
              <w:rPr>
                <w:rFonts w:ascii="Arial" w:hAnsi="Arial" w:cs="Arial"/>
                <w:sz w:val="20"/>
                <w:szCs w:val="20"/>
                <w:lang w:val="es-CR" w:eastAsia="es-CR"/>
              </w:rPr>
              <w:t>Bienes Duraderos</w:t>
            </w:r>
          </w:p>
        </w:tc>
        <w:tc>
          <w:tcPr>
            <w:tcW w:w="1237" w:type="dxa"/>
            <w:tcBorders>
              <w:top w:val="nil"/>
              <w:left w:val="nil"/>
              <w:bottom w:val="single" w:sz="8" w:space="0" w:color="4472C4"/>
              <w:right w:val="single" w:sz="8" w:space="0" w:color="4472C4"/>
            </w:tcBorders>
            <w:shd w:val="clear" w:color="auto" w:fill="auto"/>
            <w:vAlign w:val="center"/>
            <w:hideMark/>
          </w:tcPr>
          <w:p w14:paraId="2F7B2BD9"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17,08%</w:t>
            </w:r>
          </w:p>
        </w:tc>
        <w:tc>
          <w:tcPr>
            <w:tcW w:w="1237" w:type="dxa"/>
            <w:tcBorders>
              <w:top w:val="nil"/>
              <w:left w:val="nil"/>
              <w:bottom w:val="single" w:sz="8" w:space="0" w:color="4472C4"/>
              <w:right w:val="single" w:sz="8" w:space="0" w:color="4472C4"/>
            </w:tcBorders>
            <w:shd w:val="clear" w:color="auto" w:fill="auto"/>
            <w:vAlign w:val="center"/>
            <w:hideMark/>
          </w:tcPr>
          <w:p w14:paraId="234DEC97" w14:textId="77777777" w:rsidR="0019529E" w:rsidRPr="0019529E" w:rsidRDefault="0019529E" w:rsidP="0019529E">
            <w:pPr>
              <w:jc w:val="center"/>
              <w:rPr>
                <w:rFonts w:ascii="Arial" w:hAnsi="Arial" w:cs="Arial"/>
                <w:sz w:val="20"/>
                <w:szCs w:val="20"/>
                <w:lang w:val="es-CR" w:eastAsia="es-CR"/>
              </w:rPr>
            </w:pPr>
            <w:r w:rsidRPr="0019529E">
              <w:rPr>
                <w:rFonts w:ascii="Arial" w:hAnsi="Arial" w:cs="Arial"/>
                <w:sz w:val="20"/>
                <w:szCs w:val="20"/>
                <w:lang w:val="es-CR" w:eastAsia="es-CR"/>
              </w:rPr>
              <w:t>83,43%</w:t>
            </w:r>
          </w:p>
        </w:tc>
        <w:tc>
          <w:tcPr>
            <w:tcW w:w="318" w:type="dxa"/>
            <w:tcBorders>
              <w:top w:val="nil"/>
              <w:left w:val="nil"/>
              <w:bottom w:val="single" w:sz="8" w:space="0" w:color="4472C4"/>
              <w:right w:val="single" w:sz="8" w:space="0" w:color="4472C4"/>
            </w:tcBorders>
            <w:shd w:val="clear" w:color="auto" w:fill="auto"/>
            <w:vAlign w:val="center"/>
            <w:hideMark/>
          </w:tcPr>
          <w:p w14:paraId="7F7A1EA4"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X</w:t>
            </w:r>
          </w:p>
        </w:tc>
        <w:tc>
          <w:tcPr>
            <w:tcW w:w="318" w:type="dxa"/>
            <w:tcBorders>
              <w:top w:val="nil"/>
              <w:left w:val="nil"/>
              <w:bottom w:val="single" w:sz="8" w:space="0" w:color="4472C4"/>
              <w:right w:val="single" w:sz="8" w:space="0" w:color="4472C4"/>
            </w:tcBorders>
            <w:shd w:val="clear" w:color="auto" w:fill="auto"/>
            <w:vAlign w:val="center"/>
            <w:hideMark/>
          </w:tcPr>
          <w:p w14:paraId="0AF665DA"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29AE21CE"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tcPr>
          <w:p w14:paraId="1853ABDD"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X</w:t>
            </w:r>
          </w:p>
        </w:tc>
        <w:tc>
          <w:tcPr>
            <w:tcW w:w="318" w:type="dxa"/>
            <w:tcBorders>
              <w:top w:val="nil"/>
              <w:left w:val="nil"/>
              <w:bottom w:val="single" w:sz="8" w:space="0" w:color="4472C4"/>
              <w:right w:val="single" w:sz="8" w:space="0" w:color="4472C4"/>
            </w:tcBorders>
            <w:shd w:val="clear" w:color="auto" w:fill="auto"/>
            <w:vAlign w:val="center"/>
          </w:tcPr>
          <w:p w14:paraId="5CF4F076" w14:textId="77777777" w:rsidR="0019529E" w:rsidRPr="0019529E" w:rsidRDefault="0019529E" w:rsidP="0019529E">
            <w:pPr>
              <w:jc w:val="both"/>
              <w:rPr>
                <w:rFonts w:ascii="Arial" w:hAnsi="Arial" w:cs="Arial"/>
                <w:sz w:val="20"/>
                <w:szCs w:val="20"/>
                <w:lang w:val="es-CR" w:eastAsia="es-CR"/>
              </w:rPr>
            </w:pPr>
          </w:p>
        </w:tc>
        <w:tc>
          <w:tcPr>
            <w:tcW w:w="329" w:type="dxa"/>
            <w:tcBorders>
              <w:top w:val="nil"/>
              <w:left w:val="nil"/>
              <w:bottom w:val="single" w:sz="8" w:space="0" w:color="4472C4"/>
              <w:right w:val="single" w:sz="8" w:space="0" w:color="4472C4"/>
            </w:tcBorders>
            <w:shd w:val="clear" w:color="auto" w:fill="auto"/>
            <w:vAlign w:val="center"/>
          </w:tcPr>
          <w:p w14:paraId="3BB9BB08"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X</w:t>
            </w:r>
          </w:p>
        </w:tc>
        <w:tc>
          <w:tcPr>
            <w:tcW w:w="318" w:type="dxa"/>
            <w:tcBorders>
              <w:top w:val="nil"/>
              <w:left w:val="nil"/>
              <w:bottom w:val="single" w:sz="8" w:space="0" w:color="4472C4"/>
              <w:right w:val="single" w:sz="8" w:space="0" w:color="4472C4"/>
            </w:tcBorders>
            <w:shd w:val="clear" w:color="auto" w:fill="auto"/>
            <w:vAlign w:val="center"/>
            <w:hideMark/>
          </w:tcPr>
          <w:p w14:paraId="5F48E56A"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0A96069A"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X</w:t>
            </w:r>
          </w:p>
        </w:tc>
        <w:tc>
          <w:tcPr>
            <w:tcW w:w="318" w:type="dxa"/>
            <w:tcBorders>
              <w:top w:val="nil"/>
              <w:left w:val="nil"/>
              <w:bottom w:val="single" w:sz="8" w:space="0" w:color="4472C4"/>
              <w:right w:val="single" w:sz="8" w:space="0" w:color="4472C4"/>
            </w:tcBorders>
            <w:shd w:val="clear" w:color="auto" w:fill="auto"/>
            <w:vAlign w:val="center"/>
            <w:hideMark/>
          </w:tcPr>
          <w:p w14:paraId="3887F56C"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52DF01E8" w14:textId="77777777" w:rsidR="0019529E" w:rsidRPr="0019529E" w:rsidRDefault="0019529E" w:rsidP="0019529E">
            <w:pPr>
              <w:jc w:val="both"/>
              <w:rPr>
                <w:rFonts w:ascii="Arial" w:hAnsi="Arial" w:cs="Arial"/>
                <w:sz w:val="20"/>
                <w:szCs w:val="20"/>
                <w:lang w:val="es-CR" w:eastAsia="es-CR"/>
              </w:rPr>
            </w:pPr>
            <w:r w:rsidRPr="0019529E">
              <w:rPr>
                <w:rFonts w:ascii="Arial" w:hAnsi="Arial" w:cs="Arial"/>
                <w:sz w:val="20"/>
                <w:szCs w:val="20"/>
                <w:lang w:val="es-CR" w:eastAsia="es-CR"/>
              </w:rPr>
              <w:t> </w:t>
            </w:r>
          </w:p>
        </w:tc>
        <w:tc>
          <w:tcPr>
            <w:tcW w:w="1512" w:type="dxa"/>
            <w:tcBorders>
              <w:top w:val="nil"/>
              <w:left w:val="nil"/>
              <w:bottom w:val="single" w:sz="8" w:space="0" w:color="4472C4"/>
              <w:right w:val="single" w:sz="8" w:space="0" w:color="4472C4"/>
            </w:tcBorders>
            <w:shd w:val="clear" w:color="auto" w:fill="auto"/>
            <w:vAlign w:val="center"/>
            <w:hideMark/>
          </w:tcPr>
          <w:p w14:paraId="5058FAAC" w14:textId="529DECD6" w:rsidR="0019529E" w:rsidRPr="0019529E" w:rsidRDefault="00EB57C5" w:rsidP="00EB57C5">
            <w:pPr>
              <w:jc w:val="center"/>
              <w:rPr>
                <w:rFonts w:ascii="Arial" w:hAnsi="Arial" w:cs="Arial"/>
                <w:sz w:val="20"/>
                <w:szCs w:val="20"/>
                <w:lang w:val="es-CR" w:eastAsia="es-CR"/>
              </w:rPr>
            </w:pPr>
            <w:r>
              <w:rPr>
                <w:rFonts w:ascii="Arial" w:hAnsi="Arial" w:cs="Arial"/>
                <w:sz w:val="20"/>
                <w:szCs w:val="20"/>
                <w:lang w:val="es-CR" w:eastAsia="es-CR"/>
              </w:rPr>
              <w:t>-</w:t>
            </w:r>
          </w:p>
        </w:tc>
      </w:tr>
    </w:tbl>
    <w:p w14:paraId="4DF0C223" w14:textId="77777777" w:rsidR="0019529E" w:rsidRPr="0019529E" w:rsidRDefault="0019529E" w:rsidP="0019529E">
      <w:pPr>
        <w:tabs>
          <w:tab w:val="left" w:pos="2702"/>
        </w:tabs>
        <w:spacing w:line="259" w:lineRule="auto"/>
        <w:rPr>
          <w:rFonts w:ascii="Arial" w:eastAsiaTheme="minorEastAsia" w:hAnsi="Arial" w:cs="Arial"/>
          <w:sz w:val="16"/>
          <w:szCs w:val="20"/>
        </w:rPr>
      </w:pPr>
      <w:r w:rsidRPr="0019529E">
        <w:rPr>
          <w:rFonts w:ascii="Arial" w:eastAsiaTheme="minorEastAsia" w:hAnsi="Arial" w:cs="Arial"/>
          <w:b/>
          <w:sz w:val="16"/>
          <w:szCs w:val="20"/>
        </w:rPr>
        <w:t>Fuente</w:t>
      </w:r>
      <w:r w:rsidRPr="0019529E">
        <w:rPr>
          <w:rFonts w:ascii="Arial" w:eastAsiaTheme="minorEastAsia" w:hAnsi="Arial" w:cs="Arial"/>
          <w:sz w:val="16"/>
          <w:szCs w:val="20"/>
        </w:rPr>
        <w:t xml:space="preserve">: </w:t>
      </w:r>
      <w:r w:rsidRPr="0019529E">
        <w:rPr>
          <w:rFonts w:ascii="Arial" w:hAnsi="Arial" w:cs="Arial"/>
          <w:color w:val="000000"/>
          <w:sz w:val="16"/>
          <w:szCs w:val="20"/>
          <w:lang w:val="es-CR" w:eastAsia="es-CR"/>
        </w:rPr>
        <w:t>Módulo de Poderes, Liquidación Presupuestaria del Poder Judicial, al 31 de diciembre de 2021.</w:t>
      </w:r>
    </w:p>
    <w:p w14:paraId="28548598" w14:textId="77777777" w:rsidR="0019529E" w:rsidRPr="0019529E" w:rsidRDefault="0019529E" w:rsidP="0019529E">
      <w:pPr>
        <w:spacing w:line="259" w:lineRule="auto"/>
        <w:contextualSpacing/>
        <w:jc w:val="both"/>
        <w:rPr>
          <w:rFonts w:ascii="Arial" w:eastAsiaTheme="minorEastAsia" w:hAnsi="Arial" w:cs="Arial"/>
          <w:sz w:val="16"/>
          <w:szCs w:val="20"/>
          <w:lang w:val="es-ES_tradnl"/>
        </w:rPr>
      </w:pPr>
      <w:r w:rsidRPr="0019529E">
        <w:rPr>
          <w:rFonts w:ascii="Arial" w:eastAsiaTheme="minorEastAsia" w:hAnsi="Arial" w:cs="Arial"/>
          <w:sz w:val="16"/>
          <w:szCs w:val="20"/>
          <w:lang w:val="es-ES_tradnl"/>
        </w:rPr>
        <w:t xml:space="preserve">/1 Esta información se obtiene del informe semestral. </w:t>
      </w:r>
    </w:p>
    <w:p w14:paraId="4D95D9A1" w14:textId="77777777" w:rsidR="0019529E" w:rsidRPr="0019529E" w:rsidRDefault="0019529E" w:rsidP="0019529E">
      <w:pPr>
        <w:spacing w:line="259" w:lineRule="auto"/>
        <w:contextualSpacing/>
        <w:jc w:val="both"/>
        <w:rPr>
          <w:rFonts w:ascii="Arial" w:eastAsiaTheme="minorEastAsia" w:hAnsi="Arial" w:cs="Arial"/>
          <w:sz w:val="14"/>
          <w:szCs w:val="20"/>
          <w:lang w:val="es-ES_tradnl"/>
        </w:rPr>
      </w:pPr>
      <w:r w:rsidRPr="0019529E">
        <w:rPr>
          <w:rFonts w:ascii="Arial" w:eastAsiaTheme="minorEastAsia" w:hAnsi="Arial" w:cs="Arial"/>
          <w:sz w:val="16"/>
          <w:szCs w:val="20"/>
          <w:lang w:val="es-ES_tradnl"/>
        </w:rPr>
        <w:t>/2 Esta información se obtiene del archivo Excel remitido por la DGPN, de la hoja “Liquidación”.</w:t>
      </w:r>
    </w:p>
    <w:p w14:paraId="446B5DBF" w14:textId="56A9EAD8" w:rsidR="00E37D36" w:rsidRPr="0019529E" w:rsidRDefault="0019529E" w:rsidP="0019529E">
      <w:pPr>
        <w:spacing w:after="160" w:line="259" w:lineRule="auto"/>
        <w:rPr>
          <w:rFonts w:ascii="Arial" w:eastAsiaTheme="minorEastAsia" w:hAnsi="Arial" w:cs="Arial"/>
          <w:sz w:val="16"/>
          <w:szCs w:val="20"/>
          <w:lang w:val="es-ES_tradnl"/>
        </w:rPr>
      </w:pPr>
      <w:r w:rsidRPr="0019529E">
        <w:rPr>
          <w:rFonts w:ascii="Arial" w:eastAsiaTheme="minorEastAsia" w:hAnsi="Arial" w:cs="Arial"/>
          <w:sz w:val="16"/>
          <w:szCs w:val="20"/>
          <w:lang w:val="es-ES_tradnl"/>
        </w:rPr>
        <w:t>/3 Indicar directriz, norma o descripción del factor “Otros”.</w:t>
      </w:r>
    </w:p>
    <w:p w14:paraId="02658BCC" w14:textId="77777777" w:rsidR="0019529E" w:rsidRPr="0019529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19529E">
        <w:rPr>
          <w:rFonts w:ascii="Arial" w:eastAsiaTheme="minorEastAsia" w:hAnsi="Arial" w:cs="Arial"/>
          <w:b/>
          <w:bCs/>
          <w:sz w:val="20"/>
          <w:szCs w:val="20"/>
          <w:lang w:val="es-ES_tradnl"/>
        </w:rPr>
        <w:lastRenderedPageBreak/>
        <w:t>Partida 2: Materiales y Suministros</w:t>
      </w:r>
    </w:p>
    <w:p w14:paraId="0CB0B3CE" w14:textId="77777777" w:rsidR="0019529E" w:rsidRPr="0019529E" w:rsidRDefault="0019529E" w:rsidP="0019529E">
      <w:pPr>
        <w:spacing w:before="240" w:after="160" w:line="360" w:lineRule="auto"/>
        <w:jc w:val="both"/>
        <w:rPr>
          <w:rFonts w:ascii="Arial" w:eastAsiaTheme="minorEastAsia" w:hAnsi="Arial" w:cs="Arial"/>
          <w:sz w:val="20"/>
          <w:szCs w:val="20"/>
          <w:lang w:val="es-ES_tradnl"/>
        </w:rPr>
      </w:pPr>
      <w:r w:rsidRPr="0019529E">
        <w:rPr>
          <w:rFonts w:ascii="Arial" w:eastAsiaTheme="minorEastAsia" w:hAnsi="Arial" w:cs="Arial"/>
          <w:sz w:val="20"/>
          <w:szCs w:val="20"/>
          <w:lang w:val="es-ES_tradnl"/>
        </w:rPr>
        <w:t xml:space="preserve">En la partida 2 “Materiales y Suministros” se obtuvo un 85,91% de ejecución, la cual se vio afectada por las medidas implementadas a raíz de la emergencia Nacional por el COVID-19, ya que diezmaron las giras y reuniones presenciales, provocando un ahorro en el consumo de papel, alimentos y bebidas, materiales de cocina y comedor, combustible, repuestos de vehículos, así como sus mantenimientos preventivos y correctivos, entre otros. </w:t>
      </w:r>
    </w:p>
    <w:p w14:paraId="71EE9D22" w14:textId="77777777" w:rsidR="0019529E" w:rsidRPr="0019529E" w:rsidRDefault="0019529E" w:rsidP="0019529E">
      <w:pPr>
        <w:spacing w:before="240" w:after="160" w:line="360" w:lineRule="auto"/>
        <w:jc w:val="both"/>
        <w:rPr>
          <w:rFonts w:ascii="Arial" w:eastAsiaTheme="minorEastAsia" w:hAnsi="Arial" w:cs="Arial"/>
          <w:sz w:val="20"/>
          <w:szCs w:val="20"/>
          <w:lang w:val="es-ES_tradnl"/>
        </w:rPr>
      </w:pPr>
      <w:r w:rsidRPr="0019529E">
        <w:rPr>
          <w:rFonts w:ascii="Arial" w:eastAsiaTheme="minorEastAsia" w:hAnsi="Arial" w:cs="Arial"/>
          <w:sz w:val="20"/>
          <w:szCs w:val="20"/>
          <w:lang w:val="es-ES_tradnl"/>
        </w:rPr>
        <w:t xml:space="preserve">Además, en las diferentes oficinas se disminuyó el consumo de tóner y kit de mantenimiento, esto aunado a que se consiguieron mejores precios con respecto a los proyectados en los estudios de mercado, por lo tanto, no fue posible ejecutar los recursos presupuestados. </w:t>
      </w:r>
    </w:p>
    <w:p w14:paraId="6A0F1421" w14:textId="77777777" w:rsidR="0019529E" w:rsidRPr="0019529E" w:rsidRDefault="0019529E" w:rsidP="0019529E">
      <w:pPr>
        <w:spacing w:before="240" w:after="160" w:line="360" w:lineRule="auto"/>
        <w:jc w:val="both"/>
        <w:rPr>
          <w:rFonts w:ascii="Arial" w:eastAsiaTheme="minorEastAsia" w:hAnsi="Arial" w:cs="Arial"/>
          <w:sz w:val="20"/>
          <w:szCs w:val="20"/>
          <w:lang w:val="es-ES_tradnl"/>
        </w:rPr>
      </w:pPr>
      <w:r w:rsidRPr="0019529E">
        <w:rPr>
          <w:rFonts w:ascii="Arial" w:eastAsiaTheme="minorEastAsia" w:hAnsi="Arial" w:cs="Arial"/>
          <w:sz w:val="20"/>
          <w:szCs w:val="20"/>
          <w:lang w:val="es-ES_tradnl"/>
        </w:rPr>
        <w:t>Cabe señalar que, en esta partida también se consideran, los textiles y vestuarios,</w:t>
      </w:r>
      <w:r w:rsidRPr="0019529E">
        <w:rPr>
          <w:rFonts w:asciiTheme="minorHAnsi" w:eastAsiaTheme="minorEastAsia" w:hAnsiTheme="minorHAnsi" w:cstheme="minorBidi"/>
          <w:sz w:val="22"/>
          <w:szCs w:val="22"/>
        </w:rPr>
        <w:t xml:space="preserve"> </w:t>
      </w:r>
      <w:r w:rsidRPr="0019529E">
        <w:rPr>
          <w:rFonts w:ascii="Arial" w:eastAsiaTheme="minorEastAsia" w:hAnsi="Arial" w:cs="Arial"/>
          <w:sz w:val="20"/>
          <w:szCs w:val="20"/>
          <w:lang w:val="es-ES_tradnl"/>
        </w:rPr>
        <w:t>otros útiles, materiales y suministros diversos para las ayudas económicas de la Oficina de la Defensa Civil de la Víctima, los cuales quedaron como CND al no ser utilizadas las reservas.</w:t>
      </w:r>
    </w:p>
    <w:p w14:paraId="5F84318B" w14:textId="77777777" w:rsidR="0019529E" w:rsidRPr="0019529E" w:rsidRDefault="0019529E" w:rsidP="0019529E">
      <w:pPr>
        <w:spacing w:before="240" w:after="160" w:line="360" w:lineRule="auto"/>
        <w:jc w:val="both"/>
        <w:rPr>
          <w:rFonts w:ascii="Arial" w:eastAsiaTheme="minorEastAsia" w:hAnsi="Arial" w:cs="Arial"/>
          <w:sz w:val="20"/>
          <w:szCs w:val="20"/>
          <w:lang w:val="es-ES_tradnl"/>
        </w:rPr>
      </w:pPr>
      <w:r w:rsidRPr="0019529E">
        <w:rPr>
          <w:rFonts w:ascii="Arial" w:eastAsiaTheme="minorEastAsia" w:hAnsi="Arial" w:cs="Arial"/>
          <w:sz w:val="20"/>
          <w:szCs w:val="20"/>
          <w:lang w:val="es-ES_tradnl"/>
        </w:rPr>
        <w:t xml:space="preserve">Finalmente, en lo que a los textiles se refiere, estos también son de uso de los localizadores, así como los materiales de resguardo y seguridad, siendo que en el periodo 2021 varias de estas oficinas dejaron de ser parte del Ministerio Público. </w:t>
      </w:r>
    </w:p>
    <w:p w14:paraId="6D6D8F7D" w14:textId="77777777" w:rsidR="0019529E" w:rsidRPr="0019529E" w:rsidRDefault="0019529E" w:rsidP="00BE5AA1">
      <w:pPr>
        <w:numPr>
          <w:ilvl w:val="0"/>
          <w:numId w:val="18"/>
        </w:numPr>
        <w:spacing w:before="240" w:after="160" w:line="360" w:lineRule="auto"/>
        <w:contextualSpacing/>
        <w:jc w:val="both"/>
        <w:rPr>
          <w:rFonts w:ascii="Arial" w:eastAsiaTheme="minorEastAsia" w:hAnsi="Arial" w:cs="Arial"/>
          <w:b/>
          <w:bCs/>
          <w:sz w:val="20"/>
          <w:szCs w:val="20"/>
          <w:lang w:val="es-ES_tradnl"/>
        </w:rPr>
      </w:pPr>
      <w:r w:rsidRPr="0019529E">
        <w:rPr>
          <w:rFonts w:ascii="Arial" w:eastAsiaTheme="minorEastAsia" w:hAnsi="Arial" w:cs="Arial"/>
          <w:b/>
          <w:bCs/>
          <w:sz w:val="20"/>
          <w:szCs w:val="20"/>
          <w:lang w:val="es-ES_tradnl"/>
        </w:rPr>
        <w:t>Partida 5: Bienes Duraderos</w:t>
      </w:r>
    </w:p>
    <w:p w14:paraId="1F26A121" w14:textId="77777777" w:rsidR="0019529E" w:rsidRPr="0019529E" w:rsidRDefault="0019529E" w:rsidP="0019529E">
      <w:pPr>
        <w:spacing w:before="240" w:after="160" w:line="360" w:lineRule="auto"/>
        <w:jc w:val="both"/>
        <w:rPr>
          <w:rFonts w:ascii="Arial" w:eastAsiaTheme="minorEastAsia" w:hAnsi="Arial" w:cs="Arial"/>
          <w:sz w:val="20"/>
          <w:szCs w:val="20"/>
          <w:lang w:val="es-ES_tradnl"/>
        </w:rPr>
      </w:pPr>
      <w:r w:rsidRPr="0019529E">
        <w:rPr>
          <w:rFonts w:ascii="Arial" w:eastAsiaTheme="minorEastAsia" w:hAnsi="Arial" w:cs="Arial"/>
          <w:sz w:val="20"/>
          <w:szCs w:val="20"/>
          <w:lang w:val="es-ES_tradnl"/>
        </w:rPr>
        <w:t>En la partida 5 “Bienes Duraderos” se alcanzó una ejecución del 83,43%, siendo que hubo un ahorro en la adquisición de distintos bienes, al comprarlos a un costo menor al proyectado en los estudios de mercado. Lo anterior, aunado a los problemas relacionados con los procesos de contratación administrativa que se presentaron en la oficina de la Defensa Civil de la Víctima, requisición 4065-SR-2021, pedido Nº 2021-016138 y cuyo objetivo de contratación era el “Suministro e Instalación de dos sistemas de Aire Acondicionado de 38.000 BTU” (2021CD-000256-PROVCD); con esta finalidad se realizaron dos procedimientos, el primero fue declarado infructuoso, y por la fecha de inicio del segundo, no fue posible concluirlo en el período 2021, lo cual se convirtió en un CND para el periodo 2022.</w:t>
      </w:r>
    </w:p>
    <w:p w14:paraId="2CBE2848" w14:textId="77777777" w:rsidR="001F48DF" w:rsidRDefault="001F48DF" w:rsidP="0019529E">
      <w:pPr>
        <w:spacing w:after="160" w:line="259" w:lineRule="auto"/>
        <w:ind w:left="55"/>
        <w:contextualSpacing/>
        <w:jc w:val="center"/>
        <w:rPr>
          <w:rFonts w:ascii="Arial" w:eastAsiaTheme="minorEastAsia" w:hAnsi="Arial" w:cs="Arial"/>
          <w:b/>
          <w:color w:val="000000"/>
          <w:sz w:val="20"/>
          <w:szCs w:val="20"/>
          <w:lang w:val="es-CR" w:eastAsia="es-CR"/>
        </w:rPr>
      </w:pPr>
    </w:p>
    <w:p w14:paraId="35CA4400" w14:textId="77777777" w:rsidR="001F48DF" w:rsidRDefault="001F48DF" w:rsidP="0019529E">
      <w:pPr>
        <w:spacing w:after="160" w:line="259" w:lineRule="auto"/>
        <w:ind w:left="55"/>
        <w:contextualSpacing/>
        <w:jc w:val="center"/>
        <w:rPr>
          <w:rFonts w:ascii="Arial" w:eastAsiaTheme="minorEastAsia" w:hAnsi="Arial" w:cs="Arial"/>
          <w:b/>
          <w:color w:val="000000"/>
          <w:sz w:val="20"/>
          <w:szCs w:val="20"/>
          <w:lang w:val="es-CR" w:eastAsia="es-CR"/>
        </w:rPr>
      </w:pPr>
    </w:p>
    <w:p w14:paraId="4FBEAA01" w14:textId="77777777" w:rsidR="00B32351" w:rsidRDefault="00B32351" w:rsidP="007331CC">
      <w:pPr>
        <w:pStyle w:val="Descripcin"/>
        <w:jc w:val="center"/>
        <w:rPr>
          <w:rFonts w:ascii="Arial" w:hAnsi="Arial" w:cs="Arial"/>
          <w:b/>
          <w:bCs/>
          <w:i w:val="0"/>
          <w:iCs w:val="0"/>
          <w:color w:val="auto"/>
          <w:sz w:val="20"/>
          <w:szCs w:val="20"/>
        </w:rPr>
      </w:pPr>
    </w:p>
    <w:p w14:paraId="15436C99" w14:textId="77777777" w:rsidR="00B32351" w:rsidRDefault="00B32351" w:rsidP="007331CC">
      <w:pPr>
        <w:pStyle w:val="Descripcin"/>
        <w:jc w:val="center"/>
        <w:rPr>
          <w:rFonts w:ascii="Arial" w:hAnsi="Arial" w:cs="Arial"/>
          <w:b/>
          <w:bCs/>
          <w:i w:val="0"/>
          <w:iCs w:val="0"/>
          <w:color w:val="auto"/>
          <w:sz w:val="20"/>
          <w:szCs w:val="20"/>
        </w:rPr>
      </w:pPr>
    </w:p>
    <w:p w14:paraId="45344C88" w14:textId="77777777" w:rsidR="00B32351" w:rsidRDefault="00B32351" w:rsidP="007331CC">
      <w:pPr>
        <w:pStyle w:val="Descripcin"/>
        <w:jc w:val="center"/>
        <w:rPr>
          <w:rFonts w:ascii="Arial" w:hAnsi="Arial" w:cs="Arial"/>
          <w:b/>
          <w:bCs/>
          <w:i w:val="0"/>
          <w:iCs w:val="0"/>
          <w:color w:val="auto"/>
          <w:sz w:val="20"/>
          <w:szCs w:val="20"/>
        </w:rPr>
      </w:pPr>
    </w:p>
    <w:p w14:paraId="09C384EC" w14:textId="4FA34253" w:rsidR="007331CC" w:rsidRPr="00AE3D7B" w:rsidRDefault="007331CC" w:rsidP="007331CC">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lastRenderedPageBreak/>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20</w:t>
      </w:r>
      <w:r w:rsidRPr="00AE3D7B">
        <w:rPr>
          <w:rFonts w:ascii="Arial" w:hAnsi="Arial" w:cs="Arial"/>
          <w:b/>
          <w:bCs/>
          <w:i w:val="0"/>
          <w:iCs w:val="0"/>
          <w:color w:val="auto"/>
          <w:sz w:val="20"/>
          <w:szCs w:val="20"/>
        </w:rPr>
        <w:fldChar w:fldCharType="end"/>
      </w:r>
    </w:p>
    <w:p w14:paraId="28C0FAB2" w14:textId="2CCEF76D" w:rsidR="0019529E" w:rsidRPr="0019529E" w:rsidRDefault="0019529E" w:rsidP="0019529E">
      <w:pPr>
        <w:spacing w:after="160" w:line="259" w:lineRule="auto"/>
        <w:ind w:left="55"/>
        <w:contextualSpacing/>
        <w:jc w:val="center"/>
        <w:rPr>
          <w:rFonts w:ascii="Arial" w:eastAsiaTheme="minorEastAsia" w:hAnsi="Arial" w:cs="Arial"/>
          <w:b/>
          <w:bCs/>
          <w:color w:val="000000"/>
          <w:sz w:val="20"/>
          <w:szCs w:val="20"/>
          <w:lang w:val="es-CR" w:eastAsia="es-CR"/>
        </w:rPr>
      </w:pPr>
      <w:r w:rsidRPr="0019529E">
        <w:rPr>
          <w:rFonts w:ascii="Arial" w:eastAsiaTheme="minorEastAsia" w:hAnsi="Arial" w:cs="Arial"/>
          <w:b/>
          <w:sz w:val="20"/>
          <w:szCs w:val="20"/>
          <w:lang w:val="es-CR" w:eastAsia="es-CR"/>
        </w:rPr>
        <w:t>Razones de los resultados obtenidos</w:t>
      </w:r>
    </w:p>
    <w:p w14:paraId="0E5E5210" w14:textId="77777777" w:rsidR="0019529E" w:rsidRPr="0019529E" w:rsidRDefault="0019529E" w:rsidP="0019529E">
      <w:pPr>
        <w:jc w:val="center"/>
        <w:rPr>
          <w:rFonts w:ascii="Arial" w:eastAsiaTheme="minorEastAsia" w:hAnsi="Arial" w:cs="Arial"/>
          <w:sz w:val="20"/>
          <w:szCs w:val="20"/>
          <w:lang w:val="es-ES_tradnl"/>
        </w:rPr>
      </w:pPr>
      <w:r w:rsidRPr="0019529E">
        <w:rPr>
          <w:rFonts w:ascii="Arial" w:eastAsiaTheme="minorEastAsia" w:hAnsi="Arial" w:cs="Arial"/>
          <w:sz w:val="20"/>
          <w:szCs w:val="20"/>
          <w:lang w:val="es-ES_tradnl"/>
        </w:rPr>
        <w:t>Programa 929 Ministerio Público</w:t>
      </w:r>
    </w:p>
    <w:p w14:paraId="537EE9A8" w14:textId="77777777" w:rsidR="0019529E" w:rsidRDefault="0019529E" w:rsidP="0019529E">
      <w:pPr>
        <w:spacing w:after="160" w:line="259" w:lineRule="auto"/>
        <w:ind w:left="55"/>
        <w:contextualSpacing/>
        <w:jc w:val="center"/>
        <w:rPr>
          <w:rFonts w:ascii="Arial" w:eastAsiaTheme="minorEastAsia" w:hAnsi="Arial" w:cs="Arial"/>
          <w:sz w:val="20"/>
          <w:szCs w:val="20"/>
          <w:lang w:val="es-ES_tradnl"/>
        </w:rPr>
      </w:pPr>
      <w:r w:rsidRPr="0019529E">
        <w:rPr>
          <w:rFonts w:ascii="Arial" w:eastAsiaTheme="minorEastAsia" w:hAnsi="Arial" w:cs="Arial"/>
          <w:color w:val="000000"/>
          <w:sz w:val="20"/>
          <w:szCs w:val="20"/>
          <w:lang w:val="es-CR" w:eastAsia="es-CR"/>
        </w:rPr>
        <w:t xml:space="preserve">Partidas con avance menor al 45,00% al 30/06/2021 y menor al 90,00% </w:t>
      </w:r>
      <w:r w:rsidRPr="0019529E">
        <w:rPr>
          <w:rFonts w:ascii="Arial" w:eastAsiaTheme="minorEastAsia" w:hAnsi="Arial" w:cs="Arial"/>
          <w:sz w:val="20"/>
          <w:szCs w:val="20"/>
          <w:lang w:val="es-ES_tradnl"/>
        </w:rPr>
        <w:t>al 31/12/2021</w:t>
      </w:r>
    </w:p>
    <w:p w14:paraId="5E154C17" w14:textId="77777777" w:rsidR="00FB1758" w:rsidRPr="0019529E" w:rsidRDefault="00FB1758" w:rsidP="0019529E">
      <w:pPr>
        <w:spacing w:after="160" w:line="259" w:lineRule="auto"/>
        <w:ind w:left="55"/>
        <w:contextualSpacing/>
        <w:jc w:val="center"/>
        <w:rPr>
          <w:rFonts w:ascii="Arial" w:eastAsiaTheme="minorEastAsia" w:hAnsi="Arial" w:cs="Arial"/>
          <w:sz w:val="20"/>
          <w:szCs w:val="20"/>
          <w:lang w:val="es-ES_tradnl"/>
        </w:rPr>
      </w:pPr>
    </w:p>
    <w:tbl>
      <w:tblPr>
        <w:tblStyle w:val="Listaclara-nfasis115"/>
        <w:tblW w:w="6189" w:type="pct"/>
        <w:jc w:val="center"/>
        <w:tblLook w:val="00A0" w:firstRow="1" w:lastRow="0" w:firstColumn="1" w:lastColumn="0" w:noHBand="0" w:noVBand="0"/>
      </w:tblPr>
      <w:tblGrid>
        <w:gridCol w:w="1429"/>
        <w:gridCol w:w="2692"/>
        <w:gridCol w:w="3688"/>
        <w:gridCol w:w="2692"/>
      </w:tblGrid>
      <w:tr w:rsidR="0019529E" w:rsidRPr="0019529E" w14:paraId="5739279A" w14:textId="77777777" w:rsidTr="00465D52">
        <w:trPr>
          <w:cnfStyle w:val="100000000000" w:firstRow="1" w:lastRow="0" w:firstColumn="0" w:lastColumn="0" w:oddVBand="0" w:evenVBand="0" w:oddHBand="0" w:evenHBand="0" w:firstRowFirstColumn="0" w:firstRowLastColumn="0" w:lastRowFirstColumn="0" w:lastRowLastColumn="0"/>
          <w:trHeight w:val="625"/>
          <w:tblHeader/>
          <w:jc w:val="center"/>
        </w:trPr>
        <w:tc>
          <w:tcPr>
            <w:cnfStyle w:val="001000000000" w:firstRow="0" w:lastRow="0" w:firstColumn="1" w:lastColumn="0" w:oddVBand="0" w:evenVBand="0" w:oddHBand="0" w:evenHBand="0" w:firstRowFirstColumn="0" w:firstRowLastColumn="0" w:lastRowFirstColumn="0" w:lastRowLastColumn="0"/>
            <w:tcW w:w="680" w:type="pct"/>
            <w:vAlign w:val="center"/>
          </w:tcPr>
          <w:p w14:paraId="46D6B490" w14:textId="77777777" w:rsidR="0019529E" w:rsidRPr="0019529E" w:rsidRDefault="0019529E" w:rsidP="0019529E">
            <w:pPr>
              <w:contextualSpacing/>
              <w:jc w:val="center"/>
              <w:rPr>
                <w:rFonts w:ascii="Arial" w:hAnsi="Arial" w:cs="Arial"/>
                <w:bCs w:val="0"/>
                <w:sz w:val="20"/>
                <w:szCs w:val="20"/>
                <w:lang w:val="es-CR"/>
              </w:rPr>
            </w:pPr>
            <w:r w:rsidRPr="0019529E">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1282" w:type="pct"/>
            <w:vAlign w:val="center"/>
          </w:tcPr>
          <w:p w14:paraId="35D9CCAF" w14:textId="77777777" w:rsidR="0019529E" w:rsidRPr="0019529E" w:rsidRDefault="0019529E" w:rsidP="0019529E">
            <w:pPr>
              <w:contextualSpacing/>
              <w:jc w:val="center"/>
              <w:rPr>
                <w:rFonts w:ascii="Arial" w:hAnsi="Arial" w:cs="Arial"/>
                <w:b w:val="0"/>
                <w:bCs w:val="0"/>
                <w:sz w:val="20"/>
                <w:szCs w:val="20"/>
                <w:lang w:val="es-CR"/>
              </w:rPr>
            </w:pPr>
            <w:r w:rsidRPr="0019529E">
              <w:rPr>
                <w:rFonts w:ascii="Arial" w:hAnsi="Arial" w:cs="Arial"/>
                <w:sz w:val="20"/>
                <w:szCs w:val="20"/>
                <w:lang w:val="es-CR"/>
              </w:rPr>
              <w:t>Factores</w:t>
            </w:r>
          </w:p>
          <w:p w14:paraId="7F8E1D47" w14:textId="77777777" w:rsidR="0019529E" w:rsidRPr="0019529E" w:rsidRDefault="0019529E" w:rsidP="0019529E">
            <w:pPr>
              <w:contextualSpacing/>
              <w:jc w:val="center"/>
              <w:rPr>
                <w:rFonts w:ascii="Arial" w:hAnsi="Arial" w:cs="Arial"/>
                <w:sz w:val="20"/>
                <w:szCs w:val="20"/>
                <w:lang w:val="es-CR"/>
              </w:rPr>
            </w:pPr>
            <w:r w:rsidRPr="0019529E">
              <w:rPr>
                <w:rFonts w:ascii="Arial" w:hAnsi="Arial" w:cs="Arial"/>
                <w:sz w:val="20"/>
                <w:szCs w:val="20"/>
                <w:lang w:val="es-CR"/>
              </w:rPr>
              <w:t xml:space="preserve">al 30/06/2021 </w:t>
            </w:r>
            <w:r w:rsidRPr="0019529E">
              <w:rPr>
                <w:rFonts w:ascii="Arial" w:hAnsi="Arial" w:cs="Arial"/>
                <w:sz w:val="20"/>
                <w:szCs w:val="20"/>
                <w:vertAlign w:val="superscript"/>
                <w:lang w:val="es-CR"/>
              </w:rPr>
              <w:t>/1</w:t>
            </w:r>
          </w:p>
        </w:tc>
        <w:tc>
          <w:tcPr>
            <w:tcW w:w="1756" w:type="pct"/>
            <w:vAlign w:val="center"/>
          </w:tcPr>
          <w:p w14:paraId="0A06267B" w14:textId="77777777" w:rsidR="0019529E" w:rsidRPr="0019529E" w:rsidRDefault="0019529E" w:rsidP="001952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Acciones correctivas </w:t>
            </w:r>
            <w:r w:rsidRPr="0019529E">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82" w:type="pct"/>
            <w:vAlign w:val="center"/>
          </w:tcPr>
          <w:p w14:paraId="28FEEF90" w14:textId="77777777" w:rsidR="0019529E" w:rsidRPr="0019529E" w:rsidRDefault="0019529E" w:rsidP="0019529E">
            <w:pPr>
              <w:contextualSpacing/>
              <w:jc w:val="center"/>
              <w:rPr>
                <w:rFonts w:ascii="Arial" w:hAnsi="Arial" w:cs="Arial"/>
                <w:bCs w:val="0"/>
                <w:sz w:val="20"/>
                <w:szCs w:val="20"/>
                <w:lang w:val="es-CR"/>
              </w:rPr>
            </w:pPr>
            <w:r w:rsidRPr="0019529E">
              <w:rPr>
                <w:rFonts w:ascii="Arial" w:hAnsi="Arial" w:cs="Arial"/>
                <w:sz w:val="20"/>
                <w:szCs w:val="20"/>
                <w:lang w:val="es-CR"/>
              </w:rPr>
              <w:t xml:space="preserve">Razones </w:t>
            </w:r>
            <w:r w:rsidRPr="0019529E">
              <w:rPr>
                <w:rFonts w:ascii="Arial" w:hAnsi="Arial" w:cs="Arial"/>
                <w:sz w:val="20"/>
                <w:szCs w:val="20"/>
                <w:vertAlign w:val="superscript"/>
                <w:lang w:val="es-CR"/>
              </w:rPr>
              <w:t>/3</w:t>
            </w:r>
          </w:p>
        </w:tc>
      </w:tr>
      <w:tr w:rsidR="0019529E" w:rsidRPr="0019529E" w14:paraId="4FD2176C" w14:textId="77777777" w:rsidTr="00465D5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80" w:type="pct"/>
          </w:tcPr>
          <w:p w14:paraId="46B112F1" w14:textId="77777777" w:rsidR="0019529E" w:rsidRPr="0019529E" w:rsidRDefault="0019529E" w:rsidP="0019529E">
            <w:pPr>
              <w:spacing w:line="360" w:lineRule="auto"/>
              <w:contextualSpacing/>
              <w:jc w:val="center"/>
              <w:rPr>
                <w:rFonts w:ascii="Arial" w:hAnsi="Arial" w:cs="Arial"/>
                <w:b w:val="0"/>
                <w:bCs w:val="0"/>
                <w:sz w:val="20"/>
                <w:szCs w:val="20"/>
                <w:lang w:val="es-CR"/>
              </w:rPr>
            </w:pPr>
            <w:r w:rsidRPr="0019529E">
              <w:rPr>
                <w:rFonts w:ascii="Arial" w:hAnsi="Arial" w:cs="Arial"/>
                <w:b w:val="0"/>
                <w:bCs w:val="0"/>
                <w:sz w:val="20"/>
                <w:szCs w:val="20"/>
                <w:lang w:val="es-CR"/>
              </w:rPr>
              <w:t>Materiales y Suministros</w:t>
            </w:r>
          </w:p>
        </w:tc>
        <w:tc>
          <w:tcPr>
            <w:cnfStyle w:val="000010000000" w:firstRow="0" w:lastRow="0" w:firstColumn="0" w:lastColumn="0" w:oddVBand="1" w:evenVBand="0" w:oddHBand="0" w:evenHBand="0" w:firstRowFirstColumn="0" w:firstRowLastColumn="0" w:lastRowFirstColumn="0" w:lastRowLastColumn="0"/>
            <w:tcW w:w="1282" w:type="pct"/>
          </w:tcPr>
          <w:p w14:paraId="123072C8" w14:textId="31B21096" w:rsidR="0019529E" w:rsidRPr="00412EB8" w:rsidRDefault="0019529E" w:rsidP="00412EB8">
            <w:pPr>
              <w:pStyle w:val="Prrafodelista"/>
              <w:numPr>
                <w:ilvl w:val="0"/>
                <w:numId w:val="36"/>
              </w:numPr>
              <w:spacing w:line="360" w:lineRule="auto"/>
              <w:jc w:val="both"/>
              <w:rPr>
                <w:rFonts w:ascii="Arial" w:hAnsi="Arial" w:cs="Arial"/>
                <w:sz w:val="20"/>
                <w:szCs w:val="20"/>
                <w:lang w:val="es-CR"/>
              </w:rPr>
            </w:pPr>
            <w:r w:rsidRPr="00412EB8">
              <w:rPr>
                <w:rFonts w:ascii="Arial" w:hAnsi="Arial" w:cs="Arial"/>
                <w:sz w:val="20"/>
                <w:szCs w:val="20"/>
                <w:lang w:val="es-CR"/>
              </w:rPr>
              <w:t xml:space="preserve">Impacto generado por la emergencia sanitaria por el COVID-19. </w:t>
            </w:r>
          </w:p>
          <w:p w14:paraId="67B02437" w14:textId="77777777" w:rsidR="0019529E" w:rsidRPr="0019529E" w:rsidRDefault="0019529E" w:rsidP="0019529E">
            <w:pPr>
              <w:spacing w:line="360" w:lineRule="auto"/>
              <w:jc w:val="both"/>
              <w:rPr>
                <w:rFonts w:ascii="Arial" w:hAnsi="Arial" w:cs="Arial"/>
                <w:sz w:val="20"/>
                <w:szCs w:val="20"/>
                <w:lang w:val="es-CR"/>
              </w:rPr>
            </w:pPr>
          </w:p>
          <w:p w14:paraId="6B6A4FB5" w14:textId="77777777" w:rsidR="0019529E" w:rsidRPr="0019529E" w:rsidRDefault="0019529E" w:rsidP="0019529E">
            <w:pPr>
              <w:spacing w:line="360" w:lineRule="auto"/>
              <w:jc w:val="both"/>
              <w:rPr>
                <w:rFonts w:ascii="Arial" w:hAnsi="Arial" w:cs="Arial"/>
                <w:sz w:val="20"/>
                <w:szCs w:val="20"/>
                <w:lang w:val="es-CR"/>
              </w:rPr>
            </w:pPr>
          </w:p>
          <w:p w14:paraId="6880CB03" w14:textId="77777777" w:rsidR="0019529E" w:rsidRPr="0019529E" w:rsidRDefault="0019529E" w:rsidP="0019529E">
            <w:pPr>
              <w:spacing w:line="360" w:lineRule="auto"/>
              <w:jc w:val="both"/>
              <w:rPr>
                <w:rFonts w:ascii="Arial" w:hAnsi="Arial" w:cs="Arial"/>
                <w:sz w:val="20"/>
                <w:szCs w:val="20"/>
                <w:lang w:val="es-CR"/>
              </w:rPr>
            </w:pPr>
          </w:p>
          <w:p w14:paraId="2FF92076" w14:textId="77777777" w:rsidR="0019529E" w:rsidRPr="0019529E" w:rsidRDefault="0019529E" w:rsidP="0019529E">
            <w:pPr>
              <w:spacing w:line="360" w:lineRule="auto"/>
              <w:jc w:val="both"/>
              <w:rPr>
                <w:rFonts w:ascii="Arial" w:hAnsi="Arial" w:cs="Arial"/>
                <w:sz w:val="20"/>
                <w:szCs w:val="20"/>
                <w:lang w:val="es-CR"/>
              </w:rPr>
            </w:pPr>
          </w:p>
          <w:p w14:paraId="035F17B4" w14:textId="10E78949" w:rsidR="0019529E" w:rsidRPr="00412EB8" w:rsidRDefault="0019529E" w:rsidP="00412EB8">
            <w:pPr>
              <w:pStyle w:val="Prrafodelista"/>
              <w:numPr>
                <w:ilvl w:val="0"/>
                <w:numId w:val="37"/>
              </w:numPr>
              <w:spacing w:line="360" w:lineRule="auto"/>
              <w:jc w:val="both"/>
              <w:rPr>
                <w:rFonts w:ascii="Arial" w:hAnsi="Arial" w:cs="Arial"/>
                <w:sz w:val="20"/>
                <w:szCs w:val="20"/>
                <w:lang w:val="es-CR"/>
              </w:rPr>
            </w:pPr>
            <w:r w:rsidRPr="00412EB8">
              <w:rPr>
                <w:rFonts w:ascii="Arial" w:hAnsi="Arial" w:cs="Arial"/>
                <w:sz w:val="20"/>
                <w:szCs w:val="20"/>
                <w:lang w:val="es-CR"/>
              </w:rPr>
              <w:t xml:space="preserve">Metas cuyo cumplimiento se planifica concretar en el segundo semestre </w:t>
            </w:r>
          </w:p>
          <w:p w14:paraId="721CF6C8" w14:textId="77777777" w:rsidR="0019529E" w:rsidRPr="0019529E" w:rsidRDefault="0019529E" w:rsidP="0019529E">
            <w:pPr>
              <w:spacing w:line="360" w:lineRule="auto"/>
              <w:jc w:val="both"/>
              <w:rPr>
                <w:rFonts w:ascii="Arial" w:hAnsi="Arial" w:cs="Arial"/>
                <w:sz w:val="20"/>
                <w:szCs w:val="20"/>
                <w:lang w:val="es-CR"/>
              </w:rPr>
            </w:pPr>
          </w:p>
          <w:p w14:paraId="5C343ECE" w14:textId="77777777" w:rsidR="0019529E" w:rsidRPr="0019529E" w:rsidRDefault="0019529E" w:rsidP="0019529E">
            <w:pPr>
              <w:spacing w:line="360" w:lineRule="auto"/>
              <w:jc w:val="both"/>
              <w:rPr>
                <w:rFonts w:ascii="Arial" w:hAnsi="Arial" w:cs="Arial"/>
                <w:sz w:val="20"/>
                <w:szCs w:val="20"/>
                <w:lang w:val="es-CR"/>
              </w:rPr>
            </w:pPr>
          </w:p>
          <w:p w14:paraId="5B5A5141" w14:textId="77777777" w:rsidR="0019529E" w:rsidRPr="0019529E" w:rsidRDefault="0019529E" w:rsidP="0019529E">
            <w:pPr>
              <w:spacing w:line="360" w:lineRule="auto"/>
              <w:jc w:val="both"/>
              <w:rPr>
                <w:rFonts w:ascii="Arial" w:hAnsi="Arial" w:cs="Arial"/>
                <w:sz w:val="20"/>
                <w:szCs w:val="20"/>
                <w:lang w:val="es-CR"/>
              </w:rPr>
            </w:pPr>
          </w:p>
          <w:p w14:paraId="32EC2473" w14:textId="77777777" w:rsidR="0019529E" w:rsidRPr="0019529E" w:rsidRDefault="0019529E" w:rsidP="0019529E">
            <w:pPr>
              <w:spacing w:line="360" w:lineRule="auto"/>
              <w:jc w:val="both"/>
              <w:rPr>
                <w:rFonts w:ascii="Arial" w:hAnsi="Arial" w:cs="Arial"/>
                <w:sz w:val="20"/>
                <w:szCs w:val="20"/>
                <w:lang w:val="es-CR"/>
              </w:rPr>
            </w:pPr>
          </w:p>
          <w:p w14:paraId="283F1098" w14:textId="77777777" w:rsidR="0019529E" w:rsidRPr="0019529E" w:rsidRDefault="0019529E" w:rsidP="0019529E">
            <w:pPr>
              <w:spacing w:line="360" w:lineRule="auto"/>
              <w:jc w:val="both"/>
              <w:rPr>
                <w:rFonts w:ascii="Arial" w:hAnsi="Arial" w:cs="Arial"/>
                <w:sz w:val="20"/>
                <w:szCs w:val="20"/>
                <w:lang w:val="es-CR"/>
              </w:rPr>
            </w:pPr>
          </w:p>
          <w:p w14:paraId="166C4F45" w14:textId="77777777" w:rsidR="0019529E" w:rsidRPr="0019529E" w:rsidRDefault="0019529E" w:rsidP="0019529E">
            <w:pPr>
              <w:spacing w:line="360" w:lineRule="auto"/>
              <w:jc w:val="both"/>
              <w:rPr>
                <w:rFonts w:ascii="Arial" w:hAnsi="Arial" w:cs="Arial"/>
                <w:sz w:val="20"/>
                <w:szCs w:val="20"/>
                <w:lang w:val="es-CR"/>
              </w:rPr>
            </w:pPr>
          </w:p>
          <w:p w14:paraId="5429B872" w14:textId="77777777" w:rsidR="0019529E" w:rsidRPr="0019529E" w:rsidRDefault="0019529E" w:rsidP="0019529E">
            <w:pPr>
              <w:spacing w:line="360" w:lineRule="auto"/>
              <w:jc w:val="both"/>
              <w:rPr>
                <w:rFonts w:ascii="Arial" w:hAnsi="Arial" w:cs="Arial"/>
                <w:sz w:val="20"/>
                <w:szCs w:val="20"/>
                <w:lang w:val="es-CR"/>
              </w:rPr>
            </w:pPr>
          </w:p>
          <w:p w14:paraId="5F95D7F6" w14:textId="77777777" w:rsidR="0019529E" w:rsidRPr="0019529E" w:rsidRDefault="0019529E" w:rsidP="0019529E">
            <w:pPr>
              <w:spacing w:line="360" w:lineRule="auto"/>
              <w:jc w:val="both"/>
              <w:rPr>
                <w:rFonts w:ascii="Arial" w:hAnsi="Arial" w:cs="Arial"/>
                <w:sz w:val="20"/>
                <w:szCs w:val="20"/>
                <w:lang w:val="es-CR"/>
              </w:rPr>
            </w:pPr>
          </w:p>
          <w:p w14:paraId="128ADD73" w14:textId="77777777" w:rsidR="0019529E" w:rsidRPr="0019529E" w:rsidRDefault="0019529E" w:rsidP="0019529E">
            <w:pPr>
              <w:spacing w:line="360" w:lineRule="auto"/>
              <w:jc w:val="both"/>
              <w:rPr>
                <w:rFonts w:ascii="Arial" w:hAnsi="Arial" w:cs="Arial"/>
                <w:sz w:val="20"/>
                <w:szCs w:val="20"/>
                <w:lang w:val="es-CR"/>
              </w:rPr>
            </w:pPr>
          </w:p>
          <w:p w14:paraId="745E3986" w14:textId="77777777" w:rsidR="0019529E" w:rsidRPr="0019529E" w:rsidRDefault="0019529E" w:rsidP="0019529E">
            <w:pPr>
              <w:spacing w:line="360" w:lineRule="auto"/>
              <w:jc w:val="both"/>
              <w:rPr>
                <w:rFonts w:ascii="Arial" w:hAnsi="Arial" w:cs="Arial"/>
                <w:sz w:val="20"/>
                <w:szCs w:val="20"/>
                <w:lang w:val="es-CR"/>
              </w:rPr>
            </w:pPr>
          </w:p>
          <w:p w14:paraId="5DD1C516" w14:textId="77777777" w:rsidR="0019529E" w:rsidRPr="0019529E" w:rsidRDefault="0019529E" w:rsidP="0019529E">
            <w:pPr>
              <w:spacing w:line="360" w:lineRule="auto"/>
              <w:jc w:val="both"/>
              <w:rPr>
                <w:rFonts w:ascii="Arial" w:hAnsi="Arial" w:cs="Arial"/>
                <w:sz w:val="20"/>
                <w:szCs w:val="20"/>
                <w:lang w:val="es-CR"/>
              </w:rPr>
            </w:pPr>
          </w:p>
          <w:p w14:paraId="5382BD20" w14:textId="77777777" w:rsidR="0019529E" w:rsidRPr="0019529E" w:rsidRDefault="0019529E" w:rsidP="0019529E">
            <w:pPr>
              <w:spacing w:line="360" w:lineRule="auto"/>
              <w:jc w:val="both"/>
              <w:rPr>
                <w:rFonts w:ascii="Arial" w:hAnsi="Arial" w:cs="Arial"/>
                <w:sz w:val="20"/>
                <w:szCs w:val="20"/>
                <w:lang w:val="es-CR"/>
              </w:rPr>
            </w:pPr>
          </w:p>
          <w:p w14:paraId="599E5030" w14:textId="77777777" w:rsidR="0019529E" w:rsidRPr="0019529E" w:rsidRDefault="0019529E" w:rsidP="0019529E">
            <w:pPr>
              <w:spacing w:line="360" w:lineRule="auto"/>
              <w:jc w:val="both"/>
              <w:rPr>
                <w:rFonts w:ascii="Arial" w:hAnsi="Arial" w:cs="Arial"/>
                <w:sz w:val="20"/>
                <w:szCs w:val="20"/>
                <w:lang w:val="es-CR"/>
              </w:rPr>
            </w:pPr>
          </w:p>
          <w:p w14:paraId="297719EE" w14:textId="77777777" w:rsidR="0019529E" w:rsidRPr="0019529E" w:rsidRDefault="0019529E" w:rsidP="0019529E">
            <w:pPr>
              <w:spacing w:line="360" w:lineRule="auto"/>
              <w:jc w:val="both"/>
              <w:rPr>
                <w:rFonts w:ascii="Arial" w:hAnsi="Arial" w:cs="Arial"/>
                <w:sz w:val="20"/>
                <w:szCs w:val="20"/>
                <w:lang w:val="es-CR"/>
              </w:rPr>
            </w:pPr>
          </w:p>
          <w:p w14:paraId="592A86CB" w14:textId="77777777" w:rsidR="0019529E" w:rsidRPr="0019529E" w:rsidRDefault="0019529E" w:rsidP="0019529E">
            <w:pPr>
              <w:spacing w:line="360" w:lineRule="auto"/>
              <w:jc w:val="both"/>
              <w:rPr>
                <w:rFonts w:ascii="Arial" w:hAnsi="Arial" w:cs="Arial"/>
                <w:sz w:val="20"/>
                <w:szCs w:val="20"/>
                <w:lang w:val="es-CR"/>
              </w:rPr>
            </w:pPr>
          </w:p>
          <w:p w14:paraId="4F81F096" w14:textId="77777777" w:rsidR="0019529E" w:rsidRPr="0019529E" w:rsidRDefault="0019529E" w:rsidP="0019529E">
            <w:pPr>
              <w:spacing w:line="360" w:lineRule="auto"/>
              <w:jc w:val="both"/>
              <w:rPr>
                <w:rFonts w:ascii="Arial" w:hAnsi="Arial" w:cs="Arial"/>
                <w:sz w:val="20"/>
                <w:szCs w:val="20"/>
                <w:lang w:val="es-CR"/>
              </w:rPr>
            </w:pPr>
          </w:p>
          <w:p w14:paraId="46F79856" w14:textId="77777777" w:rsidR="0019529E" w:rsidRPr="0019529E" w:rsidRDefault="0019529E" w:rsidP="0019529E">
            <w:pPr>
              <w:spacing w:line="360" w:lineRule="auto"/>
              <w:jc w:val="both"/>
              <w:rPr>
                <w:rFonts w:ascii="Arial" w:hAnsi="Arial" w:cs="Arial"/>
                <w:sz w:val="20"/>
                <w:szCs w:val="20"/>
                <w:lang w:val="es-CR"/>
              </w:rPr>
            </w:pPr>
          </w:p>
          <w:p w14:paraId="239C0006" w14:textId="77777777" w:rsidR="0019529E" w:rsidRPr="0019529E" w:rsidRDefault="0019529E" w:rsidP="0019529E">
            <w:pPr>
              <w:spacing w:line="360" w:lineRule="auto"/>
              <w:jc w:val="both"/>
              <w:rPr>
                <w:rFonts w:ascii="Arial" w:hAnsi="Arial" w:cs="Arial"/>
                <w:sz w:val="20"/>
                <w:szCs w:val="20"/>
                <w:lang w:val="es-CR"/>
              </w:rPr>
            </w:pPr>
          </w:p>
          <w:p w14:paraId="32B9A56C" w14:textId="77777777" w:rsidR="0019529E" w:rsidRPr="0019529E" w:rsidRDefault="0019529E" w:rsidP="0019529E">
            <w:pPr>
              <w:spacing w:line="360" w:lineRule="auto"/>
              <w:jc w:val="both"/>
              <w:rPr>
                <w:rFonts w:ascii="Arial" w:hAnsi="Arial" w:cs="Arial"/>
                <w:sz w:val="20"/>
                <w:szCs w:val="20"/>
                <w:lang w:val="es-CR"/>
              </w:rPr>
            </w:pPr>
          </w:p>
          <w:p w14:paraId="170BDF67" w14:textId="77777777" w:rsidR="0019529E" w:rsidRPr="0019529E" w:rsidRDefault="0019529E" w:rsidP="0019529E">
            <w:pPr>
              <w:spacing w:line="360" w:lineRule="auto"/>
              <w:jc w:val="both"/>
              <w:rPr>
                <w:rFonts w:ascii="Arial" w:hAnsi="Arial" w:cs="Arial"/>
                <w:sz w:val="20"/>
                <w:szCs w:val="20"/>
                <w:lang w:val="es-CR"/>
              </w:rPr>
            </w:pPr>
          </w:p>
          <w:p w14:paraId="3D862A9D" w14:textId="77777777" w:rsidR="0019529E" w:rsidRPr="0019529E" w:rsidRDefault="0019529E" w:rsidP="0019529E">
            <w:pPr>
              <w:spacing w:line="360" w:lineRule="auto"/>
              <w:jc w:val="both"/>
              <w:rPr>
                <w:rFonts w:ascii="Arial" w:hAnsi="Arial" w:cs="Arial"/>
                <w:sz w:val="20"/>
                <w:szCs w:val="20"/>
                <w:lang w:val="es-CR"/>
              </w:rPr>
            </w:pPr>
          </w:p>
          <w:p w14:paraId="5F1DABB7" w14:textId="77777777" w:rsidR="0019529E" w:rsidRPr="0019529E" w:rsidRDefault="0019529E" w:rsidP="0019529E">
            <w:pPr>
              <w:spacing w:line="360" w:lineRule="auto"/>
              <w:jc w:val="both"/>
              <w:rPr>
                <w:rFonts w:ascii="Arial" w:hAnsi="Arial" w:cs="Arial"/>
                <w:sz w:val="20"/>
                <w:szCs w:val="20"/>
                <w:lang w:val="es-CR"/>
              </w:rPr>
            </w:pPr>
            <w:r w:rsidRPr="0019529E">
              <w:rPr>
                <w:rFonts w:ascii="Arial" w:hAnsi="Arial" w:cs="Arial"/>
                <w:sz w:val="20"/>
                <w:szCs w:val="20"/>
                <w:lang w:val="es-CR"/>
              </w:rPr>
              <w:t>3. Procesos de contratación que se concretan en el segundo semestre</w:t>
            </w:r>
          </w:p>
          <w:p w14:paraId="10516DCA" w14:textId="77777777" w:rsidR="0019529E" w:rsidRPr="0019529E" w:rsidRDefault="0019529E" w:rsidP="0019529E">
            <w:pPr>
              <w:spacing w:line="360" w:lineRule="auto"/>
              <w:jc w:val="both"/>
              <w:rPr>
                <w:rFonts w:ascii="Arial" w:hAnsi="Arial" w:cs="Arial"/>
                <w:sz w:val="20"/>
                <w:szCs w:val="20"/>
                <w:lang w:val="es-CR"/>
              </w:rPr>
            </w:pPr>
            <w:r w:rsidRPr="0019529E">
              <w:rPr>
                <w:rFonts w:ascii="Arial" w:hAnsi="Arial" w:cs="Arial"/>
                <w:sz w:val="20"/>
                <w:szCs w:val="20"/>
                <w:lang w:val="es-CR"/>
              </w:rPr>
              <w:t>6. Políticas administrativas institucionales que ocasionen cambios en la ejecución de recursos y generen ahorros o mayor gasto.</w:t>
            </w:r>
          </w:p>
          <w:p w14:paraId="1EED9DD9" w14:textId="77777777" w:rsidR="0019529E" w:rsidRPr="0019529E" w:rsidRDefault="0019529E" w:rsidP="0019529E">
            <w:pPr>
              <w:spacing w:line="360" w:lineRule="auto"/>
              <w:jc w:val="both"/>
              <w:rPr>
                <w:rFonts w:ascii="Arial" w:hAnsi="Arial" w:cs="Arial"/>
                <w:sz w:val="20"/>
                <w:szCs w:val="20"/>
                <w:lang w:val="es-CR"/>
              </w:rPr>
            </w:pPr>
            <w:r w:rsidRPr="0019529E">
              <w:rPr>
                <w:rFonts w:ascii="Arial" w:hAnsi="Arial" w:cs="Arial"/>
                <w:sz w:val="20"/>
                <w:szCs w:val="20"/>
                <w:lang w:val="es-CR"/>
              </w:rPr>
              <w:t xml:space="preserve">8. Problemas relacionados con los procesos de contratación administrativa.  </w:t>
            </w:r>
          </w:p>
        </w:tc>
        <w:tc>
          <w:tcPr>
            <w:tcW w:w="1756" w:type="pct"/>
          </w:tcPr>
          <w:p w14:paraId="1CCD61E7"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lastRenderedPageBreak/>
              <w:t>1.1 Se trasladarán parte de los recursos mediante SME para atender otras necesidades del Ministerio Público, tales como útiles y materiales de limpieza, necesarios para la atención de la emergencia por el COVID-19.</w:t>
            </w:r>
          </w:p>
          <w:p w14:paraId="0E31AD1E"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2.1 Dar seguimiento a los recursos presupuestados por el Ministerio Público que fueron traslados a los diferentes rubros (caso del combustible).</w:t>
            </w:r>
          </w:p>
          <w:p w14:paraId="22CB1557"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2.2 Agilizar el proceso de pagos de facturas y formalizar las compras pendientes en las diferentes subpartidas. </w:t>
            </w:r>
          </w:p>
          <w:p w14:paraId="63FE8258"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2.3 Agilizar el trámite en las solicitudes de criterios técnicos. </w:t>
            </w:r>
          </w:p>
          <w:p w14:paraId="35DB5EB5"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2.4 Iniciar los procesos de contratación administrativa y así evitar retrasos en la recepción de bienes y el pago de facturas.  </w:t>
            </w:r>
          </w:p>
          <w:p w14:paraId="3BCD1F72"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2.5 Dar seguimiento al estado y mantenimientos preventivos y/o correctivos de los vehículos oficiales, a </w:t>
            </w:r>
            <w:r w:rsidRPr="0019529E">
              <w:rPr>
                <w:rFonts w:ascii="Arial" w:hAnsi="Arial" w:cs="Arial"/>
                <w:sz w:val="20"/>
                <w:szCs w:val="20"/>
                <w:lang w:val="es-CR"/>
              </w:rPr>
              <w:lastRenderedPageBreak/>
              <w:t>fin de utilizar los recursos eficientemente.</w:t>
            </w:r>
          </w:p>
          <w:p w14:paraId="473C1C26"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2.6 Coordinación con los y las profesionales que deben renovar certificados de firma digital, para que diligencien el trámite</w:t>
            </w:r>
          </w:p>
          <w:p w14:paraId="6810BF6F"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3.1 Formalizar los procesos de contratación que se encuentran en trámite.</w:t>
            </w:r>
          </w:p>
          <w:p w14:paraId="658CF929"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6.1 Se trasladarán los recursos mediante SME para atender otras necesidades Institucionales (caso Fiscalía de Probidad)</w:t>
            </w:r>
          </w:p>
          <w:p w14:paraId="6C3F930D"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p>
          <w:p w14:paraId="5DF94EE9"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p>
          <w:p w14:paraId="40551DC8" w14:textId="77777777" w:rsidR="0019529E" w:rsidRPr="0019529E" w:rsidRDefault="0019529E" w:rsidP="0019529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8.1 Apegarse a los nuevos cambios en las directrices para la confección carteles por compra menor (caso Golfito y Puerto Jiménez), y a los a estudios de Salud Ocupacional.</w:t>
            </w:r>
          </w:p>
        </w:tc>
        <w:tc>
          <w:tcPr>
            <w:cnfStyle w:val="000010000000" w:firstRow="0" w:lastRow="0" w:firstColumn="0" w:lastColumn="0" w:oddVBand="1" w:evenVBand="0" w:oddHBand="0" w:evenHBand="0" w:firstRowFirstColumn="0" w:firstRowLastColumn="0" w:lastRowFirstColumn="0" w:lastRowLastColumn="0"/>
            <w:tcW w:w="1282" w:type="pct"/>
          </w:tcPr>
          <w:p w14:paraId="1C645308" w14:textId="77777777" w:rsidR="0019529E" w:rsidRPr="0019529E" w:rsidRDefault="0019529E" w:rsidP="0019529E">
            <w:pPr>
              <w:spacing w:line="360" w:lineRule="auto"/>
              <w:contextualSpacing/>
              <w:jc w:val="both"/>
              <w:rPr>
                <w:rFonts w:ascii="Arial" w:hAnsi="Arial" w:cs="Arial"/>
                <w:sz w:val="20"/>
                <w:szCs w:val="20"/>
                <w:lang w:val="es-CR"/>
              </w:rPr>
            </w:pPr>
            <w:r w:rsidRPr="0019529E">
              <w:rPr>
                <w:rFonts w:ascii="Arial" w:hAnsi="Arial" w:cs="Arial"/>
                <w:sz w:val="20"/>
                <w:szCs w:val="20"/>
                <w:lang w:val="es-CR"/>
              </w:rPr>
              <w:lastRenderedPageBreak/>
              <w:t>A pesar que se realizaron todas las acciones correctivas planteadas al 30/06/2021, así como reuniones de seguimiento con los distintos responsables de la ejecución del presupuesto, aun así no se pudo alcanzar un nivel de ejecución superior al 90,00%, siendo que se determinaron diferentes situaciones que incidieron en este resultado, siendo la de mayor peso la Emergencia Nacional por COVID-19, lo que ha provocado que gran parte del personal se encontrara realizando teletrabajo, como medida preventiva de acuerdo a los lineamientos institucionales, así como la baja en la presencialidad de personas usuarias y funcionarias en las oficinas.</w:t>
            </w:r>
          </w:p>
        </w:tc>
      </w:tr>
      <w:tr w:rsidR="0019529E" w:rsidRPr="0019529E" w14:paraId="198CB88D" w14:textId="77777777" w:rsidTr="00465D52">
        <w:trPr>
          <w:trHeight w:val="312"/>
          <w:jc w:val="center"/>
        </w:trPr>
        <w:tc>
          <w:tcPr>
            <w:cnfStyle w:val="001000000000" w:firstRow="0" w:lastRow="0" w:firstColumn="1" w:lastColumn="0" w:oddVBand="0" w:evenVBand="0" w:oddHBand="0" w:evenHBand="0" w:firstRowFirstColumn="0" w:firstRowLastColumn="0" w:lastRowFirstColumn="0" w:lastRowLastColumn="0"/>
            <w:tcW w:w="680" w:type="pct"/>
          </w:tcPr>
          <w:p w14:paraId="49D968F2" w14:textId="77777777" w:rsidR="0019529E" w:rsidRPr="0019529E" w:rsidRDefault="0019529E" w:rsidP="0019529E">
            <w:pPr>
              <w:spacing w:line="360" w:lineRule="auto"/>
              <w:contextualSpacing/>
              <w:jc w:val="center"/>
              <w:rPr>
                <w:rFonts w:ascii="Arial" w:hAnsi="Arial" w:cs="Arial"/>
                <w:b w:val="0"/>
                <w:bCs w:val="0"/>
                <w:sz w:val="20"/>
                <w:szCs w:val="20"/>
                <w:lang w:val="es-CR"/>
              </w:rPr>
            </w:pPr>
            <w:r w:rsidRPr="0019529E">
              <w:rPr>
                <w:rFonts w:ascii="Arial" w:hAnsi="Arial" w:cs="Arial"/>
                <w:b w:val="0"/>
                <w:bCs w:val="0"/>
                <w:sz w:val="20"/>
                <w:szCs w:val="20"/>
                <w:lang w:val="es-CR"/>
              </w:rPr>
              <w:lastRenderedPageBreak/>
              <w:t>Bienes Duraderos</w:t>
            </w:r>
          </w:p>
        </w:tc>
        <w:tc>
          <w:tcPr>
            <w:cnfStyle w:val="000010000000" w:firstRow="0" w:lastRow="0" w:firstColumn="0" w:lastColumn="0" w:oddVBand="1" w:evenVBand="0" w:oddHBand="0" w:evenHBand="0" w:firstRowFirstColumn="0" w:firstRowLastColumn="0" w:lastRowFirstColumn="0" w:lastRowLastColumn="0"/>
            <w:tcW w:w="1282" w:type="pct"/>
          </w:tcPr>
          <w:p w14:paraId="349BD62B" w14:textId="260C7FFB" w:rsidR="0019529E" w:rsidRPr="00412EB8" w:rsidRDefault="0019529E" w:rsidP="00412EB8">
            <w:pPr>
              <w:pStyle w:val="Prrafodelista"/>
              <w:numPr>
                <w:ilvl w:val="0"/>
                <w:numId w:val="38"/>
              </w:numPr>
              <w:spacing w:line="360" w:lineRule="auto"/>
              <w:jc w:val="both"/>
              <w:rPr>
                <w:rFonts w:ascii="Arial" w:hAnsi="Arial" w:cs="Arial"/>
                <w:sz w:val="20"/>
                <w:szCs w:val="20"/>
                <w:lang w:val="es-CR"/>
              </w:rPr>
            </w:pPr>
            <w:r w:rsidRPr="00412EB8">
              <w:rPr>
                <w:rFonts w:ascii="Arial" w:hAnsi="Arial" w:cs="Arial"/>
                <w:sz w:val="20"/>
                <w:szCs w:val="20"/>
                <w:lang w:val="es-CR"/>
              </w:rPr>
              <w:t xml:space="preserve">Impacto generado por la emergencia sanitaria por el COVID-19. </w:t>
            </w:r>
          </w:p>
          <w:p w14:paraId="597409AF" w14:textId="77777777" w:rsidR="0019529E" w:rsidRPr="0019529E" w:rsidRDefault="0019529E" w:rsidP="0019529E">
            <w:pPr>
              <w:spacing w:line="360" w:lineRule="auto"/>
              <w:jc w:val="both"/>
              <w:rPr>
                <w:rFonts w:ascii="Arial" w:hAnsi="Arial" w:cs="Arial"/>
                <w:sz w:val="20"/>
                <w:szCs w:val="20"/>
                <w:lang w:val="es-CR"/>
              </w:rPr>
            </w:pPr>
          </w:p>
          <w:p w14:paraId="53A46526" w14:textId="77777777" w:rsidR="0019529E" w:rsidRPr="0019529E" w:rsidRDefault="0019529E" w:rsidP="0019529E">
            <w:pPr>
              <w:spacing w:line="360" w:lineRule="auto"/>
              <w:jc w:val="both"/>
              <w:rPr>
                <w:rFonts w:ascii="Arial" w:hAnsi="Arial" w:cs="Arial"/>
                <w:sz w:val="20"/>
                <w:szCs w:val="20"/>
                <w:lang w:val="es-CR"/>
              </w:rPr>
            </w:pPr>
          </w:p>
          <w:p w14:paraId="64C95631" w14:textId="374204A1" w:rsidR="0019529E" w:rsidRPr="00412EB8" w:rsidRDefault="0019529E" w:rsidP="00412EB8">
            <w:pPr>
              <w:pStyle w:val="Prrafodelista"/>
              <w:numPr>
                <w:ilvl w:val="0"/>
                <w:numId w:val="39"/>
              </w:numPr>
              <w:spacing w:line="360" w:lineRule="auto"/>
              <w:jc w:val="both"/>
              <w:rPr>
                <w:rFonts w:ascii="Arial" w:hAnsi="Arial" w:cs="Arial"/>
                <w:sz w:val="20"/>
                <w:szCs w:val="20"/>
                <w:lang w:val="es-CR"/>
              </w:rPr>
            </w:pPr>
            <w:r w:rsidRPr="00412EB8">
              <w:rPr>
                <w:rFonts w:ascii="Arial" w:hAnsi="Arial" w:cs="Arial"/>
                <w:sz w:val="20"/>
                <w:szCs w:val="20"/>
                <w:lang w:val="es-CR"/>
              </w:rPr>
              <w:t>Metas cuyo cumplimiento se planifica concretar en el segundo semestre.</w:t>
            </w:r>
          </w:p>
          <w:p w14:paraId="1AFC8B84" w14:textId="77777777" w:rsidR="0019529E" w:rsidRPr="0019529E" w:rsidRDefault="0019529E" w:rsidP="0019529E">
            <w:pPr>
              <w:spacing w:line="360" w:lineRule="auto"/>
              <w:jc w:val="both"/>
              <w:rPr>
                <w:rFonts w:ascii="Arial" w:hAnsi="Arial" w:cs="Arial"/>
                <w:sz w:val="20"/>
                <w:szCs w:val="20"/>
                <w:lang w:val="es-CR"/>
              </w:rPr>
            </w:pPr>
          </w:p>
          <w:p w14:paraId="65810824" w14:textId="77777777" w:rsidR="0019529E" w:rsidRPr="0019529E" w:rsidRDefault="0019529E" w:rsidP="0019529E">
            <w:pPr>
              <w:spacing w:line="360" w:lineRule="auto"/>
              <w:jc w:val="both"/>
              <w:rPr>
                <w:rFonts w:ascii="Arial" w:hAnsi="Arial" w:cs="Arial"/>
                <w:sz w:val="20"/>
                <w:szCs w:val="20"/>
                <w:lang w:val="es-CR"/>
              </w:rPr>
            </w:pPr>
          </w:p>
          <w:p w14:paraId="222227F8" w14:textId="77777777" w:rsidR="0019529E" w:rsidRPr="0019529E" w:rsidRDefault="0019529E" w:rsidP="0019529E">
            <w:pPr>
              <w:spacing w:line="360" w:lineRule="auto"/>
              <w:jc w:val="both"/>
              <w:rPr>
                <w:rFonts w:ascii="Arial" w:hAnsi="Arial" w:cs="Arial"/>
                <w:sz w:val="20"/>
                <w:szCs w:val="20"/>
                <w:lang w:val="es-CR"/>
              </w:rPr>
            </w:pPr>
          </w:p>
          <w:p w14:paraId="1364153C" w14:textId="77777777" w:rsidR="0019529E" w:rsidRPr="0019529E" w:rsidRDefault="0019529E" w:rsidP="0019529E">
            <w:pPr>
              <w:spacing w:line="360" w:lineRule="auto"/>
              <w:jc w:val="both"/>
              <w:rPr>
                <w:rFonts w:ascii="Arial" w:hAnsi="Arial" w:cs="Arial"/>
                <w:sz w:val="20"/>
                <w:szCs w:val="20"/>
                <w:lang w:val="es-CR"/>
              </w:rPr>
            </w:pPr>
          </w:p>
          <w:p w14:paraId="018F64DC" w14:textId="77777777" w:rsidR="0019529E" w:rsidRPr="0019529E" w:rsidRDefault="0019529E" w:rsidP="0019529E">
            <w:pPr>
              <w:spacing w:line="360" w:lineRule="auto"/>
              <w:jc w:val="both"/>
              <w:rPr>
                <w:rFonts w:ascii="Arial" w:hAnsi="Arial" w:cs="Arial"/>
                <w:sz w:val="20"/>
                <w:szCs w:val="20"/>
                <w:lang w:val="es-CR"/>
              </w:rPr>
            </w:pPr>
          </w:p>
          <w:p w14:paraId="751CF907" w14:textId="77777777" w:rsidR="0019529E" w:rsidRPr="0019529E" w:rsidRDefault="0019529E" w:rsidP="0019529E">
            <w:pPr>
              <w:spacing w:line="360" w:lineRule="auto"/>
              <w:jc w:val="both"/>
              <w:rPr>
                <w:rFonts w:ascii="Arial" w:hAnsi="Arial" w:cs="Arial"/>
                <w:sz w:val="20"/>
                <w:szCs w:val="20"/>
                <w:lang w:val="es-CR"/>
              </w:rPr>
            </w:pPr>
          </w:p>
          <w:p w14:paraId="738A68B8" w14:textId="77777777" w:rsidR="0019529E" w:rsidRPr="0019529E" w:rsidRDefault="0019529E" w:rsidP="0019529E">
            <w:pPr>
              <w:spacing w:line="360" w:lineRule="auto"/>
              <w:jc w:val="both"/>
              <w:rPr>
                <w:rFonts w:ascii="Arial" w:hAnsi="Arial" w:cs="Arial"/>
                <w:sz w:val="20"/>
                <w:szCs w:val="20"/>
                <w:lang w:val="es-CR"/>
              </w:rPr>
            </w:pPr>
          </w:p>
          <w:p w14:paraId="1FE044DF" w14:textId="77777777" w:rsidR="0019529E" w:rsidRPr="0019529E" w:rsidRDefault="0019529E" w:rsidP="0019529E">
            <w:pPr>
              <w:spacing w:line="360" w:lineRule="auto"/>
              <w:jc w:val="both"/>
              <w:rPr>
                <w:rFonts w:ascii="Arial" w:hAnsi="Arial" w:cs="Arial"/>
                <w:sz w:val="20"/>
                <w:szCs w:val="20"/>
                <w:lang w:val="es-CR"/>
              </w:rPr>
            </w:pPr>
          </w:p>
          <w:p w14:paraId="79BED362" w14:textId="77777777" w:rsidR="0019529E" w:rsidRPr="0019529E" w:rsidRDefault="0019529E" w:rsidP="0019529E">
            <w:pPr>
              <w:spacing w:line="360" w:lineRule="auto"/>
              <w:jc w:val="both"/>
              <w:rPr>
                <w:rFonts w:ascii="Arial" w:hAnsi="Arial" w:cs="Arial"/>
                <w:sz w:val="20"/>
                <w:szCs w:val="20"/>
                <w:lang w:val="es-CR"/>
              </w:rPr>
            </w:pPr>
          </w:p>
          <w:p w14:paraId="28C05588" w14:textId="77777777" w:rsidR="0019529E" w:rsidRPr="0019529E" w:rsidRDefault="0019529E" w:rsidP="0019529E">
            <w:pPr>
              <w:spacing w:line="360" w:lineRule="auto"/>
              <w:jc w:val="both"/>
              <w:rPr>
                <w:rFonts w:ascii="Arial" w:hAnsi="Arial" w:cs="Arial"/>
                <w:sz w:val="20"/>
                <w:szCs w:val="20"/>
                <w:lang w:val="es-CR"/>
              </w:rPr>
            </w:pPr>
          </w:p>
          <w:p w14:paraId="759E10DA" w14:textId="77777777" w:rsidR="0019529E" w:rsidRPr="0019529E" w:rsidRDefault="0019529E" w:rsidP="0019529E">
            <w:pPr>
              <w:spacing w:line="360" w:lineRule="auto"/>
              <w:jc w:val="both"/>
              <w:rPr>
                <w:rFonts w:ascii="Arial" w:hAnsi="Arial" w:cs="Arial"/>
                <w:sz w:val="20"/>
                <w:szCs w:val="20"/>
                <w:lang w:val="es-CR"/>
              </w:rPr>
            </w:pPr>
          </w:p>
          <w:p w14:paraId="4BF98237" w14:textId="77777777" w:rsidR="0019529E" w:rsidRPr="0019529E" w:rsidRDefault="0019529E" w:rsidP="0019529E">
            <w:pPr>
              <w:spacing w:line="360" w:lineRule="auto"/>
              <w:jc w:val="both"/>
              <w:rPr>
                <w:rFonts w:ascii="Arial" w:hAnsi="Arial" w:cs="Arial"/>
                <w:sz w:val="20"/>
                <w:szCs w:val="20"/>
                <w:lang w:val="es-CR"/>
              </w:rPr>
            </w:pPr>
          </w:p>
          <w:p w14:paraId="3E055E1C" w14:textId="77777777" w:rsidR="0019529E" w:rsidRPr="0019529E" w:rsidRDefault="0019529E" w:rsidP="0019529E">
            <w:pPr>
              <w:spacing w:line="360" w:lineRule="auto"/>
              <w:jc w:val="both"/>
              <w:rPr>
                <w:rFonts w:ascii="Arial" w:hAnsi="Arial" w:cs="Arial"/>
                <w:sz w:val="20"/>
                <w:szCs w:val="20"/>
                <w:lang w:val="es-CR"/>
              </w:rPr>
            </w:pPr>
          </w:p>
          <w:p w14:paraId="6EF821C0" w14:textId="77777777" w:rsidR="0019529E" w:rsidRPr="0019529E" w:rsidRDefault="0019529E" w:rsidP="0019529E">
            <w:pPr>
              <w:spacing w:line="360" w:lineRule="auto"/>
              <w:jc w:val="both"/>
              <w:rPr>
                <w:rFonts w:ascii="Arial" w:hAnsi="Arial" w:cs="Arial"/>
                <w:sz w:val="20"/>
                <w:szCs w:val="20"/>
                <w:lang w:val="es-CR"/>
              </w:rPr>
            </w:pPr>
            <w:r w:rsidRPr="0019529E">
              <w:rPr>
                <w:rFonts w:ascii="Arial" w:hAnsi="Arial" w:cs="Arial"/>
                <w:sz w:val="20"/>
                <w:szCs w:val="20"/>
                <w:lang w:val="es-CR"/>
              </w:rPr>
              <w:lastRenderedPageBreak/>
              <w:t>3. Procesos de contratación que se concretan en el segundo semestre.</w:t>
            </w:r>
          </w:p>
          <w:p w14:paraId="4033AAD3" w14:textId="77777777" w:rsidR="0019529E" w:rsidRPr="0019529E" w:rsidRDefault="0019529E" w:rsidP="0019529E">
            <w:pPr>
              <w:spacing w:line="360" w:lineRule="auto"/>
              <w:jc w:val="both"/>
              <w:rPr>
                <w:rFonts w:ascii="Arial" w:hAnsi="Arial" w:cs="Arial"/>
                <w:sz w:val="20"/>
                <w:szCs w:val="20"/>
                <w:lang w:val="es-CR"/>
              </w:rPr>
            </w:pPr>
            <w:r w:rsidRPr="0019529E">
              <w:rPr>
                <w:rFonts w:ascii="Arial" w:hAnsi="Arial" w:cs="Arial"/>
                <w:sz w:val="20"/>
                <w:szCs w:val="20"/>
                <w:lang w:val="es-CR"/>
              </w:rPr>
              <w:t xml:space="preserve">6. Políticas administrativas institucionales que ocasionen cambios en la ejecución de recursos y generen ahorros o mayor gasto.  </w:t>
            </w:r>
          </w:p>
        </w:tc>
        <w:tc>
          <w:tcPr>
            <w:tcW w:w="1756" w:type="pct"/>
          </w:tcPr>
          <w:p w14:paraId="192D4608"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lastRenderedPageBreak/>
              <w:t>1.1 Se trasladarán parte de los recursos mediante SME para atender otras necesidades del Ministerio Público, tales como maquinaria, equipo y mobiliario diverso.</w:t>
            </w:r>
          </w:p>
          <w:p w14:paraId="78E47187"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2.1 Agilizar el proceso de pagos de facturas y formalizar las compras pendientes en las diferentes subpartidas. </w:t>
            </w:r>
          </w:p>
          <w:p w14:paraId="6EE432F7"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2.2 Agilizar el trámite en las solicitudes de criterios técnicos. </w:t>
            </w:r>
          </w:p>
          <w:p w14:paraId="43840F5D"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2.3 Iniciar los procesos de contratación administrativa y así evitar retrasos en la recepción de bienes y el pago de facturas.</w:t>
            </w:r>
          </w:p>
          <w:p w14:paraId="3C4E3056"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2.4 Coordinar con el Departamento de la Proveeduría para la adquisición de activos del stock: muebles, escritorios, bibliotecas de metal y ventiladores, esto para las oficinas del Ministerio Público.</w:t>
            </w:r>
          </w:p>
          <w:p w14:paraId="1EA12D02"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3.1 Formalizar los procesos de contratación que se encuentran en trámite.</w:t>
            </w:r>
          </w:p>
          <w:p w14:paraId="2848706F"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6.1 Se trasladarán los recursos mediante SME para atender otras necesidades Institucionales (caso Fiscalía de Probidad)</w:t>
            </w:r>
          </w:p>
        </w:tc>
        <w:tc>
          <w:tcPr>
            <w:cnfStyle w:val="000010000000" w:firstRow="0" w:lastRow="0" w:firstColumn="0" w:lastColumn="0" w:oddVBand="1" w:evenVBand="0" w:oddHBand="0" w:evenHBand="0" w:firstRowFirstColumn="0" w:firstRowLastColumn="0" w:lastRowFirstColumn="0" w:lastRowLastColumn="0"/>
            <w:tcW w:w="1282" w:type="pct"/>
          </w:tcPr>
          <w:p w14:paraId="7E0E0978" w14:textId="77777777" w:rsidR="0019529E" w:rsidRPr="0019529E" w:rsidRDefault="0019529E" w:rsidP="0019529E">
            <w:pPr>
              <w:spacing w:line="360" w:lineRule="auto"/>
              <w:jc w:val="both"/>
              <w:rPr>
                <w:rFonts w:ascii="Arial" w:hAnsi="Arial" w:cs="Arial"/>
                <w:sz w:val="20"/>
                <w:szCs w:val="20"/>
                <w:lang w:val="es-ES_tradnl"/>
              </w:rPr>
            </w:pPr>
            <w:r w:rsidRPr="0019529E">
              <w:rPr>
                <w:rFonts w:ascii="Arial" w:hAnsi="Arial" w:cs="Arial"/>
                <w:sz w:val="20"/>
                <w:szCs w:val="20"/>
                <w:lang w:val="es-CR"/>
              </w:rPr>
              <w:t xml:space="preserve">Al igual que con la partida de Materiales y Suministros, se realizaron todas las acciones correctivas planteadas al 30/06/2021, pero los </w:t>
            </w:r>
            <w:r w:rsidRPr="0019529E">
              <w:rPr>
                <w:rFonts w:ascii="Arial" w:hAnsi="Arial" w:cs="Arial"/>
                <w:sz w:val="20"/>
                <w:szCs w:val="20"/>
                <w:lang w:val="es-ES_tradnl"/>
              </w:rPr>
              <w:t>problemas relacionados con los procesos de contratación administrativa que se presentaron en la Oficina de la Defensa Civil de la Víctima, incidieron en que no se alcanzará el nivel de ejecución deseado.</w:t>
            </w:r>
          </w:p>
          <w:p w14:paraId="7B8E34CE" w14:textId="77777777" w:rsidR="0019529E" w:rsidRPr="0019529E" w:rsidRDefault="0019529E" w:rsidP="0019529E">
            <w:pPr>
              <w:spacing w:line="360" w:lineRule="auto"/>
              <w:contextualSpacing/>
              <w:jc w:val="both"/>
              <w:rPr>
                <w:rFonts w:ascii="Arial" w:hAnsi="Arial" w:cs="Arial"/>
                <w:sz w:val="20"/>
                <w:szCs w:val="20"/>
                <w:lang w:val="es-CR"/>
              </w:rPr>
            </w:pPr>
          </w:p>
        </w:tc>
      </w:tr>
    </w:tbl>
    <w:p w14:paraId="4690BA7C" w14:textId="77777777" w:rsidR="0019529E" w:rsidRPr="0019529E" w:rsidRDefault="0019529E" w:rsidP="0019529E">
      <w:pPr>
        <w:spacing w:after="160" w:line="259" w:lineRule="auto"/>
        <w:contextualSpacing/>
        <w:jc w:val="both"/>
        <w:rPr>
          <w:rFonts w:ascii="Arial" w:eastAsiaTheme="minorEastAsia" w:hAnsi="Arial" w:cs="Arial"/>
          <w:bCs/>
          <w:sz w:val="16"/>
          <w:szCs w:val="16"/>
          <w:lang w:val="es-CR"/>
        </w:rPr>
      </w:pPr>
      <w:r w:rsidRPr="0019529E">
        <w:rPr>
          <w:rFonts w:ascii="Arial" w:eastAsiaTheme="minorEastAsia" w:hAnsi="Arial" w:cs="Arial"/>
          <w:b/>
          <w:sz w:val="16"/>
          <w:szCs w:val="16"/>
          <w:lang w:val="es-CR"/>
        </w:rPr>
        <w:t>Fuente</w:t>
      </w:r>
      <w:r w:rsidRPr="0019529E">
        <w:rPr>
          <w:rFonts w:ascii="Arial" w:eastAsiaTheme="minorEastAsia" w:hAnsi="Arial" w:cs="Arial"/>
          <w:sz w:val="16"/>
          <w:szCs w:val="16"/>
          <w:lang w:val="es-CR"/>
        </w:rPr>
        <w:t xml:space="preserve">: </w:t>
      </w:r>
      <w:r w:rsidRPr="0019529E">
        <w:rPr>
          <w:rFonts w:ascii="Arial" w:hAnsi="Arial" w:cs="Arial"/>
          <w:color w:val="000000"/>
          <w:sz w:val="16"/>
          <w:szCs w:val="20"/>
          <w:lang w:val="es-CR" w:eastAsia="es-CR"/>
        </w:rPr>
        <w:t>Módulo de Poderes, Liquidación Presupuestaria del Poder Judicial, al 31 de diciembre de 2021.</w:t>
      </w:r>
    </w:p>
    <w:p w14:paraId="394F08E7" w14:textId="77777777" w:rsidR="0019529E" w:rsidRPr="0019529E" w:rsidRDefault="0019529E" w:rsidP="0019529E">
      <w:pPr>
        <w:spacing w:after="160" w:line="259" w:lineRule="auto"/>
        <w:contextualSpacing/>
        <w:jc w:val="both"/>
        <w:rPr>
          <w:rFonts w:ascii="Arial" w:eastAsiaTheme="minorEastAsia" w:hAnsi="Arial" w:cs="Arial"/>
          <w:sz w:val="16"/>
          <w:szCs w:val="16"/>
          <w:lang w:val="es-CR"/>
        </w:rPr>
      </w:pPr>
      <w:r w:rsidRPr="0019529E">
        <w:rPr>
          <w:rFonts w:ascii="Arial" w:eastAsiaTheme="minorEastAsia" w:hAnsi="Arial" w:cs="Arial"/>
          <w:sz w:val="16"/>
          <w:szCs w:val="16"/>
          <w:lang w:val="es-CR"/>
        </w:rPr>
        <w:t>/1</w:t>
      </w:r>
      <w:r w:rsidRPr="0019529E">
        <w:rPr>
          <w:rFonts w:ascii="Arial" w:eastAsiaTheme="minorEastAsia" w:hAnsi="Arial" w:cs="Arial"/>
          <w:b/>
          <w:sz w:val="16"/>
          <w:szCs w:val="16"/>
          <w:lang w:val="es-CR"/>
        </w:rPr>
        <w:t xml:space="preserve"> </w:t>
      </w:r>
      <w:r w:rsidRPr="0019529E">
        <w:rPr>
          <w:rFonts w:ascii="Arial" w:eastAsiaTheme="minorEastAsia" w:hAnsi="Arial" w:cs="Arial"/>
          <w:sz w:val="16"/>
          <w:szCs w:val="16"/>
          <w:lang w:val="es-CR"/>
        </w:rPr>
        <w:t>Indicar la descripción del factor señalado en el informe de seguimiento semestral.</w:t>
      </w:r>
    </w:p>
    <w:p w14:paraId="2815684D" w14:textId="77777777" w:rsidR="0019529E" w:rsidRPr="0019529E" w:rsidRDefault="0019529E" w:rsidP="0019529E">
      <w:pPr>
        <w:spacing w:after="160" w:line="259" w:lineRule="auto"/>
        <w:contextualSpacing/>
        <w:jc w:val="both"/>
        <w:rPr>
          <w:rFonts w:ascii="Arial" w:eastAsiaTheme="minorEastAsia" w:hAnsi="Arial" w:cs="Arial"/>
          <w:sz w:val="16"/>
          <w:szCs w:val="16"/>
          <w:lang w:val="es-CR"/>
        </w:rPr>
      </w:pPr>
      <w:r w:rsidRPr="0019529E">
        <w:rPr>
          <w:rFonts w:ascii="Arial" w:eastAsiaTheme="minorEastAsia" w:hAnsi="Arial" w:cs="Arial"/>
          <w:sz w:val="16"/>
          <w:szCs w:val="16"/>
          <w:lang w:val="es-CR"/>
        </w:rPr>
        <w:t>/2 Se refieren a las acciones propuestas en el informe de seguimiento semestral.</w:t>
      </w:r>
    </w:p>
    <w:p w14:paraId="584F1867" w14:textId="77777777" w:rsidR="0019529E" w:rsidRPr="0019529E" w:rsidRDefault="0019529E" w:rsidP="0019529E">
      <w:pPr>
        <w:spacing w:after="160" w:line="259" w:lineRule="auto"/>
        <w:contextualSpacing/>
        <w:jc w:val="both"/>
        <w:rPr>
          <w:rFonts w:ascii="Arial" w:eastAsiaTheme="minorEastAsia" w:hAnsi="Arial" w:cs="Arial"/>
          <w:sz w:val="16"/>
          <w:szCs w:val="16"/>
          <w:lang w:val="es-CR"/>
        </w:rPr>
      </w:pPr>
      <w:r w:rsidRPr="0019529E">
        <w:rPr>
          <w:rFonts w:ascii="Arial" w:eastAsiaTheme="minorEastAsia" w:hAnsi="Arial" w:cs="Arial"/>
          <w:sz w:val="16"/>
          <w:szCs w:val="16"/>
          <w:lang w:val="es-CR"/>
        </w:rPr>
        <w:t>/3</w:t>
      </w:r>
      <w:r w:rsidRPr="0019529E">
        <w:rPr>
          <w:rFonts w:ascii="Arial" w:eastAsiaTheme="minorEastAsia" w:hAnsi="Arial" w:cs="Arial"/>
          <w:b/>
          <w:sz w:val="16"/>
          <w:szCs w:val="16"/>
          <w:lang w:val="es-CR"/>
        </w:rPr>
        <w:t xml:space="preserve"> </w:t>
      </w:r>
      <w:r w:rsidRPr="0019529E">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6D681DBA" w14:textId="77777777" w:rsidR="0019529E" w:rsidRPr="0019529E" w:rsidRDefault="0019529E" w:rsidP="0019529E">
      <w:pPr>
        <w:spacing w:after="160" w:line="259" w:lineRule="auto"/>
        <w:contextualSpacing/>
        <w:jc w:val="both"/>
        <w:rPr>
          <w:rFonts w:ascii="Arial" w:eastAsiaTheme="minorEastAsia" w:hAnsi="Arial" w:cs="Arial"/>
          <w:b/>
          <w:sz w:val="16"/>
          <w:szCs w:val="16"/>
          <w:lang w:val="es-CR"/>
        </w:rPr>
      </w:pPr>
    </w:p>
    <w:p w14:paraId="67B1C4CC" w14:textId="77777777" w:rsidR="004C0CBB" w:rsidRDefault="004C0CBB" w:rsidP="004C0CBB">
      <w:pPr>
        <w:spacing w:after="160" w:line="360" w:lineRule="auto"/>
        <w:jc w:val="both"/>
        <w:rPr>
          <w:rFonts w:ascii="Arial" w:eastAsiaTheme="minorEastAsia" w:hAnsi="Arial" w:cs="Arial"/>
          <w:sz w:val="20"/>
          <w:szCs w:val="20"/>
          <w:lang w:val="es-ES_tradnl"/>
        </w:rPr>
      </w:pPr>
    </w:p>
    <w:p w14:paraId="5033C091" w14:textId="690712C6" w:rsidR="00961918" w:rsidRPr="00AE3D7B" w:rsidRDefault="00961918" w:rsidP="007331CC">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sidR="007331CC">
        <w:rPr>
          <w:rFonts w:ascii="Arial" w:hAnsi="Arial" w:cs="Arial"/>
          <w:b/>
          <w:bCs/>
          <w:i w:val="0"/>
          <w:iCs w:val="0"/>
          <w:noProof/>
          <w:color w:val="auto"/>
          <w:sz w:val="20"/>
          <w:szCs w:val="20"/>
        </w:rPr>
        <w:t>21</w:t>
      </w:r>
      <w:r w:rsidRPr="00AE3D7B">
        <w:rPr>
          <w:rFonts w:ascii="Arial" w:hAnsi="Arial" w:cs="Arial"/>
          <w:b/>
          <w:bCs/>
          <w:i w:val="0"/>
          <w:iCs w:val="0"/>
          <w:color w:val="auto"/>
          <w:sz w:val="20"/>
          <w:szCs w:val="20"/>
        </w:rPr>
        <w:fldChar w:fldCharType="end"/>
      </w:r>
    </w:p>
    <w:p w14:paraId="702E724B" w14:textId="6C6F64EC" w:rsidR="0019529E" w:rsidRPr="0019529E" w:rsidRDefault="0019529E" w:rsidP="004C0CBB">
      <w:pPr>
        <w:spacing w:after="160" w:line="360" w:lineRule="auto"/>
        <w:jc w:val="center"/>
        <w:rPr>
          <w:rFonts w:ascii="Arial" w:eastAsiaTheme="minorEastAsia" w:hAnsi="Arial" w:cs="Arial"/>
          <w:b/>
          <w:bCs/>
          <w:color w:val="000000"/>
          <w:sz w:val="20"/>
          <w:szCs w:val="20"/>
          <w:lang w:val="es-CR" w:eastAsia="es-CR"/>
        </w:rPr>
      </w:pPr>
      <w:r w:rsidRPr="0019529E">
        <w:rPr>
          <w:rFonts w:ascii="Arial" w:eastAsiaTheme="minorEastAsia" w:hAnsi="Arial" w:cs="Arial"/>
          <w:color w:val="000000"/>
          <w:sz w:val="20"/>
          <w:szCs w:val="20"/>
          <w:lang w:val="es-CR" w:eastAsia="es-CR"/>
        </w:rPr>
        <w:t xml:space="preserve"> </w:t>
      </w:r>
      <w:r w:rsidRPr="0019529E">
        <w:rPr>
          <w:rFonts w:ascii="Arial" w:eastAsiaTheme="minorEastAsia" w:hAnsi="Arial" w:cs="Arial"/>
          <w:b/>
          <w:sz w:val="20"/>
          <w:szCs w:val="20"/>
          <w:lang w:val="es-CR" w:eastAsia="es-CR"/>
        </w:rPr>
        <w:t>Acciones correctivas y fechas de implementación</w:t>
      </w:r>
    </w:p>
    <w:p w14:paraId="40E39EAF" w14:textId="77777777" w:rsidR="0019529E" w:rsidRPr="0019529E" w:rsidRDefault="0019529E" w:rsidP="0019529E">
      <w:pPr>
        <w:jc w:val="center"/>
        <w:rPr>
          <w:rFonts w:ascii="Arial" w:eastAsiaTheme="minorEastAsia" w:hAnsi="Arial" w:cs="Arial"/>
          <w:sz w:val="20"/>
          <w:szCs w:val="20"/>
          <w:lang w:val="es-ES_tradnl"/>
        </w:rPr>
      </w:pPr>
      <w:bookmarkStart w:id="30" w:name="_Hlk92976515"/>
      <w:r w:rsidRPr="0019529E">
        <w:rPr>
          <w:rFonts w:ascii="Arial" w:eastAsiaTheme="minorEastAsia" w:hAnsi="Arial" w:cs="Arial"/>
          <w:sz w:val="20"/>
          <w:szCs w:val="20"/>
          <w:lang w:val="es-ES_tradnl"/>
        </w:rPr>
        <w:t>Programa 929 Ministerio Público</w:t>
      </w:r>
    </w:p>
    <w:bookmarkEnd w:id="30"/>
    <w:p w14:paraId="774B67BA" w14:textId="77777777" w:rsidR="0019529E" w:rsidRPr="0019529E" w:rsidRDefault="0019529E" w:rsidP="0019529E">
      <w:pPr>
        <w:spacing w:after="160" w:line="259" w:lineRule="auto"/>
        <w:ind w:left="55"/>
        <w:contextualSpacing/>
        <w:jc w:val="center"/>
        <w:rPr>
          <w:rFonts w:ascii="Arial" w:eastAsiaTheme="minorEastAsia" w:hAnsi="Arial" w:cs="Arial"/>
          <w:color w:val="000000"/>
          <w:sz w:val="20"/>
          <w:szCs w:val="20"/>
          <w:lang w:val="es-CR" w:eastAsia="es-CR"/>
        </w:rPr>
      </w:pPr>
      <w:r w:rsidRPr="0019529E">
        <w:rPr>
          <w:rFonts w:ascii="Arial" w:eastAsiaTheme="minorEastAsia" w:hAnsi="Arial" w:cs="Arial"/>
          <w:color w:val="000000"/>
          <w:sz w:val="20"/>
          <w:szCs w:val="20"/>
          <w:lang w:val="es-CR" w:eastAsia="es-CR"/>
        </w:rPr>
        <w:t xml:space="preserve">Partidas con ejecución menor al 90,00% </w:t>
      </w:r>
    </w:p>
    <w:p w14:paraId="22D747B4" w14:textId="77777777" w:rsidR="0019529E" w:rsidRPr="0019529E" w:rsidRDefault="0019529E" w:rsidP="0019529E">
      <w:pPr>
        <w:jc w:val="center"/>
        <w:rPr>
          <w:rFonts w:ascii="Arial" w:eastAsiaTheme="minorEastAsia" w:hAnsi="Arial" w:cs="Arial"/>
          <w:color w:val="000000"/>
          <w:sz w:val="20"/>
          <w:szCs w:val="20"/>
          <w:lang w:val="es-CR" w:eastAsia="es-CR"/>
        </w:rPr>
      </w:pPr>
      <w:r w:rsidRPr="0019529E">
        <w:rPr>
          <w:rFonts w:ascii="Arial" w:eastAsiaTheme="minorEastAsia" w:hAnsi="Arial" w:cs="Arial"/>
          <w:sz w:val="20"/>
          <w:szCs w:val="20"/>
          <w:lang w:val="es-ES_tradnl"/>
        </w:rPr>
        <w:t>Al 31 de diciembre 2021</w:t>
      </w:r>
    </w:p>
    <w:tbl>
      <w:tblPr>
        <w:tblStyle w:val="Listaclara-nfasis115"/>
        <w:tblW w:w="4921" w:type="pct"/>
        <w:tblLook w:val="00A0" w:firstRow="1" w:lastRow="0" w:firstColumn="1" w:lastColumn="0" w:noHBand="0" w:noVBand="0"/>
      </w:tblPr>
      <w:tblGrid>
        <w:gridCol w:w="1177"/>
        <w:gridCol w:w="165"/>
        <w:gridCol w:w="975"/>
        <w:gridCol w:w="2608"/>
        <w:gridCol w:w="1686"/>
        <w:gridCol w:w="1739"/>
      </w:tblGrid>
      <w:tr w:rsidR="0019529E" w:rsidRPr="0019529E" w14:paraId="7AF1F522"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53" w:type="pct"/>
            <w:vAlign w:val="center"/>
          </w:tcPr>
          <w:p w14:paraId="37E6850E" w14:textId="77777777" w:rsidR="0019529E" w:rsidRPr="0019529E" w:rsidRDefault="0019529E" w:rsidP="0019529E">
            <w:pPr>
              <w:contextualSpacing/>
              <w:jc w:val="center"/>
              <w:rPr>
                <w:rFonts w:ascii="Arial" w:hAnsi="Arial" w:cs="Arial"/>
                <w:bCs w:val="0"/>
                <w:sz w:val="20"/>
                <w:szCs w:val="20"/>
                <w:lang w:val="es-CR"/>
              </w:rPr>
            </w:pPr>
            <w:r w:rsidRPr="0019529E">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628" w:type="pct"/>
            <w:gridSpan w:val="2"/>
            <w:vAlign w:val="center"/>
          </w:tcPr>
          <w:p w14:paraId="218B3A90" w14:textId="77777777" w:rsidR="0019529E" w:rsidRPr="0019529E" w:rsidRDefault="0019529E" w:rsidP="0019529E">
            <w:pPr>
              <w:contextualSpacing/>
              <w:jc w:val="center"/>
              <w:rPr>
                <w:rFonts w:ascii="Arial" w:hAnsi="Arial" w:cs="Arial"/>
                <w:sz w:val="20"/>
                <w:szCs w:val="20"/>
                <w:lang w:val="es-CR"/>
              </w:rPr>
            </w:pPr>
            <w:r w:rsidRPr="0019529E">
              <w:rPr>
                <w:rFonts w:ascii="Arial" w:hAnsi="Arial" w:cs="Arial"/>
                <w:sz w:val="20"/>
                <w:szCs w:val="20"/>
                <w:lang w:val="es-CR"/>
              </w:rPr>
              <w:t xml:space="preserve">Nivel de ejecución </w:t>
            </w:r>
            <w:r w:rsidRPr="0019529E">
              <w:rPr>
                <w:rFonts w:ascii="Arial" w:hAnsi="Arial" w:cs="Arial"/>
                <w:sz w:val="20"/>
                <w:szCs w:val="20"/>
                <w:vertAlign w:val="superscript"/>
                <w:lang w:val="es-CR"/>
              </w:rPr>
              <w:t>/1</w:t>
            </w:r>
          </w:p>
        </w:tc>
        <w:tc>
          <w:tcPr>
            <w:tcW w:w="1610" w:type="pct"/>
            <w:vAlign w:val="center"/>
          </w:tcPr>
          <w:p w14:paraId="75525CEF" w14:textId="77777777" w:rsidR="0019529E" w:rsidRPr="0019529E" w:rsidRDefault="0019529E" w:rsidP="001952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19529E">
              <w:rPr>
                <w:rFonts w:ascii="Arial" w:hAnsi="Arial" w:cs="Arial"/>
                <w:sz w:val="20"/>
                <w:szCs w:val="20"/>
                <w:lang w:val="es-CR"/>
              </w:rPr>
              <w:t xml:space="preserve">Acciones correctivas </w:t>
            </w:r>
            <w:r w:rsidRPr="0019529E">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058" w:type="pct"/>
            <w:vAlign w:val="center"/>
          </w:tcPr>
          <w:p w14:paraId="73C4269F" w14:textId="77777777" w:rsidR="0019529E" w:rsidRPr="0019529E" w:rsidRDefault="0019529E" w:rsidP="0019529E">
            <w:pPr>
              <w:contextualSpacing/>
              <w:jc w:val="center"/>
              <w:rPr>
                <w:rFonts w:ascii="Arial" w:hAnsi="Arial" w:cs="Arial"/>
                <w:sz w:val="20"/>
                <w:szCs w:val="20"/>
                <w:lang w:val="es-CR"/>
              </w:rPr>
            </w:pPr>
            <w:r w:rsidRPr="0019529E">
              <w:rPr>
                <w:rFonts w:ascii="Arial" w:hAnsi="Arial" w:cs="Arial"/>
                <w:sz w:val="20"/>
                <w:szCs w:val="20"/>
                <w:lang w:val="es-CR"/>
              </w:rPr>
              <w:t xml:space="preserve">Persona responsable de brindar la información </w:t>
            </w:r>
          </w:p>
        </w:tc>
        <w:tc>
          <w:tcPr>
            <w:tcW w:w="950" w:type="pct"/>
            <w:vAlign w:val="center"/>
          </w:tcPr>
          <w:p w14:paraId="470A8DE2" w14:textId="77777777" w:rsidR="0019529E" w:rsidRPr="0019529E" w:rsidRDefault="0019529E" w:rsidP="001952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CR"/>
              </w:rPr>
            </w:pPr>
            <w:r w:rsidRPr="0019529E">
              <w:rPr>
                <w:rFonts w:ascii="Arial" w:hAnsi="Arial" w:cs="Arial"/>
                <w:sz w:val="20"/>
                <w:szCs w:val="20"/>
                <w:lang w:val="es-CR"/>
              </w:rPr>
              <w:t xml:space="preserve">Fecha de implementación </w:t>
            </w:r>
            <w:r w:rsidRPr="0019529E">
              <w:rPr>
                <w:rFonts w:ascii="Arial" w:hAnsi="Arial" w:cs="Arial"/>
                <w:sz w:val="20"/>
                <w:szCs w:val="20"/>
                <w:vertAlign w:val="superscript"/>
                <w:lang w:val="es-CR"/>
              </w:rPr>
              <w:t>/3</w:t>
            </w:r>
          </w:p>
        </w:tc>
      </w:tr>
      <w:tr w:rsidR="0019529E" w:rsidRPr="0019529E" w14:paraId="7438172A"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43" w:type="pct"/>
            <w:gridSpan w:val="2"/>
          </w:tcPr>
          <w:p w14:paraId="2F5617FB" w14:textId="77777777" w:rsidR="0019529E" w:rsidRPr="0019529E" w:rsidRDefault="0019529E" w:rsidP="0019529E">
            <w:pPr>
              <w:spacing w:line="360" w:lineRule="auto"/>
              <w:contextualSpacing/>
              <w:jc w:val="both"/>
              <w:rPr>
                <w:rFonts w:ascii="Arial" w:hAnsi="Arial" w:cs="Arial"/>
                <w:b w:val="0"/>
                <w:bCs w:val="0"/>
                <w:sz w:val="20"/>
                <w:szCs w:val="20"/>
                <w:lang w:val="es-CR"/>
              </w:rPr>
            </w:pPr>
            <w:r w:rsidRPr="0019529E">
              <w:rPr>
                <w:rFonts w:ascii="Arial" w:hAnsi="Arial" w:cs="Arial"/>
                <w:b w:val="0"/>
                <w:bCs w:val="0"/>
                <w:sz w:val="20"/>
                <w:szCs w:val="20"/>
                <w:lang w:val="es-CR"/>
              </w:rPr>
              <w:t>Materiales y Suministros</w:t>
            </w:r>
          </w:p>
        </w:tc>
        <w:tc>
          <w:tcPr>
            <w:cnfStyle w:val="000010000000" w:firstRow="0" w:lastRow="0" w:firstColumn="0" w:lastColumn="0" w:oddVBand="1" w:evenVBand="0" w:oddHBand="0" w:evenHBand="0" w:firstRowFirstColumn="0" w:firstRowLastColumn="0" w:lastRowFirstColumn="0" w:lastRowLastColumn="0"/>
            <w:tcW w:w="538" w:type="pct"/>
          </w:tcPr>
          <w:p w14:paraId="14E2D120" w14:textId="77777777" w:rsidR="0019529E" w:rsidRPr="0019529E" w:rsidRDefault="0019529E" w:rsidP="0019529E">
            <w:pPr>
              <w:spacing w:line="360" w:lineRule="auto"/>
              <w:rPr>
                <w:rFonts w:ascii="Arial" w:hAnsi="Arial" w:cs="Arial"/>
                <w:bCs/>
                <w:sz w:val="20"/>
                <w:szCs w:val="20"/>
                <w:lang w:val="es-CR"/>
              </w:rPr>
            </w:pPr>
            <w:r w:rsidRPr="0019529E">
              <w:rPr>
                <w:rFonts w:ascii="Arial" w:hAnsi="Arial" w:cs="Arial"/>
                <w:sz w:val="20"/>
                <w:szCs w:val="20"/>
                <w:lang w:val="es-CR" w:eastAsia="es-CR"/>
              </w:rPr>
              <w:t>85.92%</w:t>
            </w:r>
          </w:p>
        </w:tc>
        <w:tc>
          <w:tcPr>
            <w:tcW w:w="1610" w:type="pct"/>
          </w:tcPr>
          <w:p w14:paraId="5C7D8367" w14:textId="77777777" w:rsidR="0019529E" w:rsidRPr="0019529E" w:rsidRDefault="0019529E" w:rsidP="0019529E">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9529E">
              <w:rPr>
                <w:rFonts w:ascii="Arial" w:hAnsi="Arial" w:cs="Arial"/>
                <w:bCs/>
                <w:sz w:val="20"/>
                <w:szCs w:val="20"/>
                <w:lang w:val="es-CR"/>
              </w:rPr>
              <w:t xml:space="preserve">Se atenderán las necesidades presentadas por cada oficina o despacho; además la ejecución de los recursos, dependerá de las disposiciones indicadas en cuánto a la apertura de las oficinas y atención al público, la realización de </w:t>
            </w:r>
            <w:r w:rsidRPr="0019529E">
              <w:rPr>
                <w:rFonts w:ascii="Arial" w:hAnsi="Arial" w:cs="Arial"/>
                <w:bCs/>
                <w:sz w:val="20"/>
                <w:szCs w:val="20"/>
                <w:lang w:val="es-CR"/>
              </w:rPr>
              <w:lastRenderedPageBreak/>
              <w:t>las giras y rendiciones de cuenta en las oficinas del Ministerio Público.</w:t>
            </w:r>
          </w:p>
        </w:tc>
        <w:tc>
          <w:tcPr>
            <w:cnfStyle w:val="000010000000" w:firstRow="0" w:lastRow="0" w:firstColumn="0" w:lastColumn="0" w:oddVBand="1" w:evenVBand="0" w:oddHBand="0" w:evenHBand="0" w:firstRowFirstColumn="0" w:firstRowLastColumn="0" w:lastRowFirstColumn="0" w:lastRowLastColumn="0"/>
            <w:tcW w:w="1058" w:type="pct"/>
          </w:tcPr>
          <w:p w14:paraId="5626EAE5" w14:textId="77777777" w:rsidR="0019529E" w:rsidRPr="0019529E" w:rsidRDefault="0019529E" w:rsidP="0019529E">
            <w:pPr>
              <w:spacing w:line="360" w:lineRule="auto"/>
              <w:contextualSpacing/>
              <w:jc w:val="both"/>
              <w:rPr>
                <w:rFonts w:ascii="Arial" w:hAnsi="Arial" w:cs="Arial"/>
                <w:bCs/>
                <w:sz w:val="20"/>
                <w:szCs w:val="20"/>
                <w:lang w:val="es-CR"/>
              </w:rPr>
            </w:pPr>
            <w:r w:rsidRPr="0019529E">
              <w:rPr>
                <w:rFonts w:ascii="Arial" w:hAnsi="Arial" w:cs="Arial"/>
                <w:bCs/>
                <w:sz w:val="20"/>
                <w:szCs w:val="20"/>
                <w:lang w:val="es-CR"/>
              </w:rPr>
              <w:lastRenderedPageBreak/>
              <w:t>Lic. Rándall Sancho Hernández, Jefe Sección Gestión Presupuestaria y Financiera, Administración del Ministerio Público</w:t>
            </w:r>
          </w:p>
        </w:tc>
        <w:tc>
          <w:tcPr>
            <w:tcW w:w="950" w:type="pct"/>
          </w:tcPr>
          <w:p w14:paraId="2E0E4349" w14:textId="77777777" w:rsidR="0019529E" w:rsidRPr="0019529E" w:rsidRDefault="0019529E" w:rsidP="0019529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19529E">
              <w:rPr>
                <w:rFonts w:ascii="Arial" w:hAnsi="Arial" w:cs="Arial"/>
                <w:bCs/>
                <w:sz w:val="20"/>
                <w:szCs w:val="20"/>
                <w:lang w:val="es-CR"/>
              </w:rPr>
              <w:t>01/02/2022</w:t>
            </w:r>
          </w:p>
        </w:tc>
      </w:tr>
      <w:tr w:rsidR="0019529E" w:rsidRPr="0019529E" w14:paraId="6F70A3F6"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843" w:type="pct"/>
            <w:gridSpan w:val="2"/>
          </w:tcPr>
          <w:p w14:paraId="26DDA9AF" w14:textId="77777777" w:rsidR="0019529E" w:rsidRPr="0019529E" w:rsidRDefault="0019529E" w:rsidP="0019529E">
            <w:pPr>
              <w:spacing w:line="360" w:lineRule="auto"/>
              <w:contextualSpacing/>
              <w:jc w:val="both"/>
              <w:rPr>
                <w:rFonts w:ascii="Arial" w:hAnsi="Arial" w:cs="Arial"/>
                <w:b w:val="0"/>
                <w:bCs w:val="0"/>
                <w:sz w:val="20"/>
                <w:szCs w:val="20"/>
                <w:lang w:val="es-CR"/>
              </w:rPr>
            </w:pPr>
            <w:r w:rsidRPr="0019529E">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538" w:type="pct"/>
          </w:tcPr>
          <w:p w14:paraId="20C36921" w14:textId="77777777" w:rsidR="0019529E" w:rsidRPr="0019529E" w:rsidRDefault="0019529E" w:rsidP="0019529E">
            <w:pPr>
              <w:spacing w:line="360" w:lineRule="auto"/>
              <w:rPr>
                <w:rFonts w:ascii="Arial" w:hAnsi="Arial" w:cs="Arial"/>
                <w:bCs/>
                <w:sz w:val="20"/>
                <w:szCs w:val="20"/>
                <w:lang w:val="es-CR"/>
              </w:rPr>
            </w:pPr>
            <w:r w:rsidRPr="0019529E">
              <w:rPr>
                <w:rFonts w:ascii="Arial" w:hAnsi="Arial" w:cs="Arial"/>
                <w:sz w:val="20"/>
                <w:szCs w:val="20"/>
                <w:lang w:val="es-CR" w:eastAsia="es-CR"/>
              </w:rPr>
              <w:t>83.43%</w:t>
            </w:r>
          </w:p>
        </w:tc>
        <w:tc>
          <w:tcPr>
            <w:tcW w:w="1610" w:type="pct"/>
          </w:tcPr>
          <w:p w14:paraId="03A4E691" w14:textId="77777777" w:rsidR="0019529E" w:rsidRPr="0019529E" w:rsidRDefault="0019529E" w:rsidP="0019529E">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19529E">
              <w:rPr>
                <w:rFonts w:ascii="Arial" w:hAnsi="Arial" w:cs="Arial"/>
                <w:bCs/>
                <w:sz w:val="20"/>
                <w:szCs w:val="20"/>
                <w:lang w:val="es-CR"/>
              </w:rPr>
              <w:t>Se realizará una proyección de compras y solicitudes de criterios técnicos en el primer trimestre, de manera que se pueda iniciar con los procesos de contratación administrativa y así evitar retrasos en la recepción de bienes y el pago de facturas.</w:t>
            </w:r>
          </w:p>
        </w:tc>
        <w:tc>
          <w:tcPr>
            <w:cnfStyle w:val="000010000000" w:firstRow="0" w:lastRow="0" w:firstColumn="0" w:lastColumn="0" w:oddVBand="1" w:evenVBand="0" w:oddHBand="0" w:evenHBand="0" w:firstRowFirstColumn="0" w:firstRowLastColumn="0" w:lastRowFirstColumn="0" w:lastRowLastColumn="0"/>
            <w:tcW w:w="1058" w:type="pct"/>
          </w:tcPr>
          <w:p w14:paraId="682DF867" w14:textId="77777777" w:rsidR="0019529E" w:rsidRPr="0019529E" w:rsidRDefault="0019529E" w:rsidP="0019529E">
            <w:pPr>
              <w:spacing w:line="360" w:lineRule="auto"/>
              <w:contextualSpacing/>
              <w:jc w:val="both"/>
              <w:rPr>
                <w:rFonts w:ascii="Arial" w:hAnsi="Arial" w:cs="Arial"/>
                <w:bCs/>
                <w:sz w:val="20"/>
                <w:szCs w:val="20"/>
                <w:lang w:val="es-CR"/>
              </w:rPr>
            </w:pPr>
            <w:r w:rsidRPr="0019529E">
              <w:rPr>
                <w:rFonts w:ascii="Arial" w:hAnsi="Arial" w:cs="Arial"/>
                <w:bCs/>
                <w:sz w:val="20"/>
                <w:szCs w:val="20"/>
                <w:lang w:val="es-CR"/>
              </w:rPr>
              <w:t>Lic. Rándall Sancho Hernández, Jefe Sección Gestión Presupuestaria y Financiera, Administración del Ministerio Público</w:t>
            </w:r>
          </w:p>
        </w:tc>
        <w:tc>
          <w:tcPr>
            <w:tcW w:w="950" w:type="pct"/>
          </w:tcPr>
          <w:p w14:paraId="469F7C4E" w14:textId="77777777" w:rsidR="0019529E" w:rsidRPr="0019529E" w:rsidRDefault="0019529E" w:rsidP="0019529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19529E">
              <w:rPr>
                <w:rFonts w:ascii="Arial" w:hAnsi="Arial" w:cs="Arial"/>
                <w:bCs/>
                <w:sz w:val="20"/>
                <w:szCs w:val="20"/>
                <w:lang w:val="es-CR"/>
              </w:rPr>
              <w:t>01/02/2022</w:t>
            </w:r>
          </w:p>
        </w:tc>
      </w:tr>
    </w:tbl>
    <w:p w14:paraId="4F4EF639" w14:textId="77777777" w:rsidR="0019529E" w:rsidRPr="0019529E" w:rsidRDefault="0019529E" w:rsidP="0019529E">
      <w:pPr>
        <w:jc w:val="both"/>
        <w:rPr>
          <w:rFonts w:ascii="Arial" w:eastAsiaTheme="minorEastAsia" w:hAnsi="Arial" w:cs="Arial"/>
          <w:b/>
          <w:sz w:val="16"/>
          <w:szCs w:val="16"/>
          <w:lang w:val="es-CR"/>
        </w:rPr>
      </w:pPr>
      <w:r w:rsidRPr="0019529E">
        <w:rPr>
          <w:rFonts w:ascii="Arial" w:eastAsiaTheme="minorEastAsia" w:hAnsi="Arial" w:cs="Arial"/>
          <w:b/>
          <w:sz w:val="16"/>
          <w:szCs w:val="16"/>
          <w:lang w:val="es-CR"/>
        </w:rPr>
        <w:t xml:space="preserve">Fuente: </w:t>
      </w:r>
      <w:r w:rsidRPr="0019529E">
        <w:rPr>
          <w:rFonts w:ascii="Arial" w:hAnsi="Arial" w:cs="Arial"/>
          <w:color w:val="000000"/>
          <w:sz w:val="16"/>
          <w:szCs w:val="20"/>
          <w:lang w:val="es-CR" w:eastAsia="es-CR"/>
        </w:rPr>
        <w:t>Módulo de Poderes, Liquidación Presupuestaria del Poder Judicial, al 31 de diciembre de 2021.</w:t>
      </w:r>
    </w:p>
    <w:p w14:paraId="2348CB3D" w14:textId="77777777" w:rsidR="0019529E" w:rsidRPr="0019529E" w:rsidRDefault="0019529E" w:rsidP="0019529E">
      <w:pPr>
        <w:jc w:val="both"/>
        <w:rPr>
          <w:rFonts w:ascii="Arial" w:eastAsiaTheme="minorEastAsia" w:hAnsi="Arial" w:cs="Arial"/>
          <w:sz w:val="16"/>
          <w:szCs w:val="20"/>
          <w:lang w:val="es-ES_tradnl"/>
        </w:rPr>
      </w:pPr>
      <w:r w:rsidRPr="0019529E">
        <w:rPr>
          <w:rFonts w:ascii="Arial" w:eastAsiaTheme="minorEastAsia" w:hAnsi="Arial" w:cs="Arial"/>
          <w:sz w:val="16"/>
          <w:szCs w:val="20"/>
          <w:lang w:val="es-ES_tradnl"/>
        </w:rPr>
        <w:t>/1 Esta información se obtiene del archivo Excel remitido por la DGPN, de la hoja “Liquidación”.</w:t>
      </w:r>
    </w:p>
    <w:p w14:paraId="3AA9B788" w14:textId="77777777" w:rsidR="0019529E" w:rsidRPr="0019529E" w:rsidRDefault="0019529E" w:rsidP="0019529E">
      <w:pPr>
        <w:jc w:val="both"/>
        <w:rPr>
          <w:rFonts w:ascii="Arial" w:eastAsiaTheme="minorEastAsia" w:hAnsi="Arial" w:cs="Arial"/>
          <w:sz w:val="16"/>
          <w:szCs w:val="20"/>
          <w:lang w:val="es-ES_tradnl"/>
        </w:rPr>
      </w:pPr>
      <w:r w:rsidRPr="0019529E">
        <w:rPr>
          <w:rFonts w:ascii="Arial" w:eastAsiaTheme="minorEastAsia" w:hAnsi="Arial" w:cs="Arial"/>
          <w:sz w:val="16"/>
          <w:szCs w:val="20"/>
          <w:lang w:val="es-ES_tradnl"/>
        </w:rPr>
        <w:t>/2 Se refiere a acciones que implementará el centro gestor en 2022 para subsanar los problemas de ejecución que se presentaron al 31/12/2021.</w:t>
      </w:r>
    </w:p>
    <w:p w14:paraId="1BF2A41D" w14:textId="77777777" w:rsidR="0019529E" w:rsidRPr="0019529E" w:rsidRDefault="0019529E" w:rsidP="0019529E">
      <w:pPr>
        <w:jc w:val="both"/>
        <w:rPr>
          <w:rFonts w:ascii="Arial" w:eastAsiaTheme="minorEastAsia" w:hAnsi="Arial" w:cs="Arial"/>
          <w:sz w:val="16"/>
          <w:szCs w:val="20"/>
          <w:lang w:val="es-ES_tradnl"/>
        </w:rPr>
      </w:pPr>
      <w:r w:rsidRPr="0019529E">
        <w:rPr>
          <w:rFonts w:ascii="Arial" w:eastAsiaTheme="minorEastAsia" w:hAnsi="Arial" w:cs="Arial"/>
          <w:sz w:val="16"/>
          <w:szCs w:val="20"/>
          <w:lang w:val="es-ES_tradnl"/>
        </w:rPr>
        <w:t>/3 Se refiere a la fecha en que las acciones correctivas empezarán a ser implementadas por el centro gestor.</w:t>
      </w:r>
    </w:p>
    <w:p w14:paraId="468EBFDB" w14:textId="77777777" w:rsidR="0019529E" w:rsidRPr="0019529E" w:rsidRDefault="0019529E" w:rsidP="0019529E">
      <w:pPr>
        <w:jc w:val="both"/>
        <w:rPr>
          <w:rFonts w:ascii="Arial" w:eastAsiaTheme="minorEastAsia" w:hAnsi="Arial" w:cs="Arial"/>
          <w:sz w:val="16"/>
          <w:szCs w:val="20"/>
          <w:lang w:val="es-ES_tradnl"/>
        </w:rPr>
      </w:pPr>
    </w:p>
    <w:p w14:paraId="48B0B1DE" w14:textId="3DA46FD5" w:rsidR="00164138" w:rsidRDefault="00164138" w:rsidP="00367AB3">
      <w:pPr>
        <w:spacing w:after="120" w:line="360" w:lineRule="auto"/>
        <w:jc w:val="both"/>
        <w:rPr>
          <w:rFonts w:ascii="Arial" w:hAnsi="Arial" w:cs="Arial"/>
          <w:sz w:val="20"/>
          <w:szCs w:val="20"/>
          <w:lang w:val="es-ES_tradnl"/>
        </w:rPr>
      </w:pPr>
    </w:p>
    <w:p w14:paraId="022ED3F7" w14:textId="31FC8D50" w:rsidR="00E06988" w:rsidRPr="00110625" w:rsidRDefault="00E06988" w:rsidP="00110625">
      <w:pPr>
        <w:pStyle w:val="Ttulo2"/>
        <w:numPr>
          <w:ilvl w:val="0"/>
          <w:numId w:val="0"/>
        </w:numPr>
        <w:ind w:left="576" w:hanging="576"/>
        <w:rPr>
          <w:rStyle w:val="Ttulodellibro"/>
          <w:rFonts w:eastAsiaTheme="majorEastAsia" w:cs="Arial"/>
          <w:b/>
          <w:smallCaps w:val="0"/>
          <w:color w:val="002060"/>
          <w:sz w:val="28"/>
          <w:szCs w:val="28"/>
          <w:lang w:val="es-ES"/>
        </w:rPr>
      </w:pPr>
      <w:bookmarkStart w:id="31" w:name="_Toc93420480"/>
      <w:r w:rsidRPr="00110625">
        <w:rPr>
          <w:rStyle w:val="Ttulodellibro"/>
          <w:rFonts w:eastAsiaTheme="majorEastAsia" w:cs="Arial"/>
          <w:b/>
          <w:smallCaps w:val="0"/>
          <w:color w:val="002060"/>
          <w:sz w:val="28"/>
          <w:szCs w:val="28"/>
          <w:lang w:val="es-ES"/>
        </w:rPr>
        <w:t xml:space="preserve">Apartado financiero por </w:t>
      </w:r>
      <w:r w:rsidR="00914825">
        <w:rPr>
          <w:rStyle w:val="Ttulodellibro"/>
          <w:rFonts w:eastAsiaTheme="majorEastAsia" w:cs="Arial"/>
          <w:b/>
          <w:smallCaps w:val="0"/>
          <w:color w:val="002060"/>
          <w:sz w:val="28"/>
          <w:szCs w:val="28"/>
          <w:lang w:val="es-ES"/>
        </w:rPr>
        <w:t>C</w:t>
      </w:r>
      <w:r w:rsidR="00931AAE" w:rsidRPr="00110625">
        <w:rPr>
          <w:rStyle w:val="Ttulodellibro"/>
          <w:rFonts w:eastAsiaTheme="majorEastAsia" w:cs="Arial"/>
          <w:b/>
          <w:smallCaps w:val="0"/>
          <w:color w:val="002060"/>
          <w:sz w:val="28"/>
          <w:szCs w:val="28"/>
          <w:lang w:val="es-ES"/>
        </w:rPr>
        <w:t xml:space="preserve">entro </w:t>
      </w:r>
      <w:r w:rsidR="00914825">
        <w:rPr>
          <w:rStyle w:val="Ttulodellibro"/>
          <w:rFonts w:eastAsiaTheme="majorEastAsia" w:cs="Arial"/>
          <w:b/>
          <w:smallCaps w:val="0"/>
          <w:color w:val="002060"/>
          <w:sz w:val="28"/>
          <w:szCs w:val="28"/>
          <w:lang w:val="es-ES"/>
        </w:rPr>
        <w:t>G</w:t>
      </w:r>
      <w:r w:rsidR="00931AAE" w:rsidRPr="00110625">
        <w:rPr>
          <w:rStyle w:val="Ttulodellibro"/>
          <w:rFonts w:eastAsiaTheme="majorEastAsia" w:cs="Arial"/>
          <w:b/>
          <w:smallCaps w:val="0"/>
          <w:color w:val="002060"/>
          <w:sz w:val="28"/>
          <w:szCs w:val="28"/>
          <w:lang w:val="es-ES"/>
        </w:rPr>
        <w:t>estor</w:t>
      </w:r>
      <w:r w:rsidR="00F91EE1" w:rsidRPr="00110625">
        <w:rPr>
          <w:rStyle w:val="Ttulodellibro"/>
          <w:rFonts w:eastAsiaTheme="majorEastAsia" w:cs="Arial"/>
          <w:b/>
          <w:smallCaps w:val="0"/>
          <w:color w:val="002060"/>
          <w:sz w:val="28"/>
          <w:szCs w:val="28"/>
          <w:lang w:val="es-ES"/>
        </w:rPr>
        <w:t xml:space="preserve">: </w:t>
      </w:r>
      <w:r w:rsidRPr="00110625">
        <w:rPr>
          <w:rStyle w:val="Ttulodellibro"/>
          <w:rFonts w:eastAsiaTheme="majorEastAsia" w:cs="Arial"/>
          <w:b/>
          <w:smallCaps w:val="0"/>
          <w:color w:val="002060"/>
          <w:sz w:val="28"/>
          <w:szCs w:val="28"/>
          <w:lang w:val="es-ES"/>
        </w:rPr>
        <w:t>Programa 930- Defensa Pública</w:t>
      </w:r>
      <w:bookmarkEnd w:id="31"/>
    </w:p>
    <w:p w14:paraId="59866792" w14:textId="77777777" w:rsidR="00E06988" w:rsidRDefault="00E06988" w:rsidP="00BE5AA1">
      <w:pPr>
        <w:pStyle w:val="Ttulo2"/>
        <w:keepLines/>
        <w:numPr>
          <w:ilvl w:val="1"/>
          <w:numId w:val="15"/>
        </w:numPr>
        <w:spacing w:before="360" w:line="259" w:lineRule="auto"/>
        <w:ind w:left="284" w:hanging="284"/>
        <w:jc w:val="both"/>
        <w:rPr>
          <w:rFonts w:ascii="Arial" w:hAnsi="Arial" w:cs="Arial"/>
          <w:iCs/>
          <w:color w:val="002060"/>
          <w:spacing w:val="15"/>
          <w:sz w:val="22"/>
        </w:rPr>
      </w:pPr>
      <w:bookmarkStart w:id="32" w:name="_Toc93420481"/>
      <w:r w:rsidRPr="00F56A61">
        <w:rPr>
          <w:rFonts w:ascii="Arial" w:hAnsi="Arial" w:cs="Arial"/>
          <w:iCs/>
          <w:color w:val="002060"/>
          <w:spacing w:val="15"/>
          <w:sz w:val="22"/>
        </w:rPr>
        <w:t>Ejecución del Presupuesto 2020 asociado a recursos internos</w:t>
      </w:r>
      <w:bookmarkEnd w:id="32"/>
    </w:p>
    <w:p w14:paraId="3F12A926" w14:textId="77777777" w:rsidR="00F12774" w:rsidRPr="00640043" w:rsidRDefault="00F12774" w:rsidP="00F12774"/>
    <w:p w14:paraId="1588A8E1" w14:textId="0123D041" w:rsidR="007331CC" w:rsidRPr="00AE3D7B" w:rsidRDefault="00F12774" w:rsidP="007331CC">
      <w:pPr>
        <w:pStyle w:val="Descripcin"/>
        <w:jc w:val="center"/>
        <w:rPr>
          <w:rFonts w:ascii="Arial" w:hAnsi="Arial" w:cs="Arial"/>
          <w:b/>
          <w:bCs/>
          <w:i w:val="0"/>
          <w:iCs w:val="0"/>
          <w:color w:val="auto"/>
          <w:sz w:val="20"/>
          <w:szCs w:val="20"/>
          <w:lang w:val="es-ES_tradnl"/>
        </w:rPr>
      </w:pPr>
      <w:r>
        <w:rPr>
          <w:rFonts w:ascii="Arial" w:hAnsi="Arial" w:cs="Arial"/>
          <w:b/>
          <w:sz w:val="20"/>
          <w:szCs w:val="20"/>
          <w:lang w:val="es-ES_tradnl"/>
        </w:rPr>
        <w:t xml:space="preserve"> </w:t>
      </w:r>
      <w:r w:rsidR="007331CC" w:rsidRPr="00AE3D7B">
        <w:rPr>
          <w:rFonts w:ascii="Arial" w:hAnsi="Arial" w:cs="Arial"/>
          <w:b/>
          <w:bCs/>
          <w:i w:val="0"/>
          <w:iCs w:val="0"/>
          <w:color w:val="auto"/>
          <w:sz w:val="20"/>
          <w:szCs w:val="20"/>
        </w:rPr>
        <w:t xml:space="preserve">Cuadro  </w:t>
      </w:r>
      <w:r w:rsidR="007331CC" w:rsidRPr="00AE3D7B">
        <w:rPr>
          <w:rFonts w:ascii="Arial" w:hAnsi="Arial" w:cs="Arial"/>
          <w:b/>
          <w:bCs/>
          <w:i w:val="0"/>
          <w:iCs w:val="0"/>
          <w:color w:val="auto"/>
          <w:sz w:val="20"/>
          <w:szCs w:val="20"/>
        </w:rPr>
        <w:fldChar w:fldCharType="begin"/>
      </w:r>
      <w:r w:rsidR="007331CC" w:rsidRPr="00AE3D7B">
        <w:rPr>
          <w:rFonts w:ascii="Arial" w:hAnsi="Arial" w:cs="Arial"/>
          <w:b/>
          <w:bCs/>
          <w:i w:val="0"/>
          <w:iCs w:val="0"/>
          <w:color w:val="auto"/>
          <w:sz w:val="20"/>
          <w:szCs w:val="20"/>
        </w:rPr>
        <w:instrText xml:space="preserve"> SEQ cuadro_ \* ARABIC </w:instrText>
      </w:r>
      <w:r w:rsidR="007331CC" w:rsidRPr="00AE3D7B">
        <w:rPr>
          <w:rFonts w:ascii="Arial" w:hAnsi="Arial" w:cs="Arial"/>
          <w:b/>
          <w:bCs/>
          <w:i w:val="0"/>
          <w:iCs w:val="0"/>
          <w:color w:val="auto"/>
          <w:sz w:val="20"/>
          <w:szCs w:val="20"/>
        </w:rPr>
        <w:fldChar w:fldCharType="separate"/>
      </w:r>
      <w:r w:rsidR="007331CC">
        <w:rPr>
          <w:rFonts w:ascii="Arial" w:hAnsi="Arial" w:cs="Arial"/>
          <w:b/>
          <w:bCs/>
          <w:i w:val="0"/>
          <w:iCs w:val="0"/>
          <w:noProof/>
          <w:color w:val="auto"/>
          <w:sz w:val="20"/>
          <w:szCs w:val="20"/>
        </w:rPr>
        <w:t>22</w:t>
      </w:r>
      <w:r w:rsidR="007331CC" w:rsidRPr="00AE3D7B">
        <w:rPr>
          <w:rFonts w:ascii="Arial" w:hAnsi="Arial" w:cs="Arial"/>
          <w:b/>
          <w:bCs/>
          <w:i w:val="0"/>
          <w:iCs w:val="0"/>
          <w:color w:val="auto"/>
          <w:sz w:val="20"/>
          <w:szCs w:val="20"/>
        </w:rPr>
        <w:fldChar w:fldCharType="end"/>
      </w:r>
    </w:p>
    <w:p w14:paraId="49EFFBBC" w14:textId="36C38C64" w:rsidR="00F12774" w:rsidRPr="0011789E" w:rsidRDefault="00F12774" w:rsidP="00F12774">
      <w:pPr>
        <w:spacing w:before="240"/>
        <w:jc w:val="center"/>
        <w:rPr>
          <w:rFonts w:ascii="Arial" w:hAnsi="Arial" w:cs="Arial"/>
          <w:b/>
          <w:sz w:val="20"/>
          <w:szCs w:val="20"/>
          <w:lang w:val="es-ES_tradnl"/>
        </w:rPr>
      </w:pPr>
      <w:r w:rsidRPr="00E84359">
        <w:rPr>
          <w:rFonts w:ascii="Arial" w:hAnsi="Arial" w:cs="Arial"/>
          <w:b/>
          <w:sz w:val="20"/>
          <w:szCs w:val="20"/>
          <w:lang w:val="es-ES_tradnl"/>
        </w:rPr>
        <w:t>Ejecución financiera institucional por clasificación objeto del gasto</w:t>
      </w:r>
    </w:p>
    <w:p w14:paraId="1699287A" w14:textId="77777777" w:rsidR="00F12774" w:rsidRPr="0027294F" w:rsidRDefault="00F12774" w:rsidP="00F12774">
      <w:pPr>
        <w:jc w:val="center"/>
        <w:rPr>
          <w:rFonts w:ascii="Arial" w:hAnsi="Arial" w:cs="Arial"/>
          <w:sz w:val="20"/>
          <w:szCs w:val="20"/>
          <w:lang w:val="es-ES_tradnl"/>
        </w:rPr>
      </w:pPr>
      <w:r w:rsidRPr="0027294F">
        <w:rPr>
          <w:rFonts w:ascii="Arial" w:hAnsi="Arial" w:cs="Arial"/>
          <w:sz w:val="20"/>
          <w:szCs w:val="20"/>
          <w:lang w:val="es-ES_tradnl"/>
        </w:rPr>
        <w:t>Programa 930, Defensa Pública</w:t>
      </w:r>
    </w:p>
    <w:p w14:paraId="0CB2873F" w14:textId="77777777" w:rsidR="00F12774" w:rsidRPr="0011789E" w:rsidRDefault="00F12774" w:rsidP="00F12774">
      <w:pPr>
        <w:jc w:val="center"/>
        <w:rPr>
          <w:rFonts w:ascii="Arial" w:hAnsi="Arial" w:cs="Arial"/>
          <w:sz w:val="20"/>
          <w:szCs w:val="20"/>
          <w:lang w:val="es-ES_tradnl"/>
        </w:rPr>
      </w:pPr>
      <w:r>
        <w:rPr>
          <w:rFonts w:ascii="Arial" w:hAnsi="Arial" w:cs="Arial"/>
          <w:sz w:val="20"/>
          <w:szCs w:val="20"/>
          <w:lang w:val="es-ES_tradnl"/>
        </w:rPr>
        <w:t>A</w:t>
      </w:r>
      <w:r w:rsidRPr="0011789E">
        <w:rPr>
          <w:rFonts w:ascii="Arial" w:hAnsi="Arial" w:cs="Arial"/>
          <w:sz w:val="20"/>
          <w:szCs w:val="20"/>
          <w:lang w:val="es-ES_tradnl"/>
        </w:rPr>
        <w:t xml:space="preserve">l 31 de diciembre </w:t>
      </w:r>
      <w:r>
        <w:rPr>
          <w:rFonts w:ascii="Arial" w:hAnsi="Arial" w:cs="Arial"/>
          <w:sz w:val="20"/>
          <w:szCs w:val="20"/>
          <w:lang w:val="es-ES_tradnl"/>
        </w:rPr>
        <w:t>2021</w:t>
      </w:r>
    </w:p>
    <w:p w14:paraId="37FB34D5" w14:textId="77777777" w:rsidR="00F12774" w:rsidRPr="0011789E" w:rsidRDefault="00F12774" w:rsidP="00F12774">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1"/>
        <w:tblW w:w="5000" w:type="pct"/>
        <w:tblLook w:val="00A0" w:firstRow="1" w:lastRow="0" w:firstColumn="1" w:lastColumn="0" w:noHBand="0" w:noVBand="0"/>
      </w:tblPr>
      <w:tblGrid>
        <w:gridCol w:w="3316"/>
        <w:gridCol w:w="1941"/>
        <w:gridCol w:w="1941"/>
        <w:gridCol w:w="1286"/>
      </w:tblGrid>
      <w:tr w:rsidR="00F12774" w:rsidRPr="004C0CBB" w14:paraId="1B0E2E47" w14:textId="77777777" w:rsidTr="00465D5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954" w:type="pct"/>
            <w:vAlign w:val="center"/>
            <w:hideMark/>
          </w:tcPr>
          <w:p w14:paraId="3B26AB04" w14:textId="77777777" w:rsidR="00F12774" w:rsidRPr="004C0CBB" w:rsidRDefault="00F12774" w:rsidP="00465D52">
            <w:pPr>
              <w:jc w:val="center"/>
              <w:rPr>
                <w:rFonts w:ascii="Arial" w:hAnsi="Arial" w:cs="Arial"/>
                <w:b w:val="0"/>
                <w:color w:val="FFFFFF"/>
                <w:sz w:val="20"/>
                <w:szCs w:val="20"/>
                <w:lang w:val="es-CR" w:eastAsia="es-CR"/>
              </w:rPr>
            </w:pPr>
            <w:r w:rsidRPr="004C0CBB">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144" w:type="pct"/>
            <w:vAlign w:val="center"/>
            <w:hideMark/>
          </w:tcPr>
          <w:p w14:paraId="557B97E9" w14:textId="77777777" w:rsidR="00F12774" w:rsidRPr="004C0CBB" w:rsidRDefault="00F12774" w:rsidP="00465D52">
            <w:pPr>
              <w:jc w:val="center"/>
              <w:rPr>
                <w:rFonts w:ascii="Arial" w:hAnsi="Arial" w:cs="Arial"/>
                <w:b w:val="0"/>
                <w:color w:val="FFFFFF"/>
                <w:sz w:val="20"/>
                <w:szCs w:val="20"/>
                <w:lang w:val="es-CR" w:eastAsia="es-CR"/>
              </w:rPr>
            </w:pPr>
            <w:r w:rsidRPr="004C0CBB">
              <w:rPr>
                <w:rFonts w:ascii="Arial" w:hAnsi="Arial" w:cs="Arial"/>
                <w:color w:val="FFFFFF"/>
                <w:sz w:val="20"/>
                <w:szCs w:val="20"/>
                <w:lang w:val="es-CR" w:eastAsia="es-CR"/>
              </w:rPr>
              <w:t>Presupuesto actual</w:t>
            </w:r>
            <w:r w:rsidRPr="004C0CBB">
              <w:rPr>
                <w:rFonts w:ascii="Arial" w:hAnsi="Arial" w:cs="Arial"/>
                <w:color w:val="FFFFFF"/>
                <w:sz w:val="20"/>
                <w:szCs w:val="20"/>
                <w:vertAlign w:val="superscript"/>
                <w:lang w:val="es-CR" w:eastAsia="es-CR"/>
              </w:rPr>
              <w:t>/1</w:t>
            </w:r>
            <w:r w:rsidRPr="004C0CBB">
              <w:rPr>
                <w:rFonts w:ascii="Arial" w:hAnsi="Arial" w:cs="Arial"/>
                <w:color w:val="FFFFFF"/>
                <w:sz w:val="20"/>
                <w:szCs w:val="20"/>
                <w:lang w:val="es-CR" w:eastAsia="es-CR"/>
              </w:rPr>
              <w:t xml:space="preserve"> 2021</w:t>
            </w:r>
          </w:p>
        </w:tc>
        <w:tc>
          <w:tcPr>
            <w:tcW w:w="1144" w:type="pct"/>
            <w:vAlign w:val="center"/>
            <w:hideMark/>
          </w:tcPr>
          <w:p w14:paraId="017FAF39" w14:textId="77777777" w:rsidR="00F12774" w:rsidRPr="004C0CBB" w:rsidRDefault="00F12774"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4C0CBB">
              <w:rPr>
                <w:rFonts w:ascii="Arial" w:hAnsi="Arial" w:cs="Arial"/>
                <w:color w:val="FFFFFF"/>
                <w:sz w:val="20"/>
                <w:szCs w:val="20"/>
                <w:lang w:val="es-CR" w:eastAsia="es-CR"/>
              </w:rPr>
              <w:t>Presupuesto ejecutado</w:t>
            </w:r>
            <w:r w:rsidRPr="004C0CBB">
              <w:rPr>
                <w:rFonts w:ascii="Arial" w:hAnsi="Arial" w:cs="Arial"/>
                <w:color w:val="FFFFFF"/>
                <w:sz w:val="20"/>
                <w:szCs w:val="20"/>
                <w:vertAlign w:val="superscript"/>
                <w:lang w:val="es-CR" w:eastAsia="es-CR"/>
              </w:rPr>
              <w:t>/2</w:t>
            </w:r>
            <w:r w:rsidRPr="004C0CBB">
              <w:rPr>
                <w:rFonts w:ascii="Arial" w:hAnsi="Arial" w:cs="Arial"/>
                <w:color w:val="FFFFFF"/>
                <w:sz w:val="20"/>
                <w:szCs w:val="20"/>
                <w:lang w:val="es-CR" w:eastAsia="es-CR"/>
              </w:rPr>
              <w:t xml:space="preserve"> 2021</w:t>
            </w:r>
          </w:p>
        </w:tc>
        <w:tc>
          <w:tcPr>
            <w:cnfStyle w:val="000010000000" w:firstRow="0" w:lastRow="0" w:firstColumn="0" w:lastColumn="0" w:oddVBand="1" w:evenVBand="0" w:oddHBand="0" w:evenHBand="0" w:firstRowFirstColumn="0" w:firstRowLastColumn="0" w:lastRowFirstColumn="0" w:lastRowLastColumn="0"/>
            <w:tcW w:w="758" w:type="pct"/>
            <w:vAlign w:val="center"/>
            <w:hideMark/>
          </w:tcPr>
          <w:p w14:paraId="1A71CE90" w14:textId="77777777" w:rsidR="00F12774" w:rsidRPr="004C0CBB" w:rsidRDefault="00F12774" w:rsidP="00465D52">
            <w:pPr>
              <w:jc w:val="center"/>
              <w:rPr>
                <w:rFonts w:ascii="Arial" w:hAnsi="Arial" w:cs="Arial"/>
                <w:b w:val="0"/>
                <w:color w:val="FFFFFF"/>
                <w:sz w:val="20"/>
                <w:szCs w:val="20"/>
                <w:lang w:val="es-CR" w:eastAsia="es-CR"/>
              </w:rPr>
            </w:pPr>
            <w:r w:rsidRPr="004C0CBB">
              <w:rPr>
                <w:rFonts w:ascii="Arial" w:hAnsi="Arial" w:cs="Arial"/>
                <w:color w:val="FFFFFF"/>
                <w:sz w:val="20"/>
                <w:szCs w:val="20"/>
                <w:lang w:val="es-CR" w:eastAsia="es-CR"/>
              </w:rPr>
              <w:t>Nivel de ejecución</w:t>
            </w:r>
          </w:p>
        </w:tc>
      </w:tr>
      <w:tr w:rsidR="00F12774" w:rsidRPr="004C0CBB" w14:paraId="01EDF382" w14:textId="77777777" w:rsidTr="00465D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A120F1C" w14:textId="77777777" w:rsidR="00F12774" w:rsidRPr="004C0CBB" w:rsidRDefault="00F12774" w:rsidP="00465D52">
            <w:pPr>
              <w:rPr>
                <w:rFonts w:ascii="Arial" w:hAnsi="Arial" w:cs="Arial"/>
                <w:sz w:val="20"/>
                <w:szCs w:val="20"/>
                <w:lang w:val="es-CR" w:eastAsia="es-CR"/>
              </w:rPr>
            </w:pPr>
            <w:r w:rsidRPr="004C0CBB">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71DA4E91" w14:textId="77777777" w:rsidR="00F12774" w:rsidRPr="004C0CBB" w:rsidRDefault="00F12774" w:rsidP="00465D52">
            <w:pPr>
              <w:jc w:val="right"/>
              <w:rPr>
                <w:rFonts w:ascii="Arial" w:hAnsi="Arial" w:cs="Arial"/>
                <w:b/>
                <w:bCs/>
                <w:sz w:val="20"/>
                <w:szCs w:val="20"/>
                <w:lang w:val="es-CR" w:eastAsia="es-CR"/>
              </w:rPr>
            </w:pPr>
            <w:r w:rsidRPr="004C0CBB">
              <w:rPr>
                <w:rFonts w:ascii="Arial" w:hAnsi="Arial" w:cs="Arial"/>
                <w:b/>
                <w:bCs/>
                <w:sz w:val="20"/>
                <w:szCs w:val="20"/>
              </w:rPr>
              <w:t>39.483,67</w:t>
            </w:r>
          </w:p>
        </w:tc>
        <w:tc>
          <w:tcPr>
            <w:tcW w:w="1144" w:type="pct"/>
            <w:noWrap/>
            <w:vAlign w:val="center"/>
          </w:tcPr>
          <w:p w14:paraId="5F050B5F"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4C0CBB">
              <w:rPr>
                <w:rFonts w:ascii="Arial" w:hAnsi="Arial" w:cs="Arial"/>
                <w:b/>
                <w:bCs/>
                <w:sz w:val="20"/>
                <w:szCs w:val="20"/>
              </w:rPr>
              <w:t>38.764,03</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F9212F4" w14:textId="77777777" w:rsidR="00F12774" w:rsidRPr="004C0CBB" w:rsidRDefault="00F12774" w:rsidP="00465D52">
            <w:pPr>
              <w:jc w:val="right"/>
              <w:rPr>
                <w:rFonts w:ascii="Arial" w:hAnsi="Arial" w:cs="Arial"/>
                <w:b/>
                <w:bCs/>
                <w:sz w:val="20"/>
                <w:szCs w:val="20"/>
                <w:lang w:val="es-CR" w:eastAsia="es-CR"/>
              </w:rPr>
            </w:pPr>
            <w:r w:rsidRPr="004C0CBB">
              <w:rPr>
                <w:rFonts w:ascii="Arial" w:hAnsi="Arial" w:cs="Arial"/>
                <w:b/>
                <w:bCs/>
                <w:sz w:val="20"/>
                <w:szCs w:val="20"/>
              </w:rPr>
              <w:t>98,17%</w:t>
            </w:r>
          </w:p>
        </w:tc>
      </w:tr>
      <w:tr w:rsidR="00F12774" w:rsidRPr="004C0CBB" w14:paraId="5E0B3586" w14:textId="77777777" w:rsidTr="00465D52">
        <w:trPr>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0A3860A" w14:textId="77777777" w:rsidR="00F12774" w:rsidRPr="004C0CBB" w:rsidRDefault="00F12774" w:rsidP="00465D52">
            <w:pPr>
              <w:rPr>
                <w:rFonts w:ascii="Arial" w:hAnsi="Arial" w:cs="Arial"/>
                <w:b w:val="0"/>
                <w:sz w:val="20"/>
                <w:szCs w:val="20"/>
                <w:lang w:val="es-CR" w:eastAsia="es-CR"/>
              </w:rPr>
            </w:pPr>
            <w:r w:rsidRPr="004C0CBB">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3C59EFDF"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c>
          <w:tcPr>
            <w:tcW w:w="1144" w:type="pct"/>
            <w:noWrap/>
            <w:vAlign w:val="center"/>
          </w:tcPr>
          <w:p w14:paraId="61541E5E" w14:textId="77777777" w:rsidR="00F12774" w:rsidRPr="004C0CBB" w:rsidRDefault="00F12774"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31DEC9D"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r>
      <w:tr w:rsidR="00F12774" w:rsidRPr="004C0CBB" w14:paraId="7F130060"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F11447F" w14:textId="77777777" w:rsidR="00F12774" w:rsidRPr="004C0CBB" w:rsidRDefault="00F12774" w:rsidP="00465D52">
            <w:pPr>
              <w:rPr>
                <w:rFonts w:ascii="Arial" w:hAnsi="Arial" w:cs="Arial"/>
                <w:sz w:val="20"/>
                <w:szCs w:val="20"/>
                <w:lang w:val="es-CR" w:eastAsia="es-CR"/>
              </w:rPr>
            </w:pPr>
            <w:r w:rsidRPr="004C0CBB">
              <w:rPr>
                <w:rFonts w:ascii="Arial" w:hAnsi="Arial" w:cs="Arial"/>
                <w:sz w:val="20"/>
                <w:szCs w:val="20"/>
                <w:lang w:val="es-CR" w:eastAsia="es-CR"/>
              </w:rPr>
              <w:lastRenderedPageBreak/>
              <w:t>SUBTOTAL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047DAEC8" w14:textId="77777777" w:rsidR="00F12774" w:rsidRPr="004C0CBB" w:rsidRDefault="00F12774" w:rsidP="00465D52">
            <w:pPr>
              <w:jc w:val="right"/>
              <w:rPr>
                <w:rFonts w:ascii="Arial" w:hAnsi="Arial" w:cs="Arial"/>
                <w:b/>
                <w:bCs/>
                <w:sz w:val="20"/>
                <w:szCs w:val="20"/>
                <w:lang w:val="es-CR" w:eastAsia="es-CR"/>
              </w:rPr>
            </w:pPr>
            <w:r w:rsidRPr="004C0CBB">
              <w:rPr>
                <w:rFonts w:ascii="Arial" w:hAnsi="Arial" w:cs="Arial"/>
                <w:b/>
                <w:bCs/>
                <w:sz w:val="20"/>
                <w:szCs w:val="20"/>
              </w:rPr>
              <w:t>39.483,67</w:t>
            </w:r>
          </w:p>
        </w:tc>
        <w:tc>
          <w:tcPr>
            <w:tcW w:w="1144" w:type="pct"/>
            <w:noWrap/>
            <w:vAlign w:val="center"/>
          </w:tcPr>
          <w:p w14:paraId="64A6DED5"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4C0CBB">
              <w:rPr>
                <w:rFonts w:ascii="Arial" w:hAnsi="Arial" w:cs="Arial"/>
                <w:b/>
                <w:bCs/>
                <w:sz w:val="20"/>
                <w:szCs w:val="20"/>
              </w:rPr>
              <w:t>38.764,03</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0BF89B6" w14:textId="77777777" w:rsidR="00F12774" w:rsidRPr="004C0CBB" w:rsidRDefault="00F12774" w:rsidP="00465D52">
            <w:pPr>
              <w:jc w:val="right"/>
              <w:rPr>
                <w:rFonts w:ascii="Arial" w:hAnsi="Arial" w:cs="Arial"/>
                <w:b/>
                <w:bCs/>
                <w:sz w:val="20"/>
                <w:szCs w:val="20"/>
                <w:lang w:val="es-CR" w:eastAsia="es-CR"/>
              </w:rPr>
            </w:pPr>
            <w:r w:rsidRPr="004C0CBB">
              <w:rPr>
                <w:rFonts w:ascii="Arial" w:hAnsi="Arial" w:cs="Arial"/>
                <w:b/>
                <w:bCs/>
                <w:sz w:val="20"/>
                <w:szCs w:val="20"/>
              </w:rPr>
              <w:t>98,17%</w:t>
            </w:r>
          </w:p>
        </w:tc>
      </w:tr>
      <w:tr w:rsidR="00F12774" w:rsidRPr="004C0CBB" w14:paraId="41A4A73A"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7026D6C"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532C762A"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36.489,29</w:t>
            </w:r>
          </w:p>
        </w:tc>
        <w:tc>
          <w:tcPr>
            <w:tcW w:w="1144" w:type="pct"/>
            <w:noWrap/>
            <w:vAlign w:val="center"/>
          </w:tcPr>
          <w:p w14:paraId="6BBE105B" w14:textId="77777777" w:rsidR="00F12774" w:rsidRPr="004C0CBB" w:rsidRDefault="00F12774"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36.060,00</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58670DC"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98,82%</w:t>
            </w:r>
          </w:p>
        </w:tc>
      </w:tr>
      <w:tr w:rsidR="00F12774" w:rsidRPr="004C0CBB" w14:paraId="15D8CF20"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4B026EC"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54D2172E"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1.891,89</w:t>
            </w:r>
          </w:p>
        </w:tc>
        <w:tc>
          <w:tcPr>
            <w:tcW w:w="1144" w:type="pct"/>
            <w:noWrap/>
            <w:vAlign w:val="center"/>
          </w:tcPr>
          <w:p w14:paraId="1AD02BAF"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1.764,71</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3F28A899"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93,28%</w:t>
            </w:r>
          </w:p>
        </w:tc>
      </w:tr>
      <w:tr w:rsidR="00F12774" w:rsidRPr="004C0CBB" w14:paraId="1536405E"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98EB46D"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32AC7D1C"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97,08</w:t>
            </w:r>
          </w:p>
        </w:tc>
        <w:tc>
          <w:tcPr>
            <w:tcW w:w="1144" w:type="pct"/>
            <w:noWrap/>
            <w:vAlign w:val="center"/>
          </w:tcPr>
          <w:p w14:paraId="1E4867E7" w14:textId="77777777" w:rsidR="00F12774" w:rsidRPr="004C0CBB" w:rsidRDefault="00F12774"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72,81</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AC6BC64"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75,00%</w:t>
            </w:r>
          </w:p>
        </w:tc>
      </w:tr>
      <w:tr w:rsidR="00F12774" w:rsidRPr="004C0CBB" w14:paraId="5EC67E1B"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5D50092C"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627CD192"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c>
          <w:tcPr>
            <w:tcW w:w="1144" w:type="pct"/>
            <w:noWrap/>
            <w:vAlign w:val="center"/>
          </w:tcPr>
          <w:p w14:paraId="6980C027"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B588A83"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r>
      <w:tr w:rsidR="00F12774" w:rsidRPr="004C0CBB" w14:paraId="1CEC86B6"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FE0CCB0"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6E1977F1"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c>
          <w:tcPr>
            <w:tcW w:w="1144" w:type="pct"/>
            <w:noWrap/>
            <w:vAlign w:val="center"/>
          </w:tcPr>
          <w:p w14:paraId="621B4A11" w14:textId="77777777" w:rsidR="00F12774" w:rsidRPr="004C0CBB" w:rsidRDefault="00F12774"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BF54F35"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r>
      <w:tr w:rsidR="00F12774" w:rsidRPr="004C0CBB" w14:paraId="23265F77"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8F8C185"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3A24D725"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262,58</w:t>
            </w:r>
          </w:p>
        </w:tc>
        <w:tc>
          <w:tcPr>
            <w:tcW w:w="1144" w:type="pct"/>
            <w:noWrap/>
            <w:vAlign w:val="center"/>
          </w:tcPr>
          <w:p w14:paraId="325E7963"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199,25</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6D63A7B9"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75,88%</w:t>
            </w:r>
          </w:p>
        </w:tc>
      </w:tr>
      <w:tr w:rsidR="00F12774" w:rsidRPr="004C0CBB" w14:paraId="5E459DC1"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2292A6E"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504D7B67"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590,01</w:t>
            </w:r>
          </w:p>
        </w:tc>
        <w:tc>
          <w:tcPr>
            <w:tcW w:w="1144" w:type="pct"/>
            <w:noWrap/>
            <w:vAlign w:val="center"/>
          </w:tcPr>
          <w:p w14:paraId="4783F629" w14:textId="77777777" w:rsidR="00F12774" w:rsidRPr="004C0CBB" w:rsidRDefault="00F12774"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514,44</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2C875145"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87,19%</w:t>
            </w:r>
          </w:p>
        </w:tc>
      </w:tr>
      <w:tr w:rsidR="00F12774" w:rsidRPr="004C0CBB" w14:paraId="6EA8FEF8"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FC1DF37"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3B9CFC40"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c>
          <w:tcPr>
            <w:tcW w:w="1144" w:type="pct"/>
            <w:noWrap/>
            <w:vAlign w:val="center"/>
          </w:tcPr>
          <w:p w14:paraId="1085F0BB"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D70E25D"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r>
      <w:tr w:rsidR="00F12774" w:rsidRPr="004C0CBB" w14:paraId="6AB9E52E"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644A7397"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17415FAB"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c>
          <w:tcPr>
            <w:tcW w:w="1144" w:type="pct"/>
            <w:noWrap/>
            <w:vAlign w:val="center"/>
          </w:tcPr>
          <w:p w14:paraId="41FFE79B" w14:textId="77777777" w:rsidR="00F12774" w:rsidRPr="004C0CBB" w:rsidRDefault="00F12774" w:rsidP="00465D5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1164FFE6"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r>
      <w:tr w:rsidR="00F12774" w:rsidRPr="004C0CBB" w14:paraId="70192848"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89A129D" w14:textId="77777777" w:rsidR="00F12774" w:rsidRPr="004C0CBB" w:rsidRDefault="00F12774" w:rsidP="00465D52">
            <w:pPr>
              <w:rPr>
                <w:rFonts w:ascii="Arial" w:hAnsi="Arial" w:cs="Arial"/>
                <w:b w:val="0"/>
                <w:color w:val="000000"/>
                <w:sz w:val="20"/>
                <w:szCs w:val="20"/>
                <w:lang w:val="es-CR" w:eastAsia="es-CR"/>
              </w:rPr>
            </w:pPr>
            <w:r w:rsidRPr="004C0CBB">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49C9095F"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c>
          <w:tcPr>
            <w:tcW w:w="1144" w:type="pct"/>
            <w:noWrap/>
            <w:vAlign w:val="center"/>
          </w:tcPr>
          <w:p w14:paraId="40795090" w14:textId="77777777" w:rsidR="00F12774" w:rsidRPr="004C0CBB" w:rsidRDefault="00F12774" w:rsidP="00465D5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4C0CBB">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9146FFE" w14:textId="77777777" w:rsidR="00F12774" w:rsidRPr="004C0CBB" w:rsidRDefault="00F12774" w:rsidP="00465D52">
            <w:pPr>
              <w:jc w:val="right"/>
              <w:rPr>
                <w:rFonts w:ascii="Arial" w:hAnsi="Arial" w:cs="Arial"/>
                <w:sz w:val="20"/>
                <w:szCs w:val="20"/>
                <w:lang w:val="es-CR" w:eastAsia="es-CR"/>
              </w:rPr>
            </w:pPr>
            <w:r w:rsidRPr="004C0CBB">
              <w:rPr>
                <w:rFonts w:ascii="Arial" w:hAnsi="Arial" w:cs="Arial"/>
                <w:sz w:val="20"/>
                <w:szCs w:val="20"/>
              </w:rPr>
              <w:t>-</w:t>
            </w:r>
          </w:p>
        </w:tc>
      </w:tr>
    </w:tbl>
    <w:p w14:paraId="102B372A" w14:textId="77777777" w:rsidR="00F12774" w:rsidRPr="004338C9" w:rsidRDefault="00F12774" w:rsidP="00F12774">
      <w:pPr>
        <w:jc w:val="both"/>
        <w:rPr>
          <w:rFonts w:ascii="Arial" w:hAnsi="Arial" w:cs="Arial"/>
          <w:b/>
          <w:bCs/>
          <w:color w:val="000000"/>
          <w:sz w:val="16"/>
          <w:szCs w:val="20"/>
          <w:lang w:val="es-CR" w:eastAsia="es-CR"/>
        </w:rPr>
      </w:pPr>
      <w:r w:rsidRPr="004338C9">
        <w:rPr>
          <w:rFonts w:ascii="Arial" w:hAnsi="Arial" w:cs="Arial"/>
          <w:b/>
          <w:bCs/>
          <w:color w:val="000000"/>
          <w:sz w:val="16"/>
          <w:szCs w:val="20"/>
          <w:lang w:val="es-CR" w:eastAsia="es-CR"/>
        </w:rPr>
        <w:t>Fuente</w:t>
      </w:r>
      <w:r w:rsidRPr="004338C9">
        <w:rPr>
          <w:rFonts w:ascii="Arial" w:hAnsi="Arial" w:cs="Arial"/>
          <w:color w:val="000000"/>
          <w:sz w:val="16"/>
          <w:szCs w:val="20"/>
          <w:lang w:val="es-CR" w:eastAsia="es-CR"/>
        </w:rPr>
        <w:t xml:space="preserve">: </w:t>
      </w:r>
      <w:r>
        <w:rPr>
          <w:rFonts w:ascii="Arial" w:hAnsi="Arial" w:cs="Arial"/>
          <w:color w:val="000000"/>
          <w:sz w:val="16"/>
          <w:szCs w:val="20"/>
          <w:lang w:val="es-CR" w:eastAsia="es-CR"/>
        </w:rPr>
        <w:t>Liquidación Módulo de Poderes al 31 de diciembre 2021.</w:t>
      </w:r>
    </w:p>
    <w:p w14:paraId="64EFF409" w14:textId="77777777" w:rsidR="00F12774" w:rsidRPr="00222A1E" w:rsidRDefault="00F12774" w:rsidP="00F12774">
      <w:pPr>
        <w:jc w:val="both"/>
        <w:rPr>
          <w:rFonts w:ascii="Arial" w:hAnsi="Arial" w:cs="Arial"/>
          <w:b/>
          <w:bCs/>
          <w:color w:val="000000"/>
          <w:sz w:val="18"/>
          <w:szCs w:val="20"/>
          <w:lang w:val="es-CR" w:eastAsia="es-CR"/>
        </w:rPr>
      </w:pPr>
      <w:r>
        <w:rPr>
          <w:rFonts w:ascii="Arial" w:hAnsi="Arial" w:cs="Arial"/>
          <w:color w:val="000000"/>
          <w:sz w:val="16"/>
          <w:szCs w:val="20"/>
          <w:lang w:val="es-CR" w:eastAsia="es-CR"/>
        </w:rPr>
        <w:t>/1 Corresponde</w:t>
      </w:r>
      <w:r w:rsidRPr="00596BA4">
        <w:rPr>
          <w:rFonts w:ascii="Arial" w:hAnsi="Arial" w:cs="Arial"/>
          <w:color w:val="000000"/>
          <w:sz w:val="16"/>
          <w:szCs w:val="20"/>
          <w:lang w:val="es-CR" w:eastAsia="es-CR"/>
        </w:rPr>
        <w:t xml:space="preserve"> al presupuesto inicial incluyendo las modificaciones presupuestarias realizadas durante el </w:t>
      </w:r>
      <w:r>
        <w:rPr>
          <w:rFonts w:ascii="Arial" w:hAnsi="Arial" w:cs="Arial"/>
          <w:color w:val="000000"/>
          <w:sz w:val="16"/>
          <w:szCs w:val="20"/>
          <w:lang w:val="es-CR" w:eastAsia="es-CR"/>
        </w:rPr>
        <w:t>2021.</w:t>
      </w:r>
    </w:p>
    <w:p w14:paraId="6471FCCC" w14:textId="77777777" w:rsidR="00F12774" w:rsidRPr="0011789E" w:rsidRDefault="00F12774" w:rsidP="00F12774">
      <w:pPr>
        <w:ind w:right="335"/>
        <w:jc w:val="both"/>
        <w:rPr>
          <w:rFonts w:ascii="Arial" w:hAnsi="Arial" w:cs="Arial"/>
          <w:color w:val="000000"/>
          <w:sz w:val="16"/>
          <w:szCs w:val="20"/>
          <w:lang w:val="es-CR" w:eastAsia="es-CR"/>
        </w:rPr>
      </w:pPr>
      <w:r>
        <w:rPr>
          <w:rFonts w:ascii="Arial" w:hAnsi="Arial" w:cs="Arial"/>
          <w:color w:val="000000"/>
          <w:sz w:val="16"/>
          <w:szCs w:val="20"/>
          <w:lang w:val="es-CR" w:eastAsia="es-CR"/>
        </w:rPr>
        <w:t xml:space="preserve">/2 </w:t>
      </w:r>
      <w:r w:rsidRPr="0011789E">
        <w:rPr>
          <w:rFonts w:ascii="Arial" w:hAnsi="Arial" w:cs="Arial"/>
          <w:color w:val="000000"/>
          <w:sz w:val="16"/>
          <w:szCs w:val="20"/>
          <w:lang w:val="es-CR" w:eastAsia="es-CR"/>
        </w:rPr>
        <w:t xml:space="preserve">Se refiere al devengado, que es el reconocimiento del gasto por la recepción de bienes y servicios independientemente de cuando se efectúe el pago de la obligación. </w:t>
      </w:r>
    </w:p>
    <w:p w14:paraId="03FBFDCC" w14:textId="77777777" w:rsidR="00F12774" w:rsidRDefault="00F12774" w:rsidP="00F12774">
      <w:pPr>
        <w:rPr>
          <w:rFonts w:ascii="Arial" w:hAnsi="Arial" w:cs="Arial"/>
          <w:bCs/>
          <w:strike/>
          <w:sz w:val="20"/>
          <w:szCs w:val="20"/>
          <w:u w:val="single"/>
          <w:lang w:val="es-MX"/>
        </w:rPr>
      </w:pPr>
    </w:p>
    <w:p w14:paraId="768DA427" w14:textId="77777777" w:rsidR="00F12774" w:rsidRDefault="00F12774" w:rsidP="00F12774">
      <w:pPr>
        <w:spacing w:line="360" w:lineRule="auto"/>
        <w:jc w:val="both"/>
        <w:rPr>
          <w:rFonts w:ascii="Arial" w:hAnsi="Arial" w:cs="Arial"/>
          <w:bCs/>
          <w:sz w:val="20"/>
          <w:szCs w:val="20"/>
          <w:lang w:val="es-MX"/>
        </w:rPr>
      </w:pPr>
    </w:p>
    <w:p w14:paraId="75442CDC" w14:textId="5C5651D1" w:rsidR="00F12774" w:rsidRDefault="00F12774" w:rsidP="00F12774">
      <w:pPr>
        <w:spacing w:line="360" w:lineRule="auto"/>
        <w:jc w:val="both"/>
        <w:rPr>
          <w:rFonts w:ascii="Arial" w:hAnsi="Arial" w:cs="Arial"/>
          <w:bCs/>
          <w:sz w:val="20"/>
          <w:szCs w:val="20"/>
          <w:lang w:val="es-MX"/>
        </w:rPr>
      </w:pPr>
      <w:r>
        <w:rPr>
          <w:rFonts w:ascii="Arial" w:hAnsi="Arial" w:cs="Arial"/>
          <w:bCs/>
          <w:sz w:val="20"/>
          <w:szCs w:val="20"/>
          <w:lang w:val="es-MX"/>
        </w:rPr>
        <w:t xml:space="preserve">En cuanto al programa 930 – Defensa Pública, para el periodo 2021, se alcanzó un nivel de ejecución del 98,17%. La partida de remuneraciones alcanzó una ejecución del 98,82%, seguida de la partida de servicios con un 93,28%. La partida de materiales alcanzó una ejecución de 75,00%, bienes duraderos en 75,88% y la partida de transferencias corrientes un 87,19%, siendo estas últimas las partidas en las que no se superó el 90% de ejecución. </w:t>
      </w:r>
    </w:p>
    <w:p w14:paraId="3CD5124C" w14:textId="77777777" w:rsidR="00F12774" w:rsidRDefault="00F12774" w:rsidP="00F12774">
      <w:pPr>
        <w:spacing w:line="360" w:lineRule="auto"/>
        <w:jc w:val="both"/>
        <w:rPr>
          <w:rFonts w:ascii="Arial" w:hAnsi="Arial" w:cs="Arial"/>
          <w:bCs/>
          <w:sz w:val="20"/>
          <w:szCs w:val="20"/>
          <w:lang w:val="es-MX"/>
        </w:rPr>
      </w:pPr>
    </w:p>
    <w:p w14:paraId="5379E523" w14:textId="77777777" w:rsidR="00F12774" w:rsidRPr="002778DE" w:rsidRDefault="00F12774" w:rsidP="00BE5AA1">
      <w:pPr>
        <w:numPr>
          <w:ilvl w:val="0"/>
          <w:numId w:val="11"/>
        </w:numPr>
        <w:spacing w:after="120" w:line="360" w:lineRule="auto"/>
        <w:jc w:val="both"/>
        <w:rPr>
          <w:rFonts w:ascii="Arial" w:hAnsi="Arial" w:cs="Arial"/>
          <w:bCs/>
          <w:color w:val="000000" w:themeColor="text1"/>
          <w:sz w:val="20"/>
          <w:szCs w:val="20"/>
        </w:rPr>
      </w:pPr>
      <w:r w:rsidRPr="002778DE">
        <w:rPr>
          <w:rFonts w:ascii="Arial" w:hAnsi="Arial" w:cs="Arial"/>
          <w:bCs/>
          <w:color w:val="000000" w:themeColor="text1"/>
          <w:sz w:val="20"/>
          <w:szCs w:val="20"/>
        </w:rPr>
        <w:t>Remuneraciones: recursos ejecutados propiamente por la Dirección de Gestión Humana, para el pago oportuno de los salarios de las personas funcionarias de la institución, la cual se realiza cumpliendo con las leyes y los lineamientos vigentes, los cuales no son administrados por este centro gestor.</w:t>
      </w:r>
    </w:p>
    <w:p w14:paraId="06585B3E" w14:textId="77777777" w:rsidR="00F12774" w:rsidRPr="002778DE" w:rsidRDefault="00F12774" w:rsidP="00BE5AA1">
      <w:pPr>
        <w:numPr>
          <w:ilvl w:val="0"/>
          <w:numId w:val="11"/>
        </w:numPr>
        <w:spacing w:after="120" w:line="360" w:lineRule="auto"/>
        <w:jc w:val="both"/>
        <w:rPr>
          <w:rFonts w:ascii="Arial" w:hAnsi="Arial" w:cs="Arial"/>
          <w:bCs/>
          <w:color w:val="000000" w:themeColor="text1"/>
          <w:sz w:val="20"/>
          <w:szCs w:val="20"/>
        </w:rPr>
      </w:pPr>
      <w:r w:rsidRPr="002778DE">
        <w:rPr>
          <w:rFonts w:ascii="Arial" w:hAnsi="Arial" w:cs="Arial"/>
          <w:bCs/>
          <w:color w:val="000000" w:themeColor="text1"/>
          <w:sz w:val="20"/>
          <w:szCs w:val="20"/>
        </w:rPr>
        <w:t>Servicios: recursos ejecutados propiamente por los distintos centros gestores para el oportuno pago de los diversos servicios de arrendamiento, diferentes tipos de mantenimientos, servicios públicos y demás diligencias propias de la operatividad del Poder Judicial; algunos sufrieron una disminución en su gasto, como las actividades que se realizan de manera presencial, no obstante, algunas otras, sufrieron el efecto contrario.</w:t>
      </w:r>
    </w:p>
    <w:p w14:paraId="06B0FFBE" w14:textId="77777777" w:rsidR="00F12774" w:rsidRPr="002778DE" w:rsidRDefault="00F12774" w:rsidP="00BE5AA1">
      <w:pPr>
        <w:numPr>
          <w:ilvl w:val="0"/>
          <w:numId w:val="11"/>
        </w:numPr>
        <w:spacing w:after="120" w:line="360" w:lineRule="auto"/>
        <w:jc w:val="both"/>
        <w:rPr>
          <w:rFonts w:ascii="Arial" w:hAnsi="Arial" w:cs="Arial"/>
          <w:bCs/>
          <w:color w:val="000000" w:themeColor="text1"/>
          <w:sz w:val="20"/>
          <w:szCs w:val="20"/>
        </w:rPr>
      </w:pPr>
      <w:r w:rsidRPr="002778DE">
        <w:rPr>
          <w:rFonts w:ascii="Arial" w:hAnsi="Arial" w:cs="Arial"/>
          <w:bCs/>
          <w:color w:val="000000" w:themeColor="text1"/>
          <w:sz w:val="20"/>
          <w:szCs w:val="20"/>
        </w:rPr>
        <w:lastRenderedPageBreak/>
        <w:t xml:space="preserve">Materiales: los recursos ejecutados propiamente para adquirir diferentes materiales y suministros para el oportuno desarrollo de las actividades, se buscó la manera de solventarlas y de su ejecución, pero por diversos factores no fue posible su aumento en la ejecución, por el ejemplo el caso de la gasolina, </w:t>
      </w:r>
      <w:r w:rsidRPr="008B6AC5">
        <w:rPr>
          <w:rFonts w:ascii="Arial" w:hAnsi="Arial" w:cs="Arial"/>
          <w:bCs/>
          <w:color w:val="000000" w:themeColor="text1"/>
          <w:sz w:val="20"/>
          <w:szCs w:val="20"/>
        </w:rPr>
        <w:t>que,</w:t>
      </w:r>
      <w:r w:rsidRPr="002778DE">
        <w:rPr>
          <w:rFonts w:ascii="Arial" w:hAnsi="Arial" w:cs="Arial"/>
          <w:bCs/>
          <w:color w:val="000000" w:themeColor="text1"/>
          <w:sz w:val="20"/>
          <w:szCs w:val="20"/>
        </w:rPr>
        <w:t xml:space="preserve"> al maximizar el uso de la tecnología, se disminuyeron las giras de trabajo.</w:t>
      </w:r>
    </w:p>
    <w:p w14:paraId="4F4FC190" w14:textId="77777777" w:rsidR="00F12774" w:rsidRPr="008B6AC5" w:rsidRDefault="00F12774" w:rsidP="00BE5AA1">
      <w:pPr>
        <w:numPr>
          <w:ilvl w:val="0"/>
          <w:numId w:val="11"/>
        </w:numPr>
        <w:spacing w:after="120" w:line="360" w:lineRule="auto"/>
        <w:jc w:val="both"/>
        <w:rPr>
          <w:rFonts w:ascii="Arial" w:hAnsi="Arial" w:cs="Arial"/>
          <w:sz w:val="20"/>
          <w:szCs w:val="20"/>
          <w:lang w:val="es-ES_tradnl"/>
        </w:rPr>
      </w:pPr>
      <w:r w:rsidRPr="002778DE">
        <w:rPr>
          <w:rFonts w:ascii="Arial" w:hAnsi="Arial" w:cs="Arial"/>
          <w:bCs/>
          <w:color w:val="000000" w:themeColor="text1"/>
          <w:sz w:val="20"/>
          <w:szCs w:val="20"/>
        </w:rPr>
        <w:t xml:space="preserve">Bienes duraderos: parte del objetivo de la adquisición de bienes muebles, es sustituir el mobiliario en mal estado, equipo tecnológico en mal estado u obsoleto, y se </w:t>
      </w:r>
      <w:r w:rsidRPr="008B6AC5">
        <w:rPr>
          <w:rFonts w:ascii="Arial" w:hAnsi="Arial" w:cs="Arial"/>
          <w:bCs/>
          <w:color w:val="000000" w:themeColor="text1"/>
          <w:sz w:val="20"/>
          <w:szCs w:val="20"/>
        </w:rPr>
        <w:t>llevó a cabo</w:t>
      </w:r>
      <w:r w:rsidRPr="002778DE">
        <w:rPr>
          <w:rFonts w:ascii="Arial" w:hAnsi="Arial" w:cs="Arial"/>
          <w:bCs/>
          <w:color w:val="000000" w:themeColor="text1"/>
          <w:sz w:val="20"/>
          <w:szCs w:val="20"/>
        </w:rPr>
        <w:t xml:space="preserve"> el cambio de unidades vehiculares para mejorar la accesibilidad de las zonas,</w:t>
      </w:r>
      <w:r w:rsidRPr="008B6AC5">
        <w:rPr>
          <w:rFonts w:ascii="Arial" w:hAnsi="Arial" w:cs="Arial"/>
          <w:bCs/>
          <w:color w:val="000000" w:themeColor="text1"/>
          <w:sz w:val="20"/>
          <w:szCs w:val="20"/>
        </w:rPr>
        <w:t xml:space="preserve"> de igual medida</w:t>
      </w:r>
      <w:r w:rsidRPr="002778DE">
        <w:rPr>
          <w:rFonts w:ascii="Arial" w:hAnsi="Arial" w:cs="Arial"/>
          <w:bCs/>
          <w:color w:val="000000" w:themeColor="text1"/>
          <w:sz w:val="20"/>
          <w:szCs w:val="20"/>
        </w:rPr>
        <w:t xml:space="preserve"> las políticas de restricción del gasto, afectan en alguna media el desempeño en su ejecución. </w:t>
      </w:r>
    </w:p>
    <w:p w14:paraId="0DEAABDE" w14:textId="41C18B3A" w:rsidR="00E06988" w:rsidRPr="006E6149" w:rsidRDefault="00F12774" w:rsidP="00F12774">
      <w:pPr>
        <w:pStyle w:val="Prrafodelista"/>
        <w:spacing w:after="120" w:line="360" w:lineRule="auto"/>
        <w:ind w:left="720"/>
        <w:jc w:val="both"/>
        <w:rPr>
          <w:rFonts w:ascii="Arial" w:hAnsi="Arial" w:cs="Arial"/>
          <w:bCs/>
          <w:sz w:val="20"/>
          <w:szCs w:val="20"/>
        </w:rPr>
      </w:pPr>
      <w:r w:rsidRPr="002778DE">
        <w:rPr>
          <w:rFonts w:ascii="Arial" w:hAnsi="Arial" w:cs="Arial"/>
          <w:bCs/>
          <w:color w:val="000000" w:themeColor="text1"/>
          <w:sz w:val="20"/>
          <w:szCs w:val="20"/>
        </w:rPr>
        <w:t>Transferencias corrientes: recursos tramitados de acuerdo a las leyes y lineamientos vigentes propias para el adecuado trámite de prestaciones, aportes patronales y otras gestiones de estos recursos, los cuales no son administrados por este centro gestor</w:t>
      </w:r>
    </w:p>
    <w:p w14:paraId="6E82EBEC" w14:textId="6E514F8B" w:rsidR="00B02E64" w:rsidRDefault="00E06988" w:rsidP="00BE5AA1">
      <w:pPr>
        <w:pStyle w:val="Ttulo2"/>
        <w:keepLines/>
        <w:numPr>
          <w:ilvl w:val="1"/>
          <w:numId w:val="15"/>
        </w:numPr>
        <w:spacing w:before="360" w:after="120" w:line="360" w:lineRule="auto"/>
        <w:ind w:left="284" w:hanging="284"/>
        <w:jc w:val="both"/>
        <w:rPr>
          <w:rFonts w:ascii="Arial" w:hAnsi="Arial" w:cs="Arial"/>
          <w:iCs/>
          <w:color w:val="002060"/>
          <w:spacing w:val="15"/>
          <w:sz w:val="22"/>
        </w:rPr>
      </w:pPr>
      <w:bookmarkStart w:id="33" w:name="_Toc93420482"/>
      <w:r w:rsidRPr="00485BE2">
        <w:rPr>
          <w:rFonts w:ascii="Arial" w:hAnsi="Arial" w:cs="Arial"/>
          <w:iCs/>
          <w:color w:val="002060"/>
          <w:spacing w:val="15"/>
          <w:sz w:val="22"/>
        </w:rPr>
        <w:t>Factores y acciones correctivas de la ejecución financiera</w:t>
      </w:r>
      <w:bookmarkEnd w:id="33"/>
      <w:r w:rsidRPr="00485BE2">
        <w:rPr>
          <w:rFonts w:ascii="Arial" w:hAnsi="Arial" w:cs="Arial"/>
          <w:iCs/>
          <w:color w:val="002060"/>
          <w:spacing w:val="15"/>
          <w:sz w:val="22"/>
        </w:rPr>
        <w:t xml:space="preserve"> </w:t>
      </w:r>
    </w:p>
    <w:p w14:paraId="7340C6D6" w14:textId="77777777" w:rsidR="007F2738" w:rsidRPr="007F2738" w:rsidRDefault="007F2738" w:rsidP="00B53D7A">
      <w:pPr>
        <w:spacing w:line="360" w:lineRule="auto"/>
        <w:jc w:val="both"/>
        <w:rPr>
          <w:rFonts w:ascii="Arial" w:hAnsi="Arial" w:cs="Arial"/>
          <w:sz w:val="20"/>
          <w:szCs w:val="20"/>
          <w:lang w:val="es-MX"/>
        </w:rPr>
      </w:pPr>
      <w:r w:rsidRPr="007F2738">
        <w:rPr>
          <w:lang w:val="es-MX"/>
        </w:rPr>
        <w:t>1)</w:t>
      </w:r>
      <w:r w:rsidRPr="007F2738">
        <w:rPr>
          <w:rFonts w:ascii="Arial" w:hAnsi="Arial" w:cs="Arial"/>
          <w:sz w:val="20"/>
          <w:szCs w:val="20"/>
          <w:lang w:val="es-MX"/>
        </w:rPr>
        <w:tab/>
        <w:t xml:space="preserve">Impacto generado por la emergencia sanitaria por el Covid-19. </w:t>
      </w:r>
    </w:p>
    <w:p w14:paraId="1718F396"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2)</w:t>
      </w:r>
      <w:r w:rsidRPr="007F2738">
        <w:rPr>
          <w:rFonts w:ascii="Arial" w:hAnsi="Arial" w:cs="Arial"/>
          <w:sz w:val="20"/>
          <w:szCs w:val="20"/>
          <w:lang w:val="es-MX"/>
        </w:rPr>
        <w:tab/>
        <w:t xml:space="preserve">Aplicación de directrices presidenciales. </w:t>
      </w:r>
    </w:p>
    <w:p w14:paraId="33456E13"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3)</w:t>
      </w:r>
      <w:r w:rsidRPr="007F2738">
        <w:rPr>
          <w:rFonts w:ascii="Arial" w:hAnsi="Arial" w:cs="Arial"/>
          <w:sz w:val="20"/>
          <w:szCs w:val="20"/>
          <w:lang w:val="es-MX"/>
        </w:rPr>
        <w:tab/>
        <w:t>Lineamientos de los entes rectores de la administración financiera.</w:t>
      </w:r>
    </w:p>
    <w:p w14:paraId="099CABAB"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4)</w:t>
      </w:r>
      <w:r w:rsidRPr="007F2738">
        <w:rPr>
          <w:rFonts w:ascii="Arial" w:hAnsi="Arial" w:cs="Arial"/>
          <w:sz w:val="20"/>
          <w:szCs w:val="20"/>
          <w:lang w:val="es-MX"/>
        </w:rPr>
        <w:tab/>
        <w:t xml:space="preserve">Políticas administrativas institucionales que ocasionen cambios en la ejecución de recursos y generen ahorros o mayor gasto. </w:t>
      </w:r>
    </w:p>
    <w:p w14:paraId="5A726DA6"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5)</w:t>
      </w:r>
      <w:r w:rsidRPr="007F2738">
        <w:rPr>
          <w:rFonts w:ascii="Arial" w:hAnsi="Arial" w:cs="Arial"/>
          <w:sz w:val="20"/>
          <w:szCs w:val="20"/>
          <w:lang w:val="es-MX"/>
        </w:rPr>
        <w:tab/>
        <w:t xml:space="preserve">Variación en la estimación de recursos. </w:t>
      </w:r>
    </w:p>
    <w:p w14:paraId="72E571C9"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6)</w:t>
      </w:r>
      <w:r w:rsidRPr="007F2738">
        <w:rPr>
          <w:rFonts w:ascii="Arial" w:hAnsi="Arial" w:cs="Arial"/>
          <w:sz w:val="20"/>
          <w:szCs w:val="20"/>
          <w:lang w:val="es-MX"/>
        </w:rPr>
        <w:tab/>
        <w:t>Problemas relacionados con los procesos de contratación administrativa.</w:t>
      </w:r>
    </w:p>
    <w:p w14:paraId="674B2F38"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7)</w:t>
      </w:r>
      <w:r w:rsidRPr="007F2738">
        <w:rPr>
          <w:rFonts w:ascii="Arial" w:hAnsi="Arial" w:cs="Arial"/>
          <w:sz w:val="20"/>
          <w:szCs w:val="20"/>
          <w:lang w:val="es-MX"/>
        </w:rPr>
        <w:tab/>
        <w:t>Liberación de cuota insuficiente.</w:t>
      </w:r>
    </w:p>
    <w:p w14:paraId="4A5F5348"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8)</w:t>
      </w:r>
      <w:r w:rsidRPr="007F2738">
        <w:rPr>
          <w:rFonts w:ascii="Arial" w:hAnsi="Arial" w:cs="Arial"/>
          <w:sz w:val="20"/>
          <w:szCs w:val="20"/>
          <w:lang w:val="es-MX"/>
        </w:rPr>
        <w:tab/>
        <w:t>Desviaciones entre lo planificado y lo ejecutado.</w:t>
      </w:r>
    </w:p>
    <w:p w14:paraId="460AC620" w14:textId="77777777" w:rsidR="007F2738"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9)</w:t>
      </w:r>
      <w:r w:rsidRPr="007F2738">
        <w:rPr>
          <w:rFonts w:ascii="Arial" w:hAnsi="Arial" w:cs="Arial"/>
          <w:sz w:val="20"/>
          <w:szCs w:val="20"/>
          <w:lang w:val="es-MX"/>
        </w:rPr>
        <w:tab/>
        <w:t>Normas de ejecución para el ejercicio presupuestario 2021.</w:t>
      </w:r>
    </w:p>
    <w:p w14:paraId="2D51342C" w14:textId="265F92B7" w:rsidR="0050221C" w:rsidRPr="007F2738" w:rsidRDefault="007F2738" w:rsidP="00B53D7A">
      <w:pPr>
        <w:spacing w:line="360" w:lineRule="auto"/>
        <w:jc w:val="both"/>
        <w:rPr>
          <w:rFonts w:ascii="Arial" w:hAnsi="Arial" w:cs="Arial"/>
          <w:sz w:val="20"/>
          <w:szCs w:val="20"/>
          <w:lang w:val="es-MX"/>
        </w:rPr>
      </w:pPr>
      <w:r w:rsidRPr="007F2738">
        <w:rPr>
          <w:rFonts w:ascii="Arial" w:hAnsi="Arial" w:cs="Arial"/>
          <w:sz w:val="20"/>
          <w:szCs w:val="20"/>
          <w:lang w:val="es-MX"/>
        </w:rPr>
        <w:t>10)</w:t>
      </w:r>
      <w:r w:rsidRPr="007F2738">
        <w:rPr>
          <w:rFonts w:ascii="Arial" w:hAnsi="Arial" w:cs="Arial"/>
          <w:sz w:val="20"/>
          <w:szCs w:val="20"/>
          <w:lang w:val="es-MX"/>
        </w:rPr>
        <w:tab/>
        <w:t>Otro (Especifique).</w:t>
      </w:r>
    </w:p>
    <w:p w14:paraId="13D6DD2F" w14:textId="77777777" w:rsidR="00F12774" w:rsidRPr="00F12774" w:rsidRDefault="00F12774" w:rsidP="00F12774">
      <w:pPr>
        <w:jc w:val="both"/>
        <w:rPr>
          <w:rFonts w:ascii="Arial" w:eastAsia="Arial" w:hAnsi="Arial" w:cs="Arial"/>
          <w:color w:val="000000" w:themeColor="text1"/>
          <w:sz w:val="20"/>
          <w:szCs w:val="20"/>
        </w:rPr>
      </w:pPr>
    </w:p>
    <w:p w14:paraId="34F018C9" w14:textId="77777777" w:rsidR="00F12774" w:rsidRPr="00F12774" w:rsidRDefault="00F12774" w:rsidP="00F12774">
      <w:pPr>
        <w:jc w:val="center"/>
        <w:rPr>
          <w:rFonts w:ascii="Arial" w:eastAsiaTheme="minorEastAsia" w:hAnsi="Arial" w:cs="Arial"/>
          <w:b/>
          <w:sz w:val="20"/>
          <w:szCs w:val="20"/>
          <w:lang w:val="es-ES_tradnl"/>
        </w:rPr>
      </w:pPr>
    </w:p>
    <w:p w14:paraId="5B615EFB" w14:textId="77777777" w:rsidR="00B32351" w:rsidRDefault="00B32351" w:rsidP="007331CC">
      <w:pPr>
        <w:pStyle w:val="Descripcin"/>
        <w:jc w:val="center"/>
        <w:rPr>
          <w:rFonts w:ascii="Arial" w:eastAsiaTheme="minorEastAsia" w:hAnsi="Arial" w:cs="Arial"/>
          <w:b/>
          <w:sz w:val="20"/>
          <w:szCs w:val="20"/>
          <w:lang w:val="es-ES_tradnl"/>
        </w:rPr>
      </w:pPr>
    </w:p>
    <w:p w14:paraId="3D39489D" w14:textId="77777777" w:rsidR="00B32351" w:rsidRDefault="00B32351" w:rsidP="007331CC">
      <w:pPr>
        <w:pStyle w:val="Descripcin"/>
        <w:jc w:val="center"/>
        <w:rPr>
          <w:rFonts w:ascii="Arial" w:eastAsiaTheme="minorEastAsia" w:hAnsi="Arial" w:cs="Arial"/>
          <w:b/>
          <w:sz w:val="20"/>
          <w:szCs w:val="20"/>
          <w:lang w:val="es-ES_tradnl"/>
        </w:rPr>
      </w:pPr>
    </w:p>
    <w:p w14:paraId="6E85308C" w14:textId="77777777" w:rsidR="00B32351" w:rsidRDefault="00B32351" w:rsidP="007331CC">
      <w:pPr>
        <w:pStyle w:val="Descripcin"/>
        <w:jc w:val="center"/>
        <w:rPr>
          <w:rFonts w:ascii="Arial" w:eastAsiaTheme="minorEastAsia" w:hAnsi="Arial" w:cs="Arial"/>
          <w:b/>
          <w:sz w:val="20"/>
          <w:szCs w:val="20"/>
          <w:lang w:val="es-ES_tradnl"/>
        </w:rPr>
      </w:pPr>
    </w:p>
    <w:p w14:paraId="6D7B0D3F" w14:textId="77777777" w:rsidR="00B32351" w:rsidRDefault="00B32351" w:rsidP="007331CC">
      <w:pPr>
        <w:pStyle w:val="Descripcin"/>
        <w:jc w:val="center"/>
        <w:rPr>
          <w:rFonts w:ascii="Arial" w:eastAsiaTheme="minorEastAsia" w:hAnsi="Arial" w:cs="Arial"/>
          <w:b/>
          <w:sz w:val="20"/>
          <w:szCs w:val="20"/>
          <w:lang w:val="es-ES_tradnl"/>
        </w:rPr>
      </w:pPr>
    </w:p>
    <w:p w14:paraId="44F4CB8D" w14:textId="77777777" w:rsidR="00B32351" w:rsidRDefault="00B32351" w:rsidP="007331CC">
      <w:pPr>
        <w:pStyle w:val="Descripcin"/>
        <w:jc w:val="center"/>
        <w:rPr>
          <w:rFonts w:ascii="Arial" w:eastAsiaTheme="minorEastAsia" w:hAnsi="Arial" w:cs="Arial"/>
          <w:b/>
          <w:sz w:val="20"/>
          <w:szCs w:val="20"/>
          <w:lang w:val="es-ES_tradnl"/>
        </w:rPr>
      </w:pPr>
    </w:p>
    <w:p w14:paraId="55F8EE0E" w14:textId="35036B51" w:rsidR="007331CC" w:rsidRPr="00AE3D7B" w:rsidRDefault="00F12774" w:rsidP="007331CC">
      <w:pPr>
        <w:pStyle w:val="Descripcin"/>
        <w:jc w:val="center"/>
        <w:rPr>
          <w:rFonts w:ascii="Arial" w:hAnsi="Arial" w:cs="Arial"/>
          <w:b/>
          <w:bCs/>
          <w:i w:val="0"/>
          <w:iCs w:val="0"/>
          <w:color w:val="auto"/>
          <w:sz w:val="20"/>
          <w:szCs w:val="20"/>
          <w:lang w:val="es-ES_tradnl"/>
        </w:rPr>
      </w:pPr>
      <w:r w:rsidRPr="00F12774">
        <w:rPr>
          <w:rFonts w:ascii="Arial" w:eastAsiaTheme="minorEastAsia" w:hAnsi="Arial" w:cs="Arial"/>
          <w:b/>
          <w:sz w:val="20"/>
          <w:szCs w:val="20"/>
          <w:lang w:val="es-ES_tradnl"/>
        </w:rPr>
        <w:lastRenderedPageBreak/>
        <w:t xml:space="preserve"> </w:t>
      </w:r>
      <w:r w:rsidR="007331CC" w:rsidRPr="00AE3D7B">
        <w:rPr>
          <w:rFonts w:ascii="Arial" w:hAnsi="Arial" w:cs="Arial"/>
          <w:b/>
          <w:bCs/>
          <w:i w:val="0"/>
          <w:iCs w:val="0"/>
          <w:color w:val="auto"/>
          <w:sz w:val="20"/>
          <w:szCs w:val="20"/>
        </w:rPr>
        <w:t xml:space="preserve">Cuadro  </w:t>
      </w:r>
      <w:r w:rsidR="007331CC" w:rsidRPr="00AE3D7B">
        <w:rPr>
          <w:rFonts w:ascii="Arial" w:hAnsi="Arial" w:cs="Arial"/>
          <w:b/>
          <w:bCs/>
          <w:i w:val="0"/>
          <w:iCs w:val="0"/>
          <w:color w:val="auto"/>
          <w:sz w:val="20"/>
          <w:szCs w:val="20"/>
        </w:rPr>
        <w:fldChar w:fldCharType="begin"/>
      </w:r>
      <w:r w:rsidR="007331CC" w:rsidRPr="00AE3D7B">
        <w:rPr>
          <w:rFonts w:ascii="Arial" w:hAnsi="Arial" w:cs="Arial"/>
          <w:b/>
          <w:bCs/>
          <w:i w:val="0"/>
          <w:iCs w:val="0"/>
          <w:color w:val="auto"/>
          <w:sz w:val="20"/>
          <w:szCs w:val="20"/>
        </w:rPr>
        <w:instrText xml:space="preserve"> SEQ cuadro_ \* ARABIC </w:instrText>
      </w:r>
      <w:r w:rsidR="007331CC" w:rsidRPr="00AE3D7B">
        <w:rPr>
          <w:rFonts w:ascii="Arial" w:hAnsi="Arial" w:cs="Arial"/>
          <w:b/>
          <w:bCs/>
          <w:i w:val="0"/>
          <w:iCs w:val="0"/>
          <w:color w:val="auto"/>
          <w:sz w:val="20"/>
          <w:szCs w:val="20"/>
        </w:rPr>
        <w:fldChar w:fldCharType="separate"/>
      </w:r>
      <w:r w:rsidR="007331CC">
        <w:rPr>
          <w:rFonts w:ascii="Arial" w:hAnsi="Arial" w:cs="Arial"/>
          <w:b/>
          <w:bCs/>
          <w:i w:val="0"/>
          <w:iCs w:val="0"/>
          <w:noProof/>
          <w:color w:val="auto"/>
          <w:sz w:val="20"/>
          <w:szCs w:val="20"/>
        </w:rPr>
        <w:t>23</w:t>
      </w:r>
      <w:r w:rsidR="007331CC" w:rsidRPr="00AE3D7B">
        <w:rPr>
          <w:rFonts w:ascii="Arial" w:hAnsi="Arial" w:cs="Arial"/>
          <w:b/>
          <w:bCs/>
          <w:i w:val="0"/>
          <w:iCs w:val="0"/>
          <w:color w:val="auto"/>
          <w:sz w:val="20"/>
          <w:szCs w:val="20"/>
        </w:rPr>
        <w:fldChar w:fldCharType="end"/>
      </w:r>
    </w:p>
    <w:p w14:paraId="79F3A025" w14:textId="49D181E1" w:rsidR="00F12774" w:rsidRPr="00F12774" w:rsidRDefault="00F12774" w:rsidP="00F12774">
      <w:pPr>
        <w:jc w:val="center"/>
        <w:rPr>
          <w:rFonts w:ascii="Arial" w:eastAsiaTheme="minorEastAsia" w:hAnsi="Arial" w:cs="Arial"/>
          <w:b/>
          <w:sz w:val="20"/>
          <w:szCs w:val="20"/>
          <w:lang w:val="es-ES_tradnl"/>
        </w:rPr>
      </w:pPr>
      <w:r w:rsidRPr="00F12774">
        <w:rPr>
          <w:rFonts w:ascii="Arial" w:eastAsiaTheme="minorEastAsia" w:hAnsi="Arial" w:cs="Arial"/>
          <w:b/>
          <w:sz w:val="20"/>
          <w:szCs w:val="20"/>
          <w:lang w:val="es-ES_tradnl"/>
        </w:rPr>
        <w:t>Factores que afectaron la ejecución financiera</w:t>
      </w:r>
    </w:p>
    <w:p w14:paraId="1253B670" w14:textId="77777777" w:rsidR="00F12774" w:rsidRPr="00F12774" w:rsidRDefault="00F12774" w:rsidP="00F12774">
      <w:pPr>
        <w:jc w:val="center"/>
        <w:rPr>
          <w:rFonts w:ascii="Arial" w:eastAsiaTheme="minorEastAsia" w:hAnsi="Arial" w:cs="Arial"/>
          <w:sz w:val="20"/>
          <w:szCs w:val="20"/>
          <w:lang w:val="es-ES_tradnl"/>
        </w:rPr>
      </w:pPr>
      <w:r w:rsidRPr="00F12774">
        <w:rPr>
          <w:rFonts w:ascii="Arial" w:eastAsiaTheme="minorEastAsia" w:hAnsi="Arial" w:cs="Arial"/>
          <w:sz w:val="20"/>
          <w:szCs w:val="20"/>
          <w:lang w:val="es-ES_tradnl"/>
        </w:rPr>
        <w:t>Programa 930, Defensa Pública</w:t>
      </w:r>
    </w:p>
    <w:p w14:paraId="308A9811" w14:textId="77777777" w:rsidR="00F12774" w:rsidRPr="00F12774" w:rsidRDefault="00F12774" w:rsidP="00F12774">
      <w:pPr>
        <w:jc w:val="center"/>
        <w:rPr>
          <w:rFonts w:ascii="Arial" w:eastAsiaTheme="minorEastAsia" w:hAnsi="Arial" w:cs="Arial"/>
          <w:sz w:val="20"/>
          <w:szCs w:val="20"/>
          <w:lang w:val="es-ES_tradnl"/>
        </w:rPr>
      </w:pPr>
      <w:r w:rsidRPr="00F12774">
        <w:rPr>
          <w:rFonts w:ascii="Arial" w:eastAsiaTheme="minorEastAsia" w:hAnsi="Arial" w:cs="Arial"/>
          <w:sz w:val="20"/>
          <w:szCs w:val="20"/>
          <w:lang w:val="es-ES_tradnl"/>
        </w:rPr>
        <w:t>Factores para resultados inferiores a 90,00% de ejecución</w:t>
      </w:r>
    </w:p>
    <w:p w14:paraId="4FF8928D" w14:textId="229AD78F" w:rsidR="00F12774" w:rsidRDefault="00F12774" w:rsidP="00F12774">
      <w:pPr>
        <w:jc w:val="center"/>
        <w:rPr>
          <w:rFonts w:ascii="Arial" w:eastAsiaTheme="minorEastAsia" w:hAnsi="Arial" w:cs="Arial"/>
          <w:sz w:val="20"/>
          <w:szCs w:val="20"/>
          <w:lang w:val="es-ES_tradnl"/>
        </w:rPr>
      </w:pPr>
      <w:r w:rsidRPr="00F12774">
        <w:rPr>
          <w:rFonts w:ascii="Arial" w:eastAsiaTheme="minorEastAsia" w:hAnsi="Arial" w:cs="Arial"/>
          <w:sz w:val="20"/>
          <w:szCs w:val="20"/>
          <w:lang w:val="es-ES_tradnl"/>
        </w:rPr>
        <w:t>Al 31 de diciembre 2021</w:t>
      </w:r>
    </w:p>
    <w:p w14:paraId="294C5407" w14:textId="77777777" w:rsidR="00B32351" w:rsidRPr="00F12774" w:rsidRDefault="00B32351" w:rsidP="00F12774">
      <w:pPr>
        <w:jc w:val="center"/>
        <w:rPr>
          <w:rFonts w:ascii="Arial" w:eastAsiaTheme="minorEastAsia" w:hAnsi="Arial" w:cs="Arial"/>
          <w:sz w:val="20"/>
          <w:szCs w:val="20"/>
          <w:lang w:val="es-ES_tradnl"/>
        </w:rPr>
      </w:pPr>
    </w:p>
    <w:tbl>
      <w:tblPr>
        <w:tblW w:w="9200" w:type="dxa"/>
        <w:tblCellMar>
          <w:left w:w="70" w:type="dxa"/>
          <w:right w:w="70" w:type="dxa"/>
        </w:tblCellMar>
        <w:tblLook w:val="04A0" w:firstRow="1" w:lastRow="0" w:firstColumn="1" w:lastColumn="0" w:noHBand="0" w:noVBand="1"/>
      </w:tblPr>
      <w:tblGrid>
        <w:gridCol w:w="1967"/>
        <w:gridCol w:w="1237"/>
        <w:gridCol w:w="1237"/>
        <w:gridCol w:w="318"/>
        <w:gridCol w:w="318"/>
        <w:gridCol w:w="318"/>
        <w:gridCol w:w="329"/>
        <w:gridCol w:w="318"/>
        <w:gridCol w:w="329"/>
        <w:gridCol w:w="318"/>
        <w:gridCol w:w="318"/>
        <w:gridCol w:w="318"/>
        <w:gridCol w:w="363"/>
        <w:gridCol w:w="1512"/>
      </w:tblGrid>
      <w:tr w:rsidR="00F12774" w:rsidRPr="00F12774" w14:paraId="1E403482" w14:textId="77777777" w:rsidTr="00465D52">
        <w:trPr>
          <w:trHeight w:val="288"/>
        </w:trPr>
        <w:tc>
          <w:tcPr>
            <w:tcW w:w="1967" w:type="dxa"/>
            <w:vMerge w:val="restart"/>
            <w:tcBorders>
              <w:top w:val="single" w:sz="8" w:space="0" w:color="4472C4"/>
              <w:left w:val="single" w:sz="8" w:space="0" w:color="4472C4"/>
              <w:bottom w:val="single" w:sz="8" w:space="0" w:color="4472C4"/>
              <w:right w:val="single" w:sz="8" w:space="0" w:color="4472C4"/>
            </w:tcBorders>
            <w:shd w:val="clear" w:color="000000" w:fill="4F81BD"/>
            <w:vAlign w:val="center"/>
            <w:hideMark/>
          </w:tcPr>
          <w:p w14:paraId="0E1B04EA" w14:textId="77777777" w:rsidR="00F12774" w:rsidRPr="00F12774" w:rsidRDefault="00F12774" w:rsidP="00F12774">
            <w:pPr>
              <w:jc w:val="center"/>
              <w:rPr>
                <w:rFonts w:ascii="Arial" w:hAnsi="Arial" w:cs="Arial"/>
                <w:b/>
                <w:color w:val="FFFFFF"/>
                <w:sz w:val="20"/>
                <w:szCs w:val="20"/>
                <w:lang w:val="es-CR" w:eastAsia="es-CR"/>
              </w:rPr>
            </w:pPr>
            <w:r w:rsidRPr="00F12774">
              <w:rPr>
                <w:rFonts w:ascii="Arial" w:hAnsi="Arial" w:cs="Arial"/>
                <w:b/>
                <w:color w:val="FFFFFF"/>
                <w:sz w:val="20"/>
                <w:szCs w:val="20"/>
                <w:lang w:val="es-CR" w:eastAsia="es-CR"/>
              </w:rPr>
              <w:t>Nombre de la partida</w:t>
            </w:r>
          </w:p>
        </w:tc>
        <w:tc>
          <w:tcPr>
            <w:tcW w:w="2474" w:type="dxa"/>
            <w:gridSpan w:val="2"/>
            <w:tcBorders>
              <w:top w:val="single" w:sz="8" w:space="0" w:color="4472C4"/>
              <w:left w:val="nil"/>
              <w:bottom w:val="single" w:sz="8" w:space="0" w:color="4472C4"/>
              <w:right w:val="single" w:sz="8" w:space="0" w:color="4472C4"/>
            </w:tcBorders>
            <w:shd w:val="clear" w:color="000000" w:fill="4F81BD"/>
            <w:vAlign w:val="center"/>
            <w:hideMark/>
          </w:tcPr>
          <w:p w14:paraId="3D9848BE" w14:textId="77777777" w:rsidR="00F12774" w:rsidRPr="00F12774" w:rsidRDefault="00F12774" w:rsidP="00F12774">
            <w:pPr>
              <w:jc w:val="center"/>
              <w:rPr>
                <w:rFonts w:ascii="Arial" w:hAnsi="Arial" w:cs="Arial"/>
                <w:b/>
                <w:color w:val="FFFFFF"/>
                <w:sz w:val="20"/>
                <w:szCs w:val="20"/>
                <w:lang w:val="es-CR" w:eastAsia="es-CR"/>
              </w:rPr>
            </w:pPr>
            <w:r w:rsidRPr="00F12774">
              <w:rPr>
                <w:rFonts w:ascii="Arial" w:hAnsi="Arial" w:cs="Arial"/>
                <w:b/>
                <w:color w:val="FFFFFF"/>
                <w:sz w:val="20"/>
                <w:szCs w:val="20"/>
                <w:lang w:val="es-CR" w:eastAsia="es-CR"/>
              </w:rPr>
              <w:t>Nivel de ejecución</w:t>
            </w:r>
          </w:p>
        </w:tc>
        <w:tc>
          <w:tcPr>
            <w:tcW w:w="4759" w:type="dxa"/>
            <w:gridSpan w:val="11"/>
            <w:tcBorders>
              <w:top w:val="single" w:sz="8" w:space="0" w:color="4472C4"/>
              <w:left w:val="nil"/>
              <w:bottom w:val="single" w:sz="8" w:space="0" w:color="4472C4"/>
              <w:right w:val="single" w:sz="8" w:space="0" w:color="4472C4"/>
            </w:tcBorders>
            <w:shd w:val="clear" w:color="000000" w:fill="4F81BD"/>
            <w:vAlign w:val="center"/>
            <w:hideMark/>
          </w:tcPr>
          <w:p w14:paraId="162B82A8" w14:textId="77777777" w:rsidR="00F12774" w:rsidRPr="00F12774" w:rsidRDefault="00F12774" w:rsidP="00F12774">
            <w:pPr>
              <w:jc w:val="center"/>
              <w:rPr>
                <w:rFonts w:ascii="Arial" w:hAnsi="Arial" w:cs="Arial"/>
                <w:b/>
                <w:color w:val="FFFFFF"/>
                <w:sz w:val="20"/>
                <w:szCs w:val="20"/>
                <w:lang w:val="es-CR" w:eastAsia="es-CR"/>
              </w:rPr>
            </w:pPr>
            <w:r w:rsidRPr="00F12774">
              <w:rPr>
                <w:rFonts w:ascii="Arial" w:hAnsi="Arial" w:cs="Arial"/>
                <w:b/>
                <w:color w:val="FFFFFF"/>
                <w:sz w:val="20"/>
                <w:szCs w:val="20"/>
                <w:lang w:val="es-CR" w:eastAsia="es-CR"/>
              </w:rPr>
              <w:t>Factores al 31/12/2021</w:t>
            </w:r>
          </w:p>
        </w:tc>
      </w:tr>
      <w:tr w:rsidR="00F12774" w:rsidRPr="00F12774" w14:paraId="2681904A" w14:textId="77777777" w:rsidTr="00465D52">
        <w:trPr>
          <w:trHeight w:val="588"/>
        </w:trPr>
        <w:tc>
          <w:tcPr>
            <w:tcW w:w="1967" w:type="dxa"/>
            <w:vMerge/>
            <w:tcBorders>
              <w:top w:val="single" w:sz="8" w:space="0" w:color="4472C4"/>
              <w:left w:val="single" w:sz="8" w:space="0" w:color="4472C4"/>
              <w:bottom w:val="single" w:sz="8" w:space="0" w:color="4472C4"/>
              <w:right w:val="single" w:sz="8" w:space="0" w:color="4472C4"/>
            </w:tcBorders>
            <w:vAlign w:val="center"/>
            <w:hideMark/>
          </w:tcPr>
          <w:p w14:paraId="202B3206" w14:textId="77777777" w:rsidR="00F12774" w:rsidRPr="00F12774" w:rsidRDefault="00F12774" w:rsidP="00F12774">
            <w:pPr>
              <w:rPr>
                <w:rFonts w:ascii="Arial" w:hAnsi="Arial" w:cs="Arial"/>
                <w:b/>
                <w:color w:val="FFFFFF"/>
                <w:sz w:val="20"/>
                <w:szCs w:val="20"/>
                <w:lang w:val="es-CR" w:eastAsia="es-CR"/>
              </w:rPr>
            </w:pPr>
          </w:p>
        </w:tc>
        <w:tc>
          <w:tcPr>
            <w:tcW w:w="1237" w:type="dxa"/>
            <w:tcBorders>
              <w:top w:val="nil"/>
              <w:left w:val="nil"/>
              <w:bottom w:val="single" w:sz="8" w:space="0" w:color="4472C4"/>
              <w:right w:val="single" w:sz="8" w:space="0" w:color="4472C4"/>
            </w:tcBorders>
            <w:shd w:val="clear" w:color="000000" w:fill="4F81BD"/>
            <w:vAlign w:val="center"/>
            <w:hideMark/>
          </w:tcPr>
          <w:p w14:paraId="342ADF01"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 xml:space="preserve">30/06/2021 </w:t>
            </w:r>
            <w:r w:rsidRPr="00F12774">
              <w:rPr>
                <w:rFonts w:ascii="Arial" w:hAnsi="Arial" w:cs="Arial"/>
                <w:b/>
                <w:bCs/>
                <w:color w:val="FFFFFF"/>
                <w:sz w:val="20"/>
                <w:szCs w:val="20"/>
                <w:vertAlign w:val="superscript"/>
                <w:lang w:val="es-CR" w:eastAsia="es-CR"/>
              </w:rPr>
              <w:t>/1</w:t>
            </w:r>
          </w:p>
        </w:tc>
        <w:tc>
          <w:tcPr>
            <w:tcW w:w="1237" w:type="dxa"/>
            <w:tcBorders>
              <w:top w:val="nil"/>
              <w:left w:val="nil"/>
              <w:bottom w:val="single" w:sz="8" w:space="0" w:color="4472C4"/>
              <w:right w:val="single" w:sz="8" w:space="0" w:color="4472C4"/>
            </w:tcBorders>
            <w:shd w:val="clear" w:color="000000" w:fill="4F81BD"/>
            <w:vAlign w:val="center"/>
            <w:hideMark/>
          </w:tcPr>
          <w:p w14:paraId="6BBA067F"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 xml:space="preserve">31/12/2021 </w:t>
            </w:r>
            <w:r w:rsidRPr="00F12774">
              <w:rPr>
                <w:rFonts w:ascii="Arial" w:hAnsi="Arial" w:cs="Arial"/>
                <w:b/>
                <w:bCs/>
                <w:color w:val="FFFFFF"/>
                <w:sz w:val="20"/>
                <w:szCs w:val="20"/>
                <w:vertAlign w:val="superscript"/>
                <w:lang w:val="es-CR" w:eastAsia="es-CR"/>
              </w:rPr>
              <w:t>/2</w:t>
            </w:r>
          </w:p>
        </w:tc>
        <w:tc>
          <w:tcPr>
            <w:tcW w:w="318" w:type="dxa"/>
            <w:tcBorders>
              <w:top w:val="nil"/>
              <w:left w:val="nil"/>
              <w:bottom w:val="single" w:sz="8" w:space="0" w:color="4472C4"/>
              <w:right w:val="single" w:sz="8" w:space="0" w:color="4472C4"/>
            </w:tcBorders>
            <w:shd w:val="clear" w:color="000000" w:fill="4F81BD"/>
            <w:vAlign w:val="center"/>
            <w:hideMark/>
          </w:tcPr>
          <w:p w14:paraId="5A982DDF"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1</w:t>
            </w:r>
          </w:p>
        </w:tc>
        <w:tc>
          <w:tcPr>
            <w:tcW w:w="318" w:type="dxa"/>
            <w:tcBorders>
              <w:top w:val="nil"/>
              <w:left w:val="nil"/>
              <w:bottom w:val="single" w:sz="8" w:space="0" w:color="4472C4"/>
              <w:right w:val="single" w:sz="8" w:space="0" w:color="4472C4"/>
            </w:tcBorders>
            <w:shd w:val="clear" w:color="000000" w:fill="4F81BD"/>
            <w:vAlign w:val="center"/>
            <w:hideMark/>
          </w:tcPr>
          <w:p w14:paraId="1B24A80B"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2</w:t>
            </w:r>
          </w:p>
        </w:tc>
        <w:tc>
          <w:tcPr>
            <w:tcW w:w="318" w:type="dxa"/>
            <w:tcBorders>
              <w:top w:val="nil"/>
              <w:left w:val="nil"/>
              <w:bottom w:val="single" w:sz="8" w:space="0" w:color="4472C4"/>
              <w:right w:val="single" w:sz="8" w:space="0" w:color="4472C4"/>
            </w:tcBorders>
            <w:shd w:val="clear" w:color="000000" w:fill="4F81BD"/>
            <w:vAlign w:val="center"/>
            <w:hideMark/>
          </w:tcPr>
          <w:p w14:paraId="684F7447"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3</w:t>
            </w:r>
          </w:p>
        </w:tc>
        <w:tc>
          <w:tcPr>
            <w:tcW w:w="329" w:type="dxa"/>
            <w:tcBorders>
              <w:top w:val="nil"/>
              <w:left w:val="nil"/>
              <w:bottom w:val="single" w:sz="8" w:space="0" w:color="4472C4"/>
              <w:right w:val="single" w:sz="8" w:space="0" w:color="4472C4"/>
            </w:tcBorders>
            <w:shd w:val="clear" w:color="000000" w:fill="4F81BD"/>
            <w:vAlign w:val="center"/>
            <w:hideMark/>
          </w:tcPr>
          <w:p w14:paraId="4B2CB02B"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4</w:t>
            </w:r>
          </w:p>
        </w:tc>
        <w:tc>
          <w:tcPr>
            <w:tcW w:w="318" w:type="dxa"/>
            <w:tcBorders>
              <w:top w:val="nil"/>
              <w:left w:val="nil"/>
              <w:bottom w:val="single" w:sz="8" w:space="0" w:color="4472C4"/>
              <w:right w:val="single" w:sz="8" w:space="0" w:color="4472C4"/>
            </w:tcBorders>
            <w:shd w:val="clear" w:color="000000" w:fill="4F81BD"/>
            <w:vAlign w:val="center"/>
            <w:hideMark/>
          </w:tcPr>
          <w:p w14:paraId="0C6F3C70"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5</w:t>
            </w:r>
          </w:p>
        </w:tc>
        <w:tc>
          <w:tcPr>
            <w:tcW w:w="329" w:type="dxa"/>
            <w:tcBorders>
              <w:top w:val="nil"/>
              <w:left w:val="nil"/>
              <w:bottom w:val="single" w:sz="8" w:space="0" w:color="4472C4"/>
              <w:right w:val="single" w:sz="8" w:space="0" w:color="4472C4"/>
            </w:tcBorders>
            <w:shd w:val="clear" w:color="000000" w:fill="4F81BD"/>
            <w:vAlign w:val="center"/>
            <w:hideMark/>
          </w:tcPr>
          <w:p w14:paraId="226E4DDC"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6</w:t>
            </w:r>
          </w:p>
        </w:tc>
        <w:tc>
          <w:tcPr>
            <w:tcW w:w="318" w:type="dxa"/>
            <w:tcBorders>
              <w:top w:val="nil"/>
              <w:left w:val="nil"/>
              <w:bottom w:val="single" w:sz="8" w:space="0" w:color="4472C4"/>
              <w:right w:val="single" w:sz="8" w:space="0" w:color="4472C4"/>
            </w:tcBorders>
            <w:shd w:val="clear" w:color="000000" w:fill="4F81BD"/>
            <w:vAlign w:val="center"/>
            <w:hideMark/>
          </w:tcPr>
          <w:p w14:paraId="7CADBB19"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7</w:t>
            </w:r>
          </w:p>
        </w:tc>
        <w:tc>
          <w:tcPr>
            <w:tcW w:w="318" w:type="dxa"/>
            <w:tcBorders>
              <w:top w:val="nil"/>
              <w:left w:val="nil"/>
              <w:bottom w:val="single" w:sz="8" w:space="0" w:color="4472C4"/>
              <w:right w:val="single" w:sz="8" w:space="0" w:color="4472C4"/>
            </w:tcBorders>
            <w:shd w:val="clear" w:color="000000" w:fill="4F81BD"/>
            <w:vAlign w:val="center"/>
            <w:hideMark/>
          </w:tcPr>
          <w:p w14:paraId="2FEFA78B"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8</w:t>
            </w:r>
          </w:p>
        </w:tc>
        <w:tc>
          <w:tcPr>
            <w:tcW w:w="318" w:type="dxa"/>
            <w:tcBorders>
              <w:top w:val="nil"/>
              <w:left w:val="nil"/>
              <w:bottom w:val="single" w:sz="8" w:space="0" w:color="4472C4"/>
              <w:right w:val="single" w:sz="8" w:space="0" w:color="4472C4"/>
            </w:tcBorders>
            <w:shd w:val="clear" w:color="000000" w:fill="4F81BD"/>
            <w:vAlign w:val="center"/>
            <w:hideMark/>
          </w:tcPr>
          <w:p w14:paraId="17FB43E9"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9</w:t>
            </w:r>
          </w:p>
        </w:tc>
        <w:tc>
          <w:tcPr>
            <w:tcW w:w="363" w:type="dxa"/>
            <w:tcBorders>
              <w:top w:val="nil"/>
              <w:left w:val="nil"/>
              <w:bottom w:val="single" w:sz="8" w:space="0" w:color="4472C4"/>
              <w:right w:val="single" w:sz="8" w:space="0" w:color="4472C4"/>
            </w:tcBorders>
            <w:shd w:val="clear" w:color="000000" w:fill="4F81BD"/>
            <w:vAlign w:val="center"/>
            <w:hideMark/>
          </w:tcPr>
          <w:p w14:paraId="1D68EEE7"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10</w:t>
            </w:r>
          </w:p>
        </w:tc>
        <w:tc>
          <w:tcPr>
            <w:tcW w:w="1512" w:type="dxa"/>
            <w:tcBorders>
              <w:top w:val="nil"/>
              <w:left w:val="nil"/>
              <w:bottom w:val="single" w:sz="8" w:space="0" w:color="4472C4"/>
              <w:right w:val="single" w:sz="8" w:space="0" w:color="4472C4"/>
            </w:tcBorders>
            <w:shd w:val="clear" w:color="000000" w:fill="4F81BD"/>
            <w:vAlign w:val="center"/>
            <w:hideMark/>
          </w:tcPr>
          <w:p w14:paraId="5DA1E2AB" w14:textId="77777777" w:rsidR="00F12774" w:rsidRPr="00F12774" w:rsidRDefault="00F12774" w:rsidP="00F12774">
            <w:pPr>
              <w:jc w:val="center"/>
              <w:rPr>
                <w:rFonts w:ascii="Arial" w:hAnsi="Arial" w:cs="Arial"/>
                <w:b/>
                <w:bCs/>
                <w:color w:val="FFFFFF"/>
                <w:sz w:val="20"/>
                <w:szCs w:val="20"/>
                <w:lang w:val="es-CR" w:eastAsia="es-CR"/>
              </w:rPr>
            </w:pPr>
            <w:r w:rsidRPr="00F12774">
              <w:rPr>
                <w:rFonts w:ascii="Arial" w:hAnsi="Arial" w:cs="Arial"/>
                <w:b/>
                <w:bCs/>
                <w:color w:val="FFFFFF"/>
                <w:sz w:val="20"/>
                <w:szCs w:val="20"/>
                <w:lang w:val="es-CR" w:eastAsia="es-CR"/>
              </w:rPr>
              <w:t xml:space="preserve">Descripción </w:t>
            </w:r>
            <w:r w:rsidRPr="00F12774">
              <w:rPr>
                <w:rFonts w:ascii="Arial" w:hAnsi="Arial" w:cs="Arial"/>
                <w:b/>
                <w:bCs/>
                <w:color w:val="FFFFFF"/>
                <w:sz w:val="20"/>
                <w:szCs w:val="20"/>
                <w:vertAlign w:val="superscript"/>
                <w:lang w:val="es-CR" w:eastAsia="es-CR"/>
              </w:rPr>
              <w:t>/3</w:t>
            </w:r>
          </w:p>
        </w:tc>
      </w:tr>
      <w:tr w:rsidR="00F12774" w:rsidRPr="00F12774" w14:paraId="6DFEF333" w14:textId="77777777" w:rsidTr="00465D52">
        <w:trPr>
          <w:trHeight w:val="336"/>
        </w:trPr>
        <w:tc>
          <w:tcPr>
            <w:tcW w:w="1967" w:type="dxa"/>
            <w:tcBorders>
              <w:top w:val="nil"/>
              <w:left w:val="single" w:sz="8" w:space="0" w:color="4472C4"/>
              <w:bottom w:val="single" w:sz="8" w:space="0" w:color="4472C4"/>
              <w:right w:val="single" w:sz="8" w:space="0" w:color="4472C4"/>
            </w:tcBorders>
            <w:shd w:val="clear" w:color="auto" w:fill="auto"/>
            <w:vAlign w:val="center"/>
            <w:hideMark/>
          </w:tcPr>
          <w:p w14:paraId="53893C60" w14:textId="77777777" w:rsidR="00F12774" w:rsidRPr="00F12774" w:rsidRDefault="00F12774" w:rsidP="00F12774">
            <w:pPr>
              <w:rPr>
                <w:rFonts w:ascii="Arial" w:hAnsi="Arial" w:cs="Arial"/>
                <w:sz w:val="20"/>
                <w:szCs w:val="20"/>
                <w:lang w:val="es-CR" w:eastAsia="es-CR"/>
              </w:rPr>
            </w:pPr>
            <w:r w:rsidRPr="00F12774">
              <w:rPr>
                <w:rFonts w:ascii="Arial" w:eastAsiaTheme="minorEastAsia" w:hAnsi="Arial" w:cs="Arial"/>
                <w:sz w:val="20"/>
                <w:szCs w:val="20"/>
              </w:rPr>
              <w:t xml:space="preserve">Materiales </w:t>
            </w:r>
          </w:p>
        </w:tc>
        <w:tc>
          <w:tcPr>
            <w:tcW w:w="1237" w:type="dxa"/>
            <w:tcBorders>
              <w:top w:val="nil"/>
              <w:left w:val="nil"/>
              <w:bottom w:val="single" w:sz="8" w:space="0" w:color="4472C4"/>
              <w:right w:val="single" w:sz="8" w:space="0" w:color="4472C4"/>
            </w:tcBorders>
            <w:shd w:val="clear" w:color="auto" w:fill="auto"/>
            <w:vAlign w:val="center"/>
            <w:hideMark/>
          </w:tcPr>
          <w:p w14:paraId="52DE1261"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13,21%</w:t>
            </w:r>
          </w:p>
        </w:tc>
        <w:tc>
          <w:tcPr>
            <w:tcW w:w="1237" w:type="dxa"/>
            <w:tcBorders>
              <w:top w:val="nil"/>
              <w:left w:val="nil"/>
              <w:bottom w:val="single" w:sz="8" w:space="0" w:color="4472C4"/>
              <w:right w:val="single" w:sz="8" w:space="0" w:color="4472C4"/>
            </w:tcBorders>
            <w:shd w:val="clear" w:color="auto" w:fill="auto"/>
            <w:vAlign w:val="center"/>
            <w:hideMark/>
          </w:tcPr>
          <w:p w14:paraId="2C73F579"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75,00%</w:t>
            </w:r>
          </w:p>
        </w:tc>
        <w:tc>
          <w:tcPr>
            <w:tcW w:w="318" w:type="dxa"/>
            <w:tcBorders>
              <w:top w:val="nil"/>
              <w:left w:val="nil"/>
              <w:bottom w:val="single" w:sz="8" w:space="0" w:color="4472C4"/>
              <w:right w:val="single" w:sz="8" w:space="0" w:color="4472C4"/>
            </w:tcBorders>
            <w:shd w:val="clear" w:color="auto" w:fill="auto"/>
            <w:vAlign w:val="center"/>
            <w:hideMark/>
          </w:tcPr>
          <w:p w14:paraId="779CDB73"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X</w:t>
            </w:r>
          </w:p>
        </w:tc>
        <w:tc>
          <w:tcPr>
            <w:tcW w:w="318" w:type="dxa"/>
            <w:tcBorders>
              <w:top w:val="nil"/>
              <w:left w:val="nil"/>
              <w:bottom w:val="single" w:sz="8" w:space="0" w:color="4472C4"/>
              <w:right w:val="single" w:sz="8" w:space="0" w:color="4472C4"/>
            </w:tcBorders>
            <w:shd w:val="clear" w:color="auto" w:fill="auto"/>
            <w:vAlign w:val="center"/>
            <w:hideMark/>
          </w:tcPr>
          <w:p w14:paraId="579BC955"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 </w:t>
            </w:r>
          </w:p>
        </w:tc>
        <w:tc>
          <w:tcPr>
            <w:tcW w:w="318" w:type="dxa"/>
            <w:tcBorders>
              <w:top w:val="nil"/>
              <w:left w:val="nil"/>
              <w:bottom w:val="single" w:sz="8" w:space="0" w:color="4472C4"/>
              <w:right w:val="single" w:sz="8" w:space="0" w:color="4472C4"/>
            </w:tcBorders>
            <w:shd w:val="clear" w:color="auto" w:fill="auto"/>
            <w:vAlign w:val="center"/>
            <w:hideMark/>
          </w:tcPr>
          <w:p w14:paraId="0E8793C7"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X</w:t>
            </w:r>
          </w:p>
        </w:tc>
        <w:tc>
          <w:tcPr>
            <w:tcW w:w="329" w:type="dxa"/>
            <w:tcBorders>
              <w:top w:val="nil"/>
              <w:left w:val="nil"/>
              <w:bottom w:val="single" w:sz="8" w:space="0" w:color="4472C4"/>
              <w:right w:val="single" w:sz="8" w:space="0" w:color="4472C4"/>
            </w:tcBorders>
            <w:shd w:val="clear" w:color="auto" w:fill="auto"/>
            <w:vAlign w:val="center"/>
            <w:hideMark/>
          </w:tcPr>
          <w:p w14:paraId="023D013A"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 </w:t>
            </w:r>
          </w:p>
        </w:tc>
        <w:tc>
          <w:tcPr>
            <w:tcW w:w="318" w:type="dxa"/>
            <w:tcBorders>
              <w:top w:val="nil"/>
              <w:left w:val="nil"/>
              <w:bottom w:val="single" w:sz="8" w:space="0" w:color="4472C4"/>
              <w:right w:val="single" w:sz="8" w:space="0" w:color="4472C4"/>
            </w:tcBorders>
            <w:shd w:val="clear" w:color="auto" w:fill="auto"/>
            <w:vAlign w:val="center"/>
            <w:hideMark/>
          </w:tcPr>
          <w:p w14:paraId="7964CFEE"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X</w:t>
            </w:r>
          </w:p>
        </w:tc>
        <w:tc>
          <w:tcPr>
            <w:tcW w:w="329" w:type="dxa"/>
            <w:tcBorders>
              <w:top w:val="nil"/>
              <w:left w:val="nil"/>
              <w:bottom w:val="single" w:sz="8" w:space="0" w:color="4472C4"/>
              <w:right w:val="single" w:sz="8" w:space="0" w:color="4472C4"/>
            </w:tcBorders>
            <w:shd w:val="clear" w:color="auto" w:fill="auto"/>
            <w:vAlign w:val="center"/>
          </w:tcPr>
          <w:p w14:paraId="2B89D0B4" w14:textId="77777777" w:rsidR="00F12774" w:rsidRPr="00F12774" w:rsidRDefault="00F12774" w:rsidP="00F12774">
            <w:pPr>
              <w:jc w:val="center"/>
              <w:rPr>
                <w:rFonts w:ascii="Arial" w:hAnsi="Arial" w:cs="Arial"/>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tcPr>
          <w:p w14:paraId="611861E1" w14:textId="77777777" w:rsidR="00F12774" w:rsidRPr="00F12774" w:rsidRDefault="00F12774" w:rsidP="00F12774">
            <w:pPr>
              <w:jc w:val="center"/>
              <w:rPr>
                <w:rFonts w:ascii="Arial" w:hAnsi="Arial" w:cs="Arial"/>
                <w:color w:val="C00000"/>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tcPr>
          <w:p w14:paraId="7F6FE26E" w14:textId="77777777" w:rsidR="00F12774" w:rsidRPr="00F12774" w:rsidRDefault="00F12774" w:rsidP="00F12774">
            <w:pPr>
              <w:jc w:val="center"/>
              <w:rPr>
                <w:rFonts w:ascii="Arial" w:hAnsi="Arial" w:cs="Arial"/>
                <w:color w:val="C00000"/>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hideMark/>
          </w:tcPr>
          <w:p w14:paraId="024E932C" w14:textId="77777777" w:rsidR="00F12774" w:rsidRPr="00F12774" w:rsidRDefault="00F12774" w:rsidP="00F12774">
            <w:pPr>
              <w:jc w:val="center"/>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1B70A02E" w14:textId="77777777" w:rsidR="00F12774" w:rsidRPr="00F12774" w:rsidRDefault="00F12774" w:rsidP="00F12774">
            <w:pPr>
              <w:jc w:val="center"/>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1512" w:type="dxa"/>
            <w:tcBorders>
              <w:top w:val="nil"/>
              <w:left w:val="nil"/>
              <w:bottom w:val="single" w:sz="8" w:space="0" w:color="4472C4"/>
              <w:right w:val="single" w:sz="8" w:space="0" w:color="4472C4"/>
            </w:tcBorders>
            <w:shd w:val="clear" w:color="auto" w:fill="auto"/>
            <w:vAlign w:val="center"/>
            <w:hideMark/>
          </w:tcPr>
          <w:p w14:paraId="4ABDCA19" w14:textId="56E71EB4" w:rsidR="00F12774" w:rsidRPr="00C577DB" w:rsidRDefault="00C577DB" w:rsidP="00C577DB">
            <w:pPr>
              <w:jc w:val="center"/>
              <w:rPr>
                <w:rFonts w:ascii="Arial" w:hAnsi="Arial" w:cs="Arial"/>
                <w:sz w:val="20"/>
                <w:szCs w:val="20"/>
                <w:lang w:val="es-CR" w:eastAsia="es-CR"/>
              </w:rPr>
            </w:pPr>
            <w:r w:rsidRPr="00C577DB">
              <w:rPr>
                <w:rFonts w:ascii="Arial" w:hAnsi="Arial" w:cs="Arial"/>
                <w:sz w:val="20"/>
                <w:szCs w:val="20"/>
                <w:lang w:val="es-CR" w:eastAsia="es-CR"/>
              </w:rPr>
              <w:t>-</w:t>
            </w:r>
          </w:p>
        </w:tc>
      </w:tr>
      <w:tr w:rsidR="00F12774" w:rsidRPr="00F12774" w14:paraId="5D37AE52" w14:textId="77777777" w:rsidTr="00465D52">
        <w:trPr>
          <w:trHeight w:val="336"/>
        </w:trPr>
        <w:tc>
          <w:tcPr>
            <w:tcW w:w="1967" w:type="dxa"/>
            <w:tcBorders>
              <w:top w:val="nil"/>
              <w:left w:val="single" w:sz="8" w:space="0" w:color="4472C4"/>
              <w:bottom w:val="single" w:sz="8" w:space="0" w:color="4472C4"/>
              <w:right w:val="single" w:sz="8" w:space="0" w:color="4472C4"/>
            </w:tcBorders>
            <w:shd w:val="clear" w:color="auto" w:fill="auto"/>
            <w:vAlign w:val="center"/>
            <w:hideMark/>
          </w:tcPr>
          <w:p w14:paraId="68C4EEBA" w14:textId="77777777" w:rsidR="00F12774" w:rsidRPr="00F12774" w:rsidRDefault="00F12774" w:rsidP="00F12774">
            <w:pPr>
              <w:rPr>
                <w:rFonts w:ascii="Arial" w:hAnsi="Arial" w:cs="Arial"/>
                <w:sz w:val="20"/>
                <w:szCs w:val="20"/>
                <w:lang w:val="es-CR" w:eastAsia="es-CR"/>
              </w:rPr>
            </w:pPr>
            <w:r w:rsidRPr="00F12774">
              <w:rPr>
                <w:rFonts w:ascii="Arial" w:eastAsiaTheme="minorEastAsia" w:hAnsi="Arial" w:cs="Arial"/>
                <w:sz w:val="20"/>
                <w:szCs w:val="20"/>
              </w:rPr>
              <w:t>Bienes duraderos</w:t>
            </w:r>
          </w:p>
        </w:tc>
        <w:tc>
          <w:tcPr>
            <w:tcW w:w="1237" w:type="dxa"/>
            <w:tcBorders>
              <w:top w:val="nil"/>
              <w:left w:val="nil"/>
              <w:bottom w:val="single" w:sz="8" w:space="0" w:color="4472C4"/>
              <w:right w:val="single" w:sz="8" w:space="0" w:color="4472C4"/>
            </w:tcBorders>
            <w:shd w:val="clear" w:color="auto" w:fill="auto"/>
            <w:vAlign w:val="center"/>
            <w:hideMark/>
          </w:tcPr>
          <w:p w14:paraId="66073181"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7,64%</w:t>
            </w:r>
          </w:p>
        </w:tc>
        <w:tc>
          <w:tcPr>
            <w:tcW w:w="1237" w:type="dxa"/>
            <w:tcBorders>
              <w:top w:val="nil"/>
              <w:left w:val="nil"/>
              <w:bottom w:val="single" w:sz="8" w:space="0" w:color="4472C4"/>
              <w:right w:val="single" w:sz="8" w:space="0" w:color="4472C4"/>
            </w:tcBorders>
            <w:shd w:val="clear" w:color="auto" w:fill="auto"/>
            <w:vAlign w:val="center"/>
            <w:hideMark/>
          </w:tcPr>
          <w:p w14:paraId="3D031D32" w14:textId="77777777" w:rsidR="00F12774" w:rsidRPr="00F12774" w:rsidRDefault="00F12774" w:rsidP="00F12774">
            <w:pPr>
              <w:jc w:val="center"/>
              <w:rPr>
                <w:rFonts w:ascii="Arial" w:hAnsi="Arial" w:cs="Arial"/>
                <w:sz w:val="20"/>
                <w:szCs w:val="20"/>
                <w:lang w:val="es-CR" w:eastAsia="es-CR"/>
              </w:rPr>
            </w:pPr>
            <w:r w:rsidRPr="00F12774">
              <w:rPr>
                <w:rFonts w:ascii="Arial" w:eastAsiaTheme="minorEastAsia" w:hAnsi="Arial" w:cs="Arial"/>
                <w:sz w:val="20"/>
                <w:szCs w:val="20"/>
              </w:rPr>
              <w:t>75,88%</w:t>
            </w:r>
          </w:p>
        </w:tc>
        <w:tc>
          <w:tcPr>
            <w:tcW w:w="318" w:type="dxa"/>
            <w:tcBorders>
              <w:top w:val="nil"/>
              <w:left w:val="nil"/>
              <w:bottom w:val="single" w:sz="8" w:space="0" w:color="4472C4"/>
              <w:right w:val="single" w:sz="8" w:space="0" w:color="4472C4"/>
            </w:tcBorders>
            <w:shd w:val="clear" w:color="auto" w:fill="auto"/>
            <w:vAlign w:val="center"/>
            <w:hideMark/>
          </w:tcPr>
          <w:p w14:paraId="3B83E041" w14:textId="77777777" w:rsidR="00F12774" w:rsidRPr="00F12774" w:rsidRDefault="00F12774" w:rsidP="00F12774">
            <w:pPr>
              <w:jc w:val="both"/>
              <w:rPr>
                <w:rFonts w:ascii="Arial" w:hAnsi="Arial" w:cs="Arial"/>
                <w:sz w:val="20"/>
                <w:szCs w:val="20"/>
                <w:lang w:val="es-CR" w:eastAsia="es-CR"/>
              </w:rPr>
            </w:pPr>
            <w:r w:rsidRPr="00F12774">
              <w:rPr>
                <w:rFonts w:ascii="Arial" w:eastAsiaTheme="minorEastAsia" w:hAnsi="Arial" w:cs="Arial"/>
                <w:sz w:val="20"/>
                <w:szCs w:val="20"/>
              </w:rPr>
              <w:t> </w:t>
            </w:r>
          </w:p>
        </w:tc>
        <w:tc>
          <w:tcPr>
            <w:tcW w:w="318" w:type="dxa"/>
            <w:tcBorders>
              <w:top w:val="nil"/>
              <w:left w:val="nil"/>
              <w:bottom w:val="single" w:sz="8" w:space="0" w:color="4472C4"/>
              <w:right w:val="single" w:sz="8" w:space="0" w:color="4472C4"/>
            </w:tcBorders>
            <w:shd w:val="clear" w:color="auto" w:fill="auto"/>
            <w:vAlign w:val="center"/>
            <w:hideMark/>
          </w:tcPr>
          <w:p w14:paraId="4D3EF654" w14:textId="77777777" w:rsidR="00F12774" w:rsidRPr="00F12774" w:rsidRDefault="00F12774" w:rsidP="00F12774">
            <w:pPr>
              <w:jc w:val="both"/>
              <w:rPr>
                <w:rFonts w:ascii="Arial" w:hAnsi="Arial" w:cs="Arial"/>
                <w:sz w:val="20"/>
                <w:szCs w:val="20"/>
                <w:lang w:val="es-CR" w:eastAsia="es-CR"/>
              </w:rPr>
            </w:pPr>
            <w:r w:rsidRPr="00F12774">
              <w:rPr>
                <w:rFonts w:ascii="Arial" w:eastAsiaTheme="minorEastAsia" w:hAnsi="Arial" w:cs="Arial"/>
                <w:sz w:val="20"/>
                <w:szCs w:val="20"/>
              </w:rPr>
              <w:t> </w:t>
            </w:r>
          </w:p>
        </w:tc>
        <w:tc>
          <w:tcPr>
            <w:tcW w:w="318" w:type="dxa"/>
            <w:tcBorders>
              <w:top w:val="nil"/>
              <w:left w:val="nil"/>
              <w:bottom w:val="single" w:sz="8" w:space="0" w:color="4472C4"/>
              <w:right w:val="single" w:sz="8" w:space="0" w:color="4472C4"/>
            </w:tcBorders>
            <w:shd w:val="clear" w:color="auto" w:fill="auto"/>
            <w:vAlign w:val="center"/>
            <w:hideMark/>
          </w:tcPr>
          <w:p w14:paraId="037CD0C2" w14:textId="77777777" w:rsidR="00F12774" w:rsidRPr="00F12774" w:rsidRDefault="00F12774" w:rsidP="00F12774">
            <w:pPr>
              <w:jc w:val="both"/>
              <w:rPr>
                <w:rFonts w:ascii="Arial" w:hAnsi="Arial" w:cs="Arial"/>
                <w:sz w:val="20"/>
                <w:szCs w:val="20"/>
                <w:lang w:val="es-CR" w:eastAsia="es-CR"/>
              </w:rPr>
            </w:pPr>
            <w:r w:rsidRPr="00F12774">
              <w:rPr>
                <w:rFonts w:ascii="Arial" w:eastAsiaTheme="minorEastAsia" w:hAnsi="Arial" w:cs="Arial"/>
                <w:sz w:val="20"/>
                <w:szCs w:val="20"/>
              </w:rPr>
              <w:t>X</w:t>
            </w:r>
          </w:p>
        </w:tc>
        <w:tc>
          <w:tcPr>
            <w:tcW w:w="329" w:type="dxa"/>
            <w:tcBorders>
              <w:top w:val="nil"/>
              <w:left w:val="nil"/>
              <w:bottom w:val="single" w:sz="8" w:space="0" w:color="4472C4"/>
              <w:right w:val="single" w:sz="8" w:space="0" w:color="4472C4"/>
            </w:tcBorders>
            <w:shd w:val="clear" w:color="auto" w:fill="auto"/>
            <w:vAlign w:val="center"/>
            <w:hideMark/>
          </w:tcPr>
          <w:p w14:paraId="66614697" w14:textId="77777777" w:rsidR="00F12774" w:rsidRPr="00F12774" w:rsidRDefault="00F12774" w:rsidP="00F12774">
            <w:pPr>
              <w:jc w:val="both"/>
              <w:rPr>
                <w:rFonts w:ascii="Arial" w:hAnsi="Arial" w:cs="Arial"/>
                <w:sz w:val="20"/>
                <w:szCs w:val="20"/>
                <w:lang w:val="es-CR" w:eastAsia="es-CR"/>
              </w:rPr>
            </w:pPr>
            <w:r w:rsidRPr="00F12774">
              <w:rPr>
                <w:rFonts w:ascii="Arial" w:eastAsiaTheme="minorEastAsia" w:hAnsi="Arial" w:cs="Arial"/>
                <w:sz w:val="20"/>
                <w:szCs w:val="20"/>
              </w:rPr>
              <w:t> </w:t>
            </w:r>
          </w:p>
        </w:tc>
        <w:tc>
          <w:tcPr>
            <w:tcW w:w="318" w:type="dxa"/>
            <w:tcBorders>
              <w:top w:val="nil"/>
              <w:left w:val="nil"/>
              <w:bottom w:val="single" w:sz="8" w:space="0" w:color="4472C4"/>
              <w:right w:val="single" w:sz="8" w:space="0" w:color="4472C4"/>
            </w:tcBorders>
            <w:shd w:val="clear" w:color="auto" w:fill="auto"/>
            <w:vAlign w:val="center"/>
            <w:hideMark/>
          </w:tcPr>
          <w:p w14:paraId="3CDDFDD3" w14:textId="77777777" w:rsidR="00F12774" w:rsidRPr="00F12774" w:rsidRDefault="00F12774" w:rsidP="00F12774">
            <w:pPr>
              <w:jc w:val="both"/>
              <w:rPr>
                <w:rFonts w:ascii="Arial" w:hAnsi="Arial" w:cs="Arial"/>
                <w:sz w:val="20"/>
                <w:szCs w:val="20"/>
                <w:lang w:val="es-CR" w:eastAsia="es-CR"/>
              </w:rPr>
            </w:pPr>
            <w:r w:rsidRPr="00F12774">
              <w:rPr>
                <w:rFonts w:ascii="Arial" w:eastAsiaTheme="minorEastAsia" w:hAnsi="Arial" w:cs="Arial"/>
                <w:sz w:val="20"/>
                <w:szCs w:val="20"/>
              </w:rPr>
              <w:t>X</w:t>
            </w:r>
          </w:p>
        </w:tc>
        <w:tc>
          <w:tcPr>
            <w:tcW w:w="329" w:type="dxa"/>
            <w:tcBorders>
              <w:top w:val="nil"/>
              <w:left w:val="nil"/>
              <w:bottom w:val="single" w:sz="8" w:space="0" w:color="4472C4"/>
              <w:right w:val="single" w:sz="8" w:space="0" w:color="4472C4"/>
            </w:tcBorders>
            <w:shd w:val="clear" w:color="auto" w:fill="auto"/>
            <w:vAlign w:val="center"/>
          </w:tcPr>
          <w:p w14:paraId="2B5F61DE" w14:textId="77777777" w:rsidR="00F12774" w:rsidRPr="00F12774" w:rsidRDefault="00F12774" w:rsidP="00F12774">
            <w:pPr>
              <w:jc w:val="both"/>
              <w:rPr>
                <w:rFonts w:ascii="Arial" w:hAnsi="Arial" w:cs="Arial"/>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tcPr>
          <w:p w14:paraId="053A4FCD" w14:textId="77777777" w:rsidR="00F12774" w:rsidRPr="00F12774" w:rsidRDefault="00F12774" w:rsidP="00F12774">
            <w:pPr>
              <w:jc w:val="both"/>
              <w:rPr>
                <w:rFonts w:ascii="Arial" w:hAnsi="Arial" w:cs="Arial"/>
                <w:color w:val="C00000"/>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tcPr>
          <w:p w14:paraId="29143042" w14:textId="77777777" w:rsidR="00F12774" w:rsidRPr="00F12774" w:rsidRDefault="00F12774" w:rsidP="00F12774">
            <w:pPr>
              <w:jc w:val="both"/>
              <w:rPr>
                <w:rFonts w:ascii="Arial" w:hAnsi="Arial" w:cs="Arial"/>
                <w:color w:val="C00000"/>
                <w:sz w:val="20"/>
                <w:szCs w:val="20"/>
                <w:lang w:val="es-CR" w:eastAsia="es-CR"/>
              </w:rPr>
            </w:pPr>
          </w:p>
        </w:tc>
        <w:tc>
          <w:tcPr>
            <w:tcW w:w="318" w:type="dxa"/>
            <w:tcBorders>
              <w:top w:val="nil"/>
              <w:left w:val="nil"/>
              <w:bottom w:val="single" w:sz="8" w:space="0" w:color="4472C4"/>
              <w:right w:val="single" w:sz="8" w:space="0" w:color="4472C4"/>
            </w:tcBorders>
            <w:shd w:val="clear" w:color="auto" w:fill="auto"/>
            <w:vAlign w:val="center"/>
            <w:hideMark/>
          </w:tcPr>
          <w:p w14:paraId="068C2414" w14:textId="77777777" w:rsidR="00F12774" w:rsidRPr="00F12774" w:rsidRDefault="00F12774" w:rsidP="00F12774">
            <w:pPr>
              <w:jc w:val="both"/>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4950CD69" w14:textId="77777777" w:rsidR="00F12774" w:rsidRPr="00F12774" w:rsidRDefault="00F12774" w:rsidP="00F12774">
            <w:pPr>
              <w:jc w:val="both"/>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1512" w:type="dxa"/>
            <w:tcBorders>
              <w:top w:val="nil"/>
              <w:left w:val="nil"/>
              <w:bottom w:val="single" w:sz="8" w:space="0" w:color="4472C4"/>
              <w:right w:val="single" w:sz="8" w:space="0" w:color="4472C4"/>
            </w:tcBorders>
            <w:shd w:val="clear" w:color="auto" w:fill="auto"/>
            <w:vAlign w:val="center"/>
            <w:hideMark/>
          </w:tcPr>
          <w:p w14:paraId="3BE50D30" w14:textId="7B91BB40" w:rsidR="00F12774" w:rsidRPr="00C577DB" w:rsidRDefault="00C577DB" w:rsidP="00C577DB">
            <w:pPr>
              <w:jc w:val="center"/>
              <w:rPr>
                <w:rFonts w:ascii="Arial" w:hAnsi="Arial" w:cs="Arial"/>
                <w:sz w:val="20"/>
                <w:szCs w:val="20"/>
                <w:lang w:val="es-CR" w:eastAsia="es-CR"/>
              </w:rPr>
            </w:pPr>
            <w:r w:rsidRPr="00C577DB">
              <w:rPr>
                <w:rFonts w:ascii="Arial" w:hAnsi="Arial" w:cs="Arial"/>
                <w:sz w:val="20"/>
                <w:szCs w:val="20"/>
                <w:lang w:val="es-CR" w:eastAsia="es-CR"/>
              </w:rPr>
              <w:t>-</w:t>
            </w:r>
          </w:p>
        </w:tc>
      </w:tr>
      <w:tr w:rsidR="00F12774" w:rsidRPr="00F12774" w14:paraId="2E53AD92" w14:textId="77777777" w:rsidTr="00465D52">
        <w:trPr>
          <w:trHeight w:val="336"/>
        </w:trPr>
        <w:tc>
          <w:tcPr>
            <w:tcW w:w="1967" w:type="dxa"/>
            <w:tcBorders>
              <w:top w:val="nil"/>
              <w:left w:val="single" w:sz="8" w:space="0" w:color="4472C4"/>
              <w:bottom w:val="single" w:sz="8" w:space="0" w:color="4472C4"/>
              <w:right w:val="single" w:sz="8" w:space="0" w:color="4472C4"/>
            </w:tcBorders>
            <w:shd w:val="clear" w:color="auto" w:fill="auto"/>
            <w:vAlign w:val="center"/>
            <w:hideMark/>
          </w:tcPr>
          <w:p w14:paraId="3C276F5C" w14:textId="77777777" w:rsidR="00F12774" w:rsidRPr="00F12774" w:rsidRDefault="00F12774" w:rsidP="00F12774">
            <w:pPr>
              <w:jc w:val="both"/>
              <w:rPr>
                <w:rFonts w:ascii="Arial" w:hAnsi="Arial" w:cs="Arial"/>
                <w:sz w:val="20"/>
                <w:szCs w:val="20"/>
                <w:lang w:val="es-CR" w:eastAsia="es-CR"/>
              </w:rPr>
            </w:pPr>
            <w:r w:rsidRPr="00F12774">
              <w:rPr>
                <w:rFonts w:ascii="Arial" w:hAnsi="Arial" w:cs="Arial"/>
                <w:sz w:val="20"/>
                <w:szCs w:val="20"/>
                <w:lang w:val="es-CR" w:eastAsia="es-CR"/>
              </w:rPr>
              <w:t> Transferencias corrientes</w:t>
            </w:r>
          </w:p>
        </w:tc>
        <w:tc>
          <w:tcPr>
            <w:tcW w:w="1237" w:type="dxa"/>
            <w:tcBorders>
              <w:top w:val="nil"/>
              <w:left w:val="nil"/>
              <w:bottom w:val="single" w:sz="8" w:space="0" w:color="4472C4"/>
              <w:right w:val="single" w:sz="8" w:space="0" w:color="4472C4"/>
            </w:tcBorders>
            <w:shd w:val="clear" w:color="auto" w:fill="auto"/>
            <w:vAlign w:val="center"/>
            <w:hideMark/>
          </w:tcPr>
          <w:p w14:paraId="4FE7E1A8"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46,21% </w:t>
            </w:r>
          </w:p>
        </w:tc>
        <w:tc>
          <w:tcPr>
            <w:tcW w:w="1237" w:type="dxa"/>
            <w:tcBorders>
              <w:top w:val="nil"/>
              <w:left w:val="nil"/>
              <w:bottom w:val="single" w:sz="8" w:space="0" w:color="4472C4"/>
              <w:right w:val="single" w:sz="8" w:space="0" w:color="4472C4"/>
            </w:tcBorders>
            <w:shd w:val="clear" w:color="auto" w:fill="auto"/>
            <w:vAlign w:val="center"/>
            <w:hideMark/>
          </w:tcPr>
          <w:p w14:paraId="0DC8BD94"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87,19% </w:t>
            </w:r>
          </w:p>
        </w:tc>
        <w:tc>
          <w:tcPr>
            <w:tcW w:w="318" w:type="dxa"/>
            <w:tcBorders>
              <w:top w:val="nil"/>
              <w:left w:val="nil"/>
              <w:bottom w:val="single" w:sz="8" w:space="0" w:color="4472C4"/>
              <w:right w:val="single" w:sz="8" w:space="0" w:color="4472C4"/>
            </w:tcBorders>
            <w:shd w:val="clear" w:color="auto" w:fill="auto"/>
            <w:vAlign w:val="center"/>
            <w:hideMark/>
          </w:tcPr>
          <w:p w14:paraId="691D9E8B"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30583B26"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43E1F5EC"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4EA445C3"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0F151A51"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 </w:t>
            </w:r>
          </w:p>
        </w:tc>
        <w:tc>
          <w:tcPr>
            <w:tcW w:w="329" w:type="dxa"/>
            <w:tcBorders>
              <w:top w:val="nil"/>
              <w:left w:val="nil"/>
              <w:bottom w:val="single" w:sz="8" w:space="0" w:color="4472C4"/>
              <w:right w:val="single" w:sz="8" w:space="0" w:color="4472C4"/>
            </w:tcBorders>
            <w:shd w:val="clear" w:color="auto" w:fill="auto"/>
            <w:vAlign w:val="center"/>
            <w:hideMark/>
          </w:tcPr>
          <w:p w14:paraId="379F4C0D" w14:textId="77777777" w:rsidR="00F12774" w:rsidRPr="00F12774" w:rsidRDefault="00F12774" w:rsidP="00F12774">
            <w:pPr>
              <w:jc w:val="center"/>
              <w:rPr>
                <w:rFonts w:ascii="Arial" w:hAnsi="Arial" w:cs="Arial"/>
                <w:sz w:val="20"/>
                <w:szCs w:val="20"/>
                <w:lang w:val="es-CR" w:eastAsia="es-CR"/>
              </w:rPr>
            </w:pPr>
            <w:r w:rsidRPr="00F12774">
              <w:rPr>
                <w:rFonts w:ascii="Arial" w:hAnsi="Arial" w:cs="Arial"/>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75355228" w14:textId="77777777" w:rsidR="00F12774" w:rsidRPr="00F12774" w:rsidRDefault="00F12774" w:rsidP="00F12774">
            <w:pPr>
              <w:jc w:val="center"/>
              <w:rPr>
                <w:rFonts w:ascii="Arial" w:hAnsi="Arial" w:cs="Arial"/>
                <w:color w:val="C00000"/>
                <w:sz w:val="20"/>
                <w:szCs w:val="20"/>
                <w:lang w:val="es-CR" w:eastAsia="es-CR"/>
              </w:rPr>
            </w:pPr>
            <w:r w:rsidRPr="00F12774">
              <w:rPr>
                <w:rFonts w:ascii="Arial" w:hAnsi="Arial" w:cs="Arial"/>
                <w:color w:val="000000" w:themeColor="text1"/>
                <w:sz w:val="20"/>
                <w:szCs w:val="20"/>
                <w:lang w:val="es-CR" w:eastAsia="es-CR"/>
              </w:rPr>
              <w:t>X</w:t>
            </w:r>
          </w:p>
        </w:tc>
        <w:tc>
          <w:tcPr>
            <w:tcW w:w="318" w:type="dxa"/>
            <w:tcBorders>
              <w:top w:val="nil"/>
              <w:left w:val="nil"/>
              <w:bottom w:val="single" w:sz="8" w:space="0" w:color="4472C4"/>
              <w:right w:val="single" w:sz="8" w:space="0" w:color="4472C4"/>
            </w:tcBorders>
            <w:shd w:val="clear" w:color="auto" w:fill="auto"/>
            <w:vAlign w:val="center"/>
            <w:hideMark/>
          </w:tcPr>
          <w:p w14:paraId="199DB4A8" w14:textId="77777777" w:rsidR="00F12774" w:rsidRPr="00F12774" w:rsidRDefault="00F12774" w:rsidP="00F12774">
            <w:pPr>
              <w:jc w:val="center"/>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318" w:type="dxa"/>
            <w:tcBorders>
              <w:top w:val="nil"/>
              <w:left w:val="nil"/>
              <w:bottom w:val="single" w:sz="8" w:space="0" w:color="4472C4"/>
              <w:right w:val="single" w:sz="8" w:space="0" w:color="4472C4"/>
            </w:tcBorders>
            <w:shd w:val="clear" w:color="auto" w:fill="auto"/>
            <w:vAlign w:val="center"/>
            <w:hideMark/>
          </w:tcPr>
          <w:p w14:paraId="522848B4" w14:textId="77777777" w:rsidR="00F12774" w:rsidRPr="00F12774" w:rsidRDefault="00F12774" w:rsidP="00F12774">
            <w:pPr>
              <w:jc w:val="center"/>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363" w:type="dxa"/>
            <w:tcBorders>
              <w:top w:val="nil"/>
              <w:left w:val="nil"/>
              <w:bottom w:val="single" w:sz="8" w:space="0" w:color="4472C4"/>
              <w:right w:val="single" w:sz="8" w:space="0" w:color="4472C4"/>
            </w:tcBorders>
            <w:shd w:val="clear" w:color="auto" w:fill="auto"/>
            <w:vAlign w:val="center"/>
            <w:hideMark/>
          </w:tcPr>
          <w:p w14:paraId="6E79F9A7" w14:textId="77777777" w:rsidR="00F12774" w:rsidRPr="00F12774" w:rsidRDefault="00F12774" w:rsidP="00F12774">
            <w:pPr>
              <w:jc w:val="center"/>
              <w:rPr>
                <w:rFonts w:ascii="Arial" w:hAnsi="Arial" w:cs="Arial"/>
                <w:color w:val="C00000"/>
                <w:sz w:val="20"/>
                <w:szCs w:val="20"/>
                <w:lang w:val="es-CR" w:eastAsia="es-CR"/>
              </w:rPr>
            </w:pPr>
            <w:r w:rsidRPr="00F12774">
              <w:rPr>
                <w:rFonts w:ascii="Arial" w:hAnsi="Arial" w:cs="Arial"/>
                <w:color w:val="C00000"/>
                <w:sz w:val="20"/>
                <w:szCs w:val="20"/>
                <w:lang w:val="es-CR" w:eastAsia="es-CR"/>
              </w:rPr>
              <w:t> </w:t>
            </w:r>
          </w:p>
        </w:tc>
        <w:tc>
          <w:tcPr>
            <w:tcW w:w="1512" w:type="dxa"/>
            <w:tcBorders>
              <w:top w:val="nil"/>
              <w:left w:val="nil"/>
              <w:bottom w:val="single" w:sz="8" w:space="0" w:color="4472C4"/>
              <w:right w:val="single" w:sz="8" w:space="0" w:color="4472C4"/>
            </w:tcBorders>
            <w:shd w:val="clear" w:color="auto" w:fill="auto"/>
            <w:vAlign w:val="center"/>
            <w:hideMark/>
          </w:tcPr>
          <w:p w14:paraId="586B7AD2" w14:textId="20C97A9E" w:rsidR="00F12774" w:rsidRPr="00C577DB" w:rsidRDefault="00C577DB" w:rsidP="00C577DB">
            <w:pPr>
              <w:jc w:val="center"/>
              <w:rPr>
                <w:rFonts w:ascii="Arial" w:hAnsi="Arial" w:cs="Arial"/>
                <w:sz w:val="20"/>
                <w:szCs w:val="20"/>
                <w:lang w:val="es-CR" w:eastAsia="es-CR"/>
              </w:rPr>
            </w:pPr>
            <w:r w:rsidRPr="00C577DB">
              <w:rPr>
                <w:rFonts w:ascii="Arial" w:hAnsi="Arial" w:cs="Arial"/>
                <w:sz w:val="20"/>
                <w:szCs w:val="20"/>
                <w:lang w:val="es-CR" w:eastAsia="es-CR"/>
              </w:rPr>
              <w:t>-</w:t>
            </w:r>
          </w:p>
        </w:tc>
      </w:tr>
    </w:tbl>
    <w:p w14:paraId="5B36875D" w14:textId="77777777" w:rsidR="00F12774" w:rsidRPr="00F12774" w:rsidRDefault="00F12774" w:rsidP="00F12774">
      <w:pPr>
        <w:jc w:val="both"/>
        <w:rPr>
          <w:rFonts w:ascii="Arial" w:hAnsi="Arial" w:cs="Arial"/>
          <w:b/>
          <w:bCs/>
          <w:color w:val="000000"/>
          <w:sz w:val="16"/>
          <w:szCs w:val="20"/>
          <w:lang w:val="es-CR" w:eastAsia="es-CR"/>
        </w:rPr>
      </w:pPr>
      <w:r w:rsidRPr="00F12774">
        <w:rPr>
          <w:rFonts w:ascii="Arial" w:eastAsiaTheme="minorEastAsia" w:hAnsi="Arial" w:cs="Arial"/>
          <w:b/>
          <w:sz w:val="16"/>
          <w:szCs w:val="20"/>
        </w:rPr>
        <w:t>Fuente</w:t>
      </w:r>
      <w:r w:rsidRPr="00F12774">
        <w:rPr>
          <w:rFonts w:ascii="Arial" w:eastAsiaTheme="minorEastAsia" w:hAnsi="Arial" w:cs="Arial"/>
          <w:sz w:val="16"/>
          <w:szCs w:val="20"/>
        </w:rPr>
        <w:t xml:space="preserve">: </w:t>
      </w:r>
      <w:r w:rsidRPr="00F12774">
        <w:rPr>
          <w:rFonts w:ascii="Arial" w:hAnsi="Arial" w:cs="Arial"/>
          <w:color w:val="000000"/>
          <w:sz w:val="16"/>
          <w:szCs w:val="20"/>
          <w:lang w:val="es-CR" w:eastAsia="es-CR"/>
        </w:rPr>
        <w:t>Liquidación Módulo de Poderes al 31 de diciembre 2021.</w:t>
      </w:r>
    </w:p>
    <w:p w14:paraId="55F3E602" w14:textId="77777777" w:rsidR="00F12774" w:rsidRPr="00F12774" w:rsidRDefault="00F12774" w:rsidP="00F12774">
      <w:pPr>
        <w:spacing w:line="259" w:lineRule="auto"/>
        <w:contextualSpacing/>
        <w:jc w:val="both"/>
        <w:rPr>
          <w:rFonts w:ascii="Arial" w:eastAsiaTheme="minorEastAsia" w:hAnsi="Arial" w:cs="Arial"/>
          <w:sz w:val="16"/>
          <w:szCs w:val="20"/>
          <w:lang w:val="es-ES_tradnl"/>
        </w:rPr>
      </w:pPr>
      <w:r w:rsidRPr="00F12774">
        <w:rPr>
          <w:rFonts w:ascii="Arial" w:eastAsiaTheme="minorEastAsia" w:hAnsi="Arial" w:cs="Arial"/>
          <w:sz w:val="16"/>
          <w:szCs w:val="20"/>
          <w:lang w:val="es-ES_tradnl"/>
        </w:rPr>
        <w:t xml:space="preserve">/1 Esta información se obtiene del informe semestral. </w:t>
      </w:r>
    </w:p>
    <w:p w14:paraId="08CBB1CC" w14:textId="77777777" w:rsidR="00F12774" w:rsidRPr="00F12774" w:rsidRDefault="00F12774" w:rsidP="00F12774">
      <w:pPr>
        <w:spacing w:line="259" w:lineRule="auto"/>
        <w:contextualSpacing/>
        <w:jc w:val="both"/>
        <w:rPr>
          <w:rFonts w:ascii="Arial" w:eastAsiaTheme="minorEastAsia" w:hAnsi="Arial" w:cs="Arial"/>
          <w:sz w:val="14"/>
          <w:szCs w:val="20"/>
          <w:lang w:val="es-ES_tradnl"/>
        </w:rPr>
      </w:pPr>
      <w:r w:rsidRPr="00F12774">
        <w:rPr>
          <w:rFonts w:ascii="Arial" w:eastAsiaTheme="minorEastAsia" w:hAnsi="Arial" w:cs="Arial"/>
          <w:sz w:val="16"/>
          <w:szCs w:val="20"/>
          <w:lang w:val="es-ES_tradnl"/>
        </w:rPr>
        <w:t>/2 Esta información se obtiene del archivo Excel remitido por la DGPN, de la hoja “Liquidación”.</w:t>
      </w:r>
    </w:p>
    <w:p w14:paraId="09709523" w14:textId="2AB0067A" w:rsidR="00F12774" w:rsidRDefault="00F12774" w:rsidP="00F12774">
      <w:pPr>
        <w:spacing w:after="160" w:line="259" w:lineRule="auto"/>
        <w:rPr>
          <w:rFonts w:ascii="Arial" w:eastAsiaTheme="minorEastAsia" w:hAnsi="Arial" w:cs="Arial"/>
          <w:sz w:val="16"/>
          <w:szCs w:val="20"/>
          <w:lang w:val="es-ES_tradnl"/>
        </w:rPr>
      </w:pPr>
      <w:r w:rsidRPr="00F12774">
        <w:rPr>
          <w:rFonts w:ascii="Arial" w:eastAsiaTheme="minorEastAsia" w:hAnsi="Arial" w:cs="Arial"/>
          <w:sz w:val="16"/>
          <w:szCs w:val="20"/>
          <w:lang w:val="es-ES_tradnl"/>
        </w:rPr>
        <w:t>/3 Indicar directriz, norma o descripción del factor “Otros”.</w:t>
      </w:r>
    </w:p>
    <w:p w14:paraId="3DF53D5A" w14:textId="77777777" w:rsidR="00B32351" w:rsidRPr="00F12774" w:rsidRDefault="00B32351" w:rsidP="00F12774">
      <w:pPr>
        <w:spacing w:after="160" w:line="259" w:lineRule="auto"/>
        <w:rPr>
          <w:rFonts w:ascii="Arial" w:eastAsiaTheme="minorEastAsia" w:hAnsi="Arial" w:cs="Arial"/>
          <w:sz w:val="16"/>
          <w:szCs w:val="20"/>
          <w:lang w:val="es-ES_tradnl"/>
        </w:rPr>
      </w:pPr>
    </w:p>
    <w:p w14:paraId="3F1611C4" w14:textId="77777777" w:rsidR="00F12774" w:rsidRPr="00F12774" w:rsidRDefault="00F12774" w:rsidP="00BE5AA1">
      <w:pPr>
        <w:numPr>
          <w:ilvl w:val="0"/>
          <w:numId w:val="11"/>
        </w:numPr>
        <w:spacing w:after="120" w:line="360" w:lineRule="auto"/>
        <w:jc w:val="both"/>
        <w:rPr>
          <w:rFonts w:ascii="Arial" w:eastAsiaTheme="minorEastAsia" w:hAnsi="Arial" w:cs="Arial"/>
          <w:bCs/>
          <w:color w:val="000000" w:themeColor="text1"/>
          <w:sz w:val="20"/>
          <w:szCs w:val="20"/>
        </w:rPr>
      </w:pPr>
      <w:r w:rsidRPr="00F12774">
        <w:rPr>
          <w:rFonts w:ascii="Arial" w:eastAsiaTheme="minorEastAsia" w:hAnsi="Arial" w:cs="Arial"/>
          <w:bCs/>
          <w:color w:val="000000" w:themeColor="text1"/>
          <w:sz w:val="20"/>
          <w:szCs w:val="20"/>
        </w:rPr>
        <w:t xml:space="preserve">Materiales: Para el 2021, la partida de materiales se ve afectada en su ejecución por rebajos aplicados en el presupuesto, además, la disponibilidad de artículos en el mercado y el cierre de comercial de algunos proveedores. También, la pandemia por covid-19 generó reducción del consumo en algunas líneas en vista de la disminución de la presencialidad. </w:t>
      </w:r>
    </w:p>
    <w:p w14:paraId="4CB472EE" w14:textId="77777777" w:rsidR="00F12774" w:rsidRPr="00F12774" w:rsidRDefault="00F12774" w:rsidP="00BE5AA1">
      <w:pPr>
        <w:numPr>
          <w:ilvl w:val="0"/>
          <w:numId w:val="11"/>
        </w:numPr>
        <w:spacing w:after="120" w:line="360" w:lineRule="auto"/>
        <w:jc w:val="both"/>
        <w:rPr>
          <w:rFonts w:ascii="Arial" w:eastAsiaTheme="minorEastAsia" w:hAnsi="Arial" w:cs="Arial"/>
          <w:sz w:val="20"/>
          <w:szCs w:val="20"/>
          <w:lang w:val="es-ES_tradnl"/>
        </w:rPr>
      </w:pPr>
      <w:r w:rsidRPr="00F12774">
        <w:rPr>
          <w:rFonts w:ascii="Arial" w:eastAsiaTheme="minorEastAsia" w:hAnsi="Arial" w:cs="Arial"/>
          <w:bCs/>
          <w:color w:val="000000" w:themeColor="text1"/>
          <w:sz w:val="20"/>
          <w:szCs w:val="20"/>
        </w:rPr>
        <w:t>Bienes duraderos: El cambio de unidades vehiculares genera alguna diferencia entre el presupuesto inicial y el requerido final. A nivel de programa existe dependencia de otras instancias en los que el contexto de la pandemia y otros relacionados con el proceso de compra, provocaron atrasos en la adquisición de bienes y finalmente la subejecución.</w:t>
      </w:r>
    </w:p>
    <w:p w14:paraId="41A9EF6D" w14:textId="77777777" w:rsidR="00F12774" w:rsidRPr="00F12774" w:rsidRDefault="00F12774" w:rsidP="00BE5AA1">
      <w:pPr>
        <w:numPr>
          <w:ilvl w:val="0"/>
          <w:numId w:val="11"/>
        </w:numPr>
        <w:spacing w:after="120" w:line="360" w:lineRule="auto"/>
        <w:jc w:val="both"/>
        <w:rPr>
          <w:rFonts w:ascii="Arial" w:eastAsiaTheme="minorEastAsia" w:hAnsi="Arial" w:cs="Arial"/>
          <w:sz w:val="20"/>
          <w:szCs w:val="20"/>
          <w:lang w:val="es-ES_tradnl"/>
        </w:rPr>
      </w:pPr>
      <w:r w:rsidRPr="00F12774">
        <w:rPr>
          <w:rFonts w:ascii="Arial" w:eastAsiaTheme="minorEastAsia" w:hAnsi="Arial" w:cs="Arial"/>
          <w:bCs/>
          <w:color w:val="000000" w:themeColor="text1"/>
          <w:sz w:val="20"/>
          <w:szCs w:val="20"/>
        </w:rPr>
        <w:t>Transferencias corrientes: recursos tramitados de acuerdo a las leyes y lineamientos vigentes propias para el adecuado trámite de prestaciones, aportes patronales y otras gestiones de estos recursos, los cuales no son administrados por este centro gestor.</w:t>
      </w:r>
    </w:p>
    <w:p w14:paraId="7243C303" w14:textId="77777777" w:rsidR="00B32351" w:rsidRDefault="00B32351" w:rsidP="007331CC">
      <w:pPr>
        <w:pStyle w:val="Descripcin"/>
        <w:jc w:val="center"/>
        <w:rPr>
          <w:rFonts w:ascii="Arial" w:hAnsi="Arial" w:cs="Arial"/>
          <w:b/>
          <w:bCs/>
          <w:i w:val="0"/>
          <w:iCs w:val="0"/>
          <w:color w:val="auto"/>
          <w:sz w:val="20"/>
          <w:szCs w:val="20"/>
        </w:rPr>
      </w:pPr>
    </w:p>
    <w:p w14:paraId="27EA7FFF" w14:textId="77777777" w:rsidR="00B32351" w:rsidRDefault="00B32351" w:rsidP="007331CC">
      <w:pPr>
        <w:pStyle w:val="Descripcin"/>
        <w:jc w:val="center"/>
        <w:rPr>
          <w:rFonts w:ascii="Arial" w:hAnsi="Arial" w:cs="Arial"/>
          <w:b/>
          <w:bCs/>
          <w:i w:val="0"/>
          <w:iCs w:val="0"/>
          <w:color w:val="auto"/>
          <w:sz w:val="20"/>
          <w:szCs w:val="20"/>
        </w:rPr>
      </w:pPr>
    </w:p>
    <w:p w14:paraId="46CD596F" w14:textId="77777777" w:rsidR="00B32351" w:rsidRDefault="00B32351" w:rsidP="007331CC">
      <w:pPr>
        <w:pStyle w:val="Descripcin"/>
        <w:jc w:val="center"/>
        <w:rPr>
          <w:rFonts w:ascii="Arial" w:hAnsi="Arial" w:cs="Arial"/>
          <w:b/>
          <w:bCs/>
          <w:i w:val="0"/>
          <w:iCs w:val="0"/>
          <w:color w:val="auto"/>
          <w:sz w:val="20"/>
          <w:szCs w:val="20"/>
        </w:rPr>
      </w:pPr>
    </w:p>
    <w:p w14:paraId="6FCD56A8" w14:textId="77777777" w:rsidR="00B32351" w:rsidRDefault="00B32351" w:rsidP="007331CC">
      <w:pPr>
        <w:pStyle w:val="Descripcin"/>
        <w:jc w:val="center"/>
        <w:rPr>
          <w:rFonts w:ascii="Arial" w:hAnsi="Arial" w:cs="Arial"/>
          <w:b/>
          <w:bCs/>
          <w:i w:val="0"/>
          <w:iCs w:val="0"/>
          <w:color w:val="auto"/>
          <w:sz w:val="20"/>
          <w:szCs w:val="20"/>
        </w:rPr>
      </w:pPr>
    </w:p>
    <w:p w14:paraId="2D3ECFC9" w14:textId="77777777" w:rsidR="00B32351" w:rsidRDefault="00B32351" w:rsidP="007331CC">
      <w:pPr>
        <w:pStyle w:val="Descripcin"/>
        <w:jc w:val="center"/>
        <w:rPr>
          <w:rFonts w:ascii="Arial" w:hAnsi="Arial" w:cs="Arial"/>
          <w:b/>
          <w:bCs/>
          <w:i w:val="0"/>
          <w:iCs w:val="0"/>
          <w:color w:val="auto"/>
          <w:sz w:val="20"/>
          <w:szCs w:val="20"/>
        </w:rPr>
      </w:pPr>
    </w:p>
    <w:p w14:paraId="2CD235BB" w14:textId="77777777" w:rsidR="00B32351" w:rsidRDefault="00B32351" w:rsidP="007331CC">
      <w:pPr>
        <w:pStyle w:val="Descripcin"/>
        <w:jc w:val="center"/>
        <w:rPr>
          <w:rFonts w:ascii="Arial" w:hAnsi="Arial" w:cs="Arial"/>
          <w:b/>
          <w:bCs/>
          <w:i w:val="0"/>
          <w:iCs w:val="0"/>
          <w:color w:val="auto"/>
          <w:sz w:val="20"/>
          <w:szCs w:val="20"/>
        </w:rPr>
      </w:pPr>
    </w:p>
    <w:p w14:paraId="1524C3F9" w14:textId="5DB611B5" w:rsidR="007331CC" w:rsidRPr="00AE3D7B" w:rsidRDefault="007331CC" w:rsidP="007331CC">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lastRenderedPageBreak/>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24</w:t>
      </w:r>
      <w:r w:rsidRPr="00AE3D7B">
        <w:rPr>
          <w:rFonts w:ascii="Arial" w:hAnsi="Arial" w:cs="Arial"/>
          <w:b/>
          <w:bCs/>
          <w:i w:val="0"/>
          <w:iCs w:val="0"/>
          <w:color w:val="auto"/>
          <w:sz w:val="20"/>
          <w:szCs w:val="20"/>
        </w:rPr>
        <w:fldChar w:fldCharType="end"/>
      </w:r>
    </w:p>
    <w:p w14:paraId="1BC2B4B1" w14:textId="3E7EE1FA" w:rsidR="00F12774" w:rsidRPr="00F12774" w:rsidRDefault="00F12774" w:rsidP="00F12774">
      <w:pPr>
        <w:spacing w:after="160" w:line="259" w:lineRule="auto"/>
        <w:ind w:left="55"/>
        <w:contextualSpacing/>
        <w:jc w:val="center"/>
        <w:rPr>
          <w:rFonts w:ascii="Arial" w:eastAsiaTheme="minorEastAsia" w:hAnsi="Arial" w:cs="Arial"/>
          <w:b/>
          <w:bCs/>
          <w:color w:val="000000"/>
          <w:sz w:val="20"/>
          <w:szCs w:val="20"/>
          <w:lang w:val="es-CR" w:eastAsia="es-CR"/>
        </w:rPr>
      </w:pPr>
      <w:r w:rsidRPr="00F12774">
        <w:rPr>
          <w:rFonts w:ascii="Arial" w:eastAsiaTheme="minorEastAsia" w:hAnsi="Arial" w:cs="Arial"/>
          <w:b/>
          <w:sz w:val="20"/>
          <w:szCs w:val="20"/>
          <w:lang w:val="es-CR" w:eastAsia="es-CR"/>
        </w:rPr>
        <w:t>Razones de los resultados obtenidos</w:t>
      </w:r>
    </w:p>
    <w:p w14:paraId="179ABE26" w14:textId="77777777" w:rsidR="00F12774" w:rsidRPr="00F12774" w:rsidRDefault="00F12774" w:rsidP="00F12774">
      <w:pPr>
        <w:jc w:val="center"/>
        <w:rPr>
          <w:rFonts w:ascii="Arial" w:eastAsiaTheme="minorEastAsia" w:hAnsi="Arial" w:cs="Arial"/>
          <w:sz w:val="20"/>
          <w:szCs w:val="20"/>
          <w:lang w:val="es-ES_tradnl"/>
        </w:rPr>
      </w:pPr>
      <w:r w:rsidRPr="00F12774">
        <w:rPr>
          <w:rFonts w:ascii="Arial" w:eastAsiaTheme="minorEastAsia" w:hAnsi="Arial" w:cs="Arial"/>
          <w:sz w:val="20"/>
          <w:szCs w:val="20"/>
          <w:lang w:val="es-ES_tradnl"/>
        </w:rPr>
        <w:t>Programa 930, Defensa Pública</w:t>
      </w:r>
    </w:p>
    <w:p w14:paraId="267D7519" w14:textId="17640CC5" w:rsidR="00F12774" w:rsidRDefault="00F12774" w:rsidP="00F12774">
      <w:pPr>
        <w:spacing w:after="160" w:line="259" w:lineRule="auto"/>
        <w:ind w:left="55"/>
        <w:contextualSpacing/>
        <w:jc w:val="center"/>
        <w:rPr>
          <w:rFonts w:ascii="Arial" w:eastAsiaTheme="minorEastAsia" w:hAnsi="Arial" w:cs="Arial"/>
          <w:sz w:val="20"/>
          <w:szCs w:val="20"/>
          <w:lang w:val="es-ES_tradnl"/>
        </w:rPr>
      </w:pPr>
      <w:r w:rsidRPr="00F12774">
        <w:rPr>
          <w:rFonts w:ascii="Arial" w:eastAsiaTheme="minorEastAsia" w:hAnsi="Arial" w:cs="Arial"/>
          <w:color w:val="000000"/>
          <w:sz w:val="20"/>
          <w:szCs w:val="20"/>
          <w:lang w:val="es-CR" w:eastAsia="es-CR"/>
        </w:rPr>
        <w:t xml:space="preserve">Partidas con avance menor al 45,00% al 30/06/2021 y menor al 90,00% </w:t>
      </w:r>
      <w:r w:rsidRPr="00F12774">
        <w:rPr>
          <w:rFonts w:ascii="Arial" w:eastAsiaTheme="minorEastAsia" w:hAnsi="Arial" w:cs="Arial"/>
          <w:sz w:val="20"/>
          <w:szCs w:val="20"/>
          <w:lang w:val="es-ES_tradnl"/>
        </w:rPr>
        <w:t>al 31/12/2021</w:t>
      </w:r>
    </w:p>
    <w:p w14:paraId="744AA021" w14:textId="77777777" w:rsidR="00B32351" w:rsidRPr="00F12774" w:rsidRDefault="00B32351" w:rsidP="00F12774">
      <w:pPr>
        <w:spacing w:after="160" w:line="259" w:lineRule="auto"/>
        <w:ind w:left="55"/>
        <w:contextualSpacing/>
        <w:jc w:val="center"/>
        <w:rPr>
          <w:rFonts w:ascii="Arial" w:eastAsiaTheme="minorEastAsia" w:hAnsi="Arial" w:cs="Arial"/>
          <w:sz w:val="20"/>
          <w:szCs w:val="20"/>
          <w:lang w:val="es-ES_tradnl"/>
        </w:rPr>
      </w:pPr>
    </w:p>
    <w:tbl>
      <w:tblPr>
        <w:tblStyle w:val="Listaclara-nfasis121"/>
        <w:tblW w:w="5592" w:type="pct"/>
        <w:tblLook w:val="00A0" w:firstRow="1" w:lastRow="0" w:firstColumn="1" w:lastColumn="0" w:noHBand="0" w:noVBand="0"/>
      </w:tblPr>
      <w:tblGrid>
        <w:gridCol w:w="1639"/>
        <w:gridCol w:w="2135"/>
        <w:gridCol w:w="2627"/>
        <w:gridCol w:w="3088"/>
      </w:tblGrid>
      <w:tr w:rsidR="00F12774" w:rsidRPr="00F12774" w14:paraId="4B5AAF3D" w14:textId="77777777" w:rsidTr="00B32351">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864" w:type="pct"/>
            <w:vAlign w:val="center"/>
          </w:tcPr>
          <w:p w14:paraId="07422016" w14:textId="77777777" w:rsidR="00F12774" w:rsidRPr="00F12774" w:rsidRDefault="00F12774" w:rsidP="00F12774">
            <w:pPr>
              <w:contextualSpacing/>
              <w:jc w:val="center"/>
              <w:rPr>
                <w:rFonts w:ascii="Arial" w:hAnsi="Arial" w:cs="Arial"/>
                <w:bCs w:val="0"/>
                <w:sz w:val="18"/>
                <w:szCs w:val="16"/>
                <w:lang w:val="es-CR"/>
              </w:rPr>
            </w:pPr>
            <w:r w:rsidRPr="00F12774">
              <w:rPr>
                <w:rFonts w:ascii="Arial" w:hAnsi="Arial" w:cs="Arial"/>
                <w:sz w:val="18"/>
                <w:szCs w:val="16"/>
                <w:lang w:val="es-CR"/>
              </w:rPr>
              <w:t>Nombre de la partida</w:t>
            </w:r>
          </w:p>
        </w:tc>
        <w:tc>
          <w:tcPr>
            <w:cnfStyle w:val="000010000000" w:firstRow="0" w:lastRow="0" w:firstColumn="0" w:lastColumn="0" w:oddVBand="1" w:evenVBand="0" w:oddHBand="0" w:evenHBand="0" w:firstRowFirstColumn="0" w:firstRowLastColumn="0" w:lastRowFirstColumn="0" w:lastRowLastColumn="0"/>
            <w:tcW w:w="1125" w:type="pct"/>
            <w:vAlign w:val="center"/>
          </w:tcPr>
          <w:p w14:paraId="0ED59E92" w14:textId="77777777" w:rsidR="00F12774" w:rsidRPr="00F12774" w:rsidRDefault="00F12774" w:rsidP="00F12774">
            <w:pPr>
              <w:contextualSpacing/>
              <w:jc w:val="center"/>
              <w:rPr>
                <w:rFonts w:ascii="Arial" w:hAnsi="Arial" w:cs="Arial"/>
                <w:b w:val="0"/>
                <w:bCs w:val="0"/>
                <w:sz w:val="18"/>
                <w:szCs w:val="16"/>
                <w:lang w:val="es-CR"/>
              </w:rPr>
            </w:pPr>
            <w:r w:rsidRPr="00F12774">
              <w:rPr>
                <w:rFonts w:ascii="Arial" w:hAnsi="Arial" w:cs="Arial"/>
                <w:sz w:val="18"/>
                <w:szCs w:val="16"/>
                <w:lang w:val="es-CR"/>
              </w:rPr>
              <w:t>Factores</w:t>
            </w:r>
          </w:p>
          <w:p w14:paraId="343111D2" w14:textId="77777777" w:rsidR="00F12774" w:rsidRPr="00F12774" w:rsidRDefault="00F12774" w:rsidP="00F12774">
            <w:pPr>
              <w:contextualSpacing/>
              <w:jc w:val="center"/>
              <w:rPr>
                <w:rFonts w:ascii="Arial" w:hAnsi="Arial" w:cs="Arial"/>
                <w:sz w:val="18"/>
                <w:szCs w:val="16"/>
                <w:lang w:val="es-CR"/>
              </w:rPr>
            </w:pPr>
            <w:r w:rsidRPr="00F12774">
              <w:rPr>
                <w:rFonts w:ascii="Arial" w:hAnsi="Arial" w:cs="Arial"/>
                <w:sz w:val="18"/>
                <w:szCs w:val="16"/>
                <w:lang w:val="es-CR"/>
              </w:rPr>
              <w:t xml:space="preserve">al 30/06/2021 </w:t>
            </w:r>
            <w:r w:rsidRPr="00F12774">
              <w:rPr>
                <w:rFonts w:ascii="Arial" w:hAnsi="Arial" w:cs="Arial"/>
                <w:sz w:val="18"/>
                <w:szCs w:val="16"/>
                <w:vertAlign w:val="superscript"/>
                <w:lang w:val="es-CR"/>
              </w:rPr>
              <w:t>/1</w:t>
            </w:r>
          </w:p>
        </w:tc>
        <w:tc>
          <w:tcPr>
            <w:tcW w:w="1384" w:type="pct"/>
            <w:vAlign w:val="center"/>
          </w:tcPr>
          <w:p w14:paraId="59856367" w14:textId="77777777" w:rsidR="00F12774" w:rsidRPr="00F12774" w:rsidRDefault="00F12774" w:rsidP="00F1277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6"/>
                <w:lang w:val="es-CR"/>
              </w:rPr>
            </w:pPr>
            <w:r w:rsidRPr="00F12774">
              <w:rPr>
                <w:rFonts w:ascii="Arial" w:hAnsi="Arial" w:cs="Arial"/>
                <w:sz w:val="18"/>
                <w:szCs w:val="16"/>
                <w:lang w:val="es-CR"/>
              </w:rPr>
              <w:t xml:space="preserve">Acciones correctivas </w:t>
            </w:r>
            <w:r w:rsidRPr="00F12774">
              <w:rPr>
                <w:rFonts w:ascii="Arial" w:hAnsi="Arial" w:cs="Arial"/>
                <w:sz w:val="18"/>
                <w:szCs w:val="16"/>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627" w:type="pct"/>
            <w:vAlign w:val="center"/>
          </w:tcPr>
          <w:p w14:paraId="6D435682" w14:textId="77777777" w:rsidR="00F12774" w:rsidRPr="00F12774" w:rsidRDefault="00F12774" w:rsidP="00F12774">
            <w:pPr>
              <w:contextualSpacing/>
              <w:jc w:val="center"/>
              <w:rPr>
                <w:rFonts w:ascii="Arial" w:hAnsi="Arial" w:cs="Arial"/>
                <w:bCs w:val="0"/>
                <w:sz w:val="18"/>
                <w:szCs w:val="16"/>
                <w:lang w:val="es-CR"/>
              </w:rPr>
            </w:pPr>
            <w:r w:rsidRPr="00F12774">
              <w:rPr>
                <w:rFonts w:ascii="Arial" w:hAnsi="Arial" w:cs="Arial"/>
                <w:sz w:val="18"/>
                <w:szCs w:val="16"/>
                <w:lang w:val="es-CR"/>
              </w:rPr>
              <w:t xml:space="preserve">Razones </w:t>
            </w:r>
            <w:r w:rsidRPr="00F12774">
              <w:rPr>
                <w:rFonts w:ascii="Arial" w:hAnsi="Arial" w:cs="Arial"/>
                <w:sz w:val="18"/>
                <w:szCs w:val="16"/>
                <w:vertAlign w:val="superscript"/>
                <w:lang w:val="es-CR"/>
              </w:rPr>
              <w:t>/3</w:t>
            </w:r>
          </w:p>
        </w:tc>
      </w:tr>
      <w:tr w:rsidR="00F12774" w:rsidRPr="00F12774" w14:paraId="124E50D7" w14:textId="77777777" w:rsidTr="00B323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64" w:type="pct"/>
            <w:vAlign w:val="center"/>
          </w:tcPr>
          <w:p w14:paraId="7101944B" w14:textId="77777777" w:rsidR="00F12774" w:rsidRPr="00F12774" w:rsidRDefault="00F12774" w:rsidP="00F12774">
            <w:pPr>
              <w:spacing w:line="360" w:lineRule="auto"/>
              <w:contextualSpacing/>
              <w:jc w:val="both"/>
              <w:rPr>
                <w:rFonts w:ascii="Arial" w:hAnsi="Arial" w:cs="Arial"/>
                <w:b w:val="0"/>
                <w:bCs w:val="0"/>
                <w:sz w:val="20"/>
                <w:szCs w:val="20"/>
                <w:lang w:val="es-CR"/>
              </w:rPr>
            </w:pPr>
            <w:r w:rsidRPr="00F12774">
              <w:rPr>
                <w:rFonts w:ascii="Arial" w:hAnsi="Arial" w:cs="Arial"/>
                <w:sz w:val="20"/>
                <w:szCs w:val="20"/>
              </w:rPr>
              <w:t xml:space="preserve">Materiales </w:t>
            </w:r>
          </w:p>
        </w:tc>
        <w:tc>
          <w:tcPr>
            <w:cnfStyle w:val="000010000000" w:firstRow="0" w:lastRow="0" w:firstColumn="0" w:lastColumn="0" w:oddVBand="1" w:evenVBand="0" w:oddHBand="0" w:evenHBand="0" w:firstRowFirstColumn="0" w:firstRowLastColumn="0" w:lastRowFirstColumn="0" w:lastRowLastColumn="0"/>
            <w:tcW w:w="1125" w:type="pct"/>
          </w:tcPr>
          <w:p w14:paraId="64A2F8FB" w14:textId="77777777" w:rsidR="00F12774" w:rsidRPr="00F12774" w:rsidRDefault="00F12774" w:rsidP="00F12774">
            <w:pPr>
              <w:spacing w:line="360" w:lineRule="auto"/>
              <w:rPr>
                <w:rFonts w:ascii="Arial" w:hAnsi="Arial" w:cs="Arial"/>
                <w:sz w:val="20"/>
                <w:szCs w:val="20"/>
                <w:lang w:val="es-CR"/>
              </w:rPr>
            </w:pPr>
            <w:r w:rsidRPr="00F12774">
              <w:rPr>
                <w:rFonts w:ascii="Arial" w:hAnsi="Arial" w:cs="Arial"/>
                <w:sz w:val="20"/>
                <w:szCs w:val="20"/>
                <w:lang w:val="es-CR"/>
              </w:rPr>
              <w:t>Procesos de contratación que se concretan en el segundo semestre</w:t>
            </w:r>
          </w:p>
          <w:p w14:paraId="5B369936" w14:textId="77777777" w:rsidR="00F12774" w:rsidRPr="00F12774" w:rsidRDefault="00F12774" w:rsidP="00F12774">
            <w:pPr>
              <w:spacing w:line="360" w:lineRule="auto"/>
              <w:rPr>
                <w:rFonts w:ascii="Arial" w:hAnsi="Arial" w:cs="Arial"/>
                <w:bCs/>
                <w:sz w:val="20"/>
                <w:szCs w:val="20"/>
                <w:lang w:val="es-CR"/>
              </w:rPr>
            </w:pPr>
            <w:r w:rsidRPr="00F12774">
              <w:rPr>
                <w:rFonts w:ascii="Arial" w:hAnsi="Arial" w:cs="Arial"/>
                <w:sz w:val="20"/>
                <w:szCs w:val="20"/>
                <w:lang w:val="es-CR"/>
              </w:rPr>
              <w:t>Lineamientos de los entes rectores de la Administración Financiera</w:t>
            </w:r>
          </w:p>
        </w:tc>
        <w:tc>
          <w:tcPr>
            <w:tcW w:w="1384" w:type="pct"/>
          </w:tcPr>
          <w:p w14:paraId="58A09943" w14:textId="77777777" w:rsidR="00F12774" w:rsidRPr="00F12774" w:rsidRDefault="00F12774" w:rsidP="00F1277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F12774">
              <w:rPr>
                <w:rFonts w:ascii="Arial" w:hAnsi="Arial" w:cs="Arial"/>
                <w:sz w:val="20"/>
                <w:szCs w:val="20"/>
                <w:lang w:val="es-CR"/>
              </w:rPr>
              <w:t>Acelerar procesos para contrataciones.</w:t>
            </w:r>
          </w:p>
          <w:p w14:paraId="242487B8"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F12774">
              <w:rPr>
                <w:rFonts w:ascii="Arial" w:hAnsi="Arial" w:cs="Arial"/>
                <w:sz w:val="20"/>
                <w:szCs w:val="20"/>
                <w:lang w:val="es-CR"/>
              </w:rPr>
              <w:t>Gestión oportuna de pago de bienes y servicios.</w:t>
            </w:r>
          </w:p>
          <w:p w14:paraId="2877524C"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627" w:type="pct"/>
          </w:tcPr>
          <w:p w14:paraId="049CE6C9" w14:textId="77777777" w:rsidR="00F12774" w:rsidRPr="00F12774" w:rsidRDefault="00F12774" w:rsidP="00F12774">
            <w:pPr>
              <w:spacing w:line="360" w:lineRule="auto"/>
              <w:contextualSpacing/>
              <w:jc w:val="both"/>
              <w:rPr>
                <w:rFonts w:ascii="Arial" w:hAnsi="Arial" w:cs="Arial"/>
                <w:bCs/>
                <w:sz w:val="20"/>
                <w:szCs w:val="20"/>
                <w:lang w:val="es-CR"/>
              </w:rPr>
            </w:pPr>
            <w:r w:rsidRPr="00F12774">
              <w:rPr>
                <w:rFonts w:ascii="Arial" w:hAnsi="Arial" w:cs="Arial"/>
                <w:bCs/>
                <w:sz w:val="20"/>
                <w:szCs w:val="20"/>
                <w:lang w:val="es-CR"/>
              </w:rPr>
              <w:t xml:space="preserve">Se remitieron procesos a contratación, pero en algunas ocasiones, los mismos procedimientos fueron más extensos o bien se dieron reducciones en los precios, que afectaron el gasto.  Para la gestión oportuna de pago, se gestionaron correctamente. </w:t>
            </w:r>
          </w:p>
        </w:tc>
      </w:tr>
      <w:tr w:rsidR="00F12774" w:rsidRPr="00F12774" w14:paraId="58D91BE5" w14:textId="77777777" w:rsidTr="00B32351">
        <w:trPr>
          <w:trHeight w:val="312"/>
        </w:trPr>
        <w:tc>
          <w:tcPr>
            <w:cnfStyle w:val="001000000000" w:firstRow="0" w:lastRow="0" w:firstColumn="1" w:lastColumn="0" w:oddVBand="0" w:evenVBand="0" w:oddHBand="0" w:evenHBand="0" w:firstRowFirstColumn="0" w:firstRowLastColumn="0" w:lastRowFirstColumn="0" w:lastRowLastColumn="0"/>
            <w:tcW w:w="864" w:type="pct"/>
            <w:vAlign w:val="center"/>
          </w:tcPr>
          <w:p w14:paraId="617FF4D6" w14:textId="77777777" w:rsidR="00F12774" w:rsidRPr="00F12774" w:rsidRDefault="00F12774" w:rsidP="00F12774">
            <w:pPr>
              <w:spacing w:line="360" w:lineRule="auto"/>
              <w:contextualSpacing/>
              <w:jc w:val="both"/>
              <w:rPr>
                <w:rFonts w:ascii="Arial" w:hAnsi="Arial" w:cs="Arial"/>
                <w:b w:val="0"/>
                <w:bCs w:val="0"/>
                <w:sz w:val="20"/>
                <w:szCs w:val="20"/>
                <w:lang w:val="es-CR"/>
              </w:rPr>
            </w:pPr>
            <w:r w:rsidRPr="00F12774">
              <w:rPr>
                <w:rFonts w:ascii="Arial" w:hAnsi="Arial" w:cs="Arial"/>
                <w:sz w:val="20"/>
                <w:szCs w:val="20"/>
              </w:rPr>
              <w:t>Bienes duraderos</w:t>
            </w:r>
          </w:p>
        </w:tc>
        <w:tc>
          <w:tcPr>
            <w:cnfStyle w:val="000010000000" w:firstRow="0" w:lastRow="0" w:firstColumn="0" w:lastColumn="0" w:oddVBand="1" w:evenVBand="0" w:oddHBand="0" w:evenHBand="0" w:firstRowFirstColumn="0" w:firstRowLastColumn="0" w:lastRowFirstColumn="0" w:lastRowLastColumn="0"/>
            <w:tcW w:w="1125" w:type="pct"/>
          </w:tcPr>
          <w:p w14:paraId="04E0A072" w14:textId="77777777" w:rsidR="00F12774" w:rsidRPr="00F12774" w:rsidRDefault="00F12774" w:rsidP="00F12774">
            <w:pPr>
              <w:spacing w:line="360" w:lineRule="auto"/>
              <w:rPr>
                <w:rFonts w:ascii="Arial" w:hAnsi="Arial" w:cs="Arial"/>
                <w:sz w:val="20"/>
                <w:szCs w:val="20"/>
                <w:lang w:val="es-CR"/>
              </w:rPr>
            </w:pPr>
            <w:r w:rsidRPr="00F12774">
              <w:rPr>
                <w:rFonts w:ascii="Arial" w:hAnsi="Arial" w:cs="Arial"/>
                <w:sz w:val="20"/>
                <w:szCs w:val="20"/>
                <w:lang w:val="es-CR"/>
              </w:rPr>
              <w:t>Procesos de contratación que se concretan en el segundo semestre</w:t>
            </w:r>
          </w:p>
          <w:p w14:paraId="3877DBB4" w14:textId="77777777" w:rsidR="00F12774" w:rsidRPr="00F12774" w:rsidRDefault="00F12774" w:rsidP="00F12774">
            <w:pPr>
              <w:spacing w:line="360" w:lineRule="auto"/>
              <w:rPr>
                <w:rFonts w:ascii="Arial" w:hAnsi="Arial" w:cs="Arial"/>
                <w:bCs/>
                <w:sz w:val="20"/>
                <w:szCs w:val="20"/>
                <w:lang w:val="es-CR"/>
              </w:rPr>
            </w:pPr>
            <w:r w:rsidRPr="00F12774">
              <w:rPr>
                <w:rFonts w:ascii="Arial" w:hAnsi="Arial" w:cs="Arial"/>
                <w:sz w:val="20"/>
                <w:szCs w:val="20"/>
                <w:lang w:val="es-CR"/>
              </w:rPr>
              <w:t>Lineamientos de los entes rectores de la Administración Financiera</w:t>
            </w:r>
          </w:p>
        </w:tc>
        <w:tc>
          <w:tcPr>
            <w:tcW w:w="1384" w:type="pct"/>
          </w:tcPr>
          <w:p w14:paraId="69345B42" w14:textId="77777777" w:rsidR="00F12774" w:rsidRPr="00F12774" w:rsidRDefault="00F12774" w:rsidP="00F127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F12774">
              <w:rPr>
                <w:rFonts w:ascii="Arial" w:hAnsi="Arial" w:cs="Arial"/>
                <w:sz w:val="20"/>
                <w:szCs w:val="20"/>
                <w:lang w:val="es-CR"/>
              </w:rPr>
              <w:t>Acelerar procesos para contrataciones</w:t>
            </w:r>
          </w:p>
          <w:p w14:paraId="189DEF23" w14:textId="77777777" w:rsidR="00F12774" w:rsidRPr="00F12774" w:rsidRDefault="00F12774" w:rsidP="00F12774">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F12774">
              <w:rPr>
                <w:rFonts w:ascii="Arial" w:hAnsi="Arial" w:cs="Arial"/>
                <w:sz w:val="20"/>
                <w:szCs w:val="20"/>
                <w:lang w:val="es-CR"/>
              </w:rPr>
              <w:t>Gestión oportuna de pago de bienes y servicios</w:t>
            </w:r>
          </w:p>
        </w:tc>
        <w:tc>
          <w:tcPr>
            <w:cnfStyle w:val="000010000000" w:firstRow="0" w:lastRow="0" w:firstColumn="0" w:lastColumn="0" w:oddVBand="1" w:evenVBand="0" w:oddHBand="0" w:evenHBand="0" w:firstRowFirstColumn="0" w:firstRowLastColumn="0" w:lastRowFirstColumn="0" w:lastRowLastColumn="0"/>
            <w:tcW w:w="1627" w:type="pct"/>
          </w:tcPr>
          <w:p w14:paraId="7DEBC45D" w14:textId="77777777" w:rsidR="00F12774" w:rsidRPr="00F12774" w:rsidRDefault="00F12774" w:rsidP="00F12774">
            <w:pPr>
              <w:spacing w:line="360" w:lineRule="auto"/>
              <w:contextualSpacing/>
              <w:jc w:val="both"/>
              <w:rPr>
                <w:rFonts w:ascii="Arial" w:hAnsi="Arial" w:cs="Arial"/>
                <w:bCs/>
                <w:sz w:val="20"/>
                <w:szCs w:val="20"/>
                <w:lang w:val="es-CR"/>
              </w:rPr>
            </w:pPr>
            <w:r w:rsidRPr="00F12774">
              <w:rPr>
                <w:rFonts w:ascii="Arial" w:hAnsi="Arial" w:cs="Arial"/>
                <w:bCs/>
                <w:sz w:val="20"/>
                <w:szCs w:val="20"/>
                <w:lang w:val="es-CR"/>
              </w:rPr>
              <w:t>Se remitieron procesos a contratación, pero en un procedimiento fue más extensos, no se dieron autorizaciones para su compra o la declaración de infructuosos procedimientos por falta de ofertas, que afectaron el gasto.  Para la gestión oportuna de pago, se gestionaron correctamente, a excepción de un caso que el plazo de entrega afecto su ingreso dentro del periodo presupuestario.</w:t>
            </w:r>
          </w:p>
        </w:tc>
      </w:tr>
      <w:tr w:rsidR="00F12774" w:rsidRPr="00F12774" w14:paraId="4342AFB3" w14:textId="77777777" w:rsidTr="00B323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64" w:type="pct"/>
            <w:vAlign w:val="center"/>
          </w:tcPr>
          <w:p w14:paraId="1C1000A0" w14:textId="77777777" w:rsidR="00F12774" w:rsidRPr="00F12774" w:rsidRDefault="00F12774" w:rsidP="00F12774">
            <w:pPr>
              <w:spacing w:line="360" w:lineRule="auto"/>
              <w:contextualSpacing/>
              <w:jc w:val="both"/>
              <w:rPr>
                <w:rFonts w:ascii="Arial" w:hAnsi="Arial" w:cs="Arial"/>
                <w:sz w:val="20"/>
                <w:szCs w:val="20"/>
              </w:rPr>
            </w:pPr>
            <w:r w:rsidRPr="00F12774">
              <w:rPr>
                <w:rFonts w:ascii="Arial" w:hAnsi="Arial" w:cs="Arial"/>
                <w:sz w:val="20"/>
                <w:szCs w:val="20"/>
              </w:rPr>
              <w:t>Transferencias corrientes</w:t>
            </w:r>
          </w:p>
        </w:tc>
        <w:tc>
          <w:tcPr>
            <w:cnfStyle w:val="000010000000" w:firstRow="0" w:lastRow="0" w:firstColumn="0" w:lastColumn="0" w:oddVBand="1" w:evenVBand="0" w:oddHBand="0" w:evenHBand="0" w:firstRowFirstColumn="0" w:firstRowLastColumn="0" w:lastRowFirstColumn="0" w:lastRowLastColumn="0"/>
            <w:tcW w:w="1125" w:type="pct"/>
          </w:tcPr>
          <w:p w14:paraId="2CF4CB33" w14:textId="77777777" w:rsidR="00F12774" w:rsidRPr="00F12774" w:rsidRDefault="00F12774" w:rsidP="00F12774">
            <w:pPr>
              <w:spacing w:line="360" w:lineRule="auto"/>
              <w:jc w:val="both"/>
              <w:rPr>
                <w:rFonts w:ascii="Arial" w:hAnsi="Arial" w:cs="Arial"/>
                <w:sz w:val="20"/>
                <w:szCs w:val="20"/>
                <w:lang w:val="es-CR"/>
              </w:rPr>
            </w:pPr>
            <w:r w:rsidRPr="00F12774">
              <w:rPr>
                <w:rFonts w:ascii="Arial" w:hAnsi="Arial" w:cs="Arial"/>
                <w:bCs/>
                <w:color w:val="000000" w:themeColor="text1"/>
                <w:sz w:val="20"/>
                <w:szCs w:val="20"/>
              </w:rPr>
              <w:t>Los recursos no son administrados por este centro gestor.</w:t>
            </w:r>
          </w:p>
        </w:tc>
        <w:tc>
          <w:tcPr>
            <w:tcW w:w="1384" w:type="pct"/>
          </w:tcPr>
          <w:p w14:paraId="46242B89" w14:textId="77777777" w:rsidR="00F12774" w:rsidRPr="00F12774" w:rsidRDefault="00F12774" w:rsidP="00F1277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F12774">
              <w:rPr>
                <w:rFonts w:ascii="Arial" w:hAnsi="Arial" w:cs="Arial"/>
                <w:sz w:val="20"/>
                <w:szCs w:val="20"/>
                <w:lang w:val="es-CR"/>
              </w:rPr>
              <w:t xml:space="preserve">Seguimiento periódico de la ejecución de estos recursos. </w:t>
            </w:r>
          </w:p>
        </w:tc>
        <w:tc>
          <w:tcPr>
            <w:cnfStyle w:val="000010000000" w:firstRow="0" w:lastRow="0" w:firstColumn="0" w:lastColumn="0" w:oddVBand="1" w:evenVBand="0" w:oddHBand="0" w:evenHBand="0" w:firstRowFirstColumn="0" w:firstRowLastColumn="0" w:lastRowFirstColumn="0" w:lastRowLastColumn="0"/>
            <w:tcW w:w="1627" w:type="pct"/>
          </w:tcPr>
          <w:p w14:paraId="74A6EF99" w14:textId="4E7B234D" w:rsidR="00F12774" w:rsidRPr="00F12774" w:rsidRDefault="00C577DB" w:rsidP="00F12774">
            <w:pPr>
              <w:spacing w:line="360" w:lineRule="auto"/>
              <w:contextualSpacing/>
              <w:jc w:val="both"/>
              <w:rPr>
                <w:rFonts w:ascii="Arial" w:hAnsi="Arial" w:cs="Arial"/>
                <w:bCs/>
                <w:sz w:val="20"/>
                <w:szCs w:val="20"/>
                <w:lang w:val="es-CR"/>
              </w:rPr>
            </w:pPr>
            <w:r w:rsidRPr="00F12774">
              <w:rPr>
                <w:rFonts w:ascii="Arial" w:hAnsi="Arial" w:cs="Arial"/>
                <w:bCs/>
                <w:sz w:val="20"/>
                <w:szCs w:val="20"/>
                <w:lang w:val="es-CR"/>
              </w:rPr>
              <w:t>La ejecución de estos recursos depende</w:t>
            </w:r>
            <w:r w:rsidR="00F12774" w:rsidRPr="00F12774">
              <w:rPr>
                <w:rFonts w:ascii="Arial" w:hAnsi="Arial" w:cs="Arial"/>
                <w:bCs/>
                <w:sz w:val="20"/>
                <w:szCs w:val="20"/>
                <w:lang w:val="es-CR"/>
              </w:rPr>
              <w:t xml:space="preserve"> de factores que no son controlables por centro gestor. </w:t>
            </w:r>
          </w:p>
        </w:tc>
      </w:tr>
    </w:tbl>
    <w:p w14:paraId="705B4E40" w14:textId="77777777" w:rsidR="00F12774" w:rsidRPr="00F12774" w:rsidRDefault="00F12774" w:rsidP="00F12774">
      <w:pPr>
        <w:spacing w:after="160" w:line="259" w:lineRule="auto"/>
        <w:contextualSpacing/>
        <w:jc w:val="both"/>
        <w:rPr>
          <w:rFonts w:ascii="Arial" w:eastAsiaTheme="minorEastAsia" w:hAnsi="Arial" w:cs="Arial"/>
          <w:bCs/>
          <w:sz w:val="16"/>
          <w:szCs w:val="16"/>
          <w:lang w:val="es-CR"/>
        </w:rPr>
      </w:pPr>
      <w:r w:rsidRPr="00F12774">
        <w:rPr>
          <w:rFonts w:ascii="Arial" w:eastAsiaTheme="minorEastAsia" w:hAnsi="Arial" w:cs="Arial"/>
          <w:b/>
          <w:sz w:val="16"/>
          <w:szCs w:val="16"/>
          <w:lang w:val="es-CR"/>
        </w:rPr>
        <w:t>Fuente</w:t>
      </w:r>
      <w:r w:rsidRPr="00F12774">
        <w:rPr>
          <w:rFonts w:ascii="Arial" w:eastAsiaTheme="minorEastAsia" w:hAnsi="Arial" w:cs="Arial"/>
          <w:sz w:val="16"/>
          <w:szCs w:val="16"/>
          <w:lang w:val="es-CR"/>
        </w:rPr>
        <w:t xml:space="preserve">: </w:t>
      </w:r>
      <w:r w:rsidRPr="00F12774">
        <w:rPr>
          <w:rFonts w:ascii="Arial" w:hAnsi="Arial" w:cs="Arial"/>
          <w:color w:val="000000"/>
          <w:sz w:val="16"/>
          <w:szCs w:val="20"/>
          <w:lang w:val="es-CR" w:eastAsia="es-CR"/>
        </w:rPr>
        <w:t>Liquidación Módulo de Poderes al 31 de diciembre 2021.</w:t>
      </w:r>
    </w:p>
    <w:p w14:paraId="79D5E07D" w14:textId="77777777" w:rsidR="00F12774" w:rsidRPr="00F12774" w:rsidRDefault="00F12774" w:rsidP="00F12774">
      <w:pPr>
        <w:spacing w:after="160" w:line="259" w:lineRule="auto"/>
        <w:contextualSpacing/>
        <w:jc w:val="both"/>
        <w:rPr>
          <w:rFonts w:ascii="Arial" w:eastAsiaTheme="minorEastAsia" w:hAnsi="Arial" w:cs="Arial"/>
          <w:sz w:val="16"/>
          <w:szCs w:val="16"/>
          <w:lang w:val="es-CR"/>
        </w:rPr>
      </w:pPr>
      <w:r w:rsidRPr="00F12774">
        <w:rPr>
          <w:rFonts w:ascii="Arial" w:eastAsiaTheme="minorEastAsia" w:hAnsi="Arial" w:cs="Arial"/>
          <w:sz w:val="16"/>
          <w:szCs w:val="16"/>
          <w:lang w:val="es-CR"/>
        </w:rPr>
        <w:t>/1</w:t>
      </w:r>
      <w:r w:rsidRPr="00F12774">
        <w:rPr>
          <w:rFonts w:ascii="Arial" w:eastAsiaTheme="minorEastAsia" w:hAnsi="Arial" w:cs="Arial"/>
          <w:b/>
          <w:sz w:val="16"/>
          <w:szCs w:val="16"/>
          <w:lang w:val="es-CR"/>
        </w:rPr>
        <w:t xml:space="preserve"> </w:t>
      </w:r>
      <w:r w:rsidRPr="00F12774">
        <w:rPr>
          <w:rFonts w:ascii="Arial" w:eastAsiaTheme="minorEastAsia" w:hAnsi="Arial" w:cs="Arial"/>
          <w:sz w:val="16"/>
          <w:szCs w:val="16"/>
          <w:lang w:val="es-CR"/>
        </w:rPr>
        <w:t>Indicar la descripción del factor señalado en el informe de seguimiento semestral.</w:t>
      </w:r>
    </w:p>
    <w:p w14:paraId="1D120357" w14:textId="77777777" w:rsidR="00F12774" w:rsidRPr="00F12774" w:rsidRDefault="00F12774" w:rsidP="00F12774">
      <w:pPr>
        <w:spacing w:after="160" w:line="259" w:lineRule="auto"/>
        <w:contextualSpacing/>
        <w:jc w:val="both"/>
        <w:rPr>
          <w:rFonts w:ascii="Arial" w:eastAsiaTheme="minorEastAsia" w:hAnsi="Arial" w:cs="Arial"/>
          <w:sz w:val="16"/>
          <w:szCs w:val="16"/>
          <w:lang w:val="es-CR"/>
        </w:rPr>
      </w:pPr>
      <w:r w:rsidRPr="00F12774">
        <w:rPr>
          <w:rFonts w:ascii="Arial" w:eastAsiaTheme="minorEastAsia" w:hAnsi="Arial" w:cs="Arial"/>
          <w:sz w:val="16"/>
          <w:szCs w:val="16"/>
          <w:lang w:val="es-CR"/>
        </w:rPr>
        <w:t>/2 Se refieren a las acciones propuestas en el informe de seguimiento semestral.</w:t>
      </w:r>
    </w:p>
    <w:p w14:paraId="5716D1AF" w14:textId="77777777" w:rsidR="00F12774" w:rsidRPr="00F12774" w:rsidRDefault="00F12774" w:rsidP="00F12774">
      <w:pPr>
        <w:spacing w:after="160" w:line="259" w:lineRule="auto"/>
        <w:contextualSpacing/>
        <w:jc w:val="both"/>
        <w:rPr>
          <w:rFonts w:ascii="Arial" w:eastAsiaTheme="minorEastAsia" w:hAnsi="Arial" w:cs="Arial"/>
          <w:sz w:val="16"/>
          <w:szCs w:val="16"/>
          <w:lang w:val="es-CR"/>
        </w:rPr>
      </w:pPr>
      <w:r w:rsidRPr="00F12774">
        <w:rPr>
          <w:rFonts w:ascii="Arial" w:eastAsiaTheme="minorEastAsia" w:hAnsi="Arial" w:cs="Arial"/>
          <w:sz w:val="16"/>
          <w:szCs w:val="16"/>
          <w:lang w:val="es-CR"/>
        </w:rPr>
        <w:lastRenderedPageBreak/>
        <w:t>/3</w:t>
      </w:r>
      <w:r w:rsidRPr="00F12774">
        <w:rPr>
          <w:rFonts w:ascii="Arial" w:eastAsiaTheme="minorEastAsia" w:hAnsi="Arial" w:cs="Arial"/>
          <w:b/>
          <w:sz w:val="16"/>
          <w:szCs w:val="16"/>
          <w:lang w:val="es-CR"/>
        </w:rPr>
        <w:t xml:space="preserve"> </w:t>
      </w:r>
      <w:r w:rsidRPr="00F12774">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2176FF71" w14:textId="77777777" w:rsidR="00F12774" w:rsidRPr="00F12774" w:rsidRDefault="00F12774" w:rsidP="00F12774">
      <w:pPr>
        <w:spacing w:after="160" w:line="259" w:lineRule="auto"/>
        <w:contextualSpacing/>
        <w:jc w:val="both"/>
        <w:rPr>
          <w:rFonts w:ascii="Arial" w:eastAsiaTheme="minorEastAsia" w:hAnsi="Arial" w:cs="Arial"/>
          <w:b/>
          <w:sz w:val="16"/>
          <w:szCs w:val="16"/>
          <w:lang w:val="es-CR"/>
        </w:rPr>
      </w:pPr>
    </w:p>
    <w:p w14:paraId="6D3255DC" w14:textId="77777777" w:rsidR="00F12774" w:rsidRPr="00F12774" w:rsidRDefault="00F12774" w:rsidP="00F12774">
      <w:pPr>
        <w:spacing w:after="160" w:line="259" w:lineRule="auto"/>
        <w:contextualSpacing/>
        <w:jc w:val="both"/>
        <w:rPr>
          <w:rFonts w:ascii="Arial" w:eastAsiaTheme="minorEastAsia" w:hAnsi="Arial" w:cs="Arial"/>
          <w:b/>
          <w:sz w:val="16"/>
          <w:szCs w:val="16"/>
          <w:lang w:val="es-CR"/>
        </w:rPr>
      </w:pPr>
    </w:p>
    <w:p w14:paraId="3888F7F2" w14:textId="32021835" w:rsidR="007331CC" w:rsidRPr="00AE3D7B" w:rsidRDefault="007331CC" w:rsidP="007331CC">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25</w:t>
      </w:r>
      <w:r w:rsidRPr="00AE3D7B">
        <w:rPr>
          <w:rFonts w:ascii="Arial" w:hAnsi="Arial" w:cs="Arial"/>
          <w:b/>
          <w:bCs/>
          <w:i w:val="0"/>
          <w:iCs w:val="0"/>
          <w:color w:val="auto"/>
          <w:sz w:val="20"/>
          <w:szCs w:val="20"/>
        </w:rPr>
        <w:fldChar w:fldCharType="end"/>
      </w:r>
    </w:p>
    <w:p w14:paraId="220C93D5" w14:textId="799CDE38" w:rsidR="00F12774" w:rsidRPr="00F12774" w:rsidRDefault="00F12774" w:rsidP="00F12774">
      <w:pPr>
        <w:spacing w:after="160" w:line="259" w:lineRule="auto"/>
        <w:ind w:left="55"/>
        <w:contextualSpacing/>
        <w:jc w:val="center"/>
        <w:rPr>
          <w:rFonts w:ascii="Arial" w:eastAsiaTheme="minorEastAsia" w:hAnsi="Arial" w:cs="Arial"/>
          <w:b/>
          <w:bCs/>
          <w:color w:val="000000"/>
          <w:sz w:val="20"/>
          <w:szCs w:val="20"/>
          <w:lang w:val="es-CR" w:eastAsia="es-CR"/>
        </w:rPr>
      </w:pPr>
      <w:r w:rsidRPr="00F12774">
        <w:rPr>
          <w:rFonts w:ascii="Arial" w:eastAsiaTheme="minorEastAsia" w:hAnsi="Arial" w:cs="Arial"/>
          <w:b/>
          <w:sz w:val="20"/>
          <w:szCs w:val="20"/>
          <w:lang w:val="es-CR" w:eastAsia="es-CR"/>
        </w:rPr>
        <w:t>Acciones correctivas y fechas de implementación</w:t>
      </w:r>
    </w:p>
    <w:p w14:paraId="57900B2C" w14:textId="77777777" w:rsidR="00F12774" w:rsidRPr="00F12774" w:rsidRDefault="00F12774" w:rsidP="00F12774">
      <w:pPr>
        <w:jc w:val="center"/>
        <w:rPr>
          <w:rFonts w:ascii="Arial" w:eastAsiaTheme="minorEastAsia" w:hAnsi="Arial" w:cs="Arial"/>
          <w:color w:val="000000" w:themeColor="text1"/>
          <w:sz w:val="20"/>
          <w:szCs w:val="20"/>
          <w:lang w:val="es-ES_tradnl"/>
        </w:rPr>
      </w:pPr>
      <w:r w:rsidRPr="00F12774">
        <w:rPr>
          <w:rFonts w:ascii="Arial" w:eastAsiaTheme="minorEastAsia" w:hAnsi="Arial" w:cs="Arial"/>
          <w:color w:val="000000" w:themeColor="text1"/>
          <w:sz w:val="20"/>
          <w:szCs w:val="20"/>
          <w:lang w:val="es-ES_tradnl"/>
        </w:rPr>
        <w:t>Programa 930, Defensa Pública</w:t>
      </w:r>
    </w:p>
    <w:p w14:paraId="4C098B0C" w14:textId="77777777" w:rsidR="00F12774" w:rsidRPr="00F12774" w:rsidRDefault="00F12774" w:rsidP="00F12774">
      <w:pPr>
        <w:spacing w:after="160" w:line="259" w:lineRule="auto"/>
        <w:ind w:left="55"/>
        <w:contextualSpacing/>
        <w:jc w:val="center"/>
        <w:rPr>
          <w:rFonts w:ascii="Arial" w:eastAsiaTheme="minorEastAsia" w:hAnsi="Arial" w:cs="Arial"/>
          <w:color w:val="000000"/>
          <w:sz w:val="20"/>
          <w:szCs w:val="20"/>
          <w:lang w:val="es-CR" w:eastAsia="es-CR"/>
        </w:rPr>
      </w:pPr>
      <w:r w:rsidRPr="00F12774">
        <w:rPr>
          <w:rFonts w:ascii="Arial" w:eastAsiaTheme="minorEastAsia" w:hAnsi="Arial" w:cs="Arial"/>
          <w:color w:val="000000"/>
          <w:sz w:val="20"/>
          <w:szCs w:val="20"/>
          <w:lang w:val="es-CR" w:eastAsia="es-CR"/>
        </w:rPr>
        <w:t xml:space="preserve">Partidas con ejecución menor al 90,00% </w:t>
      </w:r>
    </w:p>
    <w:p w14:paraId="25283310" w14:textId="77777777" w:rsidR="00F12774" w:rsidRPr="00F12774" w:rsidRDefault="00F12774" w:rsidP="00F12774">
      <w:pPr>
        <w:jc w:val="center"/>
        <w:rPr>
          <w:rFonts w:ascii="Arial" w:eastAsiaTheme="minorEastAsia" w:hAnsi="Arial" w:cs="Arial"/>
          <w:color w:val="000000"/>
          <w:sz w:val="20"/>
          <w:szCs w:val="20"/>
          <w:lang w:val="es-CR" w:eastAsia="es-CR"/>
        </w:rPr>
      </w:pPr>
      <w:r w:rsidRPr="00F12774">
        <w:rPr>
          <w:rFonts w:ascii="Arial" w:eastAsiaTheme="minorEastAsia" w:hAnsi="Arial" w:cs="Arial"/>
          <w:sz w:val="20"/>
          <w:szCs w:val="20"/>
          <w:lang w:val="es-ES_tradnl"/>
        </w:rPr>
        <w:t>Al 31 de diciembre 2021</w:t>
      </w:r>
    </w:p>
    <w:tbl>
      <w:tblPr>
        <w:tblStyle w:val="Listaclara-nfasis121"/>
        <w:tblW w:w="5258" w:type="pct"/>
        <w:tblLook w:val="00A0" w:firstRow="1" w:lastRow="0" w:firstColumn="1" w:lastColumn="0" w:noHBand="0" w:noVBand="0"/>
      </w:tblPr>
      <w:tblGrid>
        <w:gridCol w:w="1539"/>
        <w:gridCol w:w="1047"/>
        <w:gridCol w:w="1634"/>
        <w:gridCol w:w="3115"/>
        <w:gridCol w:w="1587"/>
      </w:tblGrid>
      <w:tr w:rsidR="00F12774" w:rsidRPr="00F12774" w14:paraId="5475F6E0"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639" w:type="pct"/>
            <w:vAlign w:val="center"/>
          </w:tcPr>
          <w:p w14:paraId="123BAF47" w14:textId="77777777" w:rsidR="00F12774" w:rsidRPr="00F12774" w:rsidRDefault="00F12774" w:rsidP="00F12774">
            <w:pPr>
              <w:contextualSpacing/>
              <w:jc w:val="center"/>
              <w:rPr>
                <w:rFonts w:ascii="Arial" w:hAnsi="Arial" w:cs="Arial"/>
                <w:bCs w:val="0"/>
                <w:sz w:val="18"/>
                <w:szCs w:val="20"/>
                <w:lang w:val="es-CR"/>
              </w:rPr>
            </w:pPr>
            <w:r w:rsidRPr="00F12774">
              <w:rPr>
                <w:rFonts w:ascii="Arial" w:hAnsi="Arial" w:cs="Arial"/>
                <w:sz w:val="18"/>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587" w:type="pct"/>
            <w:vAlign w:val="center"/>
          </w:tcPr>
          <w:p w14:paraId="16BFEEB1" w14:textId="77777777" w:rsidR="00F12774" w:rsidRPr="00F12774" w:rsidRDefault="00F12774" w:rsidP="00F12774">
            <w:pPr>
              <w:contextualSpacing/>
              <w:jc w:val="center"/>
              <w:rPr>
                <w:rFonts w:ascii="Arial" w:hAnsi="Arial" w:cs="Arial"/>
                <w:sz w:val="18"/>
                <w:szCs w:val="20"/>
                <w:lang w:val="es-CR"/>
              </w:rPr>
            </w:pPr>
            <w:r w:rsidRPr="00F12774">
              <w:rPr>
                <w:rFonts w:ascii="Arial" w:hAnsi="Arial" w:cs="Arial"/>
                <w:sz w:val="18"/>
                <w:szCs w:val="20"/>
                <w:lang w:val="es-CR"/>
              </w:rPr>
              <w:t xml:space="preserve">Nivel de ejecución </w:t>
            </w:r>
            <w:r w:rsidRPr="00F12774">
              <w:rPr>
                <w:rFonts w:ascii="Arial" w:hAnsi="Arial" w:cs="Arial"/>
                <w:sz w:val="18"/>
                <w:szCs w:val="20"/>
                <w:vertAlign w:val="superscript"/>
                <w:lang w:val="es-CR"/>
              </w:rPr>
              <w:t>/1</w:t>
            </w:r>
          </w:p>
        </w:tc>
        <w:tc>
          <w:tcPr>
            <w:tcW w:w="1028" w:type="pct"/>
            <w:vAlign w:val="center"/>
          </w:tcPr>
          <w:p w14:paraId="5C34C31B" w14:textId="77777777" w:rsidR="00F12774" w:rsidRPr="00F12774" w:rsidRDefault="00F12774" w:rsidP="00F1277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s-CR"/>
              </w:rPr>
            </w:pPr>
            <w:r w:rsidRPr="00F12774">
              <w:rPr>
                <w:rFonts w:ascii="Arial" w:hAnsi="Arial" w:cs="Arial"/>
                <w:sz w:val="18"/>
                <w:szCs w:val="20"/>
                <w:lang w:val="es-CR"/>
              </w:rPr>
              <w:t xml:space="preserve">Acciones correctivas </w:t>
            </w:r>
            <w:r w:rsidRPr="00F12774">
              <w:rPr>
                <w:rFonts w:ascii="Arial" w:hAnsi="Arial" w:cs="Arial"/>
                <w:sz w:val="18"/>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857" w:type="pct"/>
            <w:vAlign w:val="center"/>
          </w:tcPr>
          <w:p w14:paraId="6F2DD599" w14:textId="77777777" w:rsidR="00F12774" w:rsidRPr="00F12774" w:rsidRDefault="00F12774" w:rsidP="00F12774">
            <w:pPr>
              <w:contextualSpacing/>
              <w:jc w:val="center"/>
              <w:rPr>
                <w:rFonts w:ascii="Arial" w:hAnsi="Arial" w:cs="Arial"/>
                <w:sz w:val="18"/>
                <w:szCs w:val="20"/>
                <w:lang w:val="es-CR"/>
              </w:rPr>
            </w:pPr>
            <w:r w:rsidRPr="00F12774">
              <w:rPr>
                <w:rFonts w:ascii="Arial" w:hAnsi="Arial" w:cs="Arial"/>
                <w:sz w:val="18"/>
                <w:szCs w:val="20"/>
                <w:lang w:val="es-CR"/>
              </w:rPr>
              <w:t xml:space="preserve">Persona responsable de brindar la información </w:t>
            </w:r>
          </w:p>
        </w:tc>
        <w:tc>
          <w:tcPr>
            <w:tcW w:w="889" w:type="pct"/>
            <w:vAlign w:val="center"/>
          </w:tcPr>
          <w:p w14:paraId="4C6832E9" w14:textId="77777777" w:rsidR="00F12774" w:rsidRPr="00F12774" w:rsidRDefault="00F12774" w:rsidP="00F1277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20"/>
                <w:lang w:val="es-CR"/>
              </w:rPr>
            </w:pPr>
            <w:r w:rsidRPr="00F12774">
              <w:rPr>
                <w:rFonts w:ascii="Arial" w:hAnsi="Arial" w:cs="Arial"/>
                <w:sz w:val="18"/>
                <w:szCs w:val="20"/>
                <w:lang w:val="es-CR"/>
              </w:rPr>
              <w:t xml:space="preserve">Fecha de implementación </w:t>
            </w:r>
            <w:r w:rsidRPr="00F12774">
              <w:rPr>
                <w:rFonts w:ascii="Arial" w:hAnsi="Arial" w:cs="Arial"/>
                <w:sz w:val="18"/>
                <w:szCs w:val="20"/>
                <w:vertAlign w:val="superscript"/>
                <w:lang w:val="es-CR"/>
              </w:rPr>
              <w:t>/3</w:t>
            </w:r>
          </w:p>
        </w:tc>
      </w:tr>
      <w:tr w:rsidR="00F12774" w:rsidRPr="00F12774" w14:paraId="0B5712DC"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9" w:type="pct"/>
          </w:tcPr>
          <w:p w14:paraId="4C8CCE3C" w14:textId="77777777" w:rsidR="00F12774" w:rsidRPr="00F12774" w:rsidRDefault="00F12774" w:rsidP="00F12774">
            <w:pPr>
              <w:spacing w:line="360" w:lineRule="auto"/>
              <w:contextualSpacing/>
              <w:jc w:val="both"/>
              <w:rPr>
                <w:rFonts w:ascii="Arial" w:hAnsi="Arial" w:cs="Arial"/>
                <w:b w:val="0"/>
                <w:bCs w:val="0"/>
                <w:sz w:val="20"/>
                <w:szCs w:val="20"/>
                <w:lang w:val="es-CR"/>
              </w:rPr>
            </w:pPr>
            <w:r w:rsidRPr="00F12774">
              <w:rPr>
                <w:rFonts w:ascii="Arial" w:hAnsi="Arial" w:cs="Arial"/>
                <w:b w:val="0"/>
                <w:bCs w:val="0"/>
                <w:sz w:val="20"/>
                <w:szCs w:val="20"/>
                <w:lang w:val="es-CR"/>
              </w:rPr>
              <w:t>Materiales</w:t>
            </w:r>
          </w:p>
        </w:tc>
        <w:tc>
          <w:tcPr>
            <w:cnfStyle w:val="000010000000" w:firstRow="0" w:lastRow="0" w:firstColumn="0" w:lastColumn="0" w:oddVBand="1" w:evenVBand="0" w:oddHBand="0" w:evenHBand="0" w:firstRowFirstColumn="0" w:firstRowLastColumn="0" w:lastRowFirstColumn="0" w:lastRowLastColumn="0"/>
            <w:tcW w:w="587" w:type="pct"/>
          </w:tcPr>
          <w:p w14:paraId="50D0ABFD" w14:textId="77777777" w:rsidR="00F12774" w:rsidRPr="00F12774" w:rsidRDefault="00F12774" w:rsidP="00F12774">
            <w:pPr>
              <w:spacing w:line="360" w:lineRule="auto"/>
              <w:rPr>
                <w:rFonts w:ascii="Arial" w:hAnsi="Arial" w:cs="Arial"/>
                <w:bCs/>
                <w:sz w:val="20"/>
                <w:szCs w:val="20"/>
                <w:lang w:val="es-CR"/>
              </w:rPr>
            </w:pPr>
            <w:r w:rsidRPr="00F12774">
              <w:rPr>
                <w:rFonts w:ascii="Arial" w:hAnsi="Arial" w:cs="Arial"/>
                <w:bCs/>
                <w:sz w:val="20"/>
                <w:szCs w:val="20"/>
                <w:lang w:val="es-CR"/>
              </w:rPr>
              <w:t>75,00%</w:t>
            </w:r>
          </w:p>
        </w:tc>
        <w:tc>
          <w:tcPr>
            <w:tcW w:w="1028" w:type="pct"/>
          </w:tcPr>
          <w:p w14:paraId="7062DABB"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Acelerar procesos para contrataciones de artículos específicos</w:t>
            </w:r>
          </w:p>
          <w:p w14:paraId="1B6E1F43"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Gestión oportuna de pago de bienes y servicios dentro del plazo de ejecución presupuestaria</w:t>
            </w:r>
          </w:p>
        </w:tc>
        <w:tc>
          <w:tcPr>
            <w:cnfStyle w:val="000010000000" w:firstRow="0" w:lastRow="0" w:firstColumn="0" w:lastColumn="0" w:oddVBand="1" w:evenVBand="0" w:oddHBand="0" w:evenHBand="0" w:firstRowFirstColumn="0" w:firstRowLastColumn="0" w:lastRowFirstColumn="0" w:lastRowLastColumn="0"/>
            <w:tcW w:w="1857" w:type="pct"/>
          </w:tcPr>
          <w:p w14:paraId="6AB21365" w14:textId="6A5D652D" w:rsidR="00F12774" w:rsidRPr="00F12774" w:rsidRDefault="00F12774" w:rsidP="00F12774">
            <w:pPr>
              <w:spacing w:line="360" w:lineRule="auto"/>
              <w:contextualSpacing/>
              <w:jc w:val="both"/>
              <w:rPr>
                <w:rFonts w:ascii="Arial" w:hAnsi="Arial" w:cs="Arial"/>
                <w:bCs/>
                <w:sz w:val="20"/>
                <w:szCs w:val="20"/>
                <w:lang w:val="es-CR"/>
              </w:rPr>
            </w:pPr>
            <w:r w:rsidRPr="00F12774">
              <w:rPr>
                <w:rFonts w:ascii="Arial" w:hAnsi="Arial" w:cs="Arial"/>
                <w:bCs/>
                <w:sz w:val="20"/>
                <w:szCs w:val="20"/>
                <w:lang w:val="es-CR"/>
              </w:rPr>
              <w:t xml:space="preserve">Administración Defensa Pública: Josué González </w:t>
            </w:r>
            <w:r w:rsidR="006A0C90" w:rsidRPr="00F12774">
              <w:rPr>
                <w:rFonts w:ascii="Arial" w:hAnsi="Arial" w:cs="Arial"/>
                <w:bCs/>
                <w:sz w:val="20"/>
                <w:szCs w:val="20"/>
                <w:lang w:val="es-CR"/>
              </w:rPr>
              <w:t>Granados; Administraciones</w:t>
            </w:r>
            <w:r w:rsidRPr="00F12774">
              <w:rPr>
                <w:rFonts w:ascii="Arial" w:hAnsi="Arial" w:cs="Arial"/>
                <w:bCs/>
                <w:sz w:val="20"/>
                <w:szCs w:val="20"/>
                <w:lang w:val="es-CR"/>
              </w:rPr>
              <w:t xml:space="preserve"> Regionales, y Entes Técnicos (Personal de las Administraciones Regionales a nivel de todo el país y de los otros departamentos administrativos a cargo de la ejecución de recursos); Servicios Generales: José L. Soto </w:t>
            </w:r>
            <w:r w:rsidR="006A0C90" w:rsidRPr="00F12774">
              <w:rPr>
                <w:rFonts w:ascii="Arial" w:hAnsi="Arial" w:cs="Arial"/>
                <w:bCs/>
                <w:sz w:val="20"/>
                <w:szCs w:val="20"/>
                <w:lang w:val="es-CR"/>
              </w:rPr>
              <w:t>Richmond, Tecnología</w:t>
            </w:r>
            <w:r w:rsidRPr="00F12774">
              <w:rPr>
                <w:rFonts w:ascii="Arial" w:hAnsi="Arial" w:cs="Arial"/>
                <w:bCs/>
                <w:sz w:val="20"/>
                <w:szCs w:val="20"/>
                <w:lang w:val="es-CR"/>
              </w:rPr>
              <w:t xml:space="preserve"> de la Información: Kathia Morales Navarro, y Departamento de Proveeduría, Ingrid Moya Aguilar.</w:t>
            </w:r>
          </w:p>
        </w:tc>
        <w:tc>
          <w:tcPr>
            <w:tcW w:w="889" w:type="pct"/>
          </w:tcPr>
          <w:p w14:paraId="4C9F0386"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17/01/2022</w:t>
            </w:r>
          </w:p>
        </w:tc>
      </w:tr>
      <w:tr w:rsidR="00F12774" w:rsidRPr="00F12774" w14:paraId="632DE8A0"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639" w:type="pct"/>
          </w:tcPr>
          <w:p w14:paraId="267B39F8" w14:textId="77777777" w:rsidR="00F12774" w:rsidRPr="00F12774" w:rsidRDefault="00F12774" w:rsidP="00F12774">
            <w:pPr>
              <w:spacing w:line="360" w:lineRule="auto"/>
              <w:contextualSpacing/>
              <w:jc w:val="both"/>
              <w:rPr>
                <w:rFonts w:ascii="Arial" w:hAnsi="Arial" w:cs="Arial"/>
                <w:b w:val="0"/>
                <w:bCs w:val="0"/>
                <w:sz w:val="20"/>
                <w:szCs w:val="20"/>
                <w:lang w:val="es-CR"/>
              </w:rPr>
            </w:pPr>
            <w:r w:rsidRPr="00F12774">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587" w:type="pct"/>
          </w:tcPr>
          <w:p w14:paraId="606BB3D6" w14:textId="77777777" w:rsidR="00F12774" w:rsidRPr="00F12774" w:rsidRDefault="00F12774" w:rsidP="00F12774">
            <w:pPr>
              <w:spacing w:line="360" w:lineRule="auto"/>
              <w:rPr>
                <w:rFonts w:ascii="Arial" w:hAnsi="Arial" w:cs="Arial"/>
                <w:bCs/>
                <w:sz w:val="20"/>
                <w:szCs w:val="20"/>
                <w:lang w:val="es-CR"/>
              </w:rPr>
            </w:pPr>
            <w:r w:rsidRPr="00F12774">
              <w:rPr>
                <w:rFonts w:ascii="Arial" w:hAnsi="Arial" w:cs="Arial"/>
                <w:bCs/>
                <w:sz w:val="20"/>
                <w:szCs w:val="20"/>
                <w:lang w:val="es-CR"/>
              </w:rPr>
              <w:t>75,88%</w:t>
            </w:r>
          </w:p>
        </w:tc>
        <w:tc>
          <w:tcPr>
            <w:tcW w:w="1028" w:type="pct"/>
          </w:tcPr>
          <w:p w14:paraId="1EDF034B" w14:textId="77777777" w:rsidR="00F12774" w:rsidRPr="00F12774" w:rsidRDefault="00F12774" w:rsidP="00F12774">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Acelerar procesos para contrataciones de artículos específicos</w:t>
            </w:r>
          </w:p>
          <w:p w14:paraId="6C8E12F5" w14:textId="77777777" w:rsidR="00F12774" w:rsidRPr="00F12774" w:rsidRDefault="00F12774" w:rsidP="00F12774">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 xml:space="preserve">Gestión oportuna de pago de bienes y servicios dentro del plazo </w:t>
            </w:r>
            <w:r w:rsidRPr="00F12774">
              <w:rPr>
                <w:rFonts w:ascii="Arial" w:hAnsi="Arial" w:cs="Arial"/>
                <w:bCs/>
                <w:sz w:val="20"/>
                <w:szCs w:val="20"/>
                <w:lang w:val="es-CR"/>
              </w:rPr>
              <w:lastRenderedPageBreak/>
              <w:t>de ejecución presupuestaria</w:t>
            </w:r>
          </w:p>
        </w:tc>
        <w:tc>
          <w:tcPr>
            <w:cnfStyle w:val="000010000000" w:firstRow="0" w:lastRow="0" w:firstColumn="0" w:lastColumn="0" w:oddVBand="1" w:evenVBand="0" w:oddHBand="0" w:evenHBand="0" w:firstRowFirstColumn="0" w:firstRowLastColumn="0" w:lastRowFirstColumn="0" w:lastRowLastColumn="0"/>
            <w:tcW w:w="1857" w:type="pct"/>
          </w:tcPr>
          <w:p w14:paraId="217A427B" w14:textId="1C7355E4" w:rsidR="00F12774" w:rsidRPr="00F12774" w:rsidRDefault="00F12774" w:rsidP="00F12774">
            <w:pPr>
              <w:spacing w:line="360" w:lineRule="auto"/>
              <w:contextualSpacing/>
              <w:jc w:val="both"/>
              <w:rPr>
                <w:rFonts w:ascii="Arial" w:hAnsi="Arial" w:cs="Arial"/>
                <w:bCs/>
                <w:sz w:val="20"/>
                <w:szCs w:val="20"/>
                <w:lang w:val="es-CR"/>
              </w:rPr>
            </w:pPr>
            <w:r w:rsidRPr="00F12774">
              <w:rPr>
                <w:rFonts w:ascii="Arial" w:hAnsi="Arial" w:cs="Arial"/>
                <w:bCs/>
                <w:sz w:val="20"/>
                <w:szCs w:val="20"/>
                <w:lang w:val="es-CR"/>
              </w:rPr>
              <w:lastRenderedPageBreak/>
              <w:t xml:space="preserve">Administración Defensa Pública: Josué González </w:t>
            </w:r>
            <w:r w:rsidR="00A61E95" w:rsidRPr="00F12774">
              <w:rPr>
                <w:rFonts w:ascii="Arial" w:hAnsi="Arial" w:cs="Arial"/>
                <w:bCs/>
                <w:sz w:val="20"/>
                <w:szCs w:val="20"/>
                <w:lang w:val="es-CR"/>
              </w:rPr>
              <w:t>Granados; Administraciones</w:t>
            </w:r>
            <w:r w:rsidRPr="00F12774">
              <w:rPr>
                <w:rFonts w:ascii="Arial" w:hAnsi="Arial" w:cs="Arial"/>
                <w:bCs/>
                <w:sz w:val="20"/>
                <w:szCs w:val="20"/>
                <w:lang w:val="es-CR"/>
              </w:rPr>
              <w:t xml:space="preserve"> Regionales, y Entes Técnicos (Personal de las Administraciones Regionales a nivel de todo el país y de los otros departamentos administrativos a cargo de la ejecución de recursos); Servicios Generales: José L. Soto </w:t>
            </w:r>
            <w:r w:rsidR="00A61E95" w:rsidRPr="00F12774">
              <w:rPr>
                <w:rFonts w:ascii="Arial" w:hAnsi="Arial" w:cs="Arial"/>
                <w:bCs/>
                <w:sz w:val="20"/>
                <w:szCs w:val="20"/>
                <w:lang w:val="es-CR"/>
              </w:rPr>
              <w:lastRenderedPageBreak/>
              <w:t>Richmond, Tecnología</w:t>
            </w:r>
            <w:r w:rsidRPr="00F12774">
              <w:rPr>
                <w:rFonts w:ascii="Arial" w:hAnsi="Arial" w:cs="Arial"/>
                <w:bCs/>
                <w:sz w:val="20"/>
                <w:szCs w:val="20"/>
                <w:lang w:val="es-CR"/>
              </w:rPr>
              <w:t xml:space="preserve"> de la Información: Kathia Morales Navarro, y Departamento de Proveeduría, Ingrid Moya Aguilar.</w:t>
            </w:r>
          </w:p>
        </w:tc>
        <w:tc>
          <w:tcPr>
            <w:tcW w:w="889" w:type="pct"/>
          </w:tcPr>
          <w:p w14:paraId="6A553DBA" w14:textId="77777777" w:rsidR="00F12774" w:rsidRPr="00F12774" w:rsidRDefault="00F12774" w:rsidP="00F12774">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lastRenderedPageBreak/>
              <w:t>17/01/2022</w:t>
            </w:r>
          </w:p>
        </w:tc>
      </w:tr>
      <w:tr w:rsidR="00F12774" w:rsidRPr="00F12774" w14:paraId="578AC151"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9" w:type="pct"/>
          </w:tcPr>
          <w:p w14:paraId="73423D14" w14:textId="77777777" w:rsidR="00F12774" w:rsidRPr="00F12774" w:rsidRDefault="00F12774" w:rsidP="00F12774">
            <w:pPr>
              <w:spacing w:line="360" w:lineRule="auto"/>
              <w:contextualSpacing/>
              <w:jc w:val="both"/>
              <w:rPr>
                <w:rFonts w:ascii="Arial" w:hAnsi="Arial" w:cs="Arial"/>
                <w:b w:val="0"/>
                <w:bCs w:val="0"/>
                <w:sz w:val="20"/>
                <w:szCs w:val="20"/>
                <w:lang w:val="es-CR"/>
              </w:rPr>
            </w:pPr>
            <w:r w:rsidRPr="00F12774">
              <w:rPr>
                <w:rFonts w:ascii="Arial" w:hAnsi="Arial" w:cs="Arial"/>
                <w:b w:val="0"/>
                <w:bCs w:val="0"/>
                <w:sz w:val="20"/>
                <w:szCs w:val="20"/>
                <w:lang w:val="es-CR"/>
              </w:rPr>
              <w:t>Transferencias corrientes</w:t>
            </w:r>
          </w:p>
        </w:tc>
        <w:tc>
          <w:tcPr>
            <w:cnfStyle w:val="000010000000" w:firstRow="0" w:lastRow="0" w:firstColumn="0" w:lastColumn="0" w:oddVBand="1" w:evenVBand="0" w:oddHBand="0" w:evenHBand="0" w:firstRowFirstColumn="0" w:firstRowLastColumn="0" w:lastRowFirstColumn="0" w:lastRowLastColumn="0"/>
            <w:tcW w:w="587" w:type="pct"/>
          </w:tcPr>
          <w:p w14:paraId="4F2E2B3D" w14:textId="77777777" w:rsidR="00F12774" w:rsidRPr="00F12774" w:rsidRDefault="00F12774" w:rsidP="00F12774">
            <w:pPr>
              <w:spacing w:line="360" w:lineRule="auto"/>
              <w:rPr>
                <w:rFonts w:ascii="Arial" w:hAnsi="Arial" w:cs="Arial"/>
                <w:bCs/>
                <w:sz w:val="20"/>
                <w:szCs w:val="20"/>
                <w:lang w:val="es-CR"/>
              </w:rPr>
            </w:pPr>
            <w:r w:rsidRPr="00F12774">
              <w:rPr>
                <w:rFonts w:ascii="Arial" w:hAnsi="Arial" w:cs="Arial"/>
                <w:bCs/>
                <w:sz w:val="20"/>
                <w:szCs w:val="20"/>
                <w:lang w:val="es-CR"/>
              </w:rPr>
              <w:t>87,19%</w:t>
            </w:r>
          </w:p>
        </w:tc>
        <w:tc>
          <w:tcPr>
            <w:tcW w:w="1028" w:type="pct"/>
          </w:tcPr>
          <w:p w14:paraId="393DB07B"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Seguimiento periódico a la ejecución de los recursos.</w:t>
            </w:r>
          </w:p>
        </w:tc>
        <w:tc>
          <w:tcPr>
            <w:cnfStyle w:val="000010000000" w:firstRow="0" w:lastRow="0" w:firstColumn="0" w:lastColumn="0" w:oddVBand="1" w:evenVBand="0" w:oddHBand="0" w:evenHBand="0" w:firstRowFirstColumn="0" w:firstRowLastColumn="0" w:lastRowFirstColumn="0" w:lastRowLastColumn="0"/>
            <w:tcW w:w="1857" w:type="pct"/>
          </w:tcPr>
          <w:p w14:paraId="0EA8390D" w14:textId="77777777" w:rsidR="00F12774" w:rsidRPr="00F12774" w:rsidRDefault="00F12774" w:rsidP="00F12774">
            <w:pPr>
              <w:spacing w:line="360" w:lineRule="auto"/>
              <w:contextualSpacing/>
              <w:jc w:val="both"/>
              <w:rPr>
                <w:rFonts w:ascii="Arial" w:hAnsi="Arial" w:cs="Arial"/>
                <w:bCs/>
                <w:sz w:val="20"/>
                <w:szCs w:val="20"/>
                <w:lang w:val="es-CR"/>
              </w:rPr>
            </w:pPr>
            <w:r w:rsidRPr="00F12774">
              <w:rPr>
                <w:rFonts w:ascii="Arial" w:hAnsi="Arial" w:cs="Arial"/>
                <w:bCs/>
                <w:sz w:val="20"/>
                <w:szCs w:val="20"/>
                <w:lang w:val="es-CR"/>
              </w:rPr>
              <w:t>Seguimiento periódico a la ejecución de los recursos.</w:t>
            </w:r>
          </w:p>
        </w:tc>
        <w:tc>
          <w:tcPr>
            <w:tcW w:w="889" w:type="pct"/>
          </w:tcPr>
          <w:p w14:paraId="66A15D72" w14:textId="77777777" w:rsidR="00F12774" w:rsidRPr="00F12774" w:rsidRDefault="00F12774" w:rsidP="00F12774">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F12774">
              <w:rPr>
                <w:rFonts w:ascii="Arial" w:hAnsi="Arial" w:cs="Arial"/>
                <w:bCs/>
                <w:sz w:val="20"/>
                <w:szCs w:val="20"/>
                <w:lang w:val="es-CR"/>
              </w:rPr>
              <w:t>1/1/2022</w:t>
            </w:r>
          </w:p>
        </w:tc>
      </w:tr>
    </w:tbl>
    <w:p w14:paraId="012737A4" w14:textId="77777777" w:rsidR="00F12774" w:rsidRPr="00F12774" w:rsidRDefault="00F12774" w:rsidP="00F12774">
      <w:pPr>
        <w:jc w:val="both"/>
        <w:rPr>
          <w:rFonts w:ascii="Arial" w:eastAsiaTheme="minorEastAsia" w:hAnsi="Arial" w:cs="Arial"/>
          <w:b/>
          <w:sz w:val="16"/>
          <w:szCs w:val="16"/>
          <w:lang w:val="es-CR"/>
        </w:rPr>
      </w:pPr>
      <w:r w:rsidRPr="00F12774">
        <w:rPr>
          <w:rFonts w:ascii="Arial" w:eastAsiaTheme="minorEastAsia" w:hAnsi="Arial" w:cs="Arial"/>
          <w:b/>
          <w:sz w:val="16"/>
          <w:szCs w:val="16"/>
          <w:lang w:val="es-CR"/>
        </w:rPr>
        <w:t xml:space="preserve">Fuente: </w:t>
      </w:r>
      <w:r w:rsidRPr="00F12774">
        <w:rPr>
          <w:rFonts w:ascii="Arial" w:hAnsi="Arial" w:cs="Arial"/>
          <w:color w:val="000000"/>
          <w:sz w:val="16"/>
          <w:szCs w:val="20"/>
          <w:lang w:val="es-CR" w:eastAsia="es-CR"/>
        </w:rPr>
        <w:t>Liquidación Módulo de Poderes al 31 de diciembre 2021.</w:t>
      </w:r>
    </w:p>
    <w:p w14:paraId="588E41AE" w14:textId="77777777" w:rsidR="00F12774" w:rsidRPr="00F12774" w:rsidRDefault="00F12774" w:rsidP="00F12774">
      <w:pPr>
        <w:jc w:val="both"/>
        <w:rPr>
          <w:rFonts w:ascii="Arial" w:eastAsiaTheme="minorEastAsia" w:hAnsi="Arial" w:cs="Arial"/>
          <w:sz w:val="16"/>
          <w:szCs w:val="20"/>
          <w:lang w:val="es-ES_tradnl"/>
        </w:rPr>
      </w:pPr>
      <w:r w:rsidRPr="00F12774">
        <w:rPr>
          <w:rFonts w:ascii="Arial" w:eastAsiaTheme="minorEastAsia" w:hAnsi="Arial" w:cs="Arial"/>
          <w:sz w:val="16"/>
          <w:szCs w:val="20"/>
          <w:lang w:val="es-ES_tradnl"/>
        </w:rPr>
        <w:t>/1 Esta información se obtiene del archivo Excel remitido por la DGPN, de la hoja “Liquidación”.</w:t>
      </w:r>
    </w:p>
    <w:p w14:paraId="647A8567" w14:textId="77777777" w:rsidR="00F12774" w:rsidRPr="00F12774" w:rsidRDefault="00F12774" w:rsidP="00F12774">
      <w:pPr>
        <w:jc w:val="both"/>
        <w:rPr>
          <w:rFonts w:ascii="Arial" w:eastAsiaTheme="minorEastAsia" w:hAnsi="Arial" w:cs="Arial"/>
          <w:sz w:val="16"/>
          <w:szCs w:val="20"/>
          <w:lang w:val="es-ES_tradnl"/>
        </w:rPr>
      </w:pPr>
      <w:r w:rsidRPr="00F12774">
        <w:rPr>
          <w:rFonts w:ascii="Arial" w:eastAsiaTheme="minorEastAsia" w:hAnsi="Arial" w:cs="Arial"/>
          <w:sz w:val="16"/>
          <w:szCs w:val="20"/>
          <w:lang w:val="es-ES_tradnl"/>
        </w:rPr>
        <w:t>/2 Se refiere a acciones que implementará el centro gestor en 2022 para subsanar los problemas de ejecución que se presentaron al 31/12/2021.</w:t>
      </w:r>
    </w:p>
    <w:p w14:paraId="4B5CB9E0" w14:textId="77777777" w:rsidR="00F12774" w:rsidRPr="00F12774" w:rsidRDefault="00F12774" w:rsidP="00F12774">
      <w:pPr>
        <w:jc w:val="both"/>
        <w:rPr>
          <w:rFonts w:ascii="Arial" w:eastAsiaTheme="minorEastAsia" w:hAnsi="Arial" w:cs="Arial"/>
          <w:sz w:val="16"/>
          <w:szCs w:val="20"/>
          <w:lang w:val="es-ES_tradnl"/>
        </w:rPr>
      </w:pPr>
      <w:r w:rsidRPr="00F12774">
        <w:rPr>
          <w:rFonts w:ascii="Arial" w:eastAsiaTheme="minorEastAsia" w:hAnsi="Arial" w:cs="Arial"/>
          <w:sz w:val="16"/>
          <w:szCs w:val="20"/>
          <w:lang w:val="es-ES_tradnl"/>
        </w:rPr>
        <w:t>/3 Se refiere a la fecha en que las acciones correctivas empezarán a ser implementadas por el centro gestor.</w:t>
      </w:r>
    </w:p>
    <w:p w14:paraId="46A7368F" w14:textId="77777777" w:rsidR="0050221C" w:rsidRDefault="0050221C" w:rsidP="0050221C">
      <w:pPr>
        <w:rPr>
          <w:lang w:val="es-MX"/>
        </w:rPr>
      </w:pPr>
    </w:p>
    <w:p w14:paraId="3C995BA6" w14:textId="77777777" w:rsidR="0050221C" w:rsidRDefault="0050221C" w:rsidP="0050221C">
      <w:pPr>
        <w:rPr>
          <w:lang w:val="es-MX"/>
        </w:rPr>
      </w:pPr>
    </w:p>
    <w:p w14:paraId="2CC67736" w14:textId="77777777" w:rsidR="0050221C" w:rsidRPr="0050221C" w:rsidRDefault="0050221C" w:rsidP="0050221C">
      <w:pPr>
        <w:rPr>
          <w:lang w:val="es-MX"/>
        </w:rPr>
      </w:pPr>
    </w:p>
    <w:p w14:paraId="516F147C" w14:textId="411D8E09" w:rsidR="00EE20D0" w:rsidRPr="002A5DFE" w:rsidRDefault="00EE20D0" w:rsidP="00F91EE1">
      <w:pPr>
        <w:pStyle w:val="Ttulo2"/>
        <w:keepLines/>
        <w:numPr>
          <w:ilvl w:val="0"/>
          <w:numId w:val="0"/>
        </w:numPr>
        <w:ind w:left="720"/>
        <w:rPr>
          <w:rStyle w:val="Ttulodellibro"/>
          <w:rFonts w:eastAsiaTheme="majorEastAsia" w:cs="Arial"/>
          <w:b/>
          <w:smallCaps w:val="0"/>
          <w:color w:val="002060"/>
          <w:sz w:val="28"/>
          <w:szCs w:val="28"/>
          <w:lang w:val="es-ES"/>
        </w:rPr>
      </w:pPr>
      <w:bookmarkStart w:id="34" w:name="_Toc93420483"/>
      <w:r w:rsidRPr="002A5DFE">
        <w:rPr>
          <w:rStyle w:val="Ttulodellibro"/>
          <w:rFonts w:eastAsiaTheme="majorEastAsia" w:cs="Arial"/>
          <w:b/>
          <w:smallCaps w:val="0"/>
          <w:color w:val="002060"/>
          <w:sz w:val="28"/>
          <w:szCs w:val="28"/>
          <w:lang w:val="es-ES"/>
        </w:rPr>
        <w:t xml:space="preserve">Apartado financiero por </w:t>
      </w:r>
      <w:r w:rsidR="00CD3F4A" w:rsidRPr="002A5DFE">
        <w:rPr>
          <w:rStyle w:val="Ttulodellibro"/>
          <w:rFonts w:eastAsiaTheme="majorEastAsia" w:cs="Arial"/>
          <w:b/>
          <w:smallCaps w:val="0"/>
          <w:color w:val="002060"/>
          <w:sz w:val="28"/>
          <w:szCs w:val="28"/>
          <w:lang w:val="es-ES"/>
        </w:rPr>
        <w:t>centro gestor</w:t>
      </w:r>
      <w:r w:rsidR="00F91EE1" w:rsidRPr="002A5DFE">
        <w:rPr>
          <w:rStyle w:val="Ttulodellibro"/>
          <w:rFonts w:eastAsiaTheme="majorEastAsia" w:cs="Arial"/>
          <w:b/>
          <w:smallCaps w:val="0"/>
          <w:color w:val="002060"/>
          <w:sz w:val="28"/>
          <w:szCs w:val="28"/>
          <w:lang w:val="es-ES"/>
        </w:rPr>
        <w:t xml:space="preserve">: </w:t>
      </w:r>
      <w:r w:rsidRPr="002A5DFE">
        <w:rPr>
          <w:rStyle w:val="Ttulodellibro"/>
          <w:rFonts w:eastAsiaTheme="majorEastAsia" w:cs="Arial"/>
          <w:b/>
          <w:smallCaps w:val="0"/>
          <w:color w:val="002060"/>
          <w:sz w:val="28"/>
          <w:szCs w:val="28"/>
          <w:lang w:val="es-ES"/>
        </w:rPr>
        <w:t>Programa 950 -Servicio de Atención y Protección de Víctimas y Testigos</w:t>
      </w:r>
      <w:bookmarkEnd w:id="34"/>
    </w:p>
    <w:p w14:paraId="6051E600" w14:textId="77777777" w:rsidR="00EE20D0" w:rsidRPr="00174F9D" w:rsidRDefault="00EE20D0" w:rsidP="00EE20D0">
      <w:pPr>
        <w:ind w:left="55"/>
        <w:jc w:val="center"/>
        <w:rPr>
          <w:rFonts w:ascii="Arial" w:eastAsiaTheme="majorEastAsia" w:hAnsi="Arial" w:cs="Arial"/>
          <w:b/>
          <w:bCs/>
          <w:iCs/>
          <w:color w:val="002060"/>
          <w:spacing w:val="15"/>
          <w:sz w:val="20"/>
          <w:szCs w:val="20"/>
        </w:rPr>
      </w:pPr>
    </w:p>
    <w:p w14:paraId="2D71B7E8" w14:textId="42138219" w:rsidR="00EE20D0" w:rsidRDefault="00EE20D0" w:rsidP="00EE20D0">
      <w:pPr>
        <w:ind w:left="55"/>
        <w:jc w:val="center"/>
        <w:rPr>
          <w:rFonts w:ascii="Arial" w:eastAsiaTheme="majorEastAsia" w:hAnsi="Arial" w:cs="Arial"/>
          <w:b/>
          <w:bCs/>
          <w:iCs/>
          <w:color w:val="002060"/>
          <w:spacing w:val="15"/>
          <w:sz w:val="20"/>
          <w:szCs w:val="20"/>
        </w:rPr>
      </w:pPr>
    </w:p>
    <w:p w14:paraId="0172DFD0" w14:textId="77777777" w:rsidR="00F91EE1" w:rsidRPr="00174F9D" w:rsidRDefault="00F91EE1" w:rsidP="00EE20D0">
      <w:pPr>
        <w:ind w:left="55"/>
        <w:jc w:val="center"/>
        <w:rPr>
          <w:rFonts w:ascii="Arial" w:eastAsiaTheme="majorEastAsia" w:hAnsi="Arial" w:cs="Arial"/>
          <w:b/>
          <w:bCs/>
          <w:iCs/>
          <w:color w:val="002060"/>
          <w:spacing w:val="15"/>
          <w:sz w:val="20"/>
          <w:szCs w:val="20"/>
        </w:rPr>
      </w:pPr>
    </w:p>
    <w:p w14:paraId="7EA91778" w14:textId="5019C8CC" w:rsidR="00EE20D0" w:rsidRDefault="00EE20D0" w:rsidP="00BE5AA1">
      <w:pPr>
        <w:pStyle w:val="Ttulo2"/>
        <w:keepLines/>
        <w:numPr>
          <w:ilvl w:val="1"/>
          <w:numId w:val="15"/>
        </w:numPr>
        <w:ind w:left="284" w:hanging="284"/>
        <w:jc w:val="both"/>
        <w:rPr>
          <w:rFonts w:ascii="Arial" w:hAnsi="Arial" w:cs="Arial"/>
          <w:iCs/>
          <w:color w:val="002060"/>
          <w:spacing w:val="15"/>
          <w:sz w:val="22"/>
        </w:rPr>
      </w:pPr>
      <w:bookmarkStart w:id="35" w:name="_Toc93420484"/>
      <w:r w:rsidRPr="00F56A61">
        <w:rPr>
          <w:rFonts w:ascii="Arial" w:hAnsi="Arial" w:cs="Arial"/>
          <w:iCs/>
          <w:color w:val="002060"/>
          <w:spacing w:val="15"/>
          <w:sz w:val="22"/>
        </w:rPr>
        <w:t>Ejecución del Presupuesto 202</w:t>
      </w:r>
      <w:r w:rsidR="00CD3F4A">
        <w:rPr>
          <w:rFonts w:ascii="Arial" w:hAnsi="Arial" w:cs="Arial"/>
          <w:iCs/>
          <w:color w:val="002060"/>
          <w:spacing w:val="15"/>
          <w:sz w:val="22"/>
        </w:rPr>
        <w:t>1</w:t>
      </w:r>
      <w:r w:rsidRPr="00F56A61">
        <w:rPr>
          <w:rFonts w:ascii="Arial" w:hAnsi="Arial" w:cs="Arial"/>
          <w:iCs/>
          <w:color w:val="002060"/>
          <w:spacing w:val="15"/>
          <w:sz w:val="22"/>
        </w:rPr>
        <w:t xml:space="preserve"> asociado a recursos internos</w:t>
      </w:r>
      <w:bookmarkEnd w:id="35"/>
    </w:p>
    <w:p w14:paraId="2DDC3DDB" w14:textId="77777777" w:rsidR="00AE6CBB" w:rsidRDefault="00AE6CBB" w:rsidP="00AE6CBB">
      <w:pPr>
        <w:rPr>
          <w:lang w:val="es-MX"/>
        </w:rPr>
      </w:pPr>
    </w:p>
    <w:p w14:paraId="34319CD0" w14:textId="0E56BAF4" w:rsidR="001B456D" w:rsidRPr="00AE3D7B" w:rsidRDefault="00AE6CBB" w:rsidP="001B456D">
      <w:pPr>
        <w:pStyle w:val="Descripcin"/>
        <w:jc w:val="center"/>
        <w:rPr>
          <w:rFonts w:ascii="Arial" w:hAnsi="Arial" w:cs="Arial"/>
          <w:b/>
          <w:bCs/>
          <w:i w:val="0"/>
          <w:iCs w:val="0"/>
          <w:color w:val="auto"/>
          <w:sz w:val="20"/>
          <w:szCs w:val="20"/>
          <w:lang w:val="es-ES_tradnl"/>
        </w:rPr>
      </w:pPr>
      <w:r w:rsidRPr="00826095">
        <w:rPr>
          <w:rFonts w:ascii="Arial" w:hAnsi="Arial" w:cs="Arial"/>
          <w:b/>
          <w:sz w:val="20"/>
          <w:szCs w:val="20"/>
          <w:lang w:val="es-ES_tradnl"/>
        </w:rPr>
        <w:t xml:space="preserve"> </w:t>
      </w:r>
      <w:r w:rsidR="001B456D" w:rsidRPr="00AE3D7B">
        <w:rPr>
          <w:rFonts w:ascii="Arial" w:hAnsi="Arial" w:cs="Arial"/>
          <w:b/>
          <w:bCs/>
          <w:i w:val="0"/>
          <w:iCs w:val="0"/>
          <w:color w:val="auto"/>
          <w:sz w:val="20"/>
          <w:szCs w:val="20"/>
        </w:rPr>
        <w:t xml:space="preserve">Cuadro  </w:t>
      </w:r>
      <w:r w:rsidR="001B456D" w:rsidRPr="00AE3D7B">
        <w:rPr>
          <w:rFonts w:ascii="Arial" w:hAnsi="Arial" w:cs="Arial"/>
          <w:b/>
          <w:bCs/>
          <w:i w:val="0"/>
          <w:iCs w:val="0"/>
          <w:color w:val="auto"/>
          <w:sz w:val="20"/>
          <w:szCs w:val="20"/>
        </w:rPr>
        <w:fldChar w:fldCharType="begin"/>
      </w:r>
      <w:r w:rsidR="001B456D" w:rsidRPr="00AE3D7B">
        <w:rPr>
          <w:rFonts w:ascii="Arial" w:hAnsi="Arial" w:cs="Arial"/>
          <w:b/>
          <w:bCs/>
          <w:i w:val="0"/>
          <w:iCs w:val="0"/>
          <w:color w:val="auto"/>
          <w:sz w:val="20"/>
          <w:szCs w:val="20"/>
        </w:rPr>
        <w:instrText xml:space="preserve"> SEQ cuadro_ \* ARABIC </w:instrText>
      </w:r>
      <w:r w:rsidR="001B456D" w:rsidRPr="00AE3D7B">
        <w:rPr>
          <w:rFonts w:ascii="Arial" w:hAnsi="Arial" w:cs="Arial"/>
          <w:b/>
          <w:bCs/>
          <w:i w:val="0"/>
          <w:iCs w:val="0"/>
          <w:color w:val="auto"/>
          <w:sz w:val="20"/>
          <w:szCs w:val="20"/>
        </w:rPr>
        <w:fldChar w:fldCharType="separate"/>
      </w:r>
      <w:r w:rsidR="001B456D">
        <w:rPr>
          <w:rFonts w:ascii="Arial" w:hAnsi="Arial" w:cs="Arial"/>
          <w:b/>
          <w:bCs/>
          <w:i w:val="0"/>
          <w:iCs w:val="0"/>
          <w:noProof/>
          <w:color w:val="auto"/>
          <w:sz w:val="20"/>
          <w:szCs w:val="20"/>
        </w:rPr>
        <w:t>26</w:t>
      </w:r>
      <w:r w:rsidR="001B456D" w:rsidRPr="00AE3D7B">
        <w:rPr>
          <w:rFonts w:ascii="Arial" w:hAnsi="Arial" w:cs="Arial"/>
          <w:b/>
          <w:bCs/>
          <w:i w:val="0"/>
          <w:iCs w:val="0"/>
          <w:color w:val="auto"/>
          <w:sz w:val="20"/>
          <w:szCs w:val="20"/>
        </w:rPr>
        <w:fldChar w:fldCharType="end"/>
      </w:r>
    </w:p>
    <w:p w14:paraId="686335B9" w14:textId="6E59A6FC" w:rsidR="00AE6CBB" w:rsidRPr="00826095" w:rsidRDefault="00AE6CBB" w:rsidP="00AE6CBB">
      <w:pPr>
        <w:pStyle w:val="Prrafodelista"/>
        <w:spacing w:before="240"/>
        <w:ind w:left="360"/>
        <w:jc w:val="center"/>
        <w:rPr>
          <w:rFonts w:ascii="Arial" w:hAnsi="Arial" w:cs="Arial"/>
          <w:b/>
          <w:sz w:val="20"/>
          <w:szCs w:val="20"/>
          <w:lang w:val="es-ES_tradnl"/>
        </w:rPr>
      </w:pPr>
      <w:r w:rsidRPr="00826095">
        <w:rPr>
          <w:rFonts w:ascii="Arial" w:hAnsi="Arial" w:cs="Arial"/>
          <w:b/>
          <w:sz w:val="20"/>
          <w:szCs w:val="20"/>
          <w:lang w:val="es-ES_tradnl"/>
        </w:rPr>
        <w:t>Ejecución financiera institucional por clasificación objeto del gasto</w:t>
      </w:r>
    </w:p>
    <w:p w14:paraId="4110DBD7" w14:textId="77777777" w:rsidR="00AE6CBB" w:rsidRPr="00826095" w:rsidRDefault="00AE6CBB" w:rsidP="00AE6CBB">
      <w:pPr>
        <w:pStyle w:val="Prrafodelista"/>
        <w:spacing w:before="240" w:line="360" w:lineRule="auto"/>
        <w:ind w:left="360"/>
        <w:jc w:val="center"/>
        <w:rPr>
          <w:rFonts w:ascii="Arial" w:hAnsi="Arial" w:cs="Arial"/>
          <w:strike/>
          <w:sz w:val="20"/>
          <w:szCs w:val="20"/>
          <w:highlight w:val="cyan"/>
          <w:lang w:val="es-ES_tradnl"/>
        </w:rPr>
      </w:pPr>
      <w:r w:rsidRPr="00826095">
        <w:rPr>
          <w:rFonts w:ascii="Arial" w:hAnsi="Arial" w:cs="Arial"/>
          <w:sz w:val="20"/>
          <w:szCs w:val="20"/>
          <w:lang w:val="es-ES_tradnl"/>
        </w:rPr>
        <w:t>Programa 950 Servicio de Atención y Protección a Víctimas y Testigos</w:t>
      </w:r>
    </w:p>
    <w:p w14:paraId="3ECE9495" w14:textId="77777777" w:rsidR="00AE6CBB" w:rsidRPr="00826095" w:rsidRDefault="00AE6CBB" w:rsidP="00AE6CBB">
      <w:pPr>
        <w:jc w:val="center"/>
        <w:rPr>
          <w:rFonts w:ascii="Arial" w:hAnsi="Arial" w:cs="Arial"/>
          <w:sz w:val="20"/>
          <w:szCs w:val="20"/>
          <w:lang w:val="es-ES_tradnl"/>
        </w:rPr>
      </w:pPr>
      <w:r w:rsidRPr="00826095">
        <w:rPr>
          <w:rFonts w:ascii="Arial" w:hAnsi="Arial" w:cs="Arial"/>
          <w:sz w:val="20"/>
          <w:szCs w:val="20"/>
          <w:lang w:val="es-ES_tradnl"/>
        </w:rPr>
        <w:t>Al 31 de diciembre 2021</w:t>
      </w:r>
    </w:p>
    <w:p w14:paraId="1626EAED" w14:textId="77777777" w:rsidR="00AE6CBB" w:rsidRPr="00826095" w:rsidRDefault="00AE6CBB" w:rsidP="00AE6CBB">
      <w:pPr>
        <w:pStyle w:val="Prrafodelista"/>
        <w:ind w:left="360"/>
        <w:jc w:val="center"/>
        <w:rPr>
          <w:rFonts w:ascii="Arial" w:hAnsi="Arial" w:cs="Arial"/>
          <w:i/>
          <w:sz w:val="20"/>
          <w:szCs w:val="20"/>
          <w:lang w:val="es-ES_tradnl"/>
        </w:rPr>
      </w:pPr>
      <w:r w:rsidRPr="00826095">
        <w:rPr>
          <w:rFonts w:ascii="Arial" w:hAnsi="Arial" w:cs="Arial"/>
          <w:i/>
          <w:sz w:val="20"/>
          <w:szCs w:val="20"/>
          <w:lang w:val="es-ES_tradnl"/>
        </w:rPr>
        <w:t>(en millones de colones)</w:t>
      </w:r>
    </w:p>
    <w:tbl>
      <w:tblPr>
        <w:tblStyle w:val="Listaclara-nfasis1"/>
        <w:tblW w:w="5000" w:type="pct"/>
        <w:tblLook w:val="00A0" w:firstRow="1" w:lastRow="0" w:firstColumn="1" w:lastColumn="0" w:noHBand="0" w:noVBand="0"/>
      </w:tblPr>
      <w:tblGrid>
        <w:gridCol w:w="3316"/>
        <w:gridCol w:w="1941"/>
        <w:gridCol w:w="1941"/>
        <w:gridCol w:w="1286"/>
      </w:tblGrid>
      <w:tr w:rsidR="00AE6CBB" w:rsidRPr="0024244A" w14:paraId="4065F049" w14:textId="77777777" w:rsidTr="00465D5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954" w:type="pct"/>
            <w:vAlign w:val="center"/>
            <w:hideMark/>
          </w:tcPr>
          <w:p w14:paraId="6E0F54EB" w14:textId="77777777" w:rsidR="00AE6CBB" w:rsidRPr="0024244A" w:rsidRDefault="00AE6CBB" w:rsidP="00465D52">
            <w:pPr>
              <w:jc w:val="center"/>
              <w:rPr>
                <w:rFonts w:ascii="Arial" w:hAnsi="Arial" w:cs="Arial"/>
                <w:b w:val="0"/>
                <w:sz w:val="20"/>
                <w:szCs w:val="20"/>
                <w:lang w:val="es-CR" w:eastAsia="es-CR"/>
              </w:rPr>
            </w:pPr>
            <w:r w:rsidRPr="0024244A">
              <w:rPr>
                <w:rFonts w:ascii="Arial" w:hAnsi="Arial" w:cs="Arial"/>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144" w:type="pct"/>
            <w:vAlign w:val="center"/>
            <w:hideMark/>
          </w:tcPr>
          <w:p w14:paraId="5D39BEDE" w14:textId="77777777" w:rsidR="00AE6CBB" w:rsidRPr="0024244A" w:rsidRDefault="00AE6CBB" w:rsidP="00465D52">
            <w:pPr>
              <w:jc w:val="center"/>
              <w:rPr>
                <w:rFonts w:ascii="Arial" w:hAnsi="Arial" w:cs="Arial"/>
                <w:b w:val="0"/>
                <w:sz w:val="20"/>
                <w:szCs w:val="20"/>
                <w:lang w:val="es-CR" w:eastAsia="es-CR"/>
              </w:rPr>
            </w:pPr>
            <w:r w:rsidRPr="0024244A">
              <w:rPr>
                <w:rFonts w:ascii="Arial" w:hAnsi="Arial" w:cs="Arial"/>
                <w:sz w:val="20"/>
                <w:szCs w:val="20"/>
                <w:lang w:val="es-CR" w:eastAsia="es-CR"/>
              </w:rPr>
              <w:t>Presupuesto actual</w:t>
            </w:r>
            <w:r w:rsidRPr="0024244A">
              <w:rPr>
                <w:rFonts w:ascii="Arial" w:hAnsi="Arial" w:cs="Arial"/>
                <w:sz w:val="20"/>
                <w:szCs w:val="20"/>
                <w:vertAlign w:val="superscript"/>
                <w:lang w:val="es-CR" w:eastAsia="es-CR"/>
              </w:rPr>
              <w:t>/1</w:t>
            </w:r>
            <w:r w:rsidRPr="0024244A">
              <w:rPr>
                <w:rFonts w:ascii="Arial" w:hAnsi="Arial" w:cs="Arial"/>
                <w:sz w:val="20"/>
                <w:szCs w:val="20"/>
                <w:lang w:val="es-CR" w:eastAsia="es-CR"/>
              </w:rPr>
              <w:t xml:space="preserve"> 2021</w:t>
            </w:r>
          </w:p>
        </w:tc>
        <w:tc>
          <w:tcPr>
            <w:tcW w:w="1144" w:type="pct"/>
            <w:vAlign w:val="center"/>
            <w:hideMark/>
          </w:tcPr>
          <w:p w14:paraId="0B5C4276" w14:textId="77777777" w:rsidR="00AE6CBB" w:rsidRPr="0024244A" w:rsidRDefault="00AE6CBB"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CR" w:eastAsia="es-CR"/>
              </w:rPr>
            </w:pPr>
            <w:r w:rsidRPr="0024244A">
              <w:rPr>
                <w:rFonts w:ascii="Arial" w:hAnsi="Arial" w:cs="Arial"/>
                <w:sz w:val="20"/>
                <w:szCs w:val="20"/>
                <w:lang w:val="es-CR" w:eastAsia="es-CR"/>
              </w:rPr>
              <w:t>Presupuesto ejecutado</w:t>
            </w:r>
            <w:r w:rsidRPr="0024244A">
              <w:rPr>
                <w:rFonts w:ascii="Arial" w:hAnsi="Arial" w:cs="Arial"/>
                <w:sz w:val="20"/>
                <w:szCs w:val="20"/>
                <w:vertAlign w:val="superscript"/>
                <w:lang w:val="es-CR" w:eastAsia="es-CR"/>
              </w:rPr>
              <w:t>/2</w:t>
            </w:r>
            <w:r w:rsidRPr="0024244A">
              <w:rPr>
                <w:rFonts w:ascii="Arial" w:hAnsi="Arial" w:cs="Arial"/>
                <w:sz w:val="20"/>
                <w:szCs w:val="20"/>
                <w:lang w:val="es-CR" w:eastAsia="es-CR"/>
              </w:rPr>
              <w:t xml:space="preserve"> 2021</w:t>
            </w:r>
          </w:p>
        </w:tc>
        <w:tc>
          <w:tcPr>
            <w:cnfStyle w:val="000010000000" w:firstRow="0" w:lastRow="0" w:firstColumn="0" w:lastColumn="0" w:oddVBand="1" w:evenVBand="0" w:oddHBand="0" w:evenHBand="0" w:firstRowFirstColumn="0" w:firstRowLastColumn="0" w:lastRowFirstColumn="0" w:lastRowLastColumn="0"/>
            <w:tcW w:w="758" w:type="pct"/>
            <w:vAlign w:val="center"/>
            <w:hideMark/>
          </w:tcPr>
          <w:p w14:paraId="6D6E6D59" w14:textId="77777777" w:rsidR="00AE6CBB" w:rsidRPr="0024244A" w:rsidRDefault="00AE6CBB" w:rsidP="00465D52">
            <w:pPr>
              <w:jc w:val="center"/>
              <w:rPr>
                <w:rFonts w:ascii="Arial" w:hAnsi="Arial" w:cs="Arial"/>
                <w:b w:val="0"/>
                <w:sz w:val="20"/>
                <w:szCs w:val="20"/>
                <w:lang w:val="es-CR" w:eastAsia="es-CR"/>
              </w:rPr>
            </w:pPr>
            <w:r w:rsidRPr="0024244A">
              <w:rPr>
                <w:rFonts w:ascii="Arial" w:hAnsi="Arial" w:cs="Arial"/>
                <w:sz w:val="20"/>
                <w:szCs w:val="20"/>
                <w:lang w:val="es-CR" w:eastAsia="es-CR"/>
              </w:rPr>
              <w:t>Nivel de ejecución</w:t>
            </w:r>
          </w:p>
        </w:tc>
      </w:tr>
      <w:tr w:rsidR="00AE6CBB" w:rsidRPr="0024244A" w14:paraId="7DC98112" w14:textId="77777777" w:rsidTr="00465D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1BFEB3A" w14:textId="77777777" w:rsidR="00AE6CBB" w:rsidRPr="0024244A" w:rsidRDefault="00AE6CBB" w:rsidP="00465D52">
            <w:pPr>
              <w:rPr>
                <w:rFonts w:ascii="Arial" w:hAnsi="Arial" w:cs="Arial"/>
                <w:b w:val="0"/>
                <w:bCs w:val="0"/>
                <w:sz w:val="20"/>
                <w:szCs w:val="20"/>
                <w:lang w:val="es-CR" w:eastAsia="es-CR"/>
              </w:rPr>
            </w:pPr>
          </w:p>
          <w:p w14:paraId="5AAFC737" w14:textId="77777777" w:rsidR="00AE6CBB" w:rsidRPr="0024244A" w:rsidRDefault="00AE6CBB" w:rsidP="00465D52">
            <w:pPr>
              <w:rPr>
                <w:rFonts w:ascii="Arial" w:hAnsi="Arial" w:cs="Arial"/>
                <w:sz w:val="20"/>
                <w:szCs w:val="20"/>
                <w:lang w:val="es-CR" w:eastAsia="es-CR"/>
              </w:rPr>
            </w:pPr>
            <w:r w:rsidRPr="0024244A">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247A7D32" w14:textId="77777777" w:rsidR="00AE6CBB" w:rsidRPr="0024244A" w:rsidRDefault="00AE6CBB" w:rsidP="00465D52">
            <w:pPr>
              <w:jc w:val="center"/>
              <w:rPr>
                <w:rFonts w:ascii="Arial" w:hAnsi="Arial" w:cs="Arial"/>
                <w:b/>
                <w:bCs/>
                <w:sz w:val="20"/>
                <w:szCs w:val="20"/>
                <w:lang w:val="es-CR" w:eastAsia="es-CR"/>
              </w:rPr>
            </w:pPr>
            <w:r w:rsidRPr="0024244A">
              <w:rPr>
                <w:rFonts w:ascii="Arial" w:hAnsi="Arial" w:cs="Arial"/>
                <w:b/>
                <w:bCs/>
                <w:sz w:val="20"/>
                <w:szCs w:val="20"/>
              </w:rPr>
              <w:t>9.345,03</w:t>
            </w:r>
          </w:p>
        </w:tc>
        <w:tc>
          <w:tcPr>
            <w:tcW w:w="1144" w:type="pct"/>
            <w:noWrap/>
            <w:vAlign w:val="center"/>
          </w:tcPr>
          <w:p w14:paraId="0A21B671"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4244A">
              <w:rPr>
                <w:rFonts w:ascii="Arial" w:hAnsi="Arial" w:cs="Arial"/>
                <w:b/>
                <w:bCs/>
                <w:sz w:val="20"/>
                <w:szCs w:val="20"/>
              </w:rPr>
              <w:t>8.848,26</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A60C745" w14:textId="77777777" w:rsidR="00AE6CBB" w:rsidRPr="0024244A" w:rsidRDefault="00AE6CBB" w:rsidP="00465D52">
            <w:pPr>
              <w:jc w:val="center"/>
              <w:rPr>
                <w:rFonts w:ascii="Arial" w:hAnsi="Arial" w:cs="Arial"/>
                <w:b/>
                <w:bCs/>
                <w:sz w:val="20"/>
                <w:szCs w:val="20"/>
                <w:lang w:val="es-CR" w:eastAsia="es-CR"/>
              </w:rPr>
            </w:pPr>
            <w:r w:rsidRPr="0024244A">
              <w:rPr>
                <w:rFonts w:ascii="Arial" w:hAnsi="Arial" w:cs="Arial"/>
                <w:b/>
                <w:bCs/>
                <w:sz w:val="20"/>
                <w:szCs w:val="20"/>
              </w:rPr>
              <w:t>94,68%</w:t>
            </w:r>
          </w:p>
        </w:tc>
      </w:tr>
      <w:tr w:rsidR="00AE6CBB" w:rsidRPr="0024244A" w14:paraId="6E6E6388" w14:textId="77777777" w:rsidTr="00465D52">
        <w:trPr>
          <w:trHeight w:val="315"/>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6699C08"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0C93A890"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w:t>
            </w:r>
          </w:p>
        </w:tc>
        <w:tc>
          <w:tcPr>
            <w:tcW w:w="1144" w:type="pct"/>
            <w:noWrap/>
            <w:vAlign w:val="center"/>
          </w:tcPr>
          <w:p w14:paraId="17B664FF" w14:textId="77777777" w:rsidR="00AE6CBB" w:rsidRPr="0024244A" w:rsidRDefault="00AE6CBB" w:rsidP="00465D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B4D4574"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w:t>
            </w:r>
          </w:p>
        </w:tc>
      </w:tr>
      <w:tr w:rsidR="00AE6CBB" w:rsidRPr="0024244A" w14:paraId="4B2A4828"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1BED43EE" w14:textId="77777777" w:rsidR="00AE6CBB" w:rsidRPr="0024244A" w:rsidRDefault="00AE6CBB" w:rsidP="00465D52">
            <w:pPr>
              <w:rPr>
                <w:rFonts w:ascii="Arial" w:hAnsi="Arial" w:cs="Arial"/>
                <w:sz w:val="20"/>
                <w:szCs w:val="20"/>
                <w:lang w:val="es-CR" w:eastAsia="es-CR"/>
              </w:rPr>
            </w:pPr>
            <w:r w:rsidRPr="0024244A">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tcPr>
          <w:p w14:paraId="7853CE1C" w14:textId="77777777" w:rsidR="00AE6CBB" w:rsidRPr="0024244A" w:rsidRDefault="00AE6CBB" w:rsidP="00465D52">
            <w:pPr>
              <w:jc w:val="center"/>
              <w:rPr>
                <w:rFonts w:ascii="Arial" w:hAnsi="Arial" w:cs="Arial"/>
                <w:b/>
                <w:bCs/>
                <w:sz w:val="20"/>
                <w:szCs w:val="20"/>
                <w:lang w:val="es-CR" w:eastAsia="es-CR"/>
              </w:rPr>
            </w:pPr>
            <w:r w:rsidRPr="0024244A">
              <w:rPr>
                <w:rFonts w:ascii="Arial" w:hAnsi="Arial" w:cs="Arial"/>
                <w:b/>
                <w:bCs/>
                <w:sz w:val="20"/>
                <w:szCs w:val="20"/>
              </w:rPr>
              <w:t>9.345,03</w:t>
            </w:r>
          </w:p>
        </w:tc>
        <w:tc>
          <w:tcPr>
            <w:tcW w:w="1144" w:type="pct"/>
            <w:noWrap/>
            <w:vAlign w:val="center"/>
          </w:tcPr>
          <w:p w14:paraId="42170168"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4244A">
              <w:rPr>
                <w:rFonts w:ascii="Arial" w:hAnsi="Arial" w:cs="Arial"/>
                <w:b/>
                <w:bCs/>
                <w:sz w:val="20"/>
                <w:szCs w:val="20"/>
              </w:rPr>
              <w:t>8.848,26</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79DC8BA" w14:textId="77777777" w:rsidR="00AE6CBB" w:rsidRPr="0024244A" w:rsidRDefault="00AE6CBB" w:rsidP="00465D52">
            <w:pPr>
              <w:jc w:val="center"/>
              <w:rPr>
                <w:rFonts w:ascii="Arial" w:hAnsi="Arial" w:cs="Arial"/>
                <w:b/>
                <w:bCs/>
                <w:sz w:val="20"/>
                <w:szCs w:val="20"/>
                <w:lang w:val="es-CR" w:eastAsia="es-CR"/>
              </w:rPr>
            </w:pPr>
            <w:r w:rsidRPr="0024244A">
              <w:rPr>
                <w:rFonts w:ascii="Arial" w:hAnsi="Arial" w:cs="Arial"/>
                <w:b/>
                <w:bCs/>
                <w:sz w:val="20"/>
                <w:szCs w:val="20"/>
              </w:rPr>
              <w:t>94,68%</w:t>
            </w:r>
          </w:p>
        </w:tc>
      </w:tr>
      <w:tr w:rsidR="00AE6CBB" w:rsidRPr="0024244A" w14:paraId="22E12BBE"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01F1667"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33AB282A"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7.935,13</w:t>
            </w:r>
          </w:p>
        </w:tc>
        <w:tc>
          <w:tcPr>
            <w:tcW w:w="1144" w:type="pct"/>
            <w:noWrap/>
            <w:vAlign w:val="center"/>
            <w:hideMark/>
          </w:tcPr>
          <w:p w14:paraId="48309652" w14:textId="77777777" w:rsidR="00AE6CBB" w:rsidRPr="0024244A" w:rsidRDefault="00AE6CBB" w:rsidP="00465D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7.791,04</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B039113"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98,18%</w:t>
            </w:r>
          </w:p>
        </w:tc>
      </w:tr>
      <w:tr w:rsidR="00AE6CBB" w:rsidRPr="0024244A" w14:paraId="363BBEE9"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357E773"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lastRenderedPageBreak/>
              <w:t>Servicios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4E56EEEF"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749,02</w:t>
            </w:r>
          </w:p>
        </w:tc>
        <w:tc>
          <w:tcPr>
            <w:tcW w:w="1144" w:type="pct"/>
            <w:noWrap/>
            <w:vAlign w:val="center"/>
            <w:hideMark/>
          </w:tcPr>
          <w:p w14:paraId="78191D97"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651,01</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69110BB"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86,91%</w:t>
            </w:r>
          </w:p>
        </w:tc>
      </w:tr>
      <w:tr w:rsidR="00AE6CBB" w:rsidRPr="0024244A" w14:paraId="4D98D0C8"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2D17B68E"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01C32B20"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155,73</w:t>
            </w:r>
          </w:p>
        </w:tc>
        <w:tc>
          <w:tcPr>
            <w:tcW w:w="1144" w:type="pct"/>
            <w:noWrap/>
            <w:vAlign w:val="center"/>
            <w:hideMark/>
          </w:tcPr>
          <w:p w14:paraId="375A0D51" w14:textId="77777777" w:rsidR="00AE6CBB" w:rsidRPr="0024244A" w:rsidRDefault="00AE6CBB" w:rsidP="00465D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136,70</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14BDBA17"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87,78%</w:t>
            </w:r>
          </w:p>
        </w:tc>
      </w:tr>
      <w:tr w:rsidR="00AE6CBB" w:rsidRPr="0024244A" w14:paraId="6C166CF8"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A8E6CFB"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44F7E1B4"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w:t>
            </w:r>
          </w:p>
        </w:tc>
        <w:tc>
          <w:tcPr>
            <w:tcW w:w="1144" w:type="pct"/>
            <w:noWrap/>
            <w:vAlign w:val="center"/>
            <w:hideMark/>
          </w:tcPr>
          <w:p w14:paraId="749A8E6E"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6856FC35"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w:t>
            </w:r>
          </w:p>
        </w:tc>
      </w:tr>
      <w:tr w:rsidR="00AE6CBB" w:rsidRPr="0024244A" w14:paraId="3B92E70D"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335F5FA1"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6CE46EF0"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w:t>
            </w:r>
          </w:p>
        </w:tc>
        <w:tc>
          <w:tcPr>
            <w:tcW w:w="1144" w:type="pct"/>
            <w:noWrap/>
            <w:vAlign w:val="center"/>
            <w:hideMark/>
          </w:tcPr>
          <w:p w14:paraId="1280EA05" w14:textId="77777777" w:rsidR="00AE6CBB" w:rsidRPr="0024244A" w:rsidRDefault="00AE6CBB" w:rsidP="00465D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769E8CF7"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w:t>
            </w:r>
          </w:p>
        </w:tc>
      </w:tr>
      <w:tr w:rsidR="00AE6CBB" w:rsidRPr="0024244A" w14:paraId="2F6F4C1E"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DB6B95D"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35F1DDE2"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191,33</w:t>
            </w:r>
          </w:p>
        </w:tc>
        <w:tc>
          <w:tcPr>
            <w:tcW w:w="1144" w:type="pct"/>
            <w:noWrap/>
            <w:vAlign w:val="center"/>
            <w:hideMark/>
          </w:tcPr>
          <w:p w14:paraId="1AD9EA51"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29,86</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34FED648"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15,60%</w:t>
            </w:r>
          </w:p>
        </w:tc>
      </w:tr>
      <w:tr w:rsidR="00AE6CBB" w:rsidRPr="0024244A" w14:paraId="591EA166"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5BC7EB12"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1F91F904"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119,04</w:t>
            </w:r>
          </w:p>
        </w:tc>
        <w:tc>
          <w:tcPr>
            <w:tcW w:w="1144" w:type="pct"/>
            <w:noWrap/>
            <w:vAlign w:val="center"/>
            <w:hideMark/>
          </w:tcPr>
          <w:p w14:paraId="3E0AE260" w14:textId="77777777" w:rsidR="00AE6CBB" w:rsidRPr="0024244A" w:rsidRDefault="00AE6CBB" w:rsidP="00465D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95,69</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429B4123"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80,38%</w:t>
            </w:r>
          </w:p>
        </w:tc>
      </w:tr>
      <w:tr w:rsidR="00AE6CBB" w:rsidRPr="0024244A" w14:paraId="4D2E03A2"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07229D0D"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55EFAAC7"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88,80</w:t>
            </w:r>
          </w:p>
        </w:tc>
        <w:tc>
          <w:tcPr>
            <w:tcW w:w="1144" w:type="pct"/>
            <w:noWrap/>
            <w:vAlign w:val="center"/>
            <w:hideMark/>
          </w:tcPr>
          <w:p w14:paraId="667770D4"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88,80</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0F305B5F"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100%</w:t>
            </w:r>
          </w:p>
        </w:tc>
      </w:tr>
      <w:tr w:rsidR="00AE6CBB" w:rsidRPr="0024244A" w14:paraId="1C336F52"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94E3990"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49032FBD"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w:t>
            </w:r>
          </w:p>
        </w:tc>
        <w:tc>
          <w:tcPr>
            <w:tcW w:w="1144" w:type="pct"/>
            <w:noWrap/>
            <w:vAlign w:val="center"/>
            <w:hideMark/>
          </w:tcPr>
          <w:p w14:paraId="1A4B4B31" w14:textId="77777777" w:rsidR="00AE6CBB" w:rsidRPr="0024244A" w:rsidRDefault="00AE6CBB" w:rsidP="00465D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5904EFF" w14:textId="77777777" w:rsidR="00AE6CBB" w:rsidRPr="0024244A" w:rsidRDefault="00AE6CBB" w:rsidP="00465D52">
            <w:pPr>
              <w:jc w:val="center"/>
              <w:rPr>
                <w:rFonts w:ascii="Arial" w:hAnsi="Arial" w:cs="Arial"/>
                <w:sz w:val="20"/>
                <w:szCs w:val="20"/>
                <w:lang w:val="es-CR" w:eastAsia="es-CR"/>
              </w:rPr>
            </w:pPr>
          </w:p>
        </w:tc>
      </w:tr>
      <w:tr w:rsidR="00AE6CBB" w:rsidRPr="0024244A" w14:paraId="2688ACCD" w14:textId="77777777" w:rsidTr="00465D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54" w:type="pct"/>
            <w:noWrap/>
            <w:hideMark/>
          </w:tcPr>
          <w:p w14:paraId="7C4258BA" w14:textId="77777777" w:rsidR="00AE6CBB" w:rsidRPr="0024244A" w:rsidRDefault="00AE6CBB" w:rsidP="00465D52">
            <w:pPr>
              <w:rPr>
                <w:rFonts w:ascii="Arial" w:hAnsi="Arial" w:cs="Arial"/>
                <w:b w:val="0"/>
                <w:sz w:val="20"/>
                <w:szCs w:val="20"/>
                <w:lang w:val="es-CR" w:eastAsia="es-CR"/>
              </w:rPr>
            </w:pPr>
            <w:r w:rsidRPr="0024244A">
              <w:rPr>
                <w:rFonts w:ascii="Arial" w:hAnsi="Arial" w:cs="Arial"/>
                <w:b w:val="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144" w:type="pct"/>
            <w:noWrap/>
            <w:vAlign w:val="center"/>
            <w:hideMark/>
          </w:tcPr>
          <w:p w14:paraId="1852E3C4"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rPr>
              <w:t>105,99</w:t>
            </w:r>
          </w:p>
        </w:tc>
        <w:tc>
          <w:tcPr>
            <w:tcW w:w="1144" w:type="pct"/>
            <w:noWrap/>
            <w:vAlign w:val="center"/>
            <w:hideMark/>
          </w:tcPr>
          <w:p w14:paraId="3EF883FC" w14:textId="77777777" w:rsidR="00AE6CBB" w:rsidRPr="0024244A" w:rsidRDefault="00AE6CBB"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4244A">
              <w:rPr>
                <w:rFonts w:ascii="Arial" w:hAnsi="Arial" w:cs="Arial"/>
                <w:sz w:val="20"/>
                <w:szCs w:val="20"/>
              </w:rPr>
              <w:t>55,16</w:t>
            </w:r>
          </w:p>
        </w:tc>
        <w:tc>
          <w:tcPr>
            <w:cnfStyle w:val="000010000000" w:firstRow="0" w:lastRow="0" w:firstColumn="0" w:lastColumn="0" w:oddVBand="1" w:evenVBand="0" w:oddHBand="0" w:evenHBand="0" w:firstRowFirstColumn="0" w:firstRowLastColumn="0" w:lastRowFirstColumn="0" w:lastRowLastColumn="0"/>
            <w:tcW w:w="758" w:type="pct"/>
            <w:noWrap/>
            <w:vAlign w:val="center"/>
          </w:tcPr>
          <w:p w14:paraId="5EEC33B6" w14:textId="77777777" w:rsidR="00AE6CBB" w:rsidRPr="0024244A" w:rsidRDefault="00AE6CBB" w:rsidP="00465D52">
            <w:pPr>
              <w:jc w:val="center"/>
              <w:rPr>
                <w:rFonts w:ascii="Arial" w:hAnsi="Arial" w:cs="Arial"/>
                <w:sz w:val="20"/>
                <w:szCs w:val="20"/>
                <w:lang w:val="es-CR" w:eastAsia="es-CR"/>
              </w:rPr>
            </w:pPr>
            <w:r w:rsidRPr="0024244A">
              <w:rPr>
                <w:rFonts w:ascii="Arial" w:hAnsi="Arial" w:cs="Arial"/>
                <w:sz w:val="20"/>
                <w:szCs w:val="20"/>
                <w:lang w:val="es-CR" w:eastAsia="es-CR"/>
              </w:rPr>
              <w:t>52,04%</w:t>
            </w:r>
          </w:p>
        </w:tc>
      </w:tr>
    </w:tbl>
    <w:p w14:paraId="645A0C96" w14:textId="77777777" w:rsidR="00AE6CBB" w:rsidRPr="00184CFE" w:rsidRDefault="00AE6CBB" w:rsidP="00AE6CBB">
      <w:pPr>
        <w:jc w:val="both"/>
        <w:rPr>
          <w:rFonts w:ascii="Arial" w:hAnsi="Arial" w:cs="Arial"/>
          <w:b/>
          <w:bCs/>
          <w:sz w:val="16"/>
          <w:szCs w:val="20"/>
          <w:lang w:val="es-CR" w:eastAsia="es-CR"/>
        </w:rPr>
      </w:pPr>
      <w:r w:rsidRPr="00184CFE">
        <w:rPr>
          <w:rFonts w:ascii="Arial" w:hAnsi="Arial" w:cs="Arial"/>
          <w:b/>
          <w:bCs/>
          <w:sz w:val="16"/>
          <w:szCs w:val="20"/>
          <w:lang w:val="es-CR" w:eastAsia="es-CR"/>
        </w:rPr>
        <w:t>Fuente</w:t>
      </w:r>
      <w:r w:rsidRPr="00184CFE">
        <w:rPr>
          <w:rFonts w:ascii="Arial" w:hAnsi="Arial" w:cs="Arial"/>
          <w:sz w:val="16"/>
          <w:szCs w:val="20"/>
          <w:lang w:val="es-CR" w:eastAsia="es-CR"/>
        </w:rPr>
        <w:t>: Sistema Integrado de Gestión de la Administración Financiera al 31.12-2021.</w:t>
      </w:r>
    </w:p>
    <w:p w14:paraId="6DA1C7B5" w14:textId="77777777" w:rsidR="00AE6CBB" w:rsidRPr="00184CFE" w:rsidRDefault="00AE6CBB" w:rsidP="00AE6CBB">
      <w:pPr>
        <w:jc w:val="both"/>
        <w:rPr>
          <w:rFonts w:ascii="Arial" w:hAnsi="Arial" w:cs="Arial"/>
          <w:b/>
          <w:bCs/>
          <w:sz w:val="18"/>
          <w:szCs w:val="20"/>
          <w:lang w:val="es-CR" w:eastAsia="es-CR"/>
        </w:rPr>
      </w:pPr>
      <w:r w:rsidRPr="00184CFE">
        <w:rPr>
          <w:rFonts w:ascii="Arial" w:hAnsi="Arial" w:cs="Arial"/>
          <w:sz w:val="16"/>
          <w:szCs w:val="20"/>
          <w:lang w:val="es-CR" w:eastAsia="es-CR"/>
        </w:rPr>
        <w:t>/1 Corresponde al presupuesto inicial incluyendo las modificaciones presupuestarias realizadas durante el 2021.</w:t>
      </w:r>
    </w:p>
    <w:p w14:paraId="72775633" w14:textId="77777777" w:rsidR="00AE6CBB" w:rsidRPr="00184CFE" w:rsidRDefault="00AE6CBB" w:rsidP="00AE6CBB">
      <w:pPr>
        <w:ind w:right="335"/>
        <w:jc w:val="both"/>
        <w:rPr>
          <w:rFonts w:ascii="Arial" w:hAnsi="Arial" w:cs="Arial"/>
          <w:sz w:val="16"/>
          <w:szCs w:val="20"/>
          <w:lang w:val="es-CR" w:eastAsia="es-CR"/>
        </w:rPr>
      </w:pPr>
      <w:r w:rsidRPr="00184CFE">
        <w:rPr>
          <w:rFonts w:ascii="Arial" w:hAnsi="Arial" w:cs="Arial"/>
          <w:sz w:val="16"/>
          <w:szCs w:val="20"/>
          <w:lang w:val="es-CR" w:eastAsia="es-CR"/>
        </w:rPr>
        <w:t xml:space="preserve">/2 Se refiere al devengado, que es el reconocimiento del gasto por la recepción de bienes y servicios independientemente de cuando se efectúe el pago de la obligación. </w:t>
      </w:r>
    </w:p>
    <w:p w14:paraId="06F9FBD5" w14:textId="77777777" w:rsidR="00F12774" w:rsidRDefault="00F12774" w:rsidP="00AE6CBB">
      <w:pPr>
        <w:spacing w:after="160" w:line="360" w:lineRule="auto"/>
        <w:jc w:val="both"/>
        <w:rPr>
          <w:rFonts w:ascii="Arial" w:eastAsiaTheme="minorEastAsia" w:hAnsi="Arial" w:cs="Arial"/>
          <w:b/>
          <w:bCs/>
          <w:sz w:val="20"/>
          <w:szCs w:val="20"/>
          <w:lang w:val="es-ES_tradnl"/>
        </w:rPr>
      </w:pPr>
    </w:p>
    <w:p w14:paraId="232E9457" w14:textId="5DE0751F" w:rsidR="00AE6CBB" w:rsidRPr="00184CFE" w:rsidRDefault="00AE6CBB" w:rsidP="00AE6CBB">
      <w:pPr>
        <w:spacing w:after="160" w:line="360" w:lineRule="auto"/>
        <w:jc w:val="both"/>
        <w:rPr>
          <w:rFonts w:ascii="Arial" w:eastAsiaTheme="minorEastAsia" w:hAnsi="Arial" w:cs="Arial"/>
          <w:b/>
          <w:bCs/>
          <w:sz w:val="20"/>
          <w:szCs w:val="20"/>
          <w:lang w:val="es-ES_tradnl"/>
        </w:rPr>
      </w:pPr>
      <w:r w:rsidRPr="00184CFE">
        <w:rPr>
          <w:rFonts w:ascii="Arial" w:eastAsiaTheme="minorEastAsia" w:hAnsi="Arial" w:cs="Arial"/>
          <w:b/>
          <w:bCs/>
          <w:sz w:val="20"/>
          <w:szCs w:val="20"/>
          <w:lang w:val="es-ES_tradnl"/>
        </w:rPr>
        <w:t>Análisis Financiero</w:t>
      </w:r>
    </w:p>
    <w:p w14:paraId="4CFDA5DF"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Para el 2021 al programa 950 </w:t>
      </w:r>
      <w:r w:rsidRPr="001656F0">
        <w:rPr>
          <w:rFonts w:ascii="Arial" w:eastAsiaTheme="minorEastAsia" w:hAnsi="Arial" w:cs="Arial"/>
          <w:bCs/>
          <w:i/>
          <w:iCs/>
          <w:sz w:val="20"/>
          <w:szCs w:val="20"/>
        </w:rPr>
        <w:t>“Servicio de Atención y Protección de Víctimas y Testigos”</w:t>
      </w:r>
      <w:r w:rsidRPr="001656F0">
        <w:rPr>
          <w:rFonts w:ascii="Arial" w:eastAsiaTheme="minorEastAsia" w:hAnsi="Arial" w:cs="Arial"/>
          <w:bCs/>
          <w:sz w:val="20"/>
          <w:szCs w:val="20"/>
        </w:rPr>
        <w:t xml:space="preserve"> se le aprobó un presupuesto de ¢9.345,03 millones de los cuales ejecutó ¢8.848,26 es decir un 94,68%. </w:t>
      </w:r>
    </w:p>
    <w:p w14:paraId="39D134CD" w14:textId="77777777" w:rsidR="00AE6CBB" w:rsidRPr="001656F0" w:rsidRDefault="00AE6CBB" w:rsidP="00AE6CBB">
      <w:pPr>
        <w:spacing w:line="360" w:lineRule="auto"/>
        <w:jc w:val="both"/>
        <w:rPr>
          <w:rFonts w:ascii="Arial" w:eastAsiaTheme="minorEastAsia" w:hAnsi="Arial" w:cs="Arial"/>
          <w:bCs/>
          <w:sz w:val="20"/>
          <w:szCs w:val="20"/>
        </w:rPr>
      </w:pPr>
    </w:p>
    <w:p w14:paraId="29E37FAE"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Dicho programa presupuestario se compone de dos centros gestores el 718 de la  Oficina de Atención y Protección a Víctimas y Testigos del Ministerio Público  (O.A.P.V.D) y el 1106 de  la Unidad de Protección a Víctimas  y Testigos del Organismo de Investigación Judicial (U.P.R.O.V),  en ambas instancias  se cuenta con personal profesional y de apoyo, encargado de dar cumplimiento a las exigencias de la ley 8720 Ley de Protección a Víctimas, testigos  y demás sujetos intervinientes en el proceso penal. </w:t>
      </w:r>
    </w:p>
    <w:p w14:paraId="17A5FC92" w14:textId="77777777" w:rsidR="00AE6CBB" w:rsidRPr="001656F0" w:rsidRDefault="00AE6CBB" w:rsidP="00AE6CBB">
      <w:pPr>
        <w:spacing w:line="360" w:lineRule="auto"/>
        <w:jc w:val="both"/>
        <w:rPr>
          <w:rFonts w:ascii="Arial" w:eastAsiaTheme="minorEastAsia" w:hAnsi="Arial" w:cs="Arial"/>
          <w:bCs/>
          <w:sz w:val="20"/>
          <w:szCs w:val="20"/>
        </w:rPr>
      </w:pPr>
    </w:p>
    <w:p w14:paraId="55D73605" w14:textId="1B3BE09A"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Para el año en </w:t>
      </w:r>
      <w:r w:rsidR="00E815EA" w:rsidRPr="001656F0">
        <w:rPr>
          <w:rFonts w:ascii="Arial" w:eastAsiaTheme="minorEastAsia" w:hAnsi="Arial" w:cs="Arial"/>
          <w:bCs/>
          <w:sz w:val="20"/>
          <w:szCs w:val="20"/>
        </w:rPr>
        <w:t>estudio la</w:t>
      </w:r>
      <w:r w:rsidRPr="001656F0">
        <w:rPr>
          <w:rFonts w:ascii="Arial" w:eastAsiaTheme="minorEastAsia" w:hAnsi="Arial" w:cs="Arial"/>
          <w:bCs/>
          <w:sz w:val="20"/>
          <w:szCs w:val="20"/>
        </w:rPr>
        <w:t xml:space="preserve"> O.A.P.V.D y </w:t>
      </w:r>
      <w:r w:rsidR="00E815EA" w:rsidRPr="001656F0">
        <w:rPr>
          <w:rFonts w:ascii="Arial" w:eastAsiaTheme="minorEastAsia" w:hAnsi="Arial" w:cs="Arial"/>
          <w:bCs/>
          <w:sz w:val="20"/>
          <w:szCs w:val="20"/>
        </w:rPr>
        <w:t>U.P.R.O.V contaba</w:t>
      </w:r>
      <w:r w:rsidRPr="001656F0">
        <w:rPr>
          <w:rFonts w:ascii="Arial" w:eastAsiaTheme="minorEastAsia" w:hAnsi="Arial" w:cs="Arial"/>
          <w:bCs/>
          <w:sz w:val="20"/>
          <w:szCs w:val="20"/>
        </w:rPr>
        <w:t xml:space="preserve"> </w:t>
      </w:r>
      <w:r w:rsidR="00E815EA" w:rsidRPr="001656F0">
        <w:rPr>
          <w:rFonts w:ascii="Arial" w:eastAsiaTheme="minorEastAsia" w:hAnsi="Arial" w:cs="Arial"/>
          <w:bCs/>
          <w:sz w:val="20"/>
          <w:szCs w:val="20"/>
        </w:rPr>
        <w:t>con 298</w:t>
      </w:r>
      <w:r w:rsidRPr="001656F0">
        <w:rPr>
          <w:rFonts w:ascii="Arial" w:eastAsiaTheme="minorEastAsia" w:hAnsi="Arial" w:cs="Arial"/>
          <w:bCs/>
          <w:sz w:val="20"/>
          <w:szCs w:val="20"/>
        </w:rPr>
        <w:t xml:space="preserve"> plazas entre profesionales en derecho, psicología, criminología, trabajo social, sociología, administración, agentes de protección, personal técnico y de apoyo. Del contenido económico asignado para remuneraciones se cancelaron ¢7.791,04 millones, lo que representa una ejecución </w:t>
      </w:r>
      <w:r w:rsidR="00E815EA" w:rsidRPr="001656F0">
        <w:rPr>
          <w:rFonts w:ascii="Arial" w:eastAsiaTheme="minorEastAsia" w:hAnsi="Arial" w:cs="Arial"/>
          <w:bCs/>
          <w:sz w:val="20"/>
          <w:szCs w:val="20"/>
        </w:rPr>
        <w:t>de 98</w:t>
      </w:r>
      <w:r w:rsidRPr="001656F0">
        <w:rPr>
          <w:rFonts w:ascii="Arial" w:eastAsiaTheme="minorEastAsia" w:hAnsi="Arial" w:cs="Arial"/>
          <w:bCs/>
          <w:sz w:val="20"/>
          <w:szCs w:val="20"/>
        </w:rPr>
        <w:t xml:space="preserve">,18%. </w:t>
      </w:r>
    </w:p>
    <w:p w14:paraId="3C403482" w14:textId="77777777" w:rsidR="00AE6CBB" w:rsidRPr="001656F0" w:rsidRDefault="00AE6CBB" w:rsidP="00AE6CBB">
      <w:pPr>
        <w:spacing w:line="360" w:lineRule="auto"/>
        <w:jc w:val="both"/>
        <w:rPr>
          <w:rFonts w:ascii="Arial" w:eastAsiaTheme="minorEastAsia" w:hAnsi="Arial" w:cs="Arial"/>
          <w:bCs/>
          <w:sz w:val="20"/>
          <w:szCs w:val="20"/>
        </w:rPr>
      </w:pPr>
    </w:p>
    <w:p w14:paraId="062B3F23" w14:textId="02A17B9D" w:rsidR="00AE6CBB" w:rsidRPr="001656F0" w:rsidRDefault="00E815EA"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En la</w:t>
      </w:r>
      <w:r w:rsidR="00AE6CBB" w:rsidRPr="001656F0">
        <w:rPr>
          <w:rFonts w:ascii="Arial" w:eastAsiaTheme="minorEastAsia" w:hAnsi="Arial" w:cs="Arial"/>
          <w:bCs/>
          <w:sz w:val="20"/>
          <w:szCs w:val="20"/>
        </w:rPr>
        <w:t xml:space="preserve"> partida de servicios se logró alcanzar una ejecución del 86,91% del presupuesto asignado, ello permitió tramitar el pago de contratos relacionados con arriendo de locales, servicio de vigilancia y limpieza, servicio de GPS, así como gestionar servicios de traducción, actividades de </w:t>
      </w:r>
      <w:r w:rsidR="00AE6CBB" w:rsidRPr="001656F0">
        <w:rPr>
          <w:rFonts w:ascii="Arial" w:eastAsiaTheme="minorEastAsia" w:hAnsi="Arial" w:cs="Arial"/>
          <w:bCs/>
          <w:sz w:val="20"/>
          <w:szCs w:val="20"/>
        </w:rPr>
        <w:lastRenderedPageBreak/>
        <w:t xml:space="preserve">capacitación, dar mantenimiento y reparación a los vehículos, al   equipo de comunicación y aire acondicionado entre otros. Para el 2021 la partida tuvo una baja en lo referente al pago de servicio públicos muy posiblemente debido a la puesta en marcha del teletrabajo para prevenir el coronavirus. También se dio una baja en los servicios de traducción y ayudas económicas ambos casos considerados como gastos imprevisibles ya que dependen de la </w:t>
      </w:r>
      <w:r w:rsidRPr="001656F0">
        <w:rPr>
          <w:rFonts w:ascii="Arial" w:eastAsiaTheme="minorEastAsia" w:hAnsi="Arial" w:cs="Arial"/>
          <w:bCs/>
          <w:sz w:val="20"/>
          <w:szCs w:val="20"/>
        </w:rPr>
        <w:t>necesidad que</w:t>
      </w:r>
      <w:r w:rsidR="00AE6CBB" w:rsidRPr="001656F0">
        <w:rPr>
          <w:rFonts w:ascii="Arial" w:eastAsiaTheme="minorEastAsia" w:hAnsi="Arial" w:cs="Arial"/>
          <w:bCs/>
          <w:sz w:val="20"/>
          <w:szCs w:val="20"/>
        </w:rPr>
        <w:t xml:space="preserve"> tenga </w:t>
      </w:r>
      <w:r w:rsidRPr="001656F0">
        <w:rPr>
          <w:rFonts w:ascii="Arial" w:eastAsiaTheme="minorEastAsia" w:hAnsi="Arial" w:cs="Arial"/>
          <w:bCs/>
          <w:sz w:val="20"/>
          <w:szCs w:val="20"/>
        </w:rPr>
        <w:t>la persona</w:t>
      </w:r>
      <w:r w:rsidR="00AE6CBB" w:rsidRPr="001656F0">
        <w:rPr>
          <w:rFonts w:ascii="Arial" w:eastAsiaTheme="minorEastAsia" w:hAnsi="Arial" w:cs="Arial"/>
          <w:bCs/>
          <w:sz w:val="20"/>
          <w:szCs w:val="20"/>
        </w:rPr>
        <w:t xml:space="preserve"> usuaria. </w:t>
      </w:r>
    </w:p>
    <w:p w14:paraId="4421E85F" w14:textId="77777777" w:rsidR="00AE6CBB" w:rsidRPr="001656F0" w:rsidRDefault="00AE6CBB" w:rsidP="00AE6CBB">
      <w:pPr>
        <w:spacing w:line="360" w:lineRule="auto"/>
        <w:jc w:val="both"/>
        <w:rPr>
          <w:rFonts w:ascii="Arial" w:eastAsiaTheme="minorEastAsia" w:hAnsi="Arial" w:cs="Arial"/>
          <w:bCs/>
          <w:sz w:val="20"/>
          <w:szCs w:val="20"/>
        </w:rPr>
      </w:pPr>
    </w:p>
    <w:p w14:paraId="63DC695D"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Respecto materiales y suministros  (partida dos) se devengaron ¢</w:t>
      </w:r>
      <w:r w:rsidRPr="001656F0">
        <w:rPr>
          <w:rFonts w:ascii="Arial" w:eastAsiaTheme="minorEastAsia" w:hAnsi="Arial" w:cs="Arial"/>
          <w:sz w:val="20"/>
          <w:szCs w:val="20"/>
        </w:rPr>
        <w:t xml:space="preserve">136,70 </w:t>
      </w:r>
      <w:r w:rsidRPr="001656F0">
        <w:rPr>
          <w:rFonts w:ascii="Arial" w:eastAsiaTheme="minorEastAsia" w:hAnsi="Arial" w:cs="Arial"/>
          <w:bCs/>
          <w:sz w:val="20"/>
          <w:szCs w:val="20"/>
        </w:rPr>
        <w:t>de ¢</w:t>
      </w:r>
      <w:r w:rsidRPr="001656F0">
        <w:rPr>
          <w:rFonts w:ascii="Arial" w:eastAsiaTheme="minorEastAsia" w:hAnsi="Arial" w:cs="Arial"/>
          <w:sz w:val="20"/>
          <w:szCs w:val="20"/>
        </w:rPr>
        <w:t xml:space="preserve">155,73 </w:t>
      </w:r>
      <w:r w:rsidRPr="001656F0">
        <w:rPr>
          <w:rFonts w:ascii="Arial" w:eastAsiaTheme="minorEastAsia" w:hAnsi="Arial" w:cs="Arial"/>
          <w:bCs/>
          <w:sz w:val="20"/>
          <w:szCs w:val="20"/>
        </w:rPr>
        <w:t xml:space="preserve">millones  dichos recursos fueron utilizados atender los costos en combustible, tintas, tóner,  repuestos para vehículos, aires acondicionados, vestimenta y  colchones para las personas usuarias etc., en este caso la baja se dio en la partida de textiles  y vestuario y repuestos, debido a que algunas compras quedaron en proceso, por otra parte el consumo en alimentos  y bebidas  y  productos farmacéuticos y medicinales, para personas usuarias fue menor al previsto, cabe aclarar que en estos casos se depende de la necesidad de las personas que hace uso del servicio de protección.  </w:t>
      </w:r>
    </w:p>
    <w:p w14:paraId="19C3015C" w14:textId="77777777" w:rsidR="00AE6CBB" w:rsidRPr="001656F0" w:rsidRDefault="00AE6CBB" w:rsidP="00AE6CBB">
      <w:pPr>
        <w:spacing w:line="360" w:lineRule="auto"/>
        <w:jc w:val="both"/>
        <w:rPr>
          <w:rFonts w:ascii="Arial" w:eastAsiaTheme="minorEastAsia" w:hAnsi="Arial" w:cs="Arial"/>
          <w:bCs/>
          <w:sz w:val="20"/>
          <w:szCs w:val="20"/>
        </w:rPr>
      </w:pPr>
    </w:p>
    <w:p w14:paraId="6917E177"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En cuanto a la partida 5 de bienes duraderos es importante indicar  que  la  Unidad de Protección a Víctimas  y Testigos del Organismo de Investigación Judicial tenía dentro de su presupuesto   ¢140,26 millones  para realizar el cambio de 6 vehículos todo terreno, sin embargo debido a que no fue posible llevar a cabo en abril 2021 la adjudicación por medio de la ampliación a al proceso 2021LA-000055-PROV fue necesario tramitar un nuevo proceso  bajo el número  2021LA-000055-PROV  el cual fue posible adjudicar hasta noviembre 2021 quedando  la entrega de vehículos para el 2022  y afectándose la ejecución del 2021. </w:t>
      </w:r>
    </w:p>
    <w:p w14:paraId="5431712A" w14:textId="77777777" w:rsidR="00AE6CBB" w:rsidRPr="001656F0" w:rsidRDefault="00AE6CBB" w:rsidP="00AE6CBB">
      <w:pPr>
        <w:spacing w:line="360" w:lineRule="auto"/>
        <w:jc w:val="both"/>
        <w:rPr>
          <w:rFonts w:ascii="Arial" w:eastAsiaTheme="minorEastAsia" w:hAnsi="Arial" w:cs="Arial"/>
          <w:bCs/>
          <w:sz w:val="20"/>
          <w:szCs w:val="20"/>
        </w:rPr>
      </w:pPr>
    </w:p>
    <w:p w14:paraId="07CF376C"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Lo que corresponde a transferencias corrientes alcanzó una ejecución de </w:t>
      </w:r>
      <w:r w:rsidRPr="001656F0">
        <w:rPr>
          <w:rFonts w:ascii="Arial" w:hAnsi="Arial" w:cs="Arial"/>
          <w:sz w:val="20"/>
          <w:szCs w:val="20"/>
          <w:lang w:val="es-CR" w:eastAsia="es-CR"/>
        </w:rPr>
        <w:t xml:space="preserve">80,38% </w:t>
      </w:r>
      <w:r w:rsidRPr="001656F0">
        <w:rPr>
          <w:rFonts w:ascii="Arial" w:eastAsiaTheme="minorEastAsia" w:hAnsi="Arial" w:cs="Arial"/>
          <w:bCs/>
          <w:sz w:val="20"/>
          <w:szCs w:val="20"/>
        </w:rPr>
        <w:t xml:space="preserve">lográndose tramitar lo que compete a transferencias corrientes a órganos, contribución estatal a la Caja Costarricense del Seguro Social, etc. En 2021 no fue posible ejecutar el recurso aprobado para becas a funcionarios, debido a que el contenido aprobado solamente podía ser utilizados para maestrías y posgrados las cuales presentaban un costo alto respecto la cantidad de recursos aprobados. </w:t>
      </w:r>
    </w:p>
    <w:p w14:paraId="338DD193" w14:textId="77777777" w:rsidR="00AE6CBB" w:rsidRPr="001656F0" w:rsidRDefault="00AE6CBB" w:rsidP="00AE6CBB">
      <w:pPr>
        <w:spacing w:line="360" w:lineRule="auto"/>
        <w:jc w:val="both"/>
        <w:rPr>
          <w:rFonts w:ascii="Arial" w:eastAsiaTheme="minorEastAsia" w:hAnsi="Arial" w:cs="Arial"/>
          <w:bCs/>
          <w:sz w:val="20"/>
          <w:szCs w:val="20"/>
        </w:rPr>
      </w:pPr>
    </w:p>
    <w:p w14:paraId="62ADB5BD"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Para la partida de transferencias de capital la ejecución fue del 100% utilizándose en total ¢88,80 millones. </w:t>
      </w:r>
    </w:p>
    <w:p w14:paraId="3D21FC7C" w14:textId="77777777" w:rsidR="00AE6CBB" w:rsidRPr="001656F0" w:rsidRDefault="00AE6CBB" w:rsidP="00AE6CBB">
      <w:pPr>
        <w:spacing w:line="360" w:lineRule="auto"/>
        <w:jc w:val="both"/>
        <w:rPr>
          <w:rFonts w:ascii="Arial" w:eastAsiaTheme="minorEastAsia" w:hAnsi="Arial" w:cs="Arial"/>
          <w:bCs/>
          <w:sz w:val="20"/>
          <w:szCs w:val="20"/>
        </w:rPr>
      </w:pPr>
    </w:p>
    <w:p w14:paraId="5BDFFF4E" w14:textId="77777777" w:rsidR="00AE6CBB" w:rsidRPr="001656F0" w:rsidRDefault="00AE6CBB" w:rsidP="00AE6CBB">
      <w:pPr>
        <w:shd w:val="clear" w:color="auto" w:fill="FFFFFF"/>
        <w:spacing w:line="360" w:lineRule="auto"/>
        <w:jc w:val="both"/>
        <w:rPr>
          <w:rFonts w:ascii="Arial" w:eastAsiaTheme="minorEastAsia" w:hAnsi="Arial" w:cs="Arial"/>
          <w:bCs/>
          <w:sz w:val="20"/>
          <w:szCs w:val="20"/>
        </w:rPr>
      </w:pPr>
      <w:r w:rsidRPr="001656F0">
        <w:rPr>
          <w:rFonts w:ascii="Arial" w:hAnsi="Arial" w:cs="Arial"/>
          <w:bCs/>
          <w:sz w:val="20"/>
          <w:szCs w:val="20"/>
          <w:lang w:val="es-CR" w:eastAsia="es-CR"/>
        </w:rPr>
        <w:lastRenderedPageBreak/>
        <w:t>En gastos confidenciales el devengado fue de ¢</w:t>
      </w:r>
      <w:r w:rsidRPr="001656F0">
        <w:rPr>
          <w:rFonts w:ascii="Arial" w:hAnsi="Arial" w:cs="Arial"/>
          <w:sz w:val="20"/>
          <w:szCs w:val="20"/>
          <w:lang w:val="es-CR" w:eastAsia="es-CR"/>
        </w:rPr>
        <w:t xml:space="preserve">55,16 millones lo que representa </w:t>
      </w:r>
      <w:r w:rsidRPr="001656F0">
        <w:rPr>
          <w:rFonts w:ascii="Arial" w:hAnsi="Arial" w:cs="Arial"/>
          <w:bCs/>
          <w:sz w:val="20"/>
          <w:szCs w:val="20"/>
          <w:lang w:val="es-CR" w:eastAsia="es-CR"/>
        </w:rPr>
        <w:t xml:space="preserve">un </w:t>
      </w:r>
      <w:r w:rsidRPr="001656F0">
        <w:rPr>
          <w:rFonts w:ascii="Arial" w:eastAsiaTheme="minorEastAsia" w:hAnsi="Arial" w:cs="Arial"/>
          <w:bCs/>
          <w:sz w:val="20"/>
          <w:szCs w:val="20"/>
        </w:rPr>
        <w:t>52,04%</w:t>
      </w:r>
      <w:r w:rsidRPr="001656F0">
        <w:rPr>
          <w:rFonts w:ascii="Arial" w:hAnsi="Arial" w:cs="Arial"/>
          <w:bCs/>
          <w:sz w:val="20"/>
          <w:szCs w:val="20"/>
          <w:lang w:val="es-CR" w:eastAsia="es-CR"/>
        </w:rPr>
        <w:t xml:space="preserve"> del total aprobado, este rubro no se asigna a la OAPVD, solamente a la Unidad de Protección a Víctimas y Testigos del Organismo de Investigación Judicial (UPROV). </w:t>
      </w:r>
      <w:r w:rsidRPr="001656F0">
        <w:rPr>
          <w:rFonts w:ascii="Arial" w:eastAsiaTheme="minorEastAsia" w:hAnsi="Arial" w:cs="Arial"/>
          <w:bCs/>
          <w:sz w:val="20"/>
          <w:szCs w:val="20"/>
        </w:rPr>
        <w:t>La ejecución presupuestaria de la partida 9, se relaciona directamente a adquisiciones de servicios que se derivan de los ingresos  de casos  de un riesgo más elevado del usual   para la vida e integridad física  y los  requerimientos de las personas usuarias,  que de manera voluntaria se acogen al programa de protección, bajo un régimen más estricto de protección,   lo que la convierte de manera automática en impredecible e imprevisible, pues su consumo estará sujeto a las necesidades de la ciudadanía que requiere los servicios del Poder Judicial y propiamente de los Programas de Atención y Protección a la Víctima: La cantidad destinada para esta subpartida anualmente se espera que nunca se vaya a encontrar disminuida o carente de recursos, pues a su vez se vería eventualmente comprometida la integridad física de las personas usuarias  y  agentes de protección,  ya que  para poder ejecutar este tipo medida extraprocesal se  debe  contar con personal suficiente.</w:t>
      </w:r>
    </w:p>
    <w:p w14:paraId="5D8187A7" w14:textId="2B33CC5C" w:rsidR="00AE6CBB" w:rsidRPr="001656F0" w:rsidRDefault="00AE6CBB" w:rsidP="00AE6CBB">
      <w:pPr>
        <w:shd w:val="clear" w:color="auto" w:fill="FFFFFF"/>
        <w:spacing w:line="360" w:lineRule="auto"/>
        <w:rPr>
          <w:rFonts w:ascii="Calibri" w:hAnsi="Calibri" w:cs="Calibri"/>
          <w:sz w:val="20"/>
          <w:szCs w:val="20"/>
          <w:lang w:val="es-CR" w:eastAsia="es-CR"/>
        </w:rPr>
      </w:pPr>
      <w:r w:rsidRPr="001656F0">
        <w:rPr>
          <w:rFonts w:ascii="inherit" w:hAnsi="inherit" w:cs="Calibri"/>
          <w:sz w:val="20"/>
          <w:szCs w:val="20"/>
          <w:bdr w:val="none" w:sz="0" w:space="0" w:color="auto" w:frame="1"/>
          <w:lang w:val="es-CR" w:eastAsia="es-CR"/>
        </w:rPr>
        <w:t> </w:t>
      </w:r>
    </w:p>
    <w:p w14:paraId="4D3DF5FF" w14:textId="77777777" w:rsidR="00AE6CBB" w:rsidRPr="001656F0" w:rsidRDefault="00AE6CBB" w:rsidP="00AE6CBB">
      <w:pPr>
        <w:spacing w:line="360" w:lineRule="auto"/>
        <w:jc w:val="both"/>
        <w:rPr>
          <w:rFonts w:ascii="Arial" w:eastAsiaTheme="minorEastAsia" w:hAnsi="Arial" w:cs="Arial"/>
          <w:bCs/>
          <w:sz w:val="20"/>
          <w:szCs w:val="20"/>
        </w:rPr>
      </w:pPr>
      <w:r w:rsidRPr="001656F0">
        <w:rPr>
          <w:rFonts w:ascii="Arial" w:eastAsiaTheme="minorEastAsia" w:hAnsi="Arial" w:cs="Arial"/>
          <w:bCs/>
          <w:sz w:val="20"/>
          <w:szCs w:val="20"/>
        </w:rPr>
        <w:t xml:space="preserve">Finalmente se debe señalar que la mayoría de las subpartidas con menor ejecución presupuestaria, se relacionan con acciones, tareas o adquisiciones que se derivan de los requerimientos   que  tengan  como resultado del delito sufrido,  las personas usuarias que acuden a los programas de atención y protección, importante indicar , que como  producto de la pandemia, en 2021 la asistencia de personas disminuyó un poco  y por ende también la cantidad de ayudas económicas y gastos de protección, lo que impactó el porcentaje de ejecución presupuestaria. </w:t>
      </w:r>
    </w:p>
    <w:p w14:paraId="0CEF2E48" w14:textId="171DA660" w:rsidR="00EE20D0" w:rsidRDefault="005E4F9E" w:rsidP="00BE5AA1">
      <w:pPr>
        <w:pStyle w:val="Ttulo2"/>
        <w:keepLines/>
        <w:numPr>
          <w:ilvl w:val="1"/>
          <w:numId w:val="15"/>
        </w:numPr>
        <w:spacing w:before="360" w:line="360" w:lineRule="auto"/>
        <w:ind w:left="709" w:hanging="284"/>
        <w:jc w:val="both"/>
        <w:rPr>
          <w:rFonts w:ascii="Arial" w:hAnsi="Arial" w:cs="Arial"/>
          <w:iCs/>
          <w:color w:val="002060"/>
          <w:spacing w:val="15"/>
          <w:sz w:val="22"/>
        </w:rPr>
      </w:pPr>
      <w:bookmarkStart w:id="36" w:name="_Toc93420485"/>
      <w:r>
        <w:rPr>
          <w:rFonts w:ascii="Arial" w:hAnsi="Arial" w:cs="Arial"/>
          <w:iCs/>
          <w:color w:val="002060"/>
          <w:spacing w:val="15"/>
          <w:sz w:val="22"/>
        </w:rPr>
        <w:t>Factores</w:t>
      </w:r>
      <w:r w:rsidR="00EE20D0" w:rsidRPr="005E4F9E">
        <w:rPr>
          <w:rFonts w:ascii="Arial" w:hAnsi="Arial" w:cs="Arial"/>
          <w:iCs/>
          <w:color w:val="002060"/>
          <w:spacing w:val="15"/>
          <w:sz w:val="22"/>
        </w:rPr>
        <w:t xml:space="preserve"> y acciones correctivas de la ejecución financiera</w:t>
      </w:r>
      <w:bookmarkEnd w:id="36"/>
      <w:r w:rsidR="00EE20D0" w:rsidRPr="005E4F9E">
        <w:rPr>
          <w:rFonts w:ascii="Arial" w:hAnsi="Arial" w:cs="Arial"/>
          <w:iCs/>
          <w:color w:val="002060"/>
          <w:spacing w:val="15"/>
          <w:sz w:val="22"/>
        </w:rPr>
        <w:t xml:space="preserve"> </w:t>
      </w:r>
    </w:p>
    <w:p w14:paraId="16369079" w14:textId="77777777" w:rsidR="009B740B" w:rsidRPr="009B740B" w:rsidRDefault="009B740B" w:rsidP="009B740B">
      <w:pPr>
        <w:rPr>
          <w:lang w:val="es-MX"/>
        </w:rPr>
      </w:pPr>
    </w:p>
    <w:p w14:paraId="36F9F4A4"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bCs/>
          <w:sz w:val="20"/>
          <w:szCs w:val="20"/>
          <w:lang w:val="es-CR"/>
        </w:rPr>
        <w:t xml:space="preserve">Impacto generado por la emergencia sanitaria por el Covid-19. </w:t>
      </w:r>
    </w:p>
    <w:p w14:paraId="2E2B1BC2"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rPr>
      </w:pPr>
      <w:r w:rsidRPr="001656F0">
        <w:rPr>
          <w:rFonts w:ascii="Arial" w:eastAsiaTheme="minorEastAsia" w:hAnsi="Arial" w:cs="Arial"/>
          <w:bCs/>
          <w:sz w:val="20"/>
          <w:szCs w:val="20"/>
        </w:rPr>
        <w:t xml:space="preserve">Aplicación de directrices presidenciales. </w:t>
      </w:r>
    </w:p>
    <w:p w14:paraId="46D4B5B2"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bCs/>
          <w:sz w:val="20"/>
          <w:szCs w:val="20"/>
          <w:lang w:val="es-CR"/>
        </w:rPr>
        <w:t>Lineamientos de los entes rectores de la administración financiera.</w:t>
      </w:r>
    </w:p>
    <w:p w14:paraId="694B4DCB"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sz w:val="20"/>
          <w:szCs w:val="20"/>
          <w:lang w:val="es-CR"/>
        </w:rPr>
        <w:t>Políticas administrativas institucionales que ocasionen cambios en la ejecución de recursos y generen ahorros o mayor gasto.</w:t>
      </w:r>
      <w:r w:rsidRPr="001656F0" w:rsidDel="00DE0053">
        <w:rPr>
          <w:rFonts w:ascii="Arial" w:eastAsiaTheme="minorEastAsia" w:hAnsi="Arial" w:cs="Arial"/>
          <w:bCs/>
          <w:sz w:val="20"/>
          <w:szCs w:val="20"/>
          <w:lang w:val="es-CR"/>
        </w:rPr>
        <w:t xml:space="preserve"> </w:t>
      </w:r>
    </w:p>
    <w:p w14:paraId="08F466AD"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bCs/>
          <w:sz w:val="20"/>
          <w:szCs w:val="20"/>
          <w:lang w:val="es-CR"/>
        </w:rPr>
        <w:t xml:space="preserve">Variación en la estimación de recursos. </w:t>
      </w:r>
    </w:p>
    <w:p w14:paraId="2313ACFA"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bCs/>
          <w:sz w:val="20"/>
          <w:szCs w:val="20"/>
          <w:lang w:val="es-CR"/>
        </w:rPr>
        <w:t>Problemas relacionados con los procesos de contratación administrativa.</w:t>
      </w:r>
    </w:p>
    <w:p w14:paraId="44DFBA27"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rPr>
      </w:pPr>
      <w:r w:rsidRPr="001656F0">
        <w:rPr>
          <w:rFonts w:ascii="Arial" w:eastAsiaTheme="minorEastAsia" w:hAnsi="Arial" w:cs="Arial"/>
          <w:bCs/>
          <w:sz w:val="20"/>
          <w:szCs w:val="20"/>
        </w:rPr>
        <w:t>Liberación de cuota insuficiente.</w:t>
      </w:r>
    </w:p>
    <w:p w14:paraId="55F54102"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bCs/>
          <w:sz w:val="20"/>
          <w:szCs w:val="20"/>
          <w:lang w:val="es-CR"/>
        </w:rPr>
        <w:t>Desviaciones entre lo planificado y lo ejecutado.</w:t>
      </w:r>
    </w:p>
    <w:p w14:paraId="3CCBD792"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lang w:val="es-CR"/>
        </w:rPr>
      </w:pPr>
      <w:r w:rsidRPr="001656F0">
        <w:rPr>
          <w:rFonts w:ascii="Arial" w:eastAsiaTheme="minorEastAsia" w:hAnsi="Arial" w:cs="Arial"/>
          <w:bCs/>
          <w:sz w:val="20"/>
          <w:szCs w:val="20"/>
          <w:lang w:val="es-CR"/>
        </w:rPr>
        <w:lastRenderedPageBreak/>
        <w:t>Normas de ejecución para el ejercicio presupuestario 2021.</w:t>
      </w:r>
    </w:p>
    <w:p w14:paraId="7319E0D1" w14:textId="77777777" w:rsidR="00255476" w:rsidRPr="001656F0" w:rsidRDefault="00255476" w:rsidP="00BE5AA1">
      <w:pPr>
        <w:numPr>
          <w:ilvl w:val="0"/>
          <w:numId w:val="19"/>
        </w:numPr>
        <w:spacing w:after="160" w:line="360" w:lineRule="auto"/>
        <w:contextualSpacing/>
        <w:jc w:val="both"/>
        <w:rPr>
          <w:rFonts w:ascii="Arial" w:eastAsiaTheme="minorEastAsia" w:hAnsi="Arial" w:cs="Arial"/>
          <w:bCs/>
          <w:sz w:val="20"/>
          <w:szCs w:val="20"/>
        </w:rPr>
      </w:pPr>
      <w:r w:rsidRPr="001656F0">
        <w:rPr>
          <w:rFonts w:ascii="Arial" w:eastAsiaTheme="minorEastAsia" w:hAnsi="Arial" w:cs="Arial"/>
          <w:bCs/>
          <w:sz w:val="20"/>
          <w:szCs w:val="20"/>
        </w:rPr>
        <w:t>Otro (Especifique).</w:t>
      </w:r>
    </w:p>
    <w:p w14:paraId="42D29787" w14:textId="77777777" w:rsidR="00255476" w:rsidRPr="001656F0" w:rsidRDefault="00255476" w:rsidP="00255476">
      <w:pPr>
        <w:jc w:val="both"/>
        <w:rPr>
          <w:rFonts w:ascii="Arial" w:eastAsia="Arial" w:hAnsi="Arial" w:cs="Arial"/>
          <w:color w:val="000000" w:themeColor="text1"/>
          <w:sz w:val="20"/>
          <w:szCs w:val="20"/>
        </w:rPr>
      </w:pPr>
      <w:r w:rsidRPr="001656F0">
        <w:rPr>
          <w:rFonts w:ascii="Arial" w:eastAsia="Arial" w:hAnsi="Arial" w:cs="Arial"/>
          <w:color w:val="000000" w:themeColor="text1"/>
          <w:sz w:val="20"/>
          <w:szCs w:val="20"/>
        </w:rPr>
        <w:t>Adicionalmente incluir el resultado obtenido al primer semestre.</w:t>
      </w:r>
    </w:p>
    <w:p w14:paraId="240BFB93" w14:textId="77777777" w:rsidR="00255476" w:rsidRDefault="00255476" w:rsidP="00255476">
      <w:pPr>
        <w:spacing w:after="120" w:line="360" w:lineRule="auto"/>
        <w:jc w:val="both"/>
        <w:rPr>
          <w:rFonts w:ascii="Arial" w:hAnsi="Arial" w:cs="Arial"/>
          <w:sz w:val="20"/>
          <w:szCs w:val="20"/>
          <w:lang w:val="es-ES_tradnl"/>
        </w:rPr>
      </w:pPr>
    </w:p>
    <w:p w14:paraId="304ED8BD" w14:textId="58F5AD47" w:rsidR="001B456D" w:rsidRPr="00AE3D7B" w:rsidRDefault="00255476" w:rsidP="001B456D">
      <w:pPr>
        <w:pStyle w:val="Descripcin"/>
        <w:jc w:val="center"/>
        <w:rPr>
          <w:rFonts w:ascii="Arial" w:hAnsi="Arial" w:cs="Arial"/>
          <w:b/>
          <w:bCs/>
          <w:i w:val="0"/>
          <w:iCs w:val="0"/>
          <w:color w:val="auto"/>
          <w:sz w:val="20"/>
          <w:szCs w:val="20"/>
          <w:lang w:val="es-ES_tradnl"/>
        </w:rPr>
      </w:pPr>
      <w:r w:rsidRPr="001656F0">
        <w:rPr>
          <w:rFonts w:ascii="Arial" w:eastAsiaTheme="minorEastAsia" w:hAnsi="Arial" w:cs="Arial"/>
          <w:b/>
          <w:sz w:val="20"/>
          <w:szCs w:val="20"/>
          <w:lang w:val="es-ES_tradnl"/>
        </w:rPr>
        <w:t xml:space="preserve"> </w:t>
      </w:r>
      <w:r w:rsidR="001B456D" w:rsidRPr="00AE3D7B">
        <w:rPr>
          <w:rFonts w:ascii="Arial" w:hAnsi="Arial" w:cs="Arial"/>
          <w:b/>
          <w:bCs/>
          <w:i w:val="0"/>
          <w:iCs w:val="0"/>
          <w:color w:val="auto"/>
          <w:sz w:val="20"/>
          <w:szCs w:val="20"/>
        </w:rPr>
        <w:t xml:space="preserve">Cuadro  </w:t>
      </w:r>
      <w:r w:rsidR="001B456D" w:rsidRPr="00AE3D7B">
        <w:rPr>
          <w:rFonts w:ascii="Arial" w:hAnsi="Arial" w:cs="Arial"/>
          <w:b/>
          <w:bCs/>
          <w:i w:val="0"/>
          <w:iCs w:val="0"/>
          <w:color w:val="auto"/>
          <w:sz w:val="20"/>
          <w:szCs w:val="20"/>
        </w:rPr>
        <w:fldChar w:fldCharType="begin"/>
      </w:r>
      <w:r w:rsidR="001B456D" w:rsidRPr="00AE3D7B">
        <w:rPr>
          <w:rFonts w:ascii="Arial" w:hAnsi="Arial" w:cs="Arial"/>
          <w:b/>
          <w:bCs/>
          <w:i w:val="0"/>
          <w:iCs w:val="0"/>
          <w:color w:val="auto"/>
          <w:sz w:val="20"/>
          <w:szCs w:val="20"/>
        </w:rPr>
        <w:instrText xml:space="preserve"> SEQ cuadro_ \* ARABIC </w:instrText>
      </w:r>
      <w:r w:rsidR="001B456D" w:rsidRPr="00AE3D7B">
        <w:rPr>
          <w:rFonts w:ascii="Arial" w:hAnsi="Arial" w:cs="Arial"/>
          <w:b/>
          <w:bCs/>
          <w:i w:val="0"/>
          <w:iCs w:val="0"/>
          <w:color w:val="auto"/>
          <w:sz w:val="20"/>
          <w:szCs w:val="20"/>
        </w:rPr>
        <w:fldChar w:fldCharType="separate"/>
      </w:r>
      <w:r w:rsidR="001B456D">
        <w:rPr>
          <w:rFonts w:ascii="Arial" w:hAnsi="Arial" w:cs="Arial"/>
          <w:b/>
          <w:bCs/>
          <w:i w:val="0"/>
          <w:iCs w:val="0"/>
          <w:noProof/>
          <w:color w:val="auto"/>
          <w:sz w:val="20"/>
          <w:szCs w:val="20"/>
        </w:rPr>
        <w:t>27</w:t>
      </w:r>
      <w:r w:rsidR="001B456D" w:rsidRPr="00AE3D7B">
        <w:rPr>
          <w:rFonts w:ascii="Arial" w:hAnsi="Arial" w:cs="Arial"/>
          <w:b/>
          <w:bCs/>
          <w:i w:val="0"/>
          <w:iCs w:val="0"/>
          <w:color w:val="auto"/>
          <w:sz w:val="20"/>
          <w:szCs w:val="20"/>
        </w:rPr>
        <w:fldChar w:fldCharType="end"/>
      </w:r>
    </w:p>
    <w:p w14:paraId="7ABEEE98" w14:textId="5BDDAA0B" w:rsidR="00255476" w:rsidRPr="001656F0" w:rsidRDefault="00255476" w:rsidP="00255476">
      <w:pPr>
        <w:jc w:val="center"/>
        <w:rPr>
          <w:rFonts w:ascii="Arial" w:eastAsiaTheme="minorEastAsia" w:hAnsi="Arial" w:cs="Arial"/>
          <w:b/>
          <w:sz w:val="20"/>
          <w:szCs w:val="20"/>
          <w:lang w:val="es-ES_tradnl"/>
        </w:rPr>
      </w:pPr>
      <w:r w:rsidRPr="001656F0">
        <w:rPr>
          <w:rFonts w:ascii="Arial" w:eastAsiaTheme="minorEastAsia" w:hAnsi="Arial" w:cs="Arial"/>
          <w:b/>
          <w:sz w:val="20"/>
          <w:szCs w:val="20"/>
          <w:lang w:val="es-ES_tradnl"/>
        </w:rPr>
        <w:t>Factores que afectaron la ejecución financiera</w:t>
      </w:r>
    </w:p>
    <w:p w14:paraId="09D44644" w14:textId="77777777" w:rsidR="00255476" w:rsidRPr="001656F0" w:rsidRDefault="00255476" w:rsidP="00255476">
      <w:pPr>
        <w:spacing w:before="240" w:after="160" w:line="360" w:lineRule="auto"/>
        <w:jc w:val="center"/>
        <w:rPr>
          <w:rFonts w:ascii="Arial" w:eastAsiaTheme="minorEastAsia" w:hAnsi="Arial" w:cs="Arial"/>
          <w:strike/>
          <w:sz w:val="20"/>
          <w:szCs w:val="20"/>
          <w:highlight w:val="cyan"/>
          <w:lang w:val="es-ES_tradnl"/>
        </w:rPr>
      </w:pPr>
      <w:r w:rsidRPr="001656F0">
        <w:rPr>
          <w:rFonts w:ascii="Arial" w:eastAsiaTheme="minorEastAsia" w:hAnsi="Arial" w:cs="Arial"/>
          <w:sz w:val="20"/>
          <w:szCs w:val="20"/>
          <w:lang w:val="es-ES_tradnl"/>
        </w:rPr>
        <w:t>Programa 950 Servicio de Atención y Protección a Víctimas y Testigos</w:t>
      </w:r>
    </w:p>
    <w:p w14:paraId="2F985AB9" w14:textId="77777777" w:rsidR="00255476" w:rsidRPr="001656F0" w:rsidRDefault="00255476" w:rsidP="00255476">
      <w:pPr>
        <w:jc w:val="center"/>
        <w:rPr>
          <w:rFonts w:ascii="Arial" w:eastAsiaTheme="minorEastAsia" w:hAnsi="Arial" w:cs="Arial"/>
          <w:sz w:val="20"/>
          <w:szCs w:val="20"/>
          <w:lang w:val="es-ES_tradnl"/>
        </w:rPr>
      </w:pPr>
      <w:r w:rsidRPr="001656F0">
        <w:rPr>
          <w:rFonts w:ascii="Arial" w:eastAsiaTheme="minorEastAsia" w:hAnsi="Arial" w:cs="Arial"/>
          <w:sz w:val="20"/>
          <w:szCs w:val="20"/>
          <w:lang w:val="es-ES_tradnl"/>
        </w:rPr>
        <w:t>Factores para resultados inferiores a 90,00% de ejecución</w:t>
      </w:r>
    </w:p>
    <w:p w14:paraId="02DD31A5" w14:textId="77777777" w:rsidR="00255476" w:rsidRPr="001656F0" w:rsidRDefault="00255476" w:rsidP="00255476">
      <w:pPr>
        <w:jc w:val="center"/>
        <w:rPr>
          <w:rFonts w:ascii="Arial" w:eastAsiaTheme="minorEastAsia" w:hAnsi="Arial" w:cs="Arial"/>
          <w:sz w:val="20"/>
          <w:szCs w:val="20"/>
          <w:lang w:val="es-ES_tradnl"/>
        </w:rPr>
      </w:pPr>
      <w:r w:rsidRPr="001656F0">
        <w:rPr>
          <w:rFonts w:ascii="Arial" w:eastAsiaTheme="minorEastAsia" w:hAnsi="Arial" w:cs="Arial"/>
          <w:sz w:val="20"/>
          <w:szCs w:val="20"/>
          <w:lang w:val="es-ES_tradnl"/>
        </w:rPr>
        <w:t>Al 31 de diciembre 2021</w:t>
      </w:r>
    </w:p>
    <w:p w14:paraId="7AC63086" w14:textId="77777777" w:rsidR="00255476" w:rsidRPr="001656F0" w:rsidRDefault="00255476" w:rsidP="00255476">
      <w:pPr>
        <w:jc w:val="center"/>
        <w:rPr>
          <w:rFonts w:ascii="Arial" w:eastAsiaTheme="minorEastAsia" w:hAnsi="Arial" w:cs="Arial"/>
          <w:color w:val="17365D" w:themeColor="text2" w:themeShade="BF"/>
          <w:sz w:val="20"/>
          <w:szCs w:val="20"/>
          <w:lang w:val="es-ES_tradnl"/>
        </w:rPr>
      </w:pPr>
    </w:p>
    <w:tbl>
      <w:tblPr>
        <w:tblW w:w="9200" w:type="dxa"/>
        <w:jc w:val="center"/>
        <w:tblCellMar>
          <w:left w:w="70" w:type="dxa"/>
          <w:right w:w="70" w:type="dxa"/>
        </w:tblCellMar>
        <w:tblLook w:val="04A0" w:firstRow="1" w:lastRow="0" w:firstColumn="1" w:lastColumn="0" w:noHBand="0" w:noVBand="1"/>
      </w:tblPr>
      <w:tblGrid>
        <w:gridCol w:w="1909"/>
        <w:gridCol w:w="1220"/>
        <w:gridCol w:w="1220"/>
        <w:gridCol w:w="313"/>
        <w:gridCol w:w="450"/>
        <w:gridCol w:w="329"/>
        <w:gridCol w:w="320"/>
        <w:gridCol w:w="310"/>
        <w:gridCol w:w="322"/>
        <w:gridCol w:w="310"/>
        <w:gridCol w:w="310"/>
        <w:gridCol w:w="329"/>
        <w:gridCol w:w="363"/>
        <w:gridCol w:w="1495"/>
      </w:tblGrid>
      <w:tr w:rsidR="00255476" w:rsidRPr="001656F0" w14:paraId="6A5366AB" w14:textId="77777777" w:rsidTr="00437873">
        <w:trPr>
          <w:trHeight w:val="288"/>
          <w:jc w:val="center"/>
        </w:trPr>
        <w:tc>
          <w:tcPr>
            <w:tcW w:w="1917" w:type="dxa"/>
            <w:vMerge w:val="restart"/>
            <w:tcBorders>
              <w:top w:val="single" w:sz="8" w:space="0" w:color="4472C4"/>
              <w:left w:val="single" w:sz="8" w:space="0" w:color="4472C4"/>
              <w:bottom w:val="single" w:sz="8" w:space="0" w:color="4472C4"/>
              <w:right w:val="single" w:sz="8" w:space="0" w:color="4472C4"/>
            </w:tcBorders>
            <w:shd w:val="clear" w:color="000000" w:fill="4F81BD"/>
            <w:vAlign w:val="center"/>
            <w:hideMark/>
          </w:tcPr>
          <w:p w14:paraId="20407D9E" w14:textId="77777777" w:rsidR="00255476" w:rsidRPr="001656F0" w:rsidRDefault="00255476" w:rsidP="00465D52">
            <w:pPr>
              <w:jc w:val="center"/>
              <w:rPr>
                <w:rFonts w:ascii="Arial" w:hAnsi="Arial" w:cs="Arial"/>
                <w:b/>
                <w:color w:val="FFFFFF" w:themeColor="background1"/>
                <w:sz w:val="20"/>
                <w:szCs w:val="20"/>
                <w:lang w:val="es-CR" w:eastAsia="es-CR"/>
              </w:rPr>
            </w:pPr>
            <w:r w:rsidRPr="001656F0">
              <w:rPr>
                <w:rFonts w:ascii="Arial" w:hAnsi="Arial" w:cs="Arial"/>
                <w:b/>
                <w:color w:val="FFFFFF" w:themeColor="background1"/>
                <w:sz w:val="20"/>
                <w:szCs w:val="20"/>
                <w:lang w:val="es-CR" w:eastAsia="es-CR"/>
              </w:rPr>
              <w:t>Nombre de la partida</w:t>
            </w:r>
          </w:p>
        </w:tc>
        <w:tc>
          <w:tcPr>
            <w:tcW w:w="2442" w:type="dxa"/>
            <w:gridSpan w:val="2"/>
            <w:tcBorders>
              <w:top w:val="single" w:sz="8" w:space="0" w:color="4472C4"/>
              <w:left w:val="nil"/>
              <w:bottom w:val="single" w:sz="8" w:space="0" w:color="4472C4"/>
              <w:right w:val="single" w:sz="8" w:space="0" w:color="4472C4"/>
            </w:tcBorders>
            <w:shd w:val="clear" w:color="000000" w:fill="4F81BD"/>
            <w:vAlign w:val="center"/>
            <w:hideMark/>
          </w:tcPr>
          <w:p w14:paraId="651FE765" w14:textId="77777777" w:rsidR="00255476" w:rsidRPr="001656F0" w:rsidRDefault="00255476" w:rsidP="00465D52">
            <w:pPr>
              <w:jc w:val="center"/>
              <w:rPr>
                <w:rFonts w:ascii="Arial" w:hAnsi="Arial" w:cs="Arial"/>
                <w:b/>
                <w:color w:val="FFFFFF" w:themeColor="background1"/>
                <w:sz w:val="20"/>
                <w:szCs w:val="20"/>
                <w:lang w:val="es-CR" w:eastAsia="es-CR"/>
              </w:rPr>
            </w:pPr>
            <w:r w:rsidRPr="001656F0">
              <w:rPr>
                <w:rFonts w:ascii="Arial" w:hAnsi="Arial" w:cs="Arial"/>
                <w:b/>
                <w:color w:val="FFFFFF" w:themeColor="background1"/>
                <w:sz w:val="20"/>
                <w:szCs w:val="20"/>
                <w:lang w:val="es-CR" w:eastAsia="es-CR"/>
              </w:rPr>
              <w:t>Nivel de ejecución</w:t>
            </w:r>
          </w:p>
        </w:tc>
        <w:tc>
          <w:tcPr>
            <w:tcW w:w="4841" w:type="dxa"/>
            <w:gridSpan w:val="11"/>
            <w:tcBorders>
              <w:top w:val="single" w:sz="8" w:space="0" w:color="4472C4"/>
              <w:left w:val="nil"/>
              <w:bottom w:val="single" w:sz="8" w:space="0" w:color="4472C4"/>
              <w:right w:val="single" w:sz="8" w:space="0" w:color="4472C4"/>
            </w:tcBorders>
            <w:shd w:val="clear" w:color="000000" w:fill="4F81BD"/>
            <w:vAlign w:val="center"/>
            <w:hideMark/>
          </w:tcPr>
          <w:p w14:paraId="13FCF518" w14:textId="77777777" w:rsidR="00255476" w:rsidRPr="001656F0" w:rsidRDefault="00255476" w:rsidP="00465D52">
            <w:pPr>
              <w:jc w:val="center"/>
              <w:rPr>
                <w:rFonts w:ascii="Arial" w:hAnsi="Arial" w:cs="Arial"/>
                <w:b/>
                <w:color w:val="FFFFFF" w:themeColor="background1"/>
                <w:sz w:val="20"/>
                <w:szCs w:val="20"/>
                <w:lang w:val="es-CR" w:eastAsia="es-CR"/>
              </w:rPr>
            </w:pPr>
            <w:r w:rsidRPr="001656F0">
              <w:rPr>
                <w:rFonts w:ascii="Arial" w:hAnsi="Arial" w:cs="Arial"/>
                <w:b/>
                <w:color w:val="FFFFFF" w:themeColor="background1"/>
                <w:sz w:val="20"/>
                <w:szCs w:val="20"/>
                <w:lang w:val="es-CR" w:eastAsia="es-CR"/>
              </w:rPr>
              <w:t>Factores al 31/12/2021</w:t>
            </w:r>
          </w:p>
        </w:tc>
      </w:tr>
      <w:tr w:rsidR="004B18B8" w:rsidRPr="004B18B8" w14:paraId="4E956538" w14:textId="77777777" w:rsidTr="00437873">
        <w:trPr>
          <w:trHeight w:val="588"/>
          <w:jc w:val="center"/>
        </w:trPr>
        <w:tc>
          <w:tcPr>
            <w:tcW w:w="1917" w:type="dxa"/>
            <w:vMerge/>
            <w:tcBorders>
              <w:top w:val="single" w:sz="8" w:space="0" w:color="4472C4"/>
              <w:left w:val="single" w:sz="8" w:space="0" w:color="4472C4"/>
              <w:bottom w:val="single" w:sz="8" w:space="0" w:color="4472C4"/>
              <w:right w:val="single" w:sz="8" w:space="0" w:color="4472C4"/>
            </w:tcBorders>
            <w:vAlign w:val="center"/>
            <w:hideMark/>
          </w:tcPr>
          <w:p w14:paraId="1C969CDE" w14:textId="77777777" w:rsidR="00255476" w:rsidRPr="001656F0" w:rsidRDefault="00255476" w:rsidP="00465D52">
            <w:pPr>
              <w:rPr>
                <w:rFonts w:ascii="Arial" w:hAnsi="Arial" w:cs="Arial"/>
                <w:b/>
                <w:color w:val="FFFFFF" w:themeColor="background1"/>
                <w:sz w:val="20"/>
                <w:szCs w:val="20"/>
                <w:lang w:val="es-CR" w:eastAsia="es-CR"/>
              </w:rPr>
            </w:pPr>
          </w:p>
        </w:tc>
        <w:tc>
          <w:tcPr>
            <w:tcW w:w="1221" w:type="dxa"/>
            <w:tcBorders>
              <w:top w:val="nil"/>
              <w:left w:val="nil"/>
              <w:bottom w:val="single" w:sz="8" w:space="0" w:color="4472C4"/>
              <w:right w:val="single" w:sz="8" w:space="0" w:color="4472C4"/>
            </w:tcBorders>
            <w:shd w:val="clear" w:color="000000" w:fill="4F81BD"/>
            <w:vAlign w:val="center"/>
            <w:hideMark/>
          </w:tcPr>
          <w:p w14:paraId="590CB5F5"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 xml:space="preserve">30/06/2021 </w:t>
            </w:r>
            <w:r w:rsidRPr="001656F0">
              <w:rPr>
                <w:rFonts w:ascii="Arial" w:hAnsi="Arial" w:cs="Arial"/>
                <w:b/>
                <w:bCs/>
                <w:color w:val="FFFFFF" w:themeColor="background1"/>
                <w:sz w:val="20"/>
                <w:szCs w:val="20"/>
                <w:vertAlign w:val="superscript"/>
                <w:lang w:val="es-CR" w:eastAsia="es-CR"/>
              </w:rPr>
              <w:t>/1</w:t>
            </w:r>
          </w:p>
        </w:tc>
        <w:tc>
          <w:tcPr>
            <w:tcW w:w="1221" w:type="dxa"/>
            <w:tcBorders>
              <w:top w:val="nil"/>
              <w:left w:val="nil"/>
              <w:bottom w:val="single" w:sz="8" w:space="0" w:color="4472C4"/>
              <w:right w:val="single" w:sz="8" w:space="0" w:color="4472C4"/>
            </w:tcBorders>
            <w:shd w:val="clear" w:color="000000" w:fill="4F81BD"/>
            <w:vAlign w:val="center"/>
            <w:hideMark/>
          </w:tcPr>
          <w:p w14:paraId="57AD5284"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 xml:space="preserve">31/12/2021 </w:t>
            </w:r>
            <w:r w:rsidRPr="001656F0">
              <w:rPr>
                <w:rFonts w:ascii="Arial" w:hAnsi="Arial" w:cs="Arial"/>
                <w:b/>
                <w:bCs/>
                <w:color w:val="FFFFFF" w:themeColor="background1"/>
                <w:sz w:val="20"/>
                <w:szCs w:val="20"/>
                <w:vertAlign w:val="superscript"/>
                <w:lang w:val="es-CR" w:eastAsia="es-CR"/>
              </w:rPr>
              <w:t>/2</w:t>
            </w:r>
          </w:p>
        </w:tc>
        <w:tc>
          <w:tcPr>
            <w:tcW w:w="314" w:type="dxa"/>
            <w:tcBorders>
              <w:top w:val="nil"/>
              <w:left w:val="nil"/>
              <w:bottom w:val="single" w:sz="8" w:space="0" w:color="4472C4"/>
              <w:right w:val="single" w:sz="8" w:space="0" w:color="4472C4"/>
            </w:tcBorders>
            <w:shd w:val="clear" w:color="000000" w:fill="4F81BD"/>
            <w:vAlign w:val="center"/>
            <w:hideMark/>
          </w:tcPr>
          <w:p w14:paraId="2F437BFA"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1</w:t>
            </w:r>
          </w:p>
        </w:tc>
        <w:tc>
          <w:tcPr>
            <w:tcW w:w="454" w:type="dxa"/>
            <w:tcBorders>
              <w:top w:val="nil"/>
              <w:left w:val="nil"/>
              <w:bottom w:val="single" w:sz="8" w:space="0" w:color="4472C4"/>
              <w:right w:val="single" w:sz="8" w:space="0" w:color="4472C4"/>
            </w:tcBorders>
            <w:shd w:val="clear" w:color="000000" w:fill="4F81BD"/>
            <w:vAlign w:val="center"/>
            <w:hideMark/>
          </w:tcPr>
          <w:p w14:paraId="4AF8007C"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2</w:t>
            </w:r>
          </w:p>
        </w:tc>
        <w:tc>
          <w:tcPr>
            <w:tcW w:w="311" w:type="dxa"/>
            <w:tcBorders>
              <w:top w:val="nil"/>
              <w:left w:val="nil"/>
              <w:bottom w:val="single" w:sz="8" w:space="0" w:color="4472C4"/>
              <w:right w:val="single" w:sz="8" w:space="0" w:color="4472C4"/>
            </w:tcBorders>
            <w:shd w:val="clear" w:color="000000" w:fill="4F81BD"/>
            <w:vAlign w:val="center"/>
            <w:hideMark/>
          </w:tcPr>
          <w:p w14:paraId="273766A5"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3</w:t>
            </w:r>
          </w:p>
        </w:tc>
        <w:tc>
          <w:tcPr>
            <w:tcW w:w="321" w:type="dxa"/>
            <w:tcBorders>
              <w:top w:val="nil"/>
              <w:left w:val="nil"/>
              <w:bottom w:val="single" w:sz="8" w:space="0" w:color="4472C4"/>
              <w:right w:val="single" w:sz="8" w:space="0" w:color="4472C4"/>
            </w:tcBorders>
            <w:shd w:val="clear" w:color="000000" w:fill="4F81BD"/>
            <w:vAlign w:val="center"/>
            <w:hideMark/>
          </w:tcPr>
          <w:p w14:paraId="13699A5E"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4</w:t>
            </w:r>
          </w:p>
        </w:tc>
        <w:tc>
          <w:tcPr>
            <w:tcW w:w="311" w:type="dxa"/>
            <w:tcBorders>
              <w:top w:val="nil"/>
              <w:left w:val="nil"/>
              <w:bottom w:val="single" w:sz="8" w:space="0" w:color="4472C4"/>
              <w:right w:val="single" w:sz="8" w:space="0" w:color="4472C4"/>
            </w:tcBorders>
            <w:shd w:val="clear" w:color="000000" w:fill="4F81BD"/>
            <w:vAlign w:val="center"/>
            <w:hideMark/>
          </w:tcPr>
          <w:p w14:paraId="5553B421"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5</w:t>
            </w:r>
          </w:p>
        </w:tc>
        <w:tc>
          <w:tcPr>
            <w:tcW w:w="323" w:type="dxa"/>
            <w:tcBorders>
              <w:top w:val="nil"/>
              <w:left w:val="nil"/>
              <w:bottom w:val="single" w:sz="8" w:space="0" w:color="4472C4"/>
              <w:right w:val="single" w:sz="8" w:space="0" w:color="4472C4"/>
            </w:tcBorders>
            <w:shd w:val="clear" w:color="000000" w:fill="4F81BD"/>
            <w:vAlign w:val="center"/>
            <w:hideMark/>
          </w:tcPr>
          <w:p w14:paraId="073247BC"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6</w:t>
            </w:r>
          </w:p>
        </w:tc>
        <w:tc>
          <w:tcPr>
            <w:tcW w:w="311" w:type="dxa"/>
            <w:tcBorders>
              <w:top w:val="nil"/>
              <w:left w:val="nil"/>
              <w:bottom w:val="single" w:sz="8" w:space="0" w:color="4472C4"/>
              <w:right w:val="single" w:sz="8" w:space="0" w:color="4472C4"/>
            </w:tcBorders>
            <w:shd w:val="clear" w:color="000000" w:fill="4F81BD"/>
            <w:vAlign w:val="center"/>
            <w:hideMark/>
          </w:tcPr>
          <w:p w14:paraId="2EF6A06F"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7</w:t>
            </w:r>
          </w:p>
        </w:tc>
        <w:tc>
          <w:tcPr>
            <w:tcW w:w="311" w:type="dxa"/>
            <w:tcBorders>
              <w:top w:val="nil"/>
              <w:left w:val="nil"/>
              <w:bottom w:val="single" w:sz="8" w:space="0" w:color="4472C4"/>
              <w:right w:val="single" w:sz="8" w:space="0" w:color="4472C4"/>
            </w:tcBorders>
            <w:shd w:val="clear" w:color="000000" w:fill="4F81BD"/>
            <w:vAlign w:val="center"/>
            <w:hideMark/>
          </w:tcPr>
          <w:p w14:paraId="46759173"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8</w:t>
            </w:r>
          </w:p>
        </w:tc>
        <w:tc>
          <w:tcPr>
            <w:tcW w:w="328" w:type="dxa"/>
            <w:tcBorders>
              <w:top w:val="nil"/>
              <w:left w:val="nil"/>
              <w:bottom w:val="single" w:sz="8" w:space="0" w:color="4472C4"/>
              <w:right w:val="single" w:sz="8" w:space="0" w:color="4472C4"/>
            </w:tcBorders>
            <w:shd w:val="clear" w:color="000000" w:fill="4F81BD"/>
            <w:vAlign w:val="center"/>
            <w:hideMark/>
          </w:tcPr>
          <w:p w14:paraId="2759BB6D"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9</w:t>
            </w:r>
          </w:p>
        </w:tc>
        <w:tc>
          <w:tcPr>
            <w:tcW w:w="361" w:type="dxa"/>
            <w:tcBorders>
              <w:top w:val="nil"/>
              <w:left w:val="nil"/>
              <w:bottom w:val="single" w:sz="8" w:space="0" w:color="4472C4"/>
              <w:right w:val="single" w:sz="8" w:space="0" w:color="4472C4"/>
            </w:tcBorders>
            <w:shd w:val="clear" w:color="000000" w:fill="4F81BD"/>
            <w:vAlign w:val="center"/>
            <w:hideMark/>
          </w:tcPr>
          <w:p w14:paraId="3878057D"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10</w:t>
            </w:r>
          </w:p>
        </w:tc>
        <w:tc>
          <w:tcPr>
            <w:tcW w:w="1496" w:type="dxa"/>
            <w:tcBorders>
              <w:top w:val="nil"/>
              <w:left w:val="nil"/>
              <w:bottom w:val="single" w:sz="8" w:space="0" w:color="4472C4"/>
              <w:right w:val="single" w:sz="8" w:space="0" w:color="4472C4"/>
            </w:tcBorders>
            <w:shd w:val="clear" w:color="000000" w:fill="4F81BD"/>
            <w:vAlign w:val="center"/>
            <w:hideMark/>
          </w:tcPr>
          <w:p w14:paraId="6F774B6C" w14:textId="77777777" w:rsidR="00255476" w:rsidRPr="001656F0" w:rsidRDefault="00255476" w:rsidP="00465D52">
            <w:pPr>
              <w:jc w:val="center"/>
              <w:rPr>
                <w:rFonts w:ascii="Arial" w:hAnsi="Arial" w:cs="Arial"/>
                <w:b/>
                <w:bCs/>
                <w:color w:val="FFFFFF" w:themeColor="background1"/>
                <w:sz w:val="20"/>
                <w:szCs w:val="20"/>
                <w:lang w:val="es-CR" w:eastAsia="es-CR"/>
              </w:rPr>
            </w:pPr>
            <w:r w:rsidRPr="001656F0">
              <w:rPr>
                <w:rFonts w:ascii="Arial" w:hAnsi="Arial" w:cs="Arial"/>
                <w:b/>
                <w:bCs/>
                <w:color w:val="FFFFFF" w:themeColor="background1"/>
                <w:sz w:val="20"/>
                <w:szCs w:val="20"/>
                <w:lang w:val="es-CR" w:eastAsia="es-CR"/>
              </w:rPr>
              <w:t xml:space="preserve">Descripción </w:t>
            </w:r>
            <w:r w:rsidRPr="001656F0">
              <w:rPr>
                <w:rFonts w:ascii="Arial" w:hAnsi="Arial" w:cs="Arial"/>
                <w:b/>
                <w:bCs/>
                <w:color w:val="FFFFFF" w:themeColor="background1"/>
                <w:sz w:val="20"/>
                <w:szCs w:val="20"/>
                <w:vertAlign w:val="superscript"/>
                <w:lang w:val="es-CR" w:eastAsia="es-CR"/>
              </w:rPr>
              <w:t>/3</w:t>
            </w:r>
          </w:p>
        </w:tc>
      </w:tr>
      <w:tr w:rsidR="004B18B8" w:rsidRPr="004B18B8" w14:paraId="4F2AAE3A" w14:textId="77777777" w:rsidTr="00437873">
        <w:trPr>
          <w:trHeight w:val="336"/>
          <w:jc w:val="center"/>
        </w:trPr>
        <w:tc>
          <w:tcPr>
            <w:tcW w:w="1917" w:type="dxa"/>
            <w:tcBorders>
              <w:top w:val="nil"/>
              <w:left w:val="single" w:sz="8" w:space="0" w:color="4472C4"/>
              <w:bottom w:val="single" w:sz="8" w:space="0" w:color="4472C4"/>
              <w:right w:val="single" w:sz="8" w:space="0" w:color="4472C4"/>
            </w:tcBorders>
            <w:shd w:val="clear" w:color="auto" w:fill="auto"/>
            <w:vAlign w:val="center"/>
            <w:hideMark/>
          </w:tcPr>
          <w:p w14:paraId="54590044" w14:textId="77777777" w:rsidR="00255476" w:rsidRPr="001656F0" w:rsidRDefault="00255476" w:rsidP="00465D52">
            <w:pPr>
              <w:rPr>
                <w:rFonts w:ascii="Arial" w:hAnsi="Arial" w:cs="Arial"/>
                <w:sz w:val="20"/>
                <w:szCs w:val="20"/>
                <w:lang w:val="es-CR" w:eastAsia="es-CR"/>
              </w:rPr>
            </w:pPr>
            <w:r w:rsidRPr="001656F0">
              <w:rPr>
                <w:rFonts w:ascii="Arial" w:hAnsi="Arial" w:cs="Arial"/>
                <w:sz w:val="20"/>
                <w:szCs w:val="20"/>
                <w:lang w:val="es-CR" w:eastAsia="es-CR"/>
              </w:rPr>
              <w:t>Servicios</w:t>
            </w:r>
          </w:p>
        </w:tc>
        <w:tc>
          <w:tcPr>
            <w:tcW w:w="1221" w:type="dxa"/>
            <w:tcBorders>
              <w:top w:val="nil"/>
              <w:left w:val="nil"/>
              <w:bottom w:val="single" w:sz="8" w:space="0" w:color="4472C4"/>
              <w:right w:val="single" w:sz="8" w:space="0" w:color="4472C4"/>
            </w:tcBorders>
            <w:shd w:val="clear" w:color="auto" w:fill="auto"/>
            <w:vAlign w:val="center"/>
            <w:hideMark/>
          </w:tcPr>
          <w:p w14:paraId="756C1242"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34,33%</w:t>
            </w:r>
          </w:p>
        </w:tc>
        <w:tc>
          <w:tcPr>
            <w:tcW w:w="1221" w:type="dxa"/>
            <w:tcBorders>
              <w:top w:val="nil"/>
              <w:left w:val="nil"/>
              <w:bottom w:val="single" w:sz="8" w:space="0" w:color="4472C4"/>
              <w:right w:val="single" w:sz="8" w:space="0" w:color="4472C4"/>
            </w:tcBorders>
            <w:shd w:val="clear" w:color="auto" w:fill="auto"/>
            <w:vAlign w:val="center"/>
            <w:hideMark/>
          </w:tcPr>
          <w:p w14:paraId="4E055AD9"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86,91%</w:t>
            </w:r>
          </w:p>
        </w:tc>
        <w:tc>
          <w:tcPr>
            <w:tcW w:w="314" w:type="dxa"/>
            <w:tcBorders>
              <w:top w:val="nil"/>
              <w:left w:val="nil"/>
              <w:bottom w:val="single" w:sz="8" w:space="0" w:color="4472C4"/>
              <w:right w:val="single" w:sz="8" w:space="0" w:color="4472C4"/>
            </w:tcBorders>
            <w:shd w:val="clear" w:color="auto" w:fill="auto"/>
            <w:vAlign w:val="center"/>
            <w:hideMark/>
          </w:tcPr>
          <w:p w14:paraId="3E7B0DD3"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X</w:t>
            </w:r>
          </w:p>
        </w:tc>
        <w:tc>
          <w:tcPr>
            <w:tcW w:w="454" w:type="dxa"/>
            <w:tcBorders>
              <w:top w:val="nil"/>
              <w:left w:val="nil"/>
              <w:bottom w:val="single" w:sz="8" w:space="0" w:color="4472C4"/>
              <w:right w:val="single" w:sz="8" w:space="0" w:color="4472C4"/>
            </w:tcBorders>
            <w:shd w:val="clear" w:color="auto" w:fill="auto"/>
            <w:vAlign w:val="center"/>
            <w:hideMark/>
          </w:tcPr>
          <w:p w14:paraId="11CE2D13"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2DA3E814"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1" w:type="dxa"/>
            <w:tcBorders>
              <w:top w:val="nil"/>
              <w:left w:val="nil"/>
              <w:bottom w:val="single" w:sz="8" w:space="0" w:color="4472C4"/>
              <w:right w:val="single" w:sz="8" w:space="0" w:color="4472C4"/>
            </w:tcBorders>
            <w:shd w:val="clear" w:color="auto" w:fill="auto"/>
            <w:vAlign w:val="center"/>
            <w:hideMark/>
          </w:tcPr>
          <w:p w14:paraId="040B0742" w14:textId="77777777" w:rsidR="00255476" w:rsidRPr="001656F0" w:rsidRDefault="00255476" w:rsidP="00465D52">
            <w:pPr>
              <w:jc w:val="center"/>
              <w:rPr>
                <w:rFonts w:ascii="Arial" w:hAnsi="Arial" w:cs="Arial"/>
                <w:sz w:val="20"/>
                <w:szCs w:val="20"/>
                <w:lang w:val="es-CR" w:eastAsia="es-CR"/>
              </w:rPr>
            </w:pPr>
          </w:p>
        </w:tc>
        <w:tc>
          <w:tcPr>
            <w:tcW w:w="311" w:type="dxa"/>
            <w:tcBorders>
              <w:top w:val="nil"/>
              <w:left w:val="nil"/>
              <w:bottom w:val="single" w:sz="8" w:space="0" w:color="4472C4"/>
              <w:right w:val="single" w:sz="8" w:space="0" w:color="4472C4"/>
            </w:tcBorders>
            <w:shd w:val="clear" w:color="auto" w:fill="auto"/>
            <w:vAlign w:val="center"/>
            <w:hideMark/>
          </w:tcPr>
          <w:p w14:paraId="36222719"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3" w:type="dxa"/>
            <w:tcBorders>
              <w:top w:val="nil"/>
              <w:left w:val="nil"/>
              <w:bottom w:val="single" w:sz="8" w:space="0" w:color="4472C4"/>
              <w:right w:val="single" w:sz="8" w:space="0" w:color="4472C4"/>
            </w:tcBorders>
            <w:shd w:val="clear" w:color="auto" w:fill="auto"/>
            <w:vAlign w:val="center"/>
            <w:hideMark/>
          </w:tcPr>
          <w:p w14:paraId="5742C5CB"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37AAE32D"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31D9F470" w14:textId="77777777" w:rsidR="00255476" w:rsidRPr="001656F0" w:rsidRDefault="00255476" w:rsidP="00465D52">
            <w:pPr>
              <w:jc w:val="center"/>
              <w:rPr>
                <w:rFonts w:ascii="Arial" w:hAnsi="Arial" w:cs="Arial"/>
                <w:sz w:val="20"/>
                <w:szCs w:val="20"/>
                <w:lang w:val="es-CR" w:eastAsia="es-CR"/>
              </w:rPr>
            </w:pPr>
          </w:p>
        </w:tc>
        <w:tc>
          <w:tcPr>
            <w:tcW w:w="328" w:type="dxa"/>
            <w:tcBorders>
              <w:top w:val="nil"/>
              <w:left w:val="nil"/>
              <w:bottom w:val="single" w:sz="8" w:space="0" w:color="4472C4"/>
              <w:right w:val="single" w:sz="8" w:space="0" w:color="4472C4"/>
            </w:tcBorders>
            <w:shd w:val="clear" w:color="auto" w:fill="auto"/>
            <w:vAlign w:val="center"/>
            <w:hideMark/>
          </w:tcPr>
          <w:p w14:paraId="11834448"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X </w:t>
            </w:r>
          </w:p>
        </w:tc>
        <w:tc>
          <w:tcPr>
            <w:tcW w:w="361" w:type="dxa"/>
            <w:tcBorders>
              <w:top w:val="nil"/>
              <w:left w:val="nil"/>
              <w:bottom w:val="single" w:sz="8" w:space="0" w:color="4472C4"/>
              <w:right w:val="single" w:sz="8" w:space="0" w:color="4472C4"/>
            </w:tcBorders>
            <w:shd w:val="clear" w:color="auto" w:fill="auto"/>
            <w:vAlign w:val="center"/>
            <w:hideMark/>
          </w:tcPr>
          <w:p w14:paraId="73DF3E97"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1496" w:type="dxa"/>
            <w:tcBorders>
              <w:top w:val="nil"/>
              <w:left w:val="nil"/>
              <w:bottom w:val="single" w:sz="8" w:space="0" w:color="4472C4"/>
              <w:right w:val="single" w:sz="8" w:space="0" w:color="4472C4"/>
            </w:tcBorders>
            <w:shd w:val="clear" w:color="auto" w:fill="auto"/>
            <w:vAlign w:val="center"/>
            <w:hideMark/>
          </w:tcPr>
          <w:p w14:paraId="56712F26" w14:textId="77777777" w:rsidR="00255476" w:rsidRPr="001656F0" w:rsidRDefault="00255476" w:rsidP="00465D52">
            <w:pPr>
              <w:jc w:val="center"/>
              <w:rPr>
                <w:rFonts w:ascii="Arial" w:hAnsi="Arial" w:cs="Arial"/>
                <w:sz w:val="20"/>
                <w:szCs w:val="20"/>
                <w:lang w:val="es-CR" w:eastAsia="es-CR"/>
              </w:rPr>
            </w:pPr>
            <w:r w:rsidRPr="001656F0">
              <w:rPr>
                <w:rFonts w:ascii="Arial" w:eastAsiaTheme="minorEastAsia" w:hAnsi="Arial" w:cs="Arial"/>
                <w:sz w:val="20"/>
                <w:szCs w:val="20"/>
              </w:rPr>
              <w:t>Las normas de ejecución presupuestaria limitan movilizar recursos entre partidas</w:t>
            </w:r>
            <w:r w:rsidRPr="001656F0">
              <w:rPr>
                <w:rFonts w:ascii="Arial" w:hAnsi="Arial" w:cs="Arial"/>
                <w:sz w:val="20"/>
                <w:szCs w:val="20"/>
                <w:lang w:val="es-CR" w:eastAsia="es-CR"/>
              </w:rPr>
              <w:t> </w:t>
            </w:r>
          </w:p>
        </w:tc>
      </w:tr>
      <w:tr w:rsidR="004B18B8" w:rsidRPr="004B18B8" w14:paraId="1372C49A" w14:textId="77777777" w:rsidTr="00437873">
        <w:trPr>
          <w:trHeight w:val="336"/>
          <w:jc w:val="center"/>
        </w:trPr>
        <w:tc>
          <w:tcPr>
            <w:tcW w:w="1917" w:type="dxa"/>
            <w:tcBorders>
              <w:top w:val="nil"/>
              <w:left w:val="single" w:sz="8" w:space="0" w:color="4472C4"/>
              <w:bottom w:val="single" w:sz="8" w:space="0" w:color="4472C4"/>
              <w:right w:val="single" w:sz="8" w:space="0" w:color="4472C4"/>
            </w:tcBorders>
            <w:shd w:val="clear" w:color="auto" w:fill="auto"/>
            <w:vAlign w:val="center"/>
            <w:hideMark/>
          </w:tcPr>
          <w:p w14:paraId="336AD6B7" w14:textId="77777777" w:rsidR="00255476" w:rsidRPr="001656F0" w:rsidRDefault="00255476" w:rsidP="00465D52">
            <w:pPr>
              <w:rPr>
                <w:rFonts w:ascii="Arial" w:hAnsi="Arial" w:cs="Arial"/>
                <w:sz w:val="20"/>
                <w:szCs w:val="20"/>
                <w:lang w:val="es-CR" w:eastAsia="es-CR"/>
              </w:rPr>
            </w:pPr>
            <w:r w:rsidRPr="001656F0">
              <w:rPr>
                <w:rFonts w:ascii="Arial" w:hAnsi="Arial" w:cs="Arial"/>
                <w:sz w:val="20"/>
                <w:szCs w:val="20"/>
                <w:lang w:val="es-CR" w:eastAsia="es-CR"/>
              </w:rPr>
              <w:t xml:space="preserve">Materiales y Suministros </w:t>
            </w:r>
          </w:p>
        </w:tc>
        <w:tc>
          <w:tcPr>
            <w:tcW w:w="1221" w:type="dxa"/>
            <w:tcBorders>
              <w:top w:val="nil"/>
              <w:left w:val="nil"/>
              <w:bottom w:val="single" w:sz="8" w:space="0" w:color="4472C4"/>
              <w:right w:val="single" w:sz="8" w:space="0" w:color="4472C4"/>
            </w:tcBorders>
            <w:shd w:val="clear" w:color="auto" w:fill="auto"/>
            <w:vAlign w:val="center"/>
            <w:hideMark/>
          </w:tcPr>
          <w:p w14:paraId="24BBF6AF"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36,08%</w:t>
            </w:r>
          </w:p>
        </w:tc>
        <w:tc>
          <w:tcPr>
            <w:tcW w:w="1221" w:type="dxa"/>
            <w:tcBorders>
              <w:top w:val="nil"/>
              <w:left w:val="nil"/>
              <w:bottom w:val="single" w:sz="8" w:space="0" w:color="4472C4"/>
              <w:right w:val="single" w:sz="8" w:space="0" w:color="4472C4"/>
            </w:tcBorders>
            <w:shd w:val="clear" w:color="auto" w:fill="auto"/>
            <w:vAlign w:val="center"/>
            <w:hideMark/>
          </w:tcPr>
          <w:p w14:paraId="59F366FF"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87,78%</w:t>
            </w:r>
          </w:p>
        </w:tc>
        <w:tc>
          <w:tcPr>
            <w:tcW w:w="314" w:type="dxa"/>
            <w:tcBorders>
              <w:top w:val="nil"/>
              <w:left w:val="nil"/>
              <w:bottom w:val="single" w:sz="8" w:space="0" w:color="4472C4"/>
              <w:right w:val="single" w:sz="8" w:space="0" w:color="4472C4"/>
            </w:tcBorders>
            <w:shd w:val="clear" w:color="auto" w:fill="auto"/>
            <w:vAlign w:val="center"/>
            <w:hideMark/>
          </w:tcPr>
          <w:p w14:paraId="69C33327"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w:t>
            </w:r>
          </w:p>
        </w:tc>
        <w:tc>
          <w:tcPr>
            <w:tcW w:w="454" w:type="dxa"/>
            <w:tcBorders>
              <w:top w:val="nil"/>
              <w:left w:val="nil"/>
              <w:bottom w:val="single" w:sz="8" w:space="0" w:color="4472C4"/>
              <w:right w:val="single" w:sz="8" w:space="0" w:color="4472C4"/>
            </w:tcBorders>
            <w:shd w:val="clear" w:color="auto" w:fill="auto"/>
            <w:vAlign w:val="center"/>
            <w:hideMark/>
          </w:tcPr>
          <w:p w14:paraId="008E5C4D"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7077B67C"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w:t>
            </w:r>
          </w:p>
        </w:tc>
        <w:tc>
          <w:tcPr>
            <w:tcW w:w="321" w:type="dxa"/>
            <w:tcBorders>
              <w:top w:val="nil"/>
              <w:left w:val="nil"/>
              <w:bottom w:val="single" w:sz="8" w:space="0" w:color="4472C4"/>
              <w:right w:val="single" w:sz="8" w:space="0" w:color="4472C4"/>
            </w:tcBorders>
            <w:shd w:val="clear" w:color="auto" w:fill="auto"/>
            <w:vAlign w:val="center"/>
          </w:tcPr>
          <w:p w14:paraId="3BA09BF3" w14:textId="77777777" w:rsidR="00255476" w:rsidRPr="001656F0" w:rsidRDefault="00255476" w:rsidP="00465D52">
            <w:pPr>
              <w:jc w:val="both"/>
              <w:rPr>
                <w:rFonts w:ascii="Arial" w:hAnsi="Arial" w:cs="Arial"/>
                <w:sz w:val="20"/>
                <w:szCs w:val="20"/>
                <w:lang w:val="es-CR" w:eastAsia="es-CR"/>
              </w:rPr>
            </w:pPr>
          </w:p>
        </w:tc>
        <w:tc>
          <w:tcPr>
            <w:tcW w:w="311" w:type="dxa"/>
            <w:tcBorders>
              <w:top w:val="nil"/>
              <w:left w:val="nil"/>
              <w:bottom w:val="single" w:sz="8" w:space="0" w:color="4472C4"/>
              <w:right w:val="single" w:sz="8" w:space="0" w:color="4472C4"/>
            </w:tcBorders>
            <w:shd w:val="clear" w:color="auto" w:fill="auto"/>
            <w:vAlign w:val="center"/>
          </w:tcPr>
          <w:p w14:paraId="1B8B83AF" w14:textId="77777777" w:rsidR="00255476" w:rsidRPr="001656F0" w:rsidRDefault="00255476" w:rsidP="00465D52">
            <w:pPr>
              <w:jc w:val="both"/>
              <w:rPr>
                <w:rFonts w:ascii="Arial" w:hAnsi="Arial" w:cs="Arial"/>
                <w:sz w:val="20"/>
                <w:szCs w:val="20"/>
                <w:lang w:val="es-CR" w:eastAsia="es-CR"/>
              </w:rPr>
            </w:pPr>
          </w:p>
        </w:tc>
        <w:tc>
          <w:tcPr>
            <w:tcW w:w="323" w:type="dxa"/>
            <w:tcBorders>
              <w:top w:val="nil"/>
              <w:left w:val="nil"/>
              <w:bottom w:val="single" w:sz="8" w:space="0" w:color="4472C4"/>
              <w:right w:val="single" w:sz="8" w:space="0" w:color="4472C4"/>
            </w:tcBorders>
            <w:shd w:val="clear" w:color="auto" w:fill="auto"/>
            <w:vAlign w:val="center"/>
          </w:tcPr>
          <w:p w14:paraId="52479236" w14:textId="77777777" w:rsidR="00255476" w:rsidRPr="001656F0" w:rsidRDefault="00255476" w:rsidP="00465D52">
            <w:pPr>
              <w:jc w:val="both"/>
              <w:rPr>
                <w:rFonts w:ascii="Arial" w:hAnsi="Arial" w:cs="Arial"/>
                <w:sz w:val="20"/>
                <w:szCs w:val="20"/>
                <w:lang w:val="es-CR" w:eastAsia="es-CR"/>
              </w:rPr>
            </w:pPr>
          </w:p>
        </w:tc>
        <w:tc>
          <w:tcPr>
            <w:tcW w:w="311" w:type="dxa"/>
            <w:tcBorders>
              <w:top w:val="nil"/>
              <w:left w:val="nil"/>
              <w:bottom w:val="single" w:sz="8" w:space="0" w:color="4472C4"/>
              <w:right w:val="single" w:sz="8" w:space="0" w:color="4472C4"/>
            </w:tcBorders>
            <w:shd w:val="clear" w:color="auto" w:fill="auto"/>
            <w:vAlign w:val="center"/>
            <w:hideMark/>
          </w:tcPr>
          <w:p w14:paraId="1EC0FFF4"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6D28016A"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w:t>
            </w:r>
          </w:p>
        </w:tc>
        <w:tc>
          <w:tcPr>
            <w:tcW w:w="328" w:type="dxa"/>
            <w:tcBorders>
              <w:top w:val="nil"/>
              <w:left w:val="nil"/>
              <w:bottom w:val="single" w:sz="8" w:space="0" w:color="4472C4"/>
              <w:right w:val="single" w:sz="8" w:space="0" w:color="4472C4"/>
            </w:tcBorders>
            <w:shd w:val="clear" w:color="auto" w:fill="auto"/>
            <w:vAlign w:val="center"/>
            <w:hideMark/>
          </w:tcPr>
          <w:p w14:paraId="32CB2E2E"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w:t>
            </w:r>
          </w:p>
        </w:tc>
        <w:tc>
          <w:tcPr>
            <w:tcW w:w="361" w:type="dxa"/>
            <w:tcBorders>
              <w:top w:val="nil"/>
              <w:left w:val="nil"/>
              <w:bottom w:val="single" w:sz="8" w:space="0" w:color="4472C4"/>
              <w:right w:val="single" w:sz="8" w:space="0" w:color="4472C4"/>
            </w:tcBorders>
            <w:shd w:val="clear" w:color="auto" w:fill="auto"/>
            <w:vAlign w:val="center"/>
            <w:hideMark/>
          </w:tcPr>
          <w:p w14:paraId="37B75921"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X</w:t>
            </w:r>
          </w:p>
        </w:tc>
        <w:tc>
          <w:tcPr>
            <w:tcW w:w="1496" w:type="dxa"/>
            <w:tcBorders>
              <w:top w:val="nil"/>
              <w:left w:val="nil"/>
              <w:bottom w:val="single" w:sz="8" w:space="0" w:color="4472C4"/>
              <w:right w:val="single" w:sz="8" w:space="0" w:color="4472C4"/>
            </w:tcBorders>
            <w:shd w:val="clear" w:color="auto" w:fill="auto"/>
            <w:vAlign w:val="center"/>
            <w:hideMark/>
          </w:tcPr>
          <w:p w14:paraId="0FE3063B"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Gasto Imprevisible</w:t>
            </w:r>
          </w:p>
        </w:tc>
      </w:tr>
      <w:tr w:rsidR="004B18B8" w:rsidRPr="004B18B8" w14:paraId="1D5D9B5B" w14:textId="77777777" w:rsidTr="00437873">
        <w:trPr>
          <w:trHeight w:val="336"/>
          <w:jc w:val="center"/>
        </w:trPr>
        <w:tc>
          <w:tcPr>
            <w:tcW w:w="1917" w:type="dxa"/>
            <w:tcBorders>
              <w:top w:val="nil"/>
              <w:left w:val="single" w:sz="8" w:space="0" w:color="4472C4"/>
              <w:bottom w:val="single" w:sz="8" w:space="0" w:color="4472C4"/>
              <w:right w:val="single" w:sz="8" w:space="0" w:color="4472C4"/>
            </w:tcBorders>
            <w:shd w:val="clear" w:color="auto" w:fill="auto"/>
            <w:vAlign w:val="center"/>
          </w:tcPr>
          <w:p w14:paraId="34ED0024"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xml:space="preserve">Bienes Duraderos </w:t>
            </w:r>
          </w:p>
        </w:tc>
        <w:tc>
          <w:tcPr>
            <w:tcW w:w="1221" w:type="dxa"/>
            <w:tcBorders>
              <w:top w:val="nil"/>
              <w:left w:val="nil"/>
              <w:bottom w:val="single" w:sz="8" w:space="0" w:color="4472C4"/>
              <w:right w:val="single" w:sz="8" w:space="0" w:color="4472C4"/>
            </w:tcBorders>
            <w:shd w:val="clear" w:color="auto" w:fill="auto"/>
            <w:vAlign w:val="center"/>
          </w:tcPr>
          <w:p w14:paraId="032B47C3"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0,72%</w:t>
            </w:r>
          </w:p>
        </w:tc>
        <w:tc>
          <w:tcPr>
            <w:tcW w:w="1221" w:type="dxa"/>
            <w:tcBorders>
              <w:top w:val="nil"/>
              <w:left w:val="nil"/>
              <w:bottom w:val="single" w:sz="8" w:space="0" w:color="4472C4"/>
              <w:right w:val="single" w:sz="8" w:space="0" w:color="4472C4"/>
            </w:tcBorders>
            <w:shd w:val="clear" w:color="auto" w:fill="auto"/>
            <w:vAlign w:val="center"/>
          </w:tcPr>
          <w:p w14:paraId="2E6CBFC9"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15,60%</w:t>
            </w:r>
          </w:p>
        </w:tc>
        <w:tc>
          <w:tcPr>
            <w:tcW w:w="314" w:type="dxa"/>
            <w:tcBorders>
              <w:top w:val="nil"/>
              <w:left w:val="nil"/>
              <w:bottom w:val="single" w:sz="8" w:space="0" w:color="4472C4"/>
              <w:right w:val="single" w:sz="8" w:space="0" w:color="4472C4"/>
            </w:tcBorders>
            <w:shd w:val="clear" w:color="auto" w:fill="auto"/>
            <w:vAlign w:val="center"/>
          </w:tcPr>
          <w:p w14:paraId="1D06417D" w14:textId="77777777" w:rsidR="00255476" w:rsidRPr="001656F0" w:rsidRDefault="00255476" w:rsidP="00465D52">
            <w:pPr>
              <w:jc w:val="center"/>
              <w:rPr>
                <w:rFonts w:ascii="Arial" w:hAnsi="Arial" w:cs="Arial"/>
                <w:sz w:val="20"/>
                <w:szCs w:val="20"/>
                <w:lang w:val="es-CR" w:eastAsia="es-CR"/>
              </w:rPr>
            </w:pPr>
          </w:p>
        </w:tc>
        <w:tc>
          <w:tcPr>
            <w:tcW w:w="454" w:type="dxa"/>
            <w:tcBorders>
              <w:top w:val="nil"/>
              <w:left w:val="nil"/>
              <w:bottom w:val="single" w:sz="8" w:space="0" w:color="4472C4"/>
              <w:right w:val="single" w:sz="8" w:space="0" w:color="4472C4"/>
            </w:tcBorders>
            <w:shd w:val="clear" w:color="auto" w:fill="auto"/>
            <w:vAlign w:val="center"/>
          </w:tcPr>
          <w:p w14:paraId="140B1D1F" w14:textId="77777777" w:rsidR="00255476" w:rsidRPr="001656F0" w:rsidRDefault="00255476" w:rsidP="00465D52">
            <w:pPr>
              <w:jc w:val="center"/>
              <w:rPr>
                <w:rFonts w:ascii="Arial" w:hAnsi="Arial" w:cs="Arial"/>
                <w:sz w:val="20"/>
                <w:szCs w:val="20"/>
                <w:lang w:val="es-CR" w:eastAsia="es-CR"/>
              </w:rPr>
            </w:pPr>
          </w:p>
        </w:tc>
        <w:tc>
          <w:tcPr>
            <w:tcW w:w="311" w:type="dxa"/>
            <w:tcBorders>
              <w:top w:val="nil"/>
              <w:left w:val="nil"/>
              <w:bottom w:val="single" w:sz="8" w:space="0" w:color="4472C4"/>
              <w:right w:val="single" w:sz="8" w:space="0" w:color="4472C4"/>
            </w:tcBorders>
            <w:shd w:val="clear" w:color="auto" w:fill="auto"/>
            <w:vAlign w:val="center"/>
          </w:tcPr>
          <w:p w14:paraId="0968F765" w14:textId="77777777" w:rsidR="00255476" w:rsidRPr="001656F0" w:rsidRDefault="00255476" w:rsidP="00465D52">
            <w:pPr>
              <w:jc w:val="center"/>
              <w:rPr>
                <w:rFonts w:ascii="Arial" w:hAnsi="Arial" w:cs="Arial"/>
                <w:sz w:val="20"/>
                <w:szCs w:val="20"/>
                <w:lang w:val="es-CR" w:eastAsia="es-CR"/>
              </w:rPr>
            </w:pPr>
          </w:p>
        </w:tc>
        <w:tc>
          <w:tcPr>
            <w:tcW w:w="321" w:type="dxa"/>
            <w:tcBorders>
              <w:top w:val="nil"/>
              <w:left w:val="nil"/>
              <w:bottom w:val="single" w:sz="8" w:space="0" w:color="4472C4"/>
              <w:right w:val="single" w:sz="8" w:space="0" w:color="4472C4"/>
            </w:tcBorders>
            <w:shd w:val="clear" w:color="auto" w:fill="auto"/>
            <w:vAlign w:val="center"/>
          </w:tcPr>
          <w:p w14:paraId="1AE79BF6" w14:textId="77777777" w:rsidR="00255476" w:rsidRPr="001656F0" w:rsidRDefault="00255476" w:rsidP="00465D52">
            <w:pPr>
              <w:jc w:val="center"/>
              <w:rPr>
                <w:rFonts w:ascii="Arial" w:hAnsi="Arial" w:cs="Arial"/>
                <w:sz w:val="20"/>
                <w:szCs w:val="20"/>
                <w:lang w:val="es-CR" w:eastAsia="es-CR"/>
              </w:rPr>
            </w:pPr>
          </w:p>
        </w:tc>
        <w:tc>
          <w:tcPr>
            <w:tcW w:w="311" w:type="dxa"/>
            <w:tcBorders>
              <w:top w:val="nil"/>
              <w:left w:val="nil"/>
              <w:bottom w:val="single" w:sz="8" w:space="0" w:color="4472C4"/>
              <w:right w:val="single" w:sz="8" w:space="0" w:color="4472C4"/>
            </w:tcBorders>
            <w:shd w:val="clear" w:color="auto" w:fill="auto"/>
            <w:vAlign w:val="center"/>
          </w:tcPr>
          <w:p w14:paraId="4256DDAC" w14:textId="77777777" w:rsidR="00255476" w:rsidRPr="001656F0" w:rsidRDefault="00255476" w:rsidP="00465D52">
            <w:pPr>
              <w:jc w:val="center"/>
              <w:rPr>
                <w:rFonts w:ascii="Arial" w:hAnsi="Arial" w:cs="Arial"/>
                <w:sz w:val="20"/>
                <w:szCs w:val="20"/>
                <w:lang w:val="es-CR" w:eastAsia="es-CR"/>
              </w:rPr>
            </w:pPr>
          </w:p>
        </w:tc>
        <w:tc>
          <w:tcPr>
            <w:tcW w:w="323" w:type="dxa"/>
            <w:tcBorders>
              <w:top w:val="nil"/>
              <w:left w:val="nil"/>
              <w:bottom w:val="single" w:sz="8" w:space="0" w:color="4472C4"/>
              <w:right w:val="single" w:sz="8" w:space="0" w:color="4472C4"/>
            </w:tcBorders>
            <w:shd w:val="clear" w:color="auto" w:fill="auto"/>
            <w:vAlign w:val="center"/>
          </w:tcPr>
          <w:p w14:paraId="1982D6E5"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X</w:t>
            </w:r>
          </w:p>
        </w:tc>
        <w:tc>
          <w:tcPr>
            <w:tcW w:w="311" w:type="dxa"/>
            <w:tcBorders>
              <w:top w:val="nil"/>
              <w:left w:val="nil"/>
              <w:bottom w:val="single" w:sz="8" w:space="0" w:color="4472C4"/>
              <w:right w:val="single" w:sz="8" w:space="0" w:color="4472C4"/>
            </w:tcBorders>
            <w:shd w:val="clear" w:color="auto" w:fill="auto"/>
            <w:vAlign w:val="center"/>
          </w:tcPr>
          <w:p w14:paraId="4B7AC6A3" w14:textId="77777777" w:rsidR="00255476" w:rsidRPr="001656F0" w:rsidRDefault="00255476" w:rsidP="00465D52">
            <w:pPr>
              <w:jc w:val="center"/>
              <w:rPr>
                <w:rFonts w:ascii="Arial" w:hAnsi="Arial" w:cs="Arial"/>
                <w:sz w:val="20"/>
                <w:szCs w:val="20"/>
                <w:lang w:val="es-CR" w:eastAsia="es-CR"/>
              </w:rPr>
            </w:pPr>
          </w:p>
        </w:tc>
        <w:tc>
          <w:tcPr>
            <w:tcW w:w="311" w:type="dxa"/>
            <w:tcBorders>
              <w:top w:val="nil"/>
              <w:left w:val="nil"/>
              <w:bottom w:val="single" w:sz="8" w:space="0" w:color="4472C4"/>
              <w:right w:val="single" w:sz="8" w:space="0" w:color="4472C4"/>
            </w:tcBorders>
            <w:shd w:val="clear" w:color="auto" w:fill="auto"/>
            <w:vAlign w:val="center"/>
          </w:tcPr>
          <w:p w14:paraId="402344F0" w14:textId="77777777" w:rsidR="00255476" w:rsidRPr="001656F0" w:rsidRDefault="00255476" w:rsidP="00465D52">
            <w:pPr>
              <w:jc w:val="center"/>
              <w:rPr>
                <w:rFonts w:ascii="Arial" w:hAnsi="Arial" w:cs="Arial"/>
                <w:sz w:val="20"/>
                <w:szCs w:val="20"/>
                <w:lang w:val="es-CR" w:eastAsia="es-CR"/>
              </w:rPr>
            </w:pPr>
          </w:p>
        </w:tc>
        <w:tc>
          <w:tcPr>
            <w:tcW w:w="328" w:type="dxa"/>
            <w:tcBorders>
              <w:top w:val="nil"/>
              <w:left w:val="nil"/>
              <w:bottom w:val="single" w:sz="8" w:space="0" w:color="4472C4"/>
              <w:right w:val="single" w:sz="8" w:space="0" w:color="4472C4"/>
            </w:tcBorders>
            <w:shd w:val="clear" w:color="auto" w:fill="auto"/>
            <w:vAlign w:val="center"/>
          </w:tcPr>
          <w:p w14:paraId="24189058" w14:textId="77777777" w:rsidR="00255476" w:rsidRPr="001656F0" w:rsidRDefault="00255476" w:rsidP="00465D52">
            <w:pPr>
              <w:jc w:val="center"/>
              <w:rPr>
                <w:rFonts w:ascii="Arial" w:hAnsi="Arial" w:cs="Arial"/>
                <w:sz w:val="20"/>
                <w:szCs w:val="20"/>
                <w:lang w:val="es-CR" w:eastAsia="es-CR"/>
              </w:rPr>
            </w:pPr>
          </w:p>
        </w:tc>
        <w:tc>
          <w:tcPr>
            <w:tcW w:w="361" w:type="dxa"/>
            <w:tcBorders>
              <w:top w:val="nil"/>
              <w:left w:val="nil"/>
              <w:bottom w:val="single" w:sz="8" w:space="0" w:color="4472C4"/>
              <w:right w:val="single" w:sz="8" w:space="0" w:color="4472C4"/>
            </w:tcBorders>
            <w:shd w:val="clear" w:color="auto" w:fill="auto"/>
            <w:vAlign w:val="center"/>
          </w:tcPr>
          <w:p w14:paraId="5D663BAF" w14:textId="77777777" w:rsidR="00255476" w:rsidRPr="001656F0" w:rsidRDefault="00255476" w:rsidP="00465D52">
            <w:pPr>
              <w:jc w:val="center"/>
              <w:rPr>
                <w:rFonts w:ascii="Arial" w:hAnsi="Arial" w:cs="Arial"/>
                <w:sz w:val="20"/>
                <w:szCs w:val="20"/>
                <w:lang w:val="es-CR" w:eastAsia="es-CR"/>
              </w:rPr>
            </w:pPr>
          </w:p>
        </w:tc>
        <w:tc>
          <w:tcPr>
            <w:tcW w:w="1496" w:type="dxa"/>
            <w:tcBorders>
              <w:top w:val="nil"/>
              <w:left w:val="nil"/>
              <w:bottom w:val="single" w:sz="8" w:space="0" w:color="4472C4"/>
              <w:right w:val="single" w:sz="8" w:space="0" w:color="4472C4"/>
            </w:tcBorders>
            <w:shd w:val="clear" w:color="auto" w:fill="auto"/>
            <w:vAlign w:val="center"/>
          </w:tcPr>
          <w:p w14:paraId="360C9FDC" w14:textId="525377EB" w:rsidR="00255476" w:rsidRPr="001656F0" w:rsidRDefault="009D23D5" w:rsidP="00465D52">
            <w:pPr>
              <w:jc w:val="center"/>
              <w:rPr>
                <w:rFonts w:ascii="Arial" w:hAnsi="Arial" w:cs="Arial"/>
                <w:sz w:val="20"/>
                <w:szCs w:val="20"/>
                <w:lang w:val="es-CR" w:eastAsia="es-CR"/>
              </w:rPr>
            </w:pPr>
            <w:r>
              <w:rPr>
                <w:rFonts w:ascii="Arial" w:hAnsi="Arial" w:cs="Arial"/>
                <w:sz w:val="20"/>
                <w:szCs w:val="20"/>
                <w:lang w:val="es-CR" w:eastAsia="es-CR"/>
              </w:rPr>
              <w:t>-</w:t>
            </w:r>
          </w:p>
        </w:tc>
      </w:tr>
      <w:tr w:rsidR="004B18B8" w:rsidRPr="004B18B8" w14:paraId="596563DA" w14:textId="77777777" w:rsidTr="00437873">
        <w:trPr>
          <w:trHeight w:val="336"/>
          <w:jc w:val="center"/>
        </w:trPr>
        <w:tc>
          <w:tcPr>
            <w:tcW w:w="1917" w:type="dxa"/>
            <w:tcBorders>
              <w:top w:val="nil"/>
              <w:left w:val="single" w:sz="8" w:space="0" w:color="4472C4"/>
              <w:bottom w:val="single" w:sz="8" w:space="0" w:color="4472C4"/>
              <w:right w:val="single" w:sz="8" w:space="0" w:color="4472C4"/>
            </w:tcBorders>
            <w:shd w:val="clear" w:color="auto" w:fill="auto"/>
            <w:vAlign w:val="center"/>
            <w:hideMark/>
          </w:tcPr>
          <w:p w14:paraId="2B1DC322"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xml:space="preserve"> Transferencias Corrientes  </w:t>
            </w:r>
          </w:p>
        </w:tc>
        <w:tc>
          <w:tcPr>
            <w:tcW w:w="1221" w:type="dxa"/>
            <w:tcBorders>
              <w:top w:val="nil"/>
              <w:left w:val="nil"/>
              <w:bottom w:val="single" w:sz="8" w:space="0" w:color="4472C4"/>
              <w:right w:val="single" w:sz="8" w:space="0" w:color="4472C4"/>
            </w:tcBorders>
            <w:shd w:val="clear" w:color="auto" w:fill="auto"/>
            <w:vAlign w:val="center"/>
            <w:hideMark/>
          </w:tcPr>
          <w:p w14:paraId="2FD3B75C"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39,87% </w:t>
            </w:r>
          </w:p>
        </w:tc>
        <w:tc>
          <w:tcPr>
            <w:tcW w:w="1221" w:type="dxa"/>
            <w:tcBorders>
              <w:top w:val="nil"/>
              <w:left w:val="nil"/>
              <w:bottom w:val="single" w:sz="8" w:space="0" w:color="4472C4"/>
              <w:right w:val="single" w:sz="8" w:space="0" w:color="4472C4"/>
            </w:tcBorders>
            <w:shd w:val="clear" w:color="auto" w:fill="auto"/>
            <w:vAlign w:val="center"/>
            <w:hideMark/>
          </w:tcPr>
          <w:p w14:paraId="682E0D40"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80,38%</w:t>
            </w:r>
          </w:p>
        </w:tc>
        <w:tc>
          <w:tcPr>
            <w:tcW w:w="314" w:type="dxa"/>
            <w:tcBorders>
              <w:top w:val="nil"/>
              <w:left w:val="nil"/>
              <w:bottom w:val="single" w:sz="8" w:space="0" w:color="4472C4"/>
              <w:right w:val="single" w:sz="8" w:space="0" w:color="4472C4"/>
            </w:tcBorders>
            <w:shd w:val="clear" w:color="auto" w:fill="auto"/>
            <w:vAlign w:val="center"/>
            <w:hideMark/>
          </w:tcPr>
          <w:p w14:paraId="49BF3F5E"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454" w:type="dxa"/>
            <w:tcBorders>
              <w:top w:val="nil"/>
              <w:left w:val="nil"/>
              <w:bottom w:val="single" w:sz="8" w:space="0" w:color="4472C4"/>
              <w:right w:val="single" w:sz="8" w:space="0" w:color="4472C4"/>
            </w:tcBorders>
            <w:shd w:val="clear" w:color="auto" w:fill="auto"/>
            <w:vAlign w:val="center"/>
            <w:hideMark/>
          </w:tcPr>
          <w:p w14:paraId="48EEE14C"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0F460CE2"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X</w:t>
            </w:r>
          </w:p>
        </w:tc>
        <w:tc>
          <w:tcPr>
            <w:tcW w:w="321" w:type="dxa"/>
            <w:tcBorders>
              <w:top w:val="nil"/>
              <w:left w:val="nil"/>
              <w:bottom w:val="single" w:sz="8" w:space="0" w:color="4472C4"/>
              <w:right w:val="single" w:sz="8" w:space="0" w:color="4472C4"/>
            </w:tcBorders>
            <w:shd w:val="clear" w:color="auto" w:fill="auto"/>
            <w:vAlign w:val="center"/>
            <w:hideMark/>
          </w:tcPr>
          <w:p w14:paraId="0D68FFA3"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1023D946"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3" w:type="dxa"/>
            <w:tcBorders>
              <w:top w:val="nil"/>
              <w:left w:val="nil"/>
              <w:bottom w:val="single" w:sz="8" w:space="0" w:color="4472C4"/>
              <w:right w:val="single" w:sz="8" w:space="0" w:color="4472C4"/>
            </w:tcBorders>
            <w:shd w:val="clear" w:color="auto" w:fill="auto"/>
            <w:vAlign w:val="center"/>
            <w:hideMark/>
          </w:tcPr>
          <w:p w14:paraId="4A5309BA"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6EA9005B"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647F9074"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8" w:type="dxa"/>
            <w:tcBorders>
              <w:top w:val="nil"/>
              <w:left w:val="nil"/>
              <w:bottom w:val="single" w:sz="8" w:space="0" w:color="4472C4"/>
              <w:right w:val="single" w:sz="8" w:space="0" w:color="4472C4"/>
            </w:tcBorders>
            <w:shd w:val="clear" w:color="auto" w:fill="auto"/>
            <w:vAlign w:val="center"/>
            <w:hideMark/>
          </w:tcPr>
          <w:p w14:paraId="0CD5937A"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61" w:type="dxa"/>
            <w:tcBorders>
              <w:top w:val="nil"/>
              <w:left w:val="nil"/>
              <w:bottom w:val="single" w:sz="8" w:space="0" w:color="4472C4"/>
              <w:right w:val="single" w:sz="8" w:space="0" w:color="4472C4"/>
            </w:tcBorders>
            <w:shd w:val="clear" w:color="auto" w:fill="auto"/>
            <w:vAlign w:val="center"/>
            <w:hideMark/>
          </w:tcPr>
          <w:p w14:paraId="788760EB" w14:textId="77777777" w:rsidR="00255476" w:rsidRPr="001656F0" w:rsidRDefault="00255476" w:rsidP="00465D52">
            <w:pPr>
              <w:jc w:val="center"/>
              <w:rPr>
                <w:rFonts w:ascii="Arial" w:hAnsi="Arial" w:cs="Arial"/>
                <w:sz w:val="20"/>
                <w:szCs w:val="20"/>
                <w:lang w:val="es-CR" w:eastAsia="es-CR"/>
              </w:rPr>
            </w:pPr>
          </w:p>
        </w:tc>
        <w:tc>
          <w:tcPr>
            <w:tcW w:w="1496" w:type="dxa"/>
            <w:tcBorders>
              <w:top w:val="nil"/>
              <w:left w:val="nil"/>
              <w:bottom w:val="single" w:sz="8" w:space="0" w:color="4472C4"/>
              <w:right w:val="single" w:sz="8" w:space="0" w:color="4472C4"/>
            </w:tcBorders>
            <w:shd w:val="clear" w:color="auto" w:fill="auto"/>
            <w:vAlign w:val="center"/>
            <w:hideMark/>
          </w:tcPr>
          <w:p w14:paraId="7C9E2103" w14:textId="672C549A"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r w:rsidR="009D23D5">
              <w:rPr>
                <w:rFonts w:ascii="Arial" w:hAnsi="Arial" w:cs="Arial"/>
                <w:sz w:val="20"/>
                <w:szCs w:val="20"/>
                <w:lang w:val="es-CR" w:eastAsia="es-CR"/>
              </w:rPr>
              <w:t>-</w:t>
            </w:r>
          </w:p>
        </w:tc>
      </w:tr>
      <w:tr w:rsidR="004B18B8" w:rsidRPr="004B18B8" w14:paraId="67D00AED" w14:textId="77777777" w:rsidTr="00437873">
        <w:trPr>
          <w:trHeight w:val="222"/>
          <w:jc w:val="center"/>
        </w:trPr>
        <w:tc>
          <w:tcPr>
            <w:tcW w:w="1917" w:type="dxa"/>
            <w:tcBorders>
              <w:top w:val="nil"/>
              <w:left w:val="single" w:sz="8" w:space="0" w:color="4472C4"/>
              <w:bottom w:val="single" w:sz="8" w:space="0" w:color="4472C4"/>
              <w:right w:val="single" w:sz="8" w:space="0" w:color="4472C4"/>
            </w:tcBorders>
            <w:shd w:val="clear" w:color="auto" w:fill="auto"/>
            <w:vAlign w:val="center"/>
            <w:hideMark/>
          </w:tcPr>
          <w:p w14:paraId="21B49477" w14:textId="77777777" w:rsidR="00255476" w:rsidRPr="001656F0" w:rsidRDefault="00255476" w:rsidP="00465D52">
            <w:pPr>
              <w:jc w:val="both"/>
              <w:rPr>
                <w:rFonts w:ascii="Arial" w:hAnsi="Arial" w:cs="Arial"/>
                <w:sz w:val="20"/>
                <w:szCs w:val="20"/>
                <w:lang w:val="es-CR" w:eastAsia="es-CR"/>
              </w:rPr>
            </w:pPr>
            <w:r w:rsidRPr="001656F0">
              <w:rPr>
                <w:rFonts w:ascii="Arial" w:hAnsi="Arial" w:cs="Arial"/>
                <w:sz w:val="20"/>
                <w:szCs w:val="20"/>
                <w:lang w:val="es-CR" w:eastAsia="es-CR"/>
              </w:rPr>
              <w:t xml:space="preserve"> Cuenta Especiales </w:t>
            </w:r>
          </w:p>
        </w:tc>
        <w:tc>
          <w:tcPr>
            <w:tcW w:w="1221" w:type="dxa"/>
            <w:tcBorders>
              <w:top w:val="nil"/>
              <w:left w:val="nil"/>
              <w:bottom w:val="single" w:sz="8" w:space="0" w:color="4472C4"/>
              <w:right w:val="single" w:sz="8" w:space="0" w:color="4472C4"/>
            </w:tcBorders>
            <w:shd w:val="clear" w:color="auto" w:fill="auto"/>
            <w:vAlign w:val="center"/>
            <w:hideMark/>
          </w:tcPr>
          <w:p w14:paraId="27B04CC8"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18,79%</w:t>
            </w:r>
          </w:p>
        </w:tc>
        <w:tc>
          <w:tcPr>
            <w:tcW w:w="1221" w:type="dxa"/>
            <w:tcBorders>
              <w:top w:val="nil"/>
              <w:left w:val="nil"/>
              <w:bottom w:val="single" w:sz="8" w:space="0" w:color="4472C4"/>
              <w:right w:val="single" w:sz="8" w:space="0" w:color="4472C4"/>
            </w:tcBorders>
            <w:shd w:val="clear" w:color="auto" w:fill="auto"/>
            <w:vAlign w:val="center"/>
            <w:hideMark/>
          </w:tcPr>
          <w:p w14:paraId="317E6D4C"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xml:space="preserve"> 52,04%  </w:t>
            </w:r>
          </w:p>
        </w:tc>
        <w:tc>
          <w:tcPr>
            <w:tcW w:w="314" w:type="dxa"/>
            <w:tcBorders>
              <w:top w:val="nil"/>
              <w:left w:val="nil"/>
              <w:bottom w:val="single" w:sz="8" w:space="0" w:color="4472C4"/>
              <w:right w:val="single" w:sz="8" w:space="0" w:color="4472C4"/>
            </w:tcBorders>
            <w:shd w:val="clear" w:color="auto" w:fill="auto"/>
            <w:vAlign w:val="center"/>
            <w:hideMark/>
          </w:tcPr>
          <w:p w14:paraId="5A33D1E0"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454" w:type="dxa"/>
            <w:tcBorders>
              <w:top w:val="nil"/>
              <w:left w:val="nil"/>
              <w:bottom w:val="single" w:sz="8" w:space="0" w:color="4472C4"/>
              <w:right w:val="single" w:sz="8" w:space="0" w:color="4472C4"/>
            </w:tcBorders>
            <w:shd w:val="clear" w:color="auto" w:fill="auto"/>
            <w:vAlign w:val="center"/>
            <w:hideMark/>
          </w:tcPr>
          <w:p w14:paraId="11077357"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65E098D6"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1" w:type="dxa"/>
            <w:tcBorders>
              <w:top w:val="nil"/>
              <w:left w:val="nil"/>
              <w:bottom w:val="single" w:sz="8" w:space="0" w:color="4472C4"/>
              <w:right w:val="single" w:sz="8" w:space="0" w:color="4472C4"/>
            </w:tcBorders>
            <w:shd w:val="clear" w:color="auto" w:fill="auto"/>
            <w:vAlign w:val="center"/>
            <w:hideMark/>
          </w:tcPr>
          <w:p w14:paraId="7454277A"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5B7B5613"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3" w:type="dxa"/>
            <w:tcBorders>
              <w:top w:val="nil"/>
              <w:left w:val="nil"/>
              <w:bottom w:val="single" w:sz="8" w:space="0" w:color="4472C4"/>
              <w:right w:val="single" w:sz="8" w:space="0" w:color="4472C4"/>
            </w:tcBorders>
            <w:shd w:val="clear" w:color="auto" w:fill="auto"/>
            <w:vAlign w:val="center"/>
            <w:hideMark/>
          </w:tcPr>
          <w:p w14:paraId="25A20054"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52F35FCB"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11" w:type="dxa"/>
            <w:tcBorders>
              <w:top w:val="nil"/>
              <w:left w:val="nil"/>
              <w:bottom w:val="single" w:sz="8" w:space="0" w:color="4472C4"/>
              <w:right w:val="single" w:sz="8" w:space="0" w:color="4472C4"/>
            </w:tcBorders>
            <w:shd w:val="clear" w:color="auto" w:fill="auto"/>
            <w:vAlign w:val="center"/>
            <w:hideMark/>
          </w:tcPr>
          <w:p w14:paraId="5DAEE14F"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28" w:type="dxa"/>
            <w:tcBorders>
              <w:top w:val="nil"/>
              <w:left w:val="nil"/>
              <w:bottom w:val="single" w:sz="8" w:space="0" w:color="4472C4"/>
              <w:right w:val="single" w:sz="8" w:space="0" w:color="4472C4"/>
            </w:tcBorders>
            <w:shd w:val="clear" w:color="auto" w:fill="auto"/>
            <w:vAlign w:val="center"/>
            <w:hideMark/>
          </w:tcPr>
          <w:p w14:paraId="1906897D"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w:t>
            </w:r>
          </w:p>
        </w:tc>
        <w:tc>
          <w:tcPr>
            <w:tcW w:w="361" w:type="dxa"/>
            <w:tcBorders>
              <w:top w:val="nil"/>
              <w:left w:val="nil"/>
              <w:bottom w:val="single" w:sz="8" w:space="0" w:color="4472C4"/>
              <w:right w:val="single" w:sz="8" w:space="0" w:color="4472C4"/>
            </w:tcBorders>
            <w:shd w:val="clear" w:color="auto" w:fill="auto"/>
            <w:vAlign w:val="center"/>
            <w:hideMark/>
          </w:tcPr>
          <w:p w14:paraId="2AD54891"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X</w:t>
            </w:r>
          </w:p>
        </w:tc>
        <w:tc>
          <w:tcPr>
            <w:tcW w:w="1496" w:type="dxa"/>
            <w:tcBorders>
              <w:top w:val="nil"/>
              <w:left w:val="nil"/>
              <w:bottom w:val="single" w:sz="8" w:space="0" w:color="4472C4"/>
              <w:right w:val="single" w:sz="8" w:space="0" w:color="4472C4"/>
            </w:tcBorders>
            <w:shd w:val="clear" w:color="auto" w:fill="auto"/>
            <w:vAlign w:val="center"/>
            <w:hideMark/>
          </w:tcPr>
          <w:p w14:paraId="534DB971" w14:textId="77777777" w:rsidR="00255476" w:rsidRPr="001656F0" w:rsidRDefault="00255476" w:rsidP="00465D52">
            <w:pPr>
              <w:jc w:val="center"/>
              <w:rPr>
                <w:rFonts w:ascii="Arial" w:hAnsi="Arial" w:cs="Arial"/>
                <w:sz w:val="20"/>
                <w:szCs w:val="20"/>
                <w:lang w:val="es-CR" w:eastAsia="es-CR"/>
              </w:rPr>
            </w:pPr>
            <w:r w:rsidRPr="001656F0">
              <w:rPr>
                <w:rFonts w:ascii="Arial" w:hAnsi="Arial" w:cs="Arial"/>
                <w:sz w:val="20"/>
                <w:szCs w:val="20"/>
                <w:lang w:val="es-CR" w:eastAsia="es-CR"/>
              </w:rPr>
              <w:t> Gasto Imprevisible</w:t>
            </w:r>
          </w:p>
        </w:tc>
      </w:tr>
    </w:tbl>
    <w:p w14:paraId="2F528C3E" w14:textId="7DBE67B5" w:rsidR="00437873" w:rsidRPr="00437873" w:rsidRDefault="00437873" w:rsidP="00437873">
      <w:pPr>
        <w:spacing w:after="120"/>
        <w:jc w:val="both"/>
        <w:rPr>
          <w:rFonts w:ascii="Arial" w:hAnsi="Arial" w:cs="Arial"/>
          <w:sz w:val="16"/>
          <w:szCs w:val="16"/>
        </w:rPr>
      </w:pPr>
      <w:r w:rsidRPr="00437873">
        <w:rPr>
          <w:rFonts w:ascii="Arial" w:hAnsi="Arial" w:cs="Arial"/>
          <w:b/>
          <w:bCs/>
          <w:sz w:val="16"/>
          <w:szCs w:val="16"/>
        </w:rPr>
        <w:t>Fuente:</w:t>
      </w:r>
      <w:r>
        <w:rPr>
          <w:rFonts w:ascii="Arial" w:hAnsi="Arial" w:cs="Arial"/>
          <w:sz w:val="16"/>
          <w:szCs w:val="16"/>
        </w:rPr>
        <w:t xml:space="preserve"> </w:t>
      </w:r>
      <w:r w:rsidRPr="00437873">
        <w:rPr>
          <w:rFonts w:ascii="Arial" w:hAnsi="Arial" w:cs="Arial"/>
          <w:sz w:val="16"/>
          <w:szCs w:val="16"/>
        </w:rPr>
        <w:t>Liquidación Sistema Módulo de Poderes al 31 de diciembre 2021</w:t>
      </w:r>
    </w:p>
    <w:p w14:paraId="443494CD" w14:textId="77777777" w:rsidR="00437873" w:rsidRPr="00437873" w:rsidRDefault="00437873" w:rsidP="00437873">
      <w:pPr>
        <w:spacing w:after="120"/>
        <w:jc w:val="both"/>
        <w:rPr>
          <w:rFonts w:ascii="Arial" w:hAnsi="Arial" w:cs="Arial"/>
          <w:sz w:val="16"/>
          <w:szCs w:val="16"/>
        </w:rPr>
      </w:pPr>
      <w:r w:rsidRPr="00437873">
        <w:rPr>
          <w:rFonts w:ascii="Arial" w:hAnsi="Arial" w:cs="Arial"/>
          <w:sz w:val="16"/>
          <w:szCs w:val="16"/>
        </w:rPr>
        <w:t xml:space="preserve"> /1 Esta información se obtiene del informe semestral.</w:t>
      </w:r>
    </w:p>
    <w:p w14:paraId="3A0B84EB" w14:textId="77777777" w:rsidR="00437873" w:rsidRPr="00437873" w:rsidRDefault="00437873" w:rsidP="00437873">
      <w:pPr>
        <w:spacing w:after="120"/>
        <w:jc w:val="both"/>
        <w:rPr>
          <w:rFonts w:ascii="Arial" w:hAnsi="Arial" w:cs="Arial"/>
          <w:sz w:val="16"/>
          <w:szCs w:val="16"/>
        </w:rPr>
      </w:pPr>
      <w:r w:rsidRPr="00437873">
        <w:rPr>
          <w:rFonts w:ascii="Arial" w:hAnsi="Arial" w:cs="Arial"/>
          <w:sz w:val="16"/>
          <w:szCs w:val="16"/>
        </w:rPr>
        <w:t xml:space="preserve"> /2 Esta información se obtiene del archivo Excel remitido por la DGPN, de la hoja “Liquidación”. </w:t>
      </w:r>
    </w:p>
    <w:p w14:paraId="3C475CCE" w14:textId="303D484D" w:rsidR="00255476" w:rsidRPr="00437873" w:rsidRDefault="00437873" w:rsidP="00437873">
      <w:pPr>
        <w:spacing w:after="120"/>
        <w:jc w:val="both"/>
        <w:rPr>
          <w:rFonts w:ascii="Arial" w:hAnsi="Arial" w:cs="Arial"/>
          <w:sz w:val="16"/>
          <w:szCs w:val="16"/>
          <w:lang w:val="es-ES_tradnl"/>
        </w:rPr>
      </w:pPr>
      <w:r w:rsidRPr="00437873">
        <w:rPr>
          <w:rFonts w:ascii="Arial" w:hAnsi="Arial" w:cs="Arial"/>
          <w:sz w:val="16"/>
          <w:szCs w:val="16"/>
        </w:rPr>
        <w:t>/3 Indicar directriz, norma o descripción del factor “Otros”</w:t>
      </w:r>
    </w:p>
    <w:p w14:paraId="6A2CE34B" w14:textId="4C256507" w:rsidR="00650421" w:rsidRPr="00650421" w:rsidRDefault="00650421" w:rsidP="00650421">
      <w:pPr>
        <w:spacing w:after="160" w:line="360" w:lineRule="auto"/>
        <w:jc w:val="both"/>
        <w:rPr>
          <w:rFonts w:ascii="Arial" w:eastAsiaTheme="minorEastAsia" w:hAnsi="Arial" w:cs="Arial"/>
          <w:sz w:val="20"/>
          <w:szCs w:val="20"/>
          <w:lang w:val="es-ES_tradnl"/>
        </w:rPr>
      </w:pPr>
    </w:p>
    <w:p w14:paraId="5718949A" w14:textId="77777777" w:rsidR="00650421" w:rsidRPr="00650421" w:rsidRDefault="00650421" w:rsidP="00650421">
      <w:pPr>
        <w:spacing w:after="120" w:line="360" w:lineRule="auto"/>
        <w:jc w:val="both"/>
        <w:rPr>
          <w:rFonts w:ascii="Arial" w:eastAsiaTheme="minorEastAsia" w:hAnsi="Arial" w:cs="Arial"/>
          <w:b/>
          <w:sz w:val="20"/>
          <w:szCs w:val="20"/>
        </w:rPr>
      </w:pPr>
      <w:r w:rsidRPr="00650421">
        <w:rPr>
          <w:rFonts w:ascii="Arial" w:eastAsiaTheme="minorEastAsia" w:hAnsi="Arial" w:cs="Arial"/>
          <w:b/>
          <w:sz w:val="20"/>
          <w:szCs w:val="20"/>
        </w:rPr>
        <w:t>Justificación en tema de acciones correctivas, partidas con alcance menor a 90%</w:t>
      </w:r>
    </w:p>
    <w:p w14:paraId="6509C869" w14:textId="77777777" w:rsidR="00650421" w:rsidRPr="00650421" w:rsidRDefault="00650421" w:rsidP="00650421">
      <w:pPr>
        <w:jc w:val="both"/>
        <w:rPr>
          <w:rFonts w:ascii="Arial" w:eastAsiaTheme="minorEastAsia" w:hAnsi="Arial" w:cs="Arial"/>
          <w:bCs/>
          <w:sz w:val="20"/>
          <w:szCs w:val="20"/>
        </w:rPr>
      </w:pPr>
    </w:p>
    <w:p w14:paraId="435A56A3" w14:textId="4BDAE1E9" w:rsidR="00650421" w:rsidRPr="00650421" w:rsidRDefault="00650421" w:rsidP="00BE5AA1">
      <w:pPr>
        <w:numPr>
          <w:ilvl w:val="0"/>
          <w:numId w:val="6"/>
        </w:numPr>
        <w:spacing w:after="160" w:line="360" w:lineRule="auto"/>
        <w:contextualSpacing/>
        <w:jc w:val="both"/>
        <w:rPr>
          <w:rFonts w:ascii="Arial" w:eastAsiaTheme="minorEastAsia" w:hAnsi="Arial" w:cs="Arial"/>
          <w:bCs/>
          <w:sz w:val="20"/>
          <w:szCs w:val="20"/>
        </w:rPr>
      </w:pPr>
      <w:r w:rsidRPr="00650421">
        <w:rPr>
          <w:rFonts w:ascii="Arial" w:eastAsiaTheme="minorEastAsia" w:hAnsi="Arial" w:cs="Arial"/>
          <w:bCs/>
          <w:sz w:val="20"/>
          <w:szCs w:val="20"/>
        </w:rPr>
        <w:t xml:space="preserve">Impacto generado por la emergencia sanitaria por el Covid-19: en la partida 1 se detectó la baja en el gasto por servicios públicos, debido al coronavirus y la recomendación del Ministerio de Salud y jerarcas instituciones la OAPVD gestionó planes de teletrabajo lo que condujo a que las personas permanecieron menos días de manera presencial en el despacho, reduciéndose el consumo de servicios de agua, luz, telefonía. A pesar de que </w:t>
      </w:r>
      <w:r w:rsidRPr="00650421">
        <w:rPr>
          <w:rFonts w:ascii="Arial" w:eastAsiaTheme="minorEastAsia" w:hAnsi="Arial" w:cs="Arial"/>
          <w:bCs/>
          <w:sz w:val="20"/>
          <w:szCs w:val="20"/>
        </w:rPr>
        <w:lastRenderedPageBreak/>
        <w:t xml:space="preserve">por medio de reuniones administrativas se valoró realizar modificaciones externas para movilizar recursos de la partida uno a fin de ejecutarlos, la normativa del ejercicio presupuestario 2021 limitó movilizar recursos de una partida a otra. </w:t>
      </w:r>
    </w:p>
    <w:p w14:paraId="3AF459C3" w14:textId="77777777" w:rsidR="00650421" w:rsidRPr="00650421" w:rsidRDefault="00650421" w:rsidP="00650421">
      <w:pPr>
        <w:spacing w:line="360" w:lineRule="auto"/>
        <w:ind w:left="720"/>
        <w:contextualSpacing/>
        <w:jc w:val="both"/>
        <w:rPr>
          <w:rFonts w:ascii="Arial" w:eastAsiaTheme="minorEastAsia" w:hAnsi="Arial" w:cs="Arial"/>
          <w:bCs/>
          <w:sz w:val="20"/>
          <w:szCs w:val="20"/>
        </w:rPr>
      </w:pPr>
    </w:p>
    <w:p w14:paraId="4B246462" w14:textId="77777777" w:rsidR="00650421" w:rsidRPr="00650421" w:rsidRDefault="00650421" w:rsidP="00BE5AA1">
      <w:pPr>
        <w:numPr>
          <w:ilvl w:val="0"/>
          <w:numId w:val="6"/>
        </w:numPr>
        <w:spacing w:after="160" w:line="360" w:lineRule="auto"/>
        <w:contextualSpacing/>
        <w:jc w:val="both"/>
        <w:rPr>
          <w:rFonts w:ascii="Arial" w:eastAsiaTheme="minorEastAsia" w:hAnsi="Arial" w:cs="Arial"/>
          <w:bCs/>
          <w:sz w:val="20"/>
          <w:szCs w:val="20"/>
        </w:rPr>
      </w:pPr>
      <w:r w:rsidRPr="00650421">
        <w:rPr>
          <w:rFonts w:ascii="Arial" w:eastAsiaTheme="minorEastAsia" w:hAnsi="Arial" w:cs="Arial"/>
          <w:bCs/>
          <w:sz w:val="20"/>
          <w:szCs w:val="20"/>
        </w:rPr>
        <w:t xml:space="preserve">Gastos imprevisibles: tanto en la partida 1 como en la partida 2 y 9 se generan gastos imprevisibles. Por la naturaleza de los servicios que brinda el programa presupuesto 950, el consumo de recursos depende de la necesidad económica que presenten las personas usuarias, al momento de acogerse a las medias extraprocesales emitidas para salvar su vida e integridad física. Existen casos en que los usuarios pueden costear el 100% del pago de la vivienda en que se va a reubicar temporalmente, tiene la posibilidad de cubrir traslados de menaje, pago de hospedaje y alimentación, sin embargo, existen otros asuntos se requieren cubrir la totalidad de los pagos. A ello se suma la cantidad de expedientes de expedientes nuevos que puedan llegar a los despachos. Por parte del personal de la OAPVD y UPROV se ejecutaron reuniones bimensuales y se analizaron las diversas sub partidas no obstante, las necesidades de las personas usuarias es un aspecto muy difícil de proyectar.  </w:t>
      </w:r>
    </w:p>
    <w:p w14:paraId="5E4DF866" w14:textId="77777777" w:rsidR="00412EB8" w:rsidRDefault="00412EB8" w:rsidP="00412EB8">
      <w:pPr>
        <w:pStyle w:val="Prrafodelista"/>
        <w:rPr>
          <w:rFonts w:ascii="Arial" w:eastAsiaTheme="minorEastAsia" w:hAnsi="Arial" w:cs="Arial"/>
          <w:bCs/>
          <w:sz w:val="20"/>
          <w:szCs w:val="20"/>
        </w:rPr>
      </w:pPr>
    </w:p>
    <w:p w14:paraId="4E2BD593" w14:textId="77777777" w:rsidR="00650421" w:rsidRPr="00650421" w:rsidRDefault="00650421" w:rsidP="00650421">
      <w:pPr>
        <w:spacing w:after="160" w:line="360" w:lineRule="auto"/>
        <w:ind w:left="720"/>
        <w:contextualSpacing/>
        <w:rPr>
          <w:rFonts w:ascii="Arial" w:eastAsiaTheme="minorEastAsia" w:hAnsi="Arial" w:cs="Arial"/>
          <w:bCs/>
          <w:sz w:val="20"/>
          <w:szCs w:val="20"/>
        </w:rPr>
      </w:pPr>
    </w:p>
    <w:p w14:paraId="4A2F6914" w14:textId="4554AC9B" w:rsidR="00650421" w:rsidRPr="00650421" w:rsidRDefault="00650421" w:rsidP="00BE5AA1">
      <w:pPr>
        <w:numPr>
          <w:ilvl w:val="0"/>
          <w:numId w:val="6"/>
        </w:numPr>
        <w:spacing w:after="160" w:line="360" w:lineRule="auto"/>
        <w:ind w:left="714" w:hanging="357"/>
        <w:contextualSpacing/>
        <w:jc w:val="both"/>
        <w:rPr>
          <w:rFonts w:ascii="Arial" w:eastAsiaTheme="minorEastAsia" w:hAnsi="Arial" w:cs="Arial"/>
          <w:sz w:val="20"/>
          <w:szCs w:val="20"/>
          <w:lang w:val="es-ES_tradnl"/>
        </w:rPr>
      </w:pPr>
      <w:r w:rsidRPr="00650421">
        <w:rPr>
          <w:rFonts w:ascii="Arial" w:eastAsiaTheme="minorEastAsia" w:hAnsi="Arial" w:cs="Arial"/>
          <w:bCs/>
          <w:sz w:val="20"/>
          <w:szCs w:val="20"/>
        </w:rPr>
        <w:t xml:space="preserve">Lineamientos de los entes rectores de la administración financiera: para el 2021 se asignaron recursos para becas a funcionarios, sin embargo, la normativa impidió contratar diplomados o cursos de especialización, se limitó el uso de recursos solamente en </w:t>
      </w:r>
      <w:r w:rsidR="007B7CA1" w:rsidRPr="00650421">
        <w:rPr>
          <w:rFonts w:ascii="Arial" w:eastAsiaTheme="minorEastAsia" w:hAnsi="Arial" w:cs="Arial"/>
          <w:bCs/>
          <w:sz w:val="20"/>
          <w:szCs w:val="20"/>
        </w:rPr>
        <w:t>maestrías y</w:t>
      </w:r>
      <w:r w:rsidRPr="00650421">
        <w:rPr>
          <w:rFonts w:ascii="Arial" w:eastAsiaTheme="minorEastAsia" w:hAnsi="Arial" w:cs="Arial"/>
          <w:bCs/>
          <w:sz w:val="20"/>
          <w:szCs w:val="20"/>
        </w:rPr>
        <w:t xml:space="preserve"> posgrados lo cual impidió contrataciones debido al bajo contenido autorizado. A pesar de las consultas a entes superiores no fue posible contar con la autorización para contratar otro tipo de grado no superior a fin de hacer uso del dinero aprobado. </w:t>
      </w:r>
    </w:p>
    <w:p w14:paraId="703F4874" w14:textId="77777777" w:rsidR="00412EB8" w:rsidRDefault="00412EB8" w:rsidP="00412EB8">
      <w:pPr>
        <w:pStyle w:val="Prrafodelista"/>
        <w:rPr>
          <w:rFonts w:ascii="Arial" w:eastAsiaTheme="minorEastAsia" w:hAnsi="Arial" w:cs="Arial"/>
          <w:sz w:val="20"/>
          <w:szCs w:val="20"/>
          <w:lang w:val="es-ES_tradnl"/>
        </w:rPr>
      </w:pPr>
    </w:p>
    <w:p w14:paraId="17DEF186" w14:textId="77777777" w:rsidR="00650421" w:rsidRPr="00650421" w:rsidRDefault="00650421" w:rsidP="00650421">
      <w:pPr>
        <w:spacing w:line="360" w:lineRule="auto"/>
        <w:ind w:left="714"/>
        <w:contextualSpacing/>
        <w:jc w:val="both"/>
        <w:rPr>
          <w:rFonts w:ascii="Arial" w:eastAsiaTheme="minorEastAsia" w:hAnsi="Arial" w:cs="Arial"/>
          <w:sz w:val="20"/>
          <w:szCs w:val="20"/>
          <w:lang w:val="es-ES_tradnl"/>
        </w:rPr>
      </w:pPr>
    </w:p>
    <w:p w14:paraId="5EE45035" w14:textId="77777777" w:rsidR="00650421" w:rsidRPr="00650421" w:rsidRDefault="00650421" w:rsidP="00BE5AA1">
      <w:pPr>
        <w:numPr>
          <w:ilvl w:val="0"/>
          <w:numId w:val="6"/>
        </w:numPr>
        <w:spacing w:after="160" w:line="360" w:lineRule="auto"/>
        <w:ind w:left="714" w:hanging="357"/>
        <w:contextualSpacing/>
        <w:jc w:val="both"/>
        <w:rPr>
          <w:rFonts w:ascii="Arial" w:eastAsiaTheme="minorEastAsia" w:hAnsi="Arial" w:cs="Arial"/>
          <w:sz w:val="20"/>
          <w:szCs w:val="20"/>
          <w:lang w:val="es-ES_tradnl"/>
        </w:rPr>
      </w:pPr>
      <w:r w:rsidRPr="00650421">
        <w:rPr>
          <w:rFonts w:ascii="Arial" w:eastAsiaTheme="minorEastAsia" w:hAnsi="Arial" w:cs="Arial"/>
          <w:bCs/>
          <w:sz w:val="20"/>
          <w:szCs w:val="20"/>
          <w:lang w:val="es-CR"/>
        </w:rPr>
        <w:t xml:space="preserve">Problemas relacionados con los procesos de contratación administrativa: La necesidad de gestionar nuevos procesos de contratación debido imposibilidad de contar con proveedores que suplieran los artículos con las especificaciones requeridas. </w:t>
      </w:r>
    </w:p>
    <w:p w14:paraId="46CB7D75" w14:textId="77777777" w:rsidR="00412EB8" w:rsidRDefault="00412EB8" w:rsidP="00412EB8">
      <w:pPr>
        <w:pStyle w:val="Prrafodelista"/>
        <w:rPr>
          <w:rFonts w:ascii="Arial" w:hAnsi="Arial" w:cs="Arial"/>
          <w:sz w:val="20"/>
          <w:szCs w:val="20"/>
          <w:lang w:val="es-ES_tradnl"/>
        </w:rPr>
      </w:pPr>
    </w:p>
    <w:p w14:paraId="3A26AB46" w14:textId="77777777" w:rsidR="00255476" w:rsidRDefault="00255476" w:rsidP="00255476">
      <w:pPr>
        <w:spacing w:after="120" w:line="360" w:lineRule="auto"/>
        <w:jc w:val="both"/>
        <w:rPr>
          <w:rFonts w:ascii="Arial" w:hAnsi="Arial" w:cs="Arial"/>
          <w:sz w:val="20"/>
          <w:szCs w:val="20"/>
          <w:lang w:val="es-ES_tradnl"/>
        </w:rPr>
      </w:pPr>
    </w:p>
    <w:p w14:paraId="5F56E97A" w14:textId="77777777" w:rsidR="00B32351" w:rsidRDefault="00B32351" w:rsidP="001B456D">
      <w:pPr>
        <w:pStyle w:val="Descripcin"/>
        <w:jc w:val="center"/>
        <w:rPr>
          <w:rFonts w:ascii="Arial" w:eastAsiaTheme="minorEastAsia" w:hAnsi="Arial" w:cs="Arial"/>
          <w:b/>
          <w:sz w:val="20"/>
          <w:szCs w:val="20"/>
          <w:lang w:val="es-CR" w:eastAsia="es-CR"/>
        </w:rPr>
      </w:pPr>
    </w:p>
    <w:p w14:paraId="64057414" w14:textId="2D0D01FB" w:rsidR="001B456D" w:rsidRPr="00AE3D7B" w:rsidRDefault="007B7CA1" w:rsidP="001B456D">
      <w:pPr>
        <w:pStyle w:val="Descripcin"/>
        <w:jc w:val="center"/>
        <w:rPr>
          <w:rFonts w:ascii="Arial" w:hAnsi="Arial" w:cs="Arial"/>
          <w:b/>
          <w:bCs/>
          <w:i w:val="0"/>
          <w:iCs w:val="0"/>
          <w:color w:val="auto"/>
          <w:sz w:val="20"/>
          <w:szCs w:val="20"/>
          <w:lang w:val="es-ES_tradnl"/>
        </w:rPr>
      </w:pPr>
      <w:r w:rsidRPr="007B7CA1">
        <w:rPr>
          <w:rFonts w:ascii="Arial" w:eastAsiaTheme="minorEastAsia" w:hAnsi="Arial" w:cs="Arial"/>
          <w:b/>
          <w:sz w:val="20"/>
          <w:szCs w:val="20"/>
          <w:lang w:val="es-CR" w:eastAsia="es-CR"/>
        </w:rPr>
        <w:lastRenderedPageBreak/>
        <w:t xml:space="preserve"> </w:t>
      </w:r>
      <w:r w:rsidR="001B456D" w:rsidRPr="00AE3D7B">
        <w:rPr>
          <w:rFonts w:ascii="Arial" w:hAnsi="Arial" w:cs="Arial"/>
          <w:b/>
          <w:bCs/>
          <w:i w:val="0"/>
          <w:iCs w:val="0"/>
          <w:color w:val="auto"/>
          <w:sz w:val="20"/>
          <w:szCs w:val="20"/>
        </w:rPr>
        <w:t xml:space="preserve">Cuadro  </w:t>
      </w:r>
      <w:r w:rsidR="001B456D" w:rsidRPr="00AE3D7B">
        <w:rPr>
          <w:rFonts w:ascii="Arial" w:hAnsi="Arial" w:cs="Arial"/>
          <w:b/>
          <w:bCs/>
          <w:i w:val="0"/>
          <w:iCs w:val="0"/>
          <w:color w:val="auto"/>
          <w:sz w:val="20"/>
          <w:szCs w:val="20"/>
        </w:rPr>
        <w:fldChar w:fldCharType="begin"/>
      </w:r>
      <w:r w:rsidR="001B456D" w:rsidRPr="00AE3D7B">
        <w:rPr>
          <w:rFonts w:ascii="Arial" w:hAnsi="Arial" w:cs="Arial"/>
          <w:b/>
          <w:bCs/>
          <w:i w:val="0"/>
          <w:iCs w:val="0"/>
          <w:color w:val="auto"/>
          <w:sz w:val="20"/>
          <w:szCs w:val="20"/>
        </w:rPr>
        <w:instrText xml:space="preserve"> SEQ cuadro_ \* ARABIC </w:instrText>
      </w:r>
      <w:r w:rsidR="001B456D" w:rsidRPr="00AE3D7B">
        <w:rPr>
          <w:rFonts w:ascii="Arial" w:hAnsi="Arial" w:cs="Arial"/>
          <w:b/>
          <w:bCs/>
          <w:i w:val="0"/>
          <w:iCs w:val="0"/>
          <w:color w:val="auto"/>
          <w:sz w:val="20"/>
          <w:szCs w:val="20"/>
        </w:rPr>
        <w:fldChar w:fldCharType="separate"/>
      </w:r>
      <w:r w:rsidR="001B456D">
        <w:rPr>
          <w:rFonts w:ascii="Arial" w:hAnsi="Arial" w:cs="Arial"/>
          <w:b/>
          <w:bCs/>
          <w:i w:val="0"/>
          <w:iCs w:val="0"/>
          <w:noProof/>
          <w:color w:val="auto"/>
          <w:sz w:val="20"/>
          <w:szCs w:val="20"/>
        </w:rPr>
        <w:t>28</w:t>
      </w:r>
      <w:r w:rsidR="001B456D" w:rsidRPr="00AE3D7B">
        <w:rPr>
          <w:rFonts w:ascii="Arial" w:hAnsi="Arial" w:cs="Arial"/>
          <w:b/>
          <w:bCs/>
          <w:i w:val="0"/>
          <w:iCs w:val="0"/>
          <w:color w:val="auto"/>
          <w:sz w:val="20"/>
          <w:szCs w:val="20"/>
        </w:rPr>
        <w:fldChar w:fldCharType="end"/>
      </w:r>
    </w:p>
    <w:p w14:paraId="5E88281B" w14:textId="404303B3" w:rsidR="007B7CA1" w:rsidRPr="007B7CA1" w:rsidRDefault="007B7CA1" w:rsidP="007B7CA1">
      <w:pPr>
        <w:spacing w:after="160" w:line="360" w:lineRule="auto"/>
        <w:ind w:left="55"/>
        <w:contextualSpacing/>
        <w:jc w:val="center"/>
        <w:rPr>
          <w:rFonts w:ascii="Arial" w:eastAsiaTheme="minorEastAsia" w:hAnsi="Arial" w:cs="Arial"/>
          <w:b/>
          <w:bCs/>
          <w:sz w:val="20"/>
          <w:szCs w:val="20"/>
          <w:lang w:val="es-CR" w:eastAsia="es-CR"/>
        </w:rPr>
      </w:pPr>
      <w:r w:rsidRPr="007B7CA1">
        <w:rPr>
          <w:rFonts w:ascii="Arial" w:eastAsiaTheme="minorEastAsia" w:hAnsi="Arial" w:cs="Arial"/>
          <w:b/>
          <w:sz w:val="20"/>
          <w:szCs w:val="20"/>
          <w:lang w:val="es-CR" w:eastAsia="es-CR"/>
        </w:rPr>
        <w:t>Razones de los resultados obtenidos</w:t>
      </w:r>
    </w:p>
    <w:p w14:paraId="28778EEB" w14:textId="77777777" w:rsidR="007B7CA1" w:rsidRPr="007B7CA1" w:rsidRDefault="007B7CA1" w:rsidP="007B7CA1">
      <w:pPr>
        <w:spacing w:before="240" w:after="160" w:line="360" w:lineRule="auto"/>
        <w:jc w:val="center"/>
        <w:rPr>
          <w:rFonts w:ascii="Arial" w:eastAsiaTheme="minorEastAsia" w:hAnsi="Arial" w:cs="Arial"/>
          <w:strike/>
          <w:sz w:val="20"/>
          <w:szCs w:val="20"/>
          <w:highlight w:val="cyan"/>
          <w:lang w:val="es-ES_tradnl"/>
        </w:rPr>
      </w:pPr>
      <w:r w:rsidRPr="007B7CA1">
        <w:rPr>
          <w:rFonts w:ascii="Arial" w:eastAsiaTheme="minorEastAsia" w:hAnsi="Arial" w:cs="Arial"/>
          <w:sz w:val="20"/>
          <w:szCs w:val="20"/>
          <w:lang w:val="es-ES_tradnl"/>
        </w:rPr>
        <w:t>Programa 950 Servicio de Atención y Protección a Víctimas y Testigos</w:t>
      </w:r>
    </w:p>
    <w:p w14:paraId="0DB2918F" w14:textId="77777777" w:rsidR="007B7CA1" w:rsidRDefault="007B7CA1" w:rsidP="007B7CA1">
      <w:pPr>
        <w:spacing w:after="160" w:line="360" w:lineRule="auto"/>
        <w:ind w:left="55"/>
        <w:contextualSpacing/>
        <w:jc w:val="center"/>
        <w:rPr>
          <w:rFonts w:ascii="Arial" w:eastAsiaTheme="minorEastAsia" w:hAnsi="Arial" w:cs="Arial"/>
          <w:sz w:val="20"/>
          <w:szCs w:val="20"/>
          <w:lang w:val="es-ES_tradnl"/>
        </w:rPr>
      </w:pPr>
      <w:r w:rsidRPr="007B7CA1">
        <w:rPr>
          <w:rFonts w:ascii="Arial" w:eastAsiaTheme="minorEastAsia" w:hAnsi="Arial" w:cs="Arial"/>
          <w:sz w:val="20"/>
          <w:szCs w:val="20"/>
          <w:lang w:val="es-CR" w:eastAsia="es-CR"/>
        </w:rPr>
        <w:t xml:space="preserve">Partidas con avance menor al 45,00% al 30/06/2021 y menor al 90,00% </w:t>
      </w:r>
      <w:r w:rsidRPr="007B7CA1">
        <w:rPr>
          <w:rFonts w:ascii="Arial" w:eastAsiaTheme="minorEastAsia" w:hAnsi="Arial" w:cs="Arial"/>
          <w:sz w:val="20"/>
          <w:szCs w:val="20"/>
          <w:lang w:val="es-ES_tradnl"/>
        </w:rPr>
        <w:t>al 31/12/2021</w:t>
      </w:r>
    </w:p>
    <w:p w14:paraId="0FBA6421" w14:textId="77777777" w:rsidR="00840879" w:rsidRPr="007B7CA1" w:rsidRDefault="00840879" w:rsidP="007B7CA1">
      <w:pPr>
        <w:spacing w:after="160" w:line="360" w:lineRule="auto"/>
        <w:ind w:left="55"/>
        <w:contextualSpacing/>
        <w:jc w:val="center"/>
        <w:rPr>
          <w:rFonts w:ascii="Arial" w:eastAsiaTheme="minorEastAsia" w:hAnsi="Arial" w:cs="Arial"/>
          <w:sz w:val="20"/>
          <w:szCs w:val="20"/>
          <w:lang w:val="es-ES_tradnl"/>
        </w:rPr>
      </w:pPr>
    </w:p>
    <w:tbl>
      <w:tblPr>
        <w:tblStyle w:val="Listaclara-nfasis116"/>
        <w:tblW w:w="4950" w:type="pct"/>
        <w:tblLook w:val="00A0" w:firstRow="1" w:lastRow="0" w:firstColumn="1" w:lastColumn="0" w:noHBand="0" w:noVBand="0"/>
      </w:tblPr>
      <w:tblGrid>
        <w:gridCol w:w="1539"/>
        <w:gridCol w:w="2167"/>
        <w:gridCol w:w="2659"/>
        <w:gridCol w:w="2034"/>
      </w:tblGrid>
      <w:tr w:rsidR="007B7CA1" w:rsidRPr="007B7CA1" w14:paraId="1EC24FE2" w14:textId="77777777" w:rsidTr="00764238">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838" w:type="pct"/>
            <w:vAlign w:val="center"/>
          </w:tcPr>
          <w:p w14:paraId="1686D9AB" w14:textId="77777777" w:rsidR="007B7CA1" w:rsidRPr="007B7CA1" w:rsidRDefault="007B7CA1" w:rsidP="007B7CA1">
            <w:pPr>
              <w:spacing w:line="360" w:lineRule="auto"/>
              <w:contextualSpacing/>
              <w:jc w:val="center"/>
              <w:rPr>
                <w:rFonts w:ascii="Arial" w:hAnsi="Arial" w:cs="Arial"/>
                <w:bCs w:val="0"/>
                <w:sz w:val="20"/>
                <w:szCs w:val="20"/>
                <w:lang w:val="es-CR"/>
              </w:rPr>
            </w:pPr>
            <w:r w:rsidRPr="007B7CA1">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1316" w:type="pct"/>
            <w:vAlign w:val="center"/>
          </w:tcPr>
          <w:p w14:paraId="4E5929DF" w14:textId="77777777" w:rsidR="007B7CA1" w:rsidRPr="007B7CA1" w:rsidRDefault="007B7CA1" w:rsidP="007B7CA1">
            <w:pPr>
              <w:spacing w:line="360" w:lineRule="auto"/>
              <w:contextualSpacing/>
              <w:jc w:val="center"/>
              <w:rPr>
                <w:rFonts w:ascii="Arial" w:hAnsi="Arial" w:cs="Arial"/>
                <w:b w:val="0"/>
                <w:bCs w:val="0"/>
                <w:sz w:val="20"/>
                <w:szCs w:val="20"/>
                <w:lang w:val="es-CR"/>
              </w:rPr>
            </w:pPr>
            <w:r w:rsidRPr="007B7CA1">
              <w:rPr>
                <w:rFonts w:ascii="Arial" w:hAnsi="Arial" w:cs="Arial"/>
                <w:sz w:val="20"/>
                <w:szCs w:val="20"/>
                <w:lang w:val="es-CR"/>
              </w:rPr>
              <w:t>Factores</w:t>
            </w:r>
          </w:p>
          <w:p w14:paraId="4DA8250E" w14:textId="77777777" w:rsidR="007B7CA1" w:rsidRPr="007B7CA1" w:rsidRDefault="007B7CA1" w:rsidP="007B7CA1">
            <w:pPr>
              <w:spacing w:line="360" w:lineRule="auto"/>
              <w:contextualSpacing/>
              <w:jc w:val="center"/>
              <w:rPr>
                <w:rFonts w:ascii="Arial" w:hAnsi="Arial" w:cs="Arial"/>
                <w:sz w:val="20"/>
                <w:szCs w:val="20"/>
                <w:lang w:val="es-CR"/>
              </w:rPr>
            </w:pPr>
            <w:r w:rsidRPr="007B7CA1">
              <w:rPr>
                <w:rFonts w:ascii="Arial" w:hAnsi="Arial" w:cs="Arial"/>
                <w:sz w:val="20"/>
                <w:szCs w:val="20"/>
                <w:lang w:val="es-CR"/>
              </w:rPr>
              <w:t xml:space="preserve">al 30/06/2021 </w:t>
            </w:r>
            <w:r w:rsidRPr="007B7CA1">
              <w:rPr>
                <w:rFonts w:ascii="Arial" w:hAnsi="Arial" w:cs="Arial"/>
                <w:sz w:val="20"/>
                <w:szCs w:val="20"/>
                <w:vertAlign w:val="superscript"/>
                <w:lang w:val="es-CR"/>
              </w:rPr>
              <w:t>/1</w:t>
            </w:r>
          </w:p>
        </w:tc>
        <w:tc>
          <w:tcPr>
            <w:tcW w:w="1609" w:type="pct"/>
            <w:vAlign w:val="center"/>
          </w:tcPr>
          <w:p w14:paraId="46A26A25" w14:textId="77777777" w:rsidR="007B7CA1" w:rsidRPr="007B7CA1" w:rsidRDefault="007B7CA1" w:rsidP="007B7CA1">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7B7CA1">
              <w:rPr>
                <w:rFonts w:ascii="Arial" w:hAnsi="Arial" w:cs="Arial"/>
                <w:sz w:val="20"/>
                <w:szCs w:val="20"/>
                <w:lang w:val="es-CR"/>
              </w:rPr>
              <w:t xml:space="preserve">Acciones correctivas </w:t>
            </w:r>
            <w:r w:rsidRPr="007B7CA1">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37" w:type="pct"/>
            <w:vAlign w:val="center"/>
          </w:tcPr>
          <w:p w14:paraId="5FCEE209" w14:textId="77777777" w:rsidR="007B7CA1" w:rsidRPr="007B7CA1" w:rsidRDefault="007B7CA1" w:rsidP="007B7CA1">
            <w:pPr>
              <w:spacing w:line="360" w:lineRule="auto"/>
              <w:contextualSpacing/>
              <w:jc w:val="center"/>
              <w:rPr>
                <w:rFonts w:ascii="Arial" w:hAnsi="Arial" w:cs="Arial"/>
                <w:bCs w:val="0"/>
                <w:sz w:val="20"/>
                <w:szCs w:val="20"/>
                <w:lang w:val="es-CR"/>
              </w:rPr>
            </w:pPr>
            <w:r w:rsidRPr="007B7CA1">
              <w:rPr>
                <w:rFonts w:ascii="Arial" w:hAnsi="Arial" w:cs="Arial"/>
                <w:sz w:val="20"/>
                <w:szCs w:val="20"/>
                <w:lang w:val="es-CR"/>
              </w:rPr>
              <w:t xml:space="preserve">Razones </w:t>
            </w:r>
            <w:r w:rsidRPr="007B7CA1">
              <w:rPr>
                <w:rFonts w:ascii="Arial" w:hAnsi="Arial" w:cs="Arial"/>
                <w:sz w:val="20"/>
                <w:szCs w:val="20"/>
                <w:vertAlign w:val="superscript"/>
                <w:lang w:val="es-CR"/>
              </w:rPr>
              <w:t>/3</w:t>
            </w:r>
          </w:p>
        </w:tc>
      </w:tr>
      <w:tr w:rsidR="007B7CA1" w:rsidRPr="007B7CA1" w14:paraId="3504FA10" w14:textId="77777777" w:rsidTr="0076423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38" w:type="pct"/>
          </w:tcPr>
          <w:p w14:paraId="1F7F5810"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rPr>
              <w:t xml:space="preserve">Servicios </w:t>
            </w:r>
          </w:p>
        </w:tc>
        <w:tc>
          <w:tcPr>
            <w:cnfStyle w:val="000010000000" w:firstRow="0" w:lastRow="0" w:firstColumn="0" w:lastColumn="0" w:oddVBand="1" w:evenVBand="0" w:oddHBand="0" w:evenHBand="0" w:firstRowFirstColumn="0" w:firstRowLastColumn="0" w:lastRowFirstColumn="0" w:lastRowLastColumn="0"/>
            <w:tcW w:w="1316" w:type="pct"/>
          </w:tcPr>
          <w:p w14:paraId="736211CF" w14:textId="77777777" w:rsidR="007B7CA1" w:rsidRPr="007B7CA1" w:rsidRDefault="007B7CA1" w:rsidP="007B7CA1">
            <w:pPr>
              <w:spacing w:line="360" w:lineRule="auto"/>
              <w:rPr>
                <w:rFonts w:ascii="Arial" w:hAnsi="Arial" w:cs="Arial"/>
                <w:sz w:val="20"/>
                <w:szCs w:val="20"/>
                <w:lang w:val="es-CR"/>
              </w:rPr>
            </w:pPr>
            <w:r w:rsidRPr="007B7CA1">
              <w:rPr>
                <w:rFonts w:ascii="Arial" w:hAnsi="Arial" w:cs="Arial"/>
                <w:sz w:val="20"/>
                <w:szCs w:val="20"/>
                <w:lang w:val="es-CR"/>
              </w:rPr>
              <w:t>1.Impacto generado por la emergencia sanitaria por el COVID-19</w:t>
            </w:r>
          </w:p>
          <w:p w14:paraId="145234A7" w14:textId="77777777" w:rsidR="007B7CA1" w:rsidRPr="007B7CA1" w:rsidRDefault="007B7CA1" w:rsidP="007B7CA1">
            <w:pPr>
              <w:spacing w:line="360" w:lineRule="auto"/>
              <w:rPr>
                <w:rFonts w:ascii="Arial" w:hAnsi="Arial" w:cs="Arial"/>
                <w:sz w:val="20"/>
                <w:szCs w:val="20"/>
                <w:lang w:val="es-CR"/>
              </w:rPr>
            </w:pPr>
            <w:r w:rsidRPr="007B7CA1">
              <w:rPr>
                <w:rFonts w:ascii="Arial" w:hAnsi="Arial" w:cs="Arial"/>
                <w:sz w:val="20"/>
                <w:szCs w:val="20"/>
                <w:lang w:val="es-CR"/>
              </w:rPr>
              <w:t>2.Procesos de contratación que se concretan en el segundo semestre</w:t>
            </w:r>
          </w:p>
          <w:p w14:paraId="30BAA749" w14:textId="77777777" w:rsidR="007B7CA1" w:rsidRPr="007B7CA1" w:rsidRDefault="007B7CA1" w:rsidP="007B7CA1">
            <w:pPr>
              <w:spacing w:line="360" w:lineRule="auto"/>
              <w:rPr>
                <w:rFonts w:ascii="Arial" w:hAnsi="Arial" w:cs="Arial"/>
                <w:bCs/>
                <w:sz w:val="20"/>
                <w:szCs w:val="20"/>
                <w:lang w:val="es-CR"/>
              </w:rPr>
            </w:pPr>
            <w:r w:rsidRPr="007B7CA1">
              <w:rPr>
                <w:rFonts w:ascii="Arial" w:hAnsi="Arial" w:cs="Arial"/>
                <w:bCs/>
                <w:sz w:val="20"/>
                <w:szCs w:val="20"/>
                <w:lang w:val="es-CR"/>
              </w:rPr>
              <w:t xml:space="preserve">3.Gastos Imprevisible </w:t>
            </w:r>
          </w:p>
        </w:tc>
        <w:tc>
          <w:tcPr>
            <w:tcW w:w="1609" w:type="pct"/>
          </w:tcPr>
          <w:p w14:paraId="03B07357" w14:textId="77777777" w:rsidR="007B7CA1" w:rsidRPr="007B7CA1" w:rsidRDefault="007B7CA1" w:rsidP="007B7CA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B7CA1">
              <w:rPr>
                <w:rFonts w:ascii="Arial" w:hAnsi="Arial" w:cs="Arial"/>
                <w:bCs/>
                <w:sz w:val="20"/>
                <w:szCs w:val="20"/>
              </w:rPr>
              <w:t xml:space="preserve">1.Atención y seguimiento a las recomendaciones del Ministerio de Salud y lineamientos institucionales para el planeamiento de giras. </w:t>
            </w:r>
          </w:p>
          <w:p w14:paraId="23457F96" w14:textId="77777777" w:rsidR="007B7CA1" w:rsidRPr="007B7CA1" w:rsidRDefault="007B7CA1" w:rsidP="007B7CA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B7CA1">
              <w:rPr>
                <w:rFonts w:ascii="Arial" w:hAnsi="Arial" w:cs="Arial"/>
                <w:bCs/>
                <w:sz w:val="20"/>
                <w:szCs w:val="20"/>
              </w:rPr>
              <w:t xml:space="preserve">2. Gestionar los procesos de contratación y compras de caja chica pendientes a más tardar el 8 de octubre 2021. </w:t>
            </w:r>
          </w:p>
          <w:p w14:paraId="3C3C7310" w14:textId="77777777" w:rsidR="007B7CA1" w:rsidRPr="007B7CA1" w:rsidRDefault="007B7CA1" w:rsidP="007B7CA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B7CA1">
              <w:rPr>
                <w:rFonts w:ascii="Arial" w:hAnsi="Arial" w:cs="Arial"/>
                <w:bCs/>
                <w:sz w:val="20"/>
                <w:szCs w:val="20"/>
              </w:rPr>
              <w:t xml:space="preserve">Continuar con la ejecución de reuniones mensuales de seguimiento.  </w:t>
            </w:r>
          </w:p>
          <w:p w14:paraId="7616F0EB" w14:textId="77777777" w:rsidR="007B7CA1" w:rsidRPr="007B7CA1" w:rsidRDefault="007B7CA1" w:rsidP="007B7CA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B7CA1">
              <w:rPr>
                <w:rFonts w:ascii="Arial" w:hAnsi="Arial" w:cs="Arial"/>
                <w:bCs/>
                <w:sz w:val="20"/>
                <w:szCs w:val="20"/>
              </w:rPr>
              <w:t xml:space="preserve">3.Imprevisibilidad: seguimiento oportuno a las necesidades de las personas usuarias, recordatorio de mediante cápsulas informativas del contenido económico existente. </w:t>
            </w:r>
          </w:p>
          <w:p w14:paraId="69256BD8" w14:textId="77777777"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p>
        </w:tc>
        <w:tc>
          <w:tcPr>
            <w:cnfStyle w:val="000010000000" w:firstRow="0" w:lastRow="0" w:firstColumn="0" w:lastColumn="0" w:oddVBand="1" w:evenVBand="0" w:oddHBand="0" w:evenHBand="0" w:firstRowFirstColumn="0" w:firstRowLastColumn="0" w:lastRowFirstColumn="0" w:lastRowLastColumn="0"/>
            <w:tcW w:w="1237" w:type="pct"/>
          </w:tcPr>
          <w:p w14:paraId="5BA71CB4" w14:textId="1B517FCC"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Los procesos de contratación se tramitaron en plazo, sin embargo, las entregas resultaron lentas por falta de artículos en el país. Se intentó movilizar recursos por medio de </w:t>
            </w:r>
            <w:r w:rsidR="004B030F" w:rsidRPr="007B7CA1">
              <w:rPr>
                <w:rFonts w:ascii="Arial" w:hAnsi="Arial" w:cs="Arial"/>
                <w:bCs/>
                <w:sz w:val="20"/>
                <w:szCs w:val="20"/>
                <w:lang w:val="es-CR"/>
              </w:rPr>
              <w:t>SME,</w:t>
            </w:r>
            <w:r w:rsidRPr="007B7CA1">
              <w:rPr>
                <w:rFonts w:ascii="Arial" w:hAnsi="Arial" w:cs="Arial"/>
                <w:bCs/>
                <w:sz w:val="20"/>
                <w:szCs w:val="20"/>
                <w:lang w:val="es-CR"/>
              </w:rPr>
              <w:t xml:space="preserve"> pero no fue posible debido a las normas no fue posible pasar recursos entre sub partidas. Los gastos imprevisibles dependen de las necesidades de los usuarios.</w:t>
            </w:r>
          </w:p>
        </w:tc>
      </w:tr>
      <w:tr w:rsidR="007B7CA1" w:rsidRPr="007B7CA1" w14:paraId="481E0501" w14:textId="77777777" w:rsidTr="00764238">
        <w:trPr>
          <w:trHeight w:val="312"/>
        </w:trPr>
        <w:tc>
          <w:tcPr>
            <w:cnfStyle w:val="001000000000" w:firstRow="0" w:lastRow="0" w:firstColumn="1" w:lastColumn="0" w:oddVBand="0" w:evenVBand="0" w:oddHBand="0" w:evenHBand="0" w:firstRowFirstColumn="0" w:firstRowLastColumn="0" w:lastRowFirstColumn="0" w:lastRowLastColumn="0"/>
            <w:tcW w:w="838" w:type="pct"/>
          </w:tcPr>
          <w:p w14:paraId="1AF9F508"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rPr>
              <w:lastRenderedPageBreak/>
              <w:t xml:space="preserve">Materiales y Suministros </w:t>
            </w:r>
          </w:p>
        </w:tc>
        <w:tc>
          <w:tcPr>
            <w:cnfStyle w:val="000010000000" w:firstRow="0" w:lastRow="0" w:firstColumn="0" w:lastColumn="0" w:oddVBand="1" w:evenVBand="0" w:oddHBand="0" w:evenHBand="0" w:firstRowFirstColumn="0" w:firstRowLastColumn="0" w:lastRowFirstColumn="0" w:lastRowLastColumn="0"/>
            <w:tcW w:w="1316" w:type="pct"/>
          </w:tcPr>
          <w:p w14:paraId="0239F6BF" w14:textId="77777777" w:rsidR="007B7CA1" w:rsidRPr="007B7CA1" w:rsidRDefault="007B7CA1" w:rsidP="007B7CA1">
            <w:pPr>
              <w:rPr>
                <w:rFonts w:ascii="Arial" w:hAnsi="Arial" w:cs="Arial"/>
                <w:sz w:val="20"/>
                <w:szCs w:val="20"/>
                <w:lang w:val="es-CR"/>
              </w:rPr>
            </w:pPr>
            <w:r w:rsidRPr="007B7CA1">
              <w:rPr>
                <w:rFonts w:ascii="Arial" w:hAnsi="Arial" w:cs="Arial"/>
                <w:sz w:val="20"/>
                <w:szCs w:val="20"/>
                <w:lang w:val="es-CR"/>
              </w:rPr>
              <w:t>1.Procesos de contratación que se concretan en el segundo semestre</w:t>
            </w:r>
          </w:p>
          <w:p w14:paraId="04BBB1C4" w14:textId="77777777" w:rsidR="007B7CA1" w:rsidRPr="007B7CA1" w:rsidRDefault="007B7CA1" w:rsidP="007B7CA1">
            <w:pPr>
              <w:spacing w:line="360" w:lineRule="auto"/>
              <w:rPr>
                <w:rFonts w:ascii="Arial" w:hAnsi="Arial" w:cs="Arial"/>
                <w:bCs/>
                <w:sz w:val="20"/>
                <w:szCs w:val="20"/>
                <w:lang w:val="es-CR"/>
              </w:rPr>
            </w:pPr>
            <w:r w:rsidRPr="007B7CA1">
              <w:rPr>
                <w:rFonts w:ascii="Arial" w:hAnsi="Arial" w:cs="Arial"/>
                <w:bCs/>
                <w:sz w:val="20"/>
                <w:szCs w:val="20"/>
                <w:lang w:val="es-CR"/>
              </w:rPr>
              <w:t>2.Gastos Imprevisible</w:t>
            </w:r>
          </w:p>
        </w:tc>
        <w:tc>
          <w:tcPr>
            <w:tcW w:w="1609" w:type="pct"/>
          </w:tcPr>
          <w:p w14:paraId="2F9F5E69" w14:textId="77777777" w:rsidR="007B7CA1" w:rsidRPr="007B7CA1" w:rsidRDefault="007B7CA1" w:rsidP="007B7CA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B7CA1">
              <w:rPr>
                <w:rFonts w:ascii="Arial" w:hAnsi="Arial" w:cs="Arial"/>
                <w:bCs/>
                <w:sz w:val="20"/>
                <w:szCs w:val="20"/>
              </w:rPr>
              <w:t xml:space="preserve">1.Gestionar los procesos de contratación y compras de caja chica pendientes a más tardar el 8 de octubre 2021. </w:t>
            </w:r>
          </w:p>
          <w:p w14:paraId="0FF5A114" w14:textId="112C0ED0" w:rsidR="007B7CA1" w:rsidRPr="007B7CA1" w:rsidRDefault="007B7CA1" w:rsidP="007B7CA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B7CA1">
              <w:rPr>
                <w:rFonts w:ascii="Arial" w:hAnsi="Arial" w:cs="Arial"/>
                <w:bCs/>
                <w:sz w:val="20"/>
                <w:szCs w:val="20"/>
              </w:rPr>
              <w:t xml:space="preserve">Continuar con la ejecución de reuniones de seguimiento tanto a nivel interno entre jefatura, coordinaciones y equipo administrativo </w:t>
            </w:r>
            <w:r w:rsidRPr="00CC39AB">
              <w:rPr>
                <w:rFonts w:ascii="Arial" w:hAnsi="Arial" w:cs="Arial"/>
                <w:bCs/>
                <w:sz w:val="20"/>
                <w:szCs w:val="20"/>
              </w:rPr>
              <w:t>de OAPVD</w:t>
            </w:r>
            <w:r w:rsidRPr="007B7CA1">
              <w:rPr>
                <w:rFonts w:ascii="Arial" w:hAnsi="Arial" w:cs="Arial"/>
                <w:bCs/>
                <w:sz w:val="20"/>
                <w:szCs w:val="20"/>
              </w:rPr>
              <w:t xml:space="preserve"> como las reuniones de seguimiento con UPROV.</w:t>
            </w:r>
          </w:p>
          <w:p w14:paraId="5D3136AC" w14:textId="2E3186C5" w:rsidR="007B7CA1" w:rsidRPr="007B7CA1" w:rsidRDefault="007B7CA1" w:rsidP="007B7CA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rPr>
              <w:t xml:space="preserve">12) Imprevisibilidad: seguimiento oportuno a las necesidades de las personas usuarias, recordatorio de mediante cápsulas informativas del contenido económico existente. Consultar al personal </w:t>
            </w:r>
            <w:r w:rsidRPr="00CC39AB">
              <w:rPr>
                <w:rFonts w:ascii="Arial" w:hAnsi="Arial" w:cs="Arial"/>
                <w:bCs/>
                <w:sz w:val="20"/>
                <w:szCs w:val="20"/>
              </w:rPr>
              <w:t>coordinador</w:t>
            </w:r>
            <w:r w:rsidRPr="007B7CA1">
              <w:rPr>
                <w:rFonts w:ascii="Arial" w:hAnsi="Arial" w:cs="Arial"/>
                <w:bCs/>
                <w:sz w:val="20"/>
                <w:szCs w:val="20"/>
              </w:rPr>
              <w:t xml:space="preserve"> de programa de Atención y Protección posibles necesidades en casos especiales.</w:t>
            </w:r>
          </w:p>
        </w:tc>
        <w:tc>
          <w:tcPr>
            <w:cnfStyle w:val="000010000000" w:firstRow="0" w:lastRow="0" w:firstColumn="0" w:lastColumn="0" w:oddVBand="1" w:evenVBand="0" w:oddHBand="0" w:evenHBand="0" w:firstRowFirstColumn="0" w:firstRowLastColumn="0" w:lastRowFirstColumn="0" w:lastRowLastColumn="0"/>
            <w:tcW w:w="1237" w:type="pct"/>
          </w:tcPr>
          <w:p w14:paraId="440B41BC" w14:textId="11D2B6A6"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Se gestionaron las </w:t>
            </w:r>
            <w:r w:rsidRPr="00CC39AB">
              <w:rPr>
                <w:rFonts w:ascii="Arial" w:hAnsi="Arial" w:cs="Arial"/>
                <w:bCs/>
                <w:sz w:val="20"/>
                <w:szCs w:val="20"/>
                <w:lang w:val="es-CR"/>
              </w:rPr>
              <w:t>compras,</w:t>
            </w:r>
            <w:r w:rsidRPr="007B7CA1">
              <w:rPr>
                <w:rFonts w:ascii="Arial" w:hAnsi="Arial" w:cs="Arial"/>
                <w:bCs/>
                <w:sz w:val="20"/>
                <w:szCs w:val="20"/>
                <w:lang w:val="es-CR"/>
              </w:rPr>
              <w:t xml:space="preserve"> pero existieron repuestos que no se mantenían en el país lo que impidió contar con la ejecución de reparación de vehículos. </w:t>
            </w:r>
          </w:p>
          <w:p w14:paraId="7EE591F9" w14:textId="77777777"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Lo referente a gastos imprevisibles, depende de la necesidad de personas usuarias  </w:t>
            </w:r>
          </w:p>
        </w:tc>
      </w:tr>
      <w:tr w:rsidR="007B7CA1" w:rsidRPr="007B7CA1" w14:paraId="22422447" w14:textId="77777777" w:rsidTr="0076423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38" w:type="pct"/>
          </w:tcPr>
          <w:p w14:paraId="42B2C178"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1316" w:type="pct"/>
          </w:tcPr>
          <w:p w14:paraId="5EB4E4B8" w14:textId="77777777" w:rsidR="007B7CA1" w:rsidRPr="007B7CA1" w:rsidRDefault="007B7CA1" w:rsidP="007B7CA1">
            <w:pPr>
              <w:spacing w:line="360" w:lineRule="auto"/>
              <w:rPr>
                <w:rFonts w:ascii="Arial" w:hAnsi="Arial" w:cs="Arial"/>
                <w:bCs/>
                <w:sz w:val="20"/>
                <w:szCs w:val="20"/>
                <w:lang w:val="es-CR"/>
              </w:rPr>
            </w:pPr>
            <w:r w:rsidRPr="007B7CA1">
              <w:rPr>
                <w:rFonts w:ascii="Arial" w:hAnsi="Arial" w:cs="Arial"/>
                <w:bCs/>
                <w:sz w:val="20"/>
                <w:szCs w:val="20"/>
                <w:lang w:val="es-CR"/>
              </w:rPr>
              <w:t>Procesos de contratación que se concretan en el segundo semestre</w:t>
            </w:r>
          </w:p>
        </w:tc>
        <w:tc>
          <w:tcPr>
            <w:tcW w:w="1609" w:type="pct"/>
          </w:tcPr>
          <w:p w14:paraId="5CB755A9" w14:textId="77777777" w:rsidR="007B7CA1" w:rsidRPr="007B7CA1" w:rsidRDefault="007B7CA1" w:rsidP="007B7CA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 xml:space="preserve">A-Tramitar compras pendientes en la partida 5 a más tardar el 07 de octubre de 2021 </w:t>
            </w:r>
          </w:p>
          <w:p w14:paraId="005E270A" w14:textId="77777777" w:rsidR="007B7CA1" w:rsidRPr="007B7CA1" w:rsidRDefault="007B7CA1" w:rsidP="007B7CA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 xml:space="preserve">B-Llevar a cabo reuniones bimensuales entre OAPVD </w:t>
            </w:r>
            <w:r w:rsidRPr="007B7CA1">
              <w:rPr>
                <w:rFonts w:ascii="Arial" w:hAnsi="Arial" w:cs="Arial"/>
                <w:bCs/>
                <w:sz w:val="20"/>
                <w:szCs w:val="20"/>
                <w:lang w:val="es-CR"/>
              </w:rPr>
              <w:lastRenderedPageBreak/>
              <w:t xml:space="preserve">y UPROV para dar seguimiento a presupuesto </w:t>
            </w:r>
          </w:p>
          <w:p w14:paraId="370C5AAA" w14:textId="65C717D6"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 xml:space="preserve">C-Dar seguimiento al ingreso de recursos por medio </w:t>
            </w:r>
            <w:r w:rsidRPr="00CC39AB">
              <w:rPr>
                <w:rFonts w:ascii="Arial" w:hAnsi="Arial" w:cs="Arial"/>
                <w:bCs/>
                <w:sz w:val="20"/>
                <w:szCs w:val="20"/>
                <w:lang w:val="es-CR"/>
              </w:rPr>
              <w:t>de modificaciones</w:t>
            </w:r>
            <w:r w:rsidRPr="007B7CA1">
              <w:rPr>
                <w:rFonts w:ascii="Arial" w:hAnsi="Arial" w:cs="Arial"/>
                <w:bCs/>
                <w:sz w:val="20"/>
                <w:szCs w:val="20"/>
                <w:lang w:val="es-CR"/>
              </w:rPr>
              <w:t xml:space="preserve"> presupuestario </w:t>
            </w:r>
          </w:p>
        </w:tc>
        <w:tc>
          <w:tcPr>
            <w:cnfStyle w:val="000010000000" w:firstRow="0" w:lastRow="0" w:firstColumn="0" w:lastColumn="0" w:oddVBand="1" w:evenVBand="0" w:oddHBand="0" w:evenHBand="0" w:firstRowFirstColumn="0" w:firstRowLastColumn="0" w:lastRowFirstColumn="0" w:lastRowLastColumn="0"/>
            <w:tcW w:w="1237" w:type="pct"/>
          </w:tcPr>
          <w:p w14:paraId="6FFEEFCB" w14:textId="2F880188"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lastRenderedPageBreak/>
              <w:t xml:space="preserve">Las partidas se tramitaron antes de finalizar </w:t>
            </w:r>
            <w:r w:rsidRPr="00CC39AB">
              <w:rPr>
                <w:rFonts w:ascii="Arial" w:hAnsi="Arial" w:cs="Arial"/>
                <w:bCs/>
                <w:sz w:val="20"/>
                <w:szCs w:val="20"/>
                <w:lang w:val="es-CR"/>
              </w:rPr>
              <w:t>octubre,</w:t>
            </w:r>
            <w:r w:rsidRPr="007B7CA1">
              <w:rPr>
                <w:rFonts w:ascii="Arial" w:hAnsi="Arial" w:cs="Arial"/>
                <w:bCs/>
                <w:sz w:val="20"/>
                <w:szCs w:val="20"/>
                <w:lang w:val="es-CR"/>
              </w:rPr>
              <w:t xml:space="preserve"> sin embargo, debido al alto costo de </w:t>
            </w:r>
            <w:r w:rsidRPr="007B7CA1">
              <w:rPr>
                <w:rFonts w:ascii="Arial" w:hAnsi="Arial" w:cs="Arial"/>
                <w:bCs/>
                <w:sz w:val="20"/>
                <w:szCs w:val="20"/>
                <w:lang w:val="es-CR"/>
              </w:rPr>
              <w:lastRenderedPageBreak/>
              <w:t xml:space="preserve">adquisición como lo fue compra de vehículos el proceso de contratación resultó más engorroso y se atrasó el ingreso de bienes. Se llevaron a cabo reuniones y se dio el seguimiento a compras, sin embargo, </w:t>
            </w:r>
            <w:r w:rsidRPr="00CC39AB">
              <w:rPr>
                <w:rFonts w:ascii="Arial" w:hAnsi="Arial" w:cs="Arial"/>
                <w:bCs/>
                <w:sz w:val="20"/>
                <w:szCs w:val="20"/>
                <w:lang w:val="es-CR"/>
              </w:rPr>
              <w:t>el atraso en compras obedece</w:t>
            </w:r>
            <w:r w:rsidRPr="007B7CA1">
              <w:rPr>
                <w:rFonts w:ascii="Arial" w:hAnsi="Arial" w:cs="Arial"/>
                <w:bCs/>
                <w:sz w:val="20"/>
                <w:szCs w:val="20"/>
                <w:lang w:val="es-CR"/>
              </w:rPr>
              <w:t xml:space="preserve"> a razones ajenas al despacho. El seguimiento a ingreso de modificaciones se analizó y se tramitaron las </w:t>
            </w:r>
            <w:r w:rsidRPr="00CC39AB">
              <w:rPr>
                <w:rFonts w:ascii="Arial" w:hAnsi="Arial" w:cs="Arial"/>
                <w:bCs/>
                <w:sz w:val="20"/>
                <w:szCs w:val="20"/>
                <w:lang w:val="es-CR"/>
              </w:rPr>
              <w:t>compras, no</w:t>
            </w:r>
            <w:r w:rsidRPr="007B7CA1">
              <w:rPr>
                <w:rFonts w:ascii="Arial" w:hAnsi="Arial" w:cs="Arial"/>
                <w:bCs/>
                <w:sz w:val="20"/>
                <w:szCs w:val="20"/>
                <w:lang w:val="es-CR"/>
              </w:rPr>
              <w:t xml:space="preserve"> obstante, el ingreso de bienes no depende de las posibilidades de los proveedores. </w:t>
            </w:r>
          </w:p>
        </w:tc>
      </w:tr>
      <w:tr w:rsidR="007B7CA1" w:rsidRPr="007B7CA1" w14:paraId="50F2761C" w14:textId="77777777" w:rsidTr="00764238">
        <w:trPr>
          <w:trHeight w:val="3031"/>
        </w:trPr>
        <w:tc>
          <w:tcPr>
            <w:cnfStyle w:val="001000000000" w:firstRow="0" w:lastRow="0" w:firstColumn="1" w:lastColumn="0" w:oddVBand="0" w:evenVBand="0" w:oddHBand="0" w:evenHBand="0" w:firstRowFirstColumn="0" w:firstRowLastColumn="0" w:lastRowFirstColumn="0" w:lastRowLastColumn="0"/>
            <w:tcW w:w="838" w:type="pct"/>
            <w:vAlign w:val="center"/>
          </w:tcPr>
          <w:p w14:paraId="5E767010"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eastAsia="es-MX"/>
              </w:rPr>
              <w:lastRenderedPageBreak/>
              <w:t>Transferencias Corrientes</w:t>
            </w:r>
          </w:p>
        </w:tc>
        <w:tc>
          <w:tcPr>
            <w:cnfStyle w:val="000010000000" w:firstRow="0" w:lastRow="0" w:firstColumn="0" w:lastColumn="0" w:oddVBand="1" w:evenVBand="0" w:oddHBand="0" w:evenHBand="0" w:firstRowFirstColumn="0" w:firstRowLastColumn="0" w:lastRowFirstColumn="0" w:lastRowLastColumn="0"/>
            <w:tcW w:w="1316" w:type="pct"/>
          </w:tcPr>
          <w:p w14:paraId="00B5FF77" w14:textId="77777777" w:rsidR="007B7CA1" w:rsidRPr="007B7CA1" w:rsidRDefault="007B7CA1" w:rsidP="007B7CA1">
            <w:pPr>
              <w:jc w:val="both"/>
              <w:rPr>
                <w:rFonts w:ascii="Arial" w:hAnsi="Arial" w:cs="Arial"/>
                <w:bCs/>
                <w:sz w:val="20"/>
                <w:szCs w:val="20"/>
                <w:lang w:val="es-CR"/>
              </w:rPr>
            </w:pPr>
            <w:r w:rsidRPr="007B7CA1">
              <w:rPr>
                <w:rFonts w:ascii="Arial" w:hAnsi="Arial" w:cs="Arial"/>
                <w:sz w:val="20"/>
                <w:szCs w:val="20"/>
                <w:lang w:val="es-CR"/>
              </w:rPr>
              <w:t>1.Procesos de contratación que se concretan en el segundo semestre.</w:t>
            </w:r>
          </w:p>
          <w:p w14:paraId="6116300D" w14:textId="77777777" w:rsidR="007B7CA1" w:rsidRPr="007B7CA1" w:rsidRDefault="007B7CA1" w:rsidP="007B7CA1">
            <w:pPr>
              <w:spacing w:line="360" w:lineRule="auto"/>
              <w:rPr>
                <w:rFonts w:ascii="Arial" w:hAnsi="Arial" w:cs="Arial"/>
                <w:bCs/>
                <w:sz w:val="20"/>
                <w:szCs w:val="20"/>
                <w:lang w:val="es-CR"/>
              </w:rPr>
            </w:pPr>
          </w:p>
        </w:tc>
        <w:tc>
          <w:tcPr>
            <w:tcW w:w="1609" w:type="pct"/>
          </w:tcPr>
          <w:p w14:paraId="2B3E48ED" w14:textId="77F58EAB" w:rsidR="007B7CA1" w:rsidRPr="007B7CA1" w:rsidRDefault="007B7CA1" w:rsidP="007B7CA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1.</w:t>
            </w:r>
            <w:r w:rsidR="00CC39AB" w:rsidRPr="007B7CA1">
              <w:rPr>
                <w:rFonts w:ascii="Arial" w:hAnsi="Arial" w:cs="Arial"/>
                <w:bCs/>
                <w:sz w:val="20"/>
                <w:szCs w:val="20"/>
                <w:lang w:val="es-CR"/>
              </w:rPr>
              <w:t>Brindar seguimiento</w:t>
            </w:r>
            <w:r w:rsidRPr="007B7CA1">
              <w:rPr>
                <w:rFonts w:ascii="Arial" w:hAnsi="Arial" w:cs="Arial"/>
                <w:bCs/>
                <w:sz w:val="20"/>
                <w:szCs w:val="20"/>
                <w:lang w:val="es-CR"/>
              </w:rPr>
              <w:t xml:space="preserve"> a los procesos pendientes, consultando Financiero Contable el estado de pagos en proceso. </w:t>
            </w:r>
          </w:p>
        </w:tc>
        <w:tc>
          <w:tcPr>
            <w:cnfStyle w:val="000010000000" w:firstRow="0" w:lastRow="0" w:firstColumn="0" w:lastColumn="0" w:oddVBand="1" w:evenVBand="0" w:oddHBand="0" w:evenHBand="0" w:firstRowFirstColumn="0" w:firstRowLastColumn="0" w:lastRowFirstColumn="0" w:lastRowLastColumn="0"/>
            <w:tcW w:w="1237" w:type="pct"/>
          </w:tcPr>
          <w:p w14:paraId="0F80881D" w14:textId="32887F13"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Se brindó </w:t>
            </w:r>
            <w:r w:rsidR="00CC39AB" w:rsidRPr="007B7CA1">
              <w:rPr>
                <w:rFonts w:ascii="Arial" w:hAnsi="Arial" w:cs="Arial"/>
                <w:bCs/>
                <w:sz w:val="20"/>
                <w:szCs w:val="20"/>
                <w:lang w:val="es-CR"/>
              </w:rPr>
              <w:t>seguimiento,</w:t>
            </w:r>
            <w:r w:rsidRPr="007B7CA1">
              <w:rPr>
                <w:rFonts w:ascii="Arial" w:hAnsi="Arial" w:cs="Arial"/>
                <w:bCs/>
                <w:sz w:val="20"/>
                <w:szCs w:val="20"/>
                <w:lang w:val="es-CR"/>
              </w:rPr>
              <w:t xml:space="preserve"> sin embargo, no fue posible llevar a cabo adjudicación de becas para funcionarios/as por el alto costo económico de las mismas. </w:t>
            </w:r>
          </w:p>
        </w:tc>
      </w:tr>
      <w:tr w:rsidR="007B7CA1" w:rsidRPr="007B7CA1" w14:paraId="50D39EE3" w14:textId="77777777" w:rsidTr="0076423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38" w:type="pct"/>
          </w:tcPr>
          <w:p w14:paraId="00A9E525"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rPr>
              <w:t xml:space="preserve">Gastos Confidenciales </w:t>
            </w:r>
          </w:p>
        </w:tc>
        <w:tc>
          <w:tcPr>
            <w:cnfStyle w:val="000010000000" w:firstRow="0" w:lastRow="0" w:firstColumn="0" w:lastColumn="0" w:oddVBand="1" w:evenVBand="0" w:oddHBand="0" w:evenHBand="0" w:firstRowFirstColumn="0" w:firstRowLastColumn="0" w:lastRowFirstColumn="0" w:lastRowLastColumn="0"/>
            <w:tcW w:w="1316" w:type="pct"/>
          </w:tcPr>
          <w:p w14:paraId="10C86F2C" w14:textId="77777777" w:rsidR="007B7CA1" w:rsidRPr="007B7CA1" w:rsidRDefault="007B7CA1" w:rsidP="007B7CA1">
            <w:pPr>
              <w:jc w:val="both"/>
              <w:rPr>
                <w:rFonts w:ascii="Arial" w:hAnsi="Arial" w:cs="Arial"/>
                <w:bCs/>
                <w:sz w:val="20"/>
                <w:szCs w:val="20"/>
                <w:lang w:val="es-CR"/>
              </w:rPr>
            </w:pPr>
            <w:r w:rsidRPr="007B7CA1">
              <w:rPr>
                <w:rFonts w:ascii="Arial" w:hAnsi="Arial" w:cs="Arial"/>
                <w:sz w:val="20"/>
                <w:szCs w:val="20"/>
                <w:lang w:val="es-CR"/>
              </w:rPr>
              <w:t xml:space="preserve">1.Metas cuyo cumplimiento se planifica concretar en el segundo semestre. </w:t>
            </w:r>
          </w:p>
          <w:p w14:paraId="745D9D56" w14:textId="77777777" w:rsidR="007B7CA1" w:rsidRPr="007B7CA1" w:rsidRDefault="007B7CA1" w:rsidP="007B7CA1">
            <w:pPr>
              <w:spacing w:line="360" w:lineRule="auto"/>
              <w:rPr>
                <w:rFonts w:ascii="Arial" w:hAnsi="Arial" w:cs="Arial"/>
                <w:bCs/>
                <w:sz w:val="20"/>
                <w:szCs w:val="20"/>
                <w:lang w:val="es-CR"/>
              </w:rPr>
            </w:pPr>
          </w:p>
        </w:tc>
        <w:tc>
          <w:tcPr>
            <w:tcW w:w="1609" w:type="pct"/>
          </w:tcPr>
          <w:p w14:paraId="4669D3FB" w14:textId="77777777"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1.Dar seguimiento a los procesos pendientes de trámite. Definir estrategias entre Jefatura de la OAPVD y UPROV a fin de contribuir a la ejecución de recursos</w:t>
            </w:r>
          </w:p>
        </w:tc>
        <w:tc>
          <w:tcPr>
            <w:cnfStyle w:val="000010000000" w:firstRow="0" w:lastRow="0" w:firstColumn="0" w:lastColumn="0" w:oddVBand="1" w:evenVBand="0" w:oddHBand="0" w:evenHBand="0" w:firstRowFirstColumn="0" w:firstRowLastColumn="0" w:lastRowFirstColumn="0" w:lastRowLastColumn="0"/>
            <w:tcW w:w="1237" w:type="pct"/>
          </w:tcPr>
          <w:p w14:paraId="64F61D6C" w14:textId="396722D6"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Se analizó el tema en reuniones bimensuales entre OAPVD y </w:t>
            </w:r>
            <w:r w:rsidR="004B030F" w:rsidRPr="007B7CA1">
              <w:rPr>
                <w:rFonts w:ascii="Arial" w:hAnsi="Arial" w:cs="Arial"/>
                <w:bCs/>
                <w:sz w:val="20"/>
                <w:szCs w:val="20"/>
                <w:lang w:val="es-CR"/>
              </w:rPr>
              <w:t>UPROV,</w:t>
            </w:r>
            <w:r w:rsidRPr="007B7CA1">
              <w:rPr>
                <w:rFonts w:ascii="Arial" w:hAnsi="Arial" w:cs="Arial"/>
                <w:bCs/>
                <w:sz w:val="20"/>
                <w:szCs w:val="20"/>
                <w:lang w:val="es-CR"/>
              </w:rPr>
              <w:t xml:space="preserve"> sin embargo, el uso de recurso depende de la necesidad de víctimas. </w:t>
            </w:r>
          </w:p>
        </w:tc>
      </w:tr>
    </w:tbl>
    <w:p w14:paraId="39598ED0" w14:textId="77777777" w:rsidR="007B7CA1" w:rsidRPr="007B7CA1" w:rsidRDefault="007B7CA1" w:rsidP="007B7CA1">
      <w:pPr>
        <w:spacing w:after="160" w:line="259" w:lineRule="auto"/>
        <w:contextualSpacing/>
        <w:jc w:val="both"/>
        <w:rPr>
          <w:rFonts w:ascii="Arial" w:eastAsiaTheme="minorEastAsia" w:hAnsi="Arial" w:cs="Arial"/>
          <w:bCs/>
          <w:sz w:val="16"/>
          <w:szCs w:val="16"/>
          <w:lang w:val="es-CR"/>
        </w:rPr>
      </w:pPr>
      <w:r w:rsidRPr="007B7CA1">
        <w:rPr>
          <w:rFonts w:ascii="Arial" w:eastAsiaTheme="minorEastAsia" w:hAnsi="Arial" w:cs="Arial"/>
          <w:b/>
          <w:sz w:val="16"/>
          <w:szCs w:val="16"/>
          <w:lang w:val="es-CR"/>
        </w:rPr>
        <w:t>Fuente</w:t>
      </w:r>
      <w:r w:rsidRPr="007B7CA1">
        <w:rPr>
          <w:rFonts w:ascii="Arial" w:eastAsiaTheme="minorEastAsia" w:hAnsi="Arial" w:cs="Arial"/>
          <w:sz w:val="16"/>
          <w:szCs w:val="16"/>
          <w:lang w:val="es-CR"/>
        </w:rPr>
        <w:t xml:space="preserve">: </w:t>
      </w:r>
      <w:r w:rsidRPr="007B7CA1">
        <w:rPr>
          <w:rFonts w:ascii="Arial" w:eastAsiaTheme="minorEastAsia" w:hAnsi="Arial" w:cs="Arial"/>
          <w:sz w:val="16"/>
          <w:szCs w:val="20"/>
          <w:lang w:val="es-ES_tradnl"/>
        </w:rPr>
        <w:t>Sistema Módulo de Poderes al 31 de diciembre 2021</w:t>
      </w:r>
    </w:p>
    <w:p w14:paraId="3BC88440" w14:textId="77777777" w:rsidR="007B7CA1" w:rsidRPr="007B7CA1" w:rsidRDefault="007B7CA1" w:rsidP="007B7CA1">
      <w:pPr>
        <w:spacing w:after="160" w:line="259" w:lineRule="auto"/>
        <w:contextualSpacing/>
        <w:jc w:val="both"/>
        <w:rPr>
          <w:rFonts w:ascii="Arial" w:eastAsiaTheme="minorEastAsia" w:hAnsi="Arial" w:cs="Arial"/>
          <w:sz w:val="16"/>
          <w:szCs w:val="16"/>
          <w:lang w:val="es-CR"/>
        </w:rPr>
      </w:pPr>
      <w:r w:rsidRPr="007B7CA1">
        <w:rPr>
          <w:rFonts w:ascii="Arial" w:eastAsiaTheme="minorEastAsia" w:hAnsi="Arial" w:cs="Arial"/>
          <w:sz w:val="16"/>
          <w:szCs w:val="16"/>
          <w:lang w:val="es-CR"/>
        </w:rPr>
        <w:t>/1</w:t>
      </w:r>
      <w:r w:rsidRPr="007B7CA1">
        <w:rPr>
          <w:rFonts w:ascii="Arial" w:eastAsiaTheme="minorEastAsia" w:hAnsi="Arial" w:cs="Arial"/>
          <w:b/>
          <w:sz w:val="16"/>
          <w:szCs w:val="16"/>
          <w:lang w:val="es-CR"/>
        </w:rPr>
        <w:t xml:space="preserve"> </w:t>
      </w:r>
      <w:r w:rsidRPr="007B7CA1">
        <w:rPr>
          <w:rFonts w:ascii="Arial" w:eastAsiaTheme="minorEastAsia" w:hAnsi="Arial" w:cs="Arial"/>
          <w:sz w:val="16"/>
          <w:szCs w:val="16"/>
          <w:lang w:val="es-CR"/>
        </w:rPr>
        <w:t>Indicar la descripción del factor señalado en el informe de seguimiento semestral.</w:t>
      </w:r>
    </w:p>
    <w:p w14:paraId="1686580E" w14:textId="77777777" w:rsidR="007B7CA1" w:rsidRPr="007B7CA1" w:rsidRDefault="007B7CA1" w:rsidP="007B7CA1">
      <w:pPr>
        <w:spacing w:after="160" w:line="259" w:lineRule="auto"/>
        <w:contextualSpacing/>
        <w:jc w:val="both"/>
        <w:rPr>
          <w:rFonts w:ascii="Arial" w:eastAsiaTheme="minorEastAsia" w:hAnsi="Arial" w:cs="Arial"/>
          <w:sz w:val="16"/>
          <w:szCs w:val="16"/>
          <w:lang w:val="es-CR"/>
        </w:rPr>
      </w:pPr>
      <w:r w:rsidRPr="007B7CA1">
        <w:rPr>
          <w:rFonts w:ascii="Arial" w:eastAsiaTheme="minorEastAsia" w:hAnsi="Arial" w:cs="Arial"/>
          <w:sz w:val="16"/>
          <w:szCs w:val="16"/>
          <w:lang w:val="es-CR"/>
        </w:rPr>
        <w:t>/2 Se refieren a las acciones propuestas en el informe de seguimiento semestral.</w:t>
      </w:r>
    </w:p>
    <w:p w14:paraId="3AECCB88" w14:textId="77777777" w:rsidR="007B7CA1" w:rsidRPr="007B7CA1" w:rsidRDefault="007B7CA1" w:rsidP="007B7CA1">
      <w:pPr>
        <w:spacing w:after="160" w:line="259" w:lineRule="auto"/>
        <w:contextualSpacing/>
        <w:jc w:val="both"/>
        <w:rPr>
          <w:rFonts w:ascii="Arial" w:eastAsiaTheme="minorEastAsia" w:hAnsi="Arial" w:cs="Arial"/>
          <w:sz w:val="16"/>
          <w:szCs w:val="16"/>
          <w:lang w:val="es-CR"/>
        </w:rPr>
      </w:pPr>
      <w:r w:rsidRPr="007B7CA1">
        <w:rPr>
          <w:rFonts w:ascii="Arial" w:eastAsiaTheme="minorEastAsia" w:hAnsi="Arial" w:cs="Arial"/>
          <w:sz w:val="16"/>
          <w:szCs w:val="16"/>
          <w:lang w:val="es-CR"/>
        </w:rPr>
        <w:t>/3</w:t>
      </w:r>
      <w:r w:rsidRPr="007B7CA1">
        <w:rPr>
          <w:rFonts w:ascii="Arial" w:eastAsiaTheme="minorEastAsia" w:hAnsi="Arial" w:cs="Arial"/>
          <w:b/>
          <w:sz w:val="16"/>
          <w:szCs w:val="16"/>
          <w:lang w:val="es-CR"/>
        </w:rPr>
        <w:t xml:space="preserve"> </w:t>
      </w:r>
      <w:r w:rsidRPr="007B7CA1">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2948EDF5" w14:textId="77777777" w:rsidR="007B7CA1" w:rsidRPr="007B7CA1" w:rsidRDefault="007B7CA1" w:rsidP="007B7CA1">
      <w:pPr>
        <w:spacing w:after="160" w:line="259" w:lineRule="auto"/>
        <w:contextualSpacing/>
        <w:jc w:val="both"/>
        <w:rPr>
          <w:rFonts w:ascii="Arial" w:eastAsiaTheme="minorEastAsia" w:hAnsi="Arial" w:cs="Arial"/>
          <w:b/>
          <w:sz w:val="16"/>
          <w:szCs w:val="16"/>
          <w:lang w:val="es-CR"/>
        </w:rPr>
      </w:pPr>
    </w:p>
    <w:p w14:paraId="504A526F" w14:textId="77777777" w:rsidR="007B7CA1" w:rsidRPr="007B7CA1" w:rsidRDefault="007B7CA1" w:rsidP="007B7CA1">
      <w:pPr>
        <w:spacing w:after="160" w:line="360" w:lineRule="auto"/>
        <w:jc w:val="both"/>
        <w:rPr>
          <w:rFonts w:ascii="Arial" w:eastAsiaTheme="minorEastAsia" w:hAnsi="Arial" w:cs="Arial"/>
          <w:sz w:val="20"/>
          <w:szCs w:val="20"/>
          <w:lang w:val="es-ES_tradnl"/>
        </w:rPr>
      </w:pPr>
    </w:p>
    <w:p w14:paraId="6255A225" w14:textId="77777777" w:rsidR="00B32351" w:rsidRDefault="00B32351" w:rsidP="001B456D">
      <w:pPr>
        <w:pStyle w:val="Descripcin"/>
        <w:jc w:val="center"/>
        <w:rPr>
          <w:rFonts w:ascii="Arial" w:eastAsiaTheme="minorEastAsia" w:hAnsi="Arial" w:cs="Arial"/>
          <w:sz w:val="20"/>
          <w:szCs w:val="20"/>
          <w:lang w:val="es-CR" w:eastAsia="es-CR"/>
        </w:rPr>
      </w:pPr>
    </w:p>
    <w:p w14:paraId="144B6D3F" w14:textId="77777777" w:rsidR="00B32351" w:rsidRDefault="00B32351" w:rsidP="001B456D">
      <w:pPr>
        <w:pStyle w:val="Descripcin"/>
        <w:jc w:val="center"/>
        <w:rPr>
          <w:rFonts w:ascii="Arial" w:eastAsiaTheme="minorEastAsia" w:hAnsi="Arial" w:cs="Arial"/>
          <w:sz w:val="20"/>
          <w:szCs w:val="20"/>
          <w:lang w:val="es-CR" w:eastAsia="es-CR"/>
        </w:rPr>
      </w:pPr>
    </w:p>
    <w:p w14:paraId="2D5A8885" w14:textId="77777777" w:rsidR="00B32351" w:rsidRDefault="00B32351" w:rsidP="001B456D">
      <w:pPr>
        <w:pStyle w:val="Descripcin"/>
        <w:jc w:val="center"/>
        <w:rPr>
          <w:rFonts w:ascii="Arial" w:eastAsiaTheme="minorEastAsia" w:hAnsi="Arial" w:cs="Arial"/>
          <w:sz w:val="20"/>
          <w:szCs w:val="20"/>
          <w:lang w:val="es-CR" w:eastAsia="es-CR"/>
        </w:rPr>
      </w:pPr>
    </w:p>
    <w:p w14:paraId="3A934975" w14:textId="77777777" w:rsidR="00B32351" w:rsidRDefault="00B32351" w:rsidP="001B456D">
      <w:pPr>
        <w:pStyle w:val="Descripcin"/>
        <w:jc w:val="center"/>
        <w:rPr>
          <w:rFonts w:ascii="Arial" w:eastAsiaTheme="minorEastAsia" w:hAnsi="Arial" w:cs="Arial"/>
          <w:sz w:val="20"/>
          <w:szCs w:val="20"/>
          <w:lang w:val="es-CR" w:eastAsia="es-CR"/>
        </w:rPr>
      </w:pPr>
    </w:p>
    <w:p w14:paraId="2AB17BB3" w14:textId="77777777" w:rsidR="00B32351" w:rsidRDefault="00B32351" w:rsidP="001B456D">
      <w:pPr>
        <w:pStyle w:val="Descripcin"/>
        <w:jc w:val="center"/>
        <w:rPr>
          <w:rFonts w:ascii="Arial" w:eastAsiaTheme="minorEastAsia" w:hAnsi="Arial" w:cs="Arial"/>
          <w:sz w:val="20"/>
          <w:szCs w:val="20"/>
          <w:lang w:val="es-CR" w:eastAsia="es-CR"/>
        </w:rPr>
      </w:pPr>
    </w:p>
    <w:p w14:paraId="2DCC8AE2" w14:textId="77777777" w:rsidR="00B32351" w:rsidRDefault="00B32351" w:rsidP="001B456D">
      <w:pPr>
        <w:pStyle w:val="Descripcin"/>
        <w:jc w:val="center"/>
        <w:rPr>
          <w:rFonts w:ascii="Arial" w:eastAsiaTheme="minorEastAsia" w:hAnsi="Arial" w:cs="Arial"/>
          <w:sz w:val="20"/>
          <w:szCs w:val="20"/>
          <w:lang w:val="es-CR" w:eastAsia="es-CR"/>
        </w:rPr>
      </w:pPr>
    </w:p>
    <w:p w14:paraId="558EDE16" w14:textId="77777777" w:rsidR="00B32351" w:rsidRDefault="00B32351" w:rsidP="001B456D">
      <w:pPr>
        <w:pStyle w:val="Descripcin"/>
        <w:jc w:val="center"/>
        <w:rPr>
          <w:rFonts w:ascii="Arial" w:eastAsiaTheme="minorEastAsia" w:hAnsi="Arial" w:cs="Arial"/>
          <w:sz w:val="20"/>
          <w:szCs w:val="20"/>
          <w:lang w:val="es-CR" w:eastAsia="es-CR"/>
        </w:rPr>
      </w:pPr>
    </w:p>
    <w:p w14:paraId="21521CC2" w14:textId="77777777" w:rsidR="00B32351" w:rsidRDefault="00B32351" w:rsidP="001B456D">
      <w:pPr>
        <w:pStyle w:val="Descripcin"/>
        <w:jc w:val="center"/>
        <w:rPr>
          <w:rFonts w:ascii="Arial" w:eastAsiaTheme="minorEastAsia" w:hAnsi="Arial" w:cs="Arial"/>
          <w:sz w:val="20"/>
          <w:szCs w:val="20"/>
          <w:lang w:val="es-CR" w:eastAsia="es-CR"/>
        </w:rPr>
      </w:pPr>
    </w:p>
    <w:p w14:paraId="57F0CD3A" w14:textId="64EADDF6" w:rsidR="001B456D" w:rsidRPr="00AE3D7B" w:rsidRDefault="007B7CA1" w:rsidP="001B456D">
      <w:pPr>
        <w:pStyle w:val="Descripcin"/>
        <w:jc w:val="center"/>
        <w:rPr>
          <w:rFonts w:ascii="Arial" w:hAnsi="Arial" w:cs="Arial"/>
          <w:b/>
          <w:bCs/>
          <w:i w:val="0"/>
          <w:iCs w:val="0"/>
          <w:color w:val="auto"/>
          <w:sz w:val="20"/>
          <w:szCs w:val="20"/>
          <w:lang w:val="es-ES_tradnl"/>
        </w:rPr>
      </w:pPr>
      <w:r w:rsidRPr="007B7CA1">
        <w:rPr>
          <w:rFonts w:ascii="Arial" w:eastAsiaTheme="minorEastAsia" w:hAnsi="Arial" w:cs="Arial"/>
          <w:sz w:val="20"/>
          <w:szCs w:val="20"/>
          <w:lang w:val="es-CR" w:eastAsia="es-CR"/>
        </w:rPr>
        <w:lastRenderedPageBreak/>
        <w:t xml:space="preserve"> </w:t>
      </w:r>
      <w:r w:rsidR="001B456D" w:rsidRPr="00AE3D7B">
        <w:rPr>
          <w:rFonts w:ascii="Arial" w:hAnsi="Arial" w:cs="Arial"/>
          <w:b/>
          <w:bCs/>
          <w:i w:val="0"/>
          <w:iCs w:val="0"/>
          <w:color w:val="auto"/>
          <w:sz w:val="20"/>
          <w:szCs w:val="20"/>
        </w:rPr>
        <w:t xml:space="preserve">Cuadro  </w:t>
      </w:r>
      <w:r w:rsidR="001B456D" w:rsidRPr="00AE3D7B">
        <w:rPr>
          <w:rFonts w:ascii="Arial" w:hAnsi="Arial" w:cs="Arial"/>
          <w:b/>
          <w:bCs/>
          <w:i w:val="0"/>
          <w:iCs w:val="0"/>
          <w:color w:val="auto"/>
          <w:sz w:val="20"/>
          <w:szCs w:val="20"/>
        </w:rPr>
        <w:fldChar w:fldCharType="begin"/>
      </w:r>
      <w:r w:rsidR="001B456D" w:rsidRPr="00AE3D7B">
        <w:rPr>
          <w:rFonts w:ascii="Arial" w:hAnsi="Arial" w:cs="Arial"/>
          <w:b/>
          <w:bCs/>
          <w:i w:val="0"/>
          <w:iCs w:val="0"/>
          <w:color w:val="auto"/>
          <w:sz w:val="20"/>
          <w:szCs w:val="20"/>
        </w:rPr>
        <w:instrText xml:space="preserve"> SEQ cuadro_ \* ARABIC </w:instrText>
      </w:r>
      <w:r w:rsidR="001B456D" w:rsidRPr="00AE3D7B">
        <w:rPr>
          <w:rFonts w:ascii="Arial" w:hAnsi="Arial" w:cs="Arial"/>
          <w:b/>
          <w:bCs/>
          <w:i w:val="0"/>
          <w:iCs w:val="0"/>
          <w:color w:val="auto"/>
          <w:sz w:val="20"/>
          <w:szCs w:val="20"/>
        </w:rPr>
        <w:fldChar w:fldCharType="separate"/>
      </w:r>
      <w:r w:rsidR="001B456D">
        <w:rPr>
          <w:rFonts w:ascii="Arial" w:hAnsi="Arial" w:cs="Arial"/>
          <w:b/>
          <w:bCs/>
          <w:i w:val="0"/>
          <w:iCs w:val="0"/>
          <w:noProof/>
          <w:color w:val="auto"/>
          <w:sz w:val="20"/>
          <w:szCs w:val="20"/>
        </w:rPr>
        <w:t>29</w:t>
      </w:r>
      <w:r w:rsidR="001B456D" w:rsidRPr="00AE3D7B">
        <w:rPr>
          <w:rFonts w:ascii="Arial" w:hAnsi="Arial" w:cs="Arial"/>
          <w:b/>
          <w:bCs/>
          <w:i w:val="0"/>
          <w:iCs w:val="0"/>
          <w:color w:val="auto"/>
          <w:sz w:val="20"/>
          <w:szCs w:val="20"/>
        </w:rPr>
        <w:fldChar w:fldCharType="end"/>
      </w:r>
    </w:p>
    <w:p w14:paraId="4E494929" w14:textId="4BFE063B" w:rsidR="007B7CA1" w:rsidRPr="007B7CA1" w:rsidRDefault="007B7CA1" w:rsidP="007B7CA1">
      <w:pPr>
        <w:spacing w:after="160" w:line="259" w:lineRule="auto"/>
        <w:ind w:left="55"/>
        <w:contextualSpacing/>
        <w:jc w:val="center"/>
        <w:rPr>
          <w:rFonts w:ascii="Arial" w:eastAsiaTheme="minorEastAsia" w:hAnsi="Arial" w:cs="Arial"/>
          <w:b/>
          <w:bCs/>
          <w:sz w:val="20"/>
          <w:szCs w:val="20"/>
          <w:lang w:val="es-CR" w:eastAsia="es-CR"/>
        </w:rPr>
      </w:pPr>
      <w:r w:rsidRPr="007B7CA1">
        <w:rPr>
          <w:rFonts w:ascii="Arial" w:eastAsiaTheme="minorEastAsia" w:hAnsi="Arial" w:cs="Arial"/>
          <w:b/>
          <w:sz w:val="20"/>
          <w:szCs w:val="20"/>
          <w:lang w:val="es-CR" w:eastAsia="es-CR"/>
        </w:rPr>
        <w:t>Acciones correctivas y fechas de implementación</w:t>
      </w:r>
    </w:p>
    <w:p w14:paraId="5BC3B939" w14:textId="77777777" w:rsidR="00CA6EB7" w:rsidRDefault="007B7CA1" w:rsidP="00CA6EB7">
      <w:pPr>
        <w:spacing w:before="240" w:after="160" w:line="360" w:lineRule="auto"/>
        <w:jc w:val="center"/>
        <w:rPr>
          <w:rFonts w:ascii="Arial" w:eastAsiaTheme="minorEastAsia" w:hAnsi="Arial" w:cs="Arial"/>
          <w:strike/>
          <w:sz w:val="20"/>
          <w:szCs w:val="20"/>
          <w:lang w:val="es-ES_tradnl"/>
        </w:rPr>
      </w:pPr>
      <w:r w:rsidRPr="007B7CA1">
        <w:rPr>
          <w:rFonts w:ascii="Arial" w:eastAsiaTheme="minorEastAsia" w:hAnsi="Arial" w:cs="Arial"/>
          <w:sz w:val="20"/>
          <w:szCs w:val="20"/>
          <w:lang w:val="es-ES_tradnl"/>
        </w:rPr>
        <w:t>Programa 950 Servicio de Atención y Protección a Víctimas y Testigos</w:t>
      </w:r>
    </w:p>
    <w:p w14:paraId="4C80317A" w14:textId="14495161" w:rsidR="007B7CA1" w:rsidRPr="007B7CA1" w:rsidRDefault="007B7CA1" w:rsidP="00CA6EB7">
      <w:pPr>
        <w:spacing w:before="240" w:after="160" w:line="360" w:lineRule="auto"/>
        <w:jc w:val="center"/>
        <w:rPr>
          <w:rFonts w:ascii="Arial" w:eastAsiaTheme="minorEastAsia" w:hAnsi="Arial" w:cs="Arial"/>
          <w:strike/>
          <w:sz w:val="20"/>
          <w:szCs w:val="20"/>
          <w:highlight w:val="cyan"/>
          <w:lang w:val="es-ES_tradnl"/>
        </w:rPr>
      </w:pPr>
      <w:r w:rsidRPr="007B7CA1">
        <w:rPr>
          <w:rFonts w:ascii="Arial" w:eastAsiaTheme="minorEastAsia" w:hAnsi="Arial" w:cs="Arial"/>
          <w:sz w:val="20"/>
          <w:szCs w:val="20"/>
          <w:lang w:val="es-CR" w:eastAsia="es-CR"/>
        </w:rPr>
        <w:t xml:space="preserve">Partidas con ejecución menor al 90,00% </w:t>
      </w:r>
    </w:p>
    <w:p w14:paraId="6CF6F29B" w14:textId="77777777" w:rsidR="007B7CA1" w:rsidRPr="007B7CA1" w:rsidRDefault="007B7CA1" w:rsidP="00CA6EB7">
      <w:pPr>
        <w:spacing w:line="360" w:lineRule="auto"/>
        <w:jc w:val="center"/>
        <w:rPr>
          <w:rFonts w:ascii="Arial" w:eastAsiaTheme="minorEastAsia" w:hAnsi="Arial" w:cs="Arial"/>
          <w:sz w:val="20"/>
          <w:szCs w:val="20"/>
          <w:lang w:val="es-CR" w:eastAsia="es-CR"/>
        </w:rPr>
      </w:pPr>
      <w:r w:rsidRPr="007B7CA1">
        <w:rPr>
          <w:rFonts w:ascii="Arial" w:eastAsiaTheme="minorEastAsia" w:hAnsi="Arial" w:cs="Arial"/>
          <w:sz w:val="20"/>
          <w:szCs w:val="20"/>
          <w:lang w:val="es-ES_tradnl"/>
        </w:rPr>
        <w:t>Al 31 de diciembre 2021</w:t>
      </w:r>
    </w:p>
    <w:tbl>
      <w:tblPr>
        <w:tblStyle w:val="Listaclara-nfasis116"/>
        <w:tblW w:w="5000" w:type="pct"/>
        <w:tblLook w:val="00A0" w:firstRow="1" w:lastRow="0" w:firstColumn="1" w:lastColumn="0" w:noHBand="0" w:noVBand="0"/>
      </w:tblPr>
      <w:tblGrid>
        <w:gridCol w:w="1657"/>
        <w:gridCol w:w="1139"/>
        <w:gridCol w:w="2363"/>
        <w:gridCol w:w="1586"/>
        <w:gridCol w:w="1739"/>
      </w:tblGrid>
      <w:tr w:rsidR="007B7CA1" w:rsidRPr="007B7CA1" w14:paraId="7C493A5A" w14:textId="77777777" w:rsidTr="00A25184">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997" w:type="pct"/>
            <w:vAlign w:val="center"/>
          </w:tcPr>
          <w:p w14:paraId="58C6039E" w14:textId="77777777" w:rsidR="007B7CA1" w:rsidRPr="007B7CA1" w:rsidRDefault="007B7CA1" w:rsidP="007B7CA1">
            <w:pPr>
              <w:contextualSpacing/>
              <w:jc w:val="center"/>
              <w:rPr>
                <w:rFonts w:ascii="Arial" w:hAnsi="Arial" w:cs="Arial"/>
                <w:bCs w:val="0"/>
                <w:sz w:val="20"/>
                <w:szCs w:val="20"/>
                <w:lang w:val="es-CR"/>
              </w:rPr>
            </w:pPr>
            <w:r w:rsidRPr="007B7CA1">
              <w:rPr>
                <w:rFonts w:ascii="Arial" w:hAnsi="Arial" w:cs="Arial"/>
                <w:sz w:val="20"/>
                <w:szCs w:val="20"/>
                <w:lang w:val="es-CR"/>
              </w:rPr>
              <w:t>Nombre de la partida</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3F85A009" w14:textId="77777777" w:rsidR="007B7CA1" w:rsidRPr="007B7CA1" w:rsidRDefault="007B7CA1" w:rsidP="007B7CA1">
            <w:pPr>
              <w:contextualSpacing/>
              <w:jc w:val="center"/>
              <w:rPr>
                <w:rFonts w:ascii="Arial" w:hAnsi="Arial" w:cs="Arial"/>
                <w:sz w:val="20"/>
                <w:szCs w:val="20"/>
                <w:lang w:val="es-CR"/>
              </w:rPr>
            </w:pPr>
            <w:r w:rsidRPr="007B7CA1">
              <w:rPr>
                <w:rFonts w:ascii="Arial" w:hAnsi="Arial" w:cs="Arial"/>
                <w:sz w:val="20"/>
                <w:szCs w:val="20"/>
                <w:lang w:val="es-CR"/>
              </w:rPr>
              <w:t xml:space="preserve">Nivel de ejecución </w:t>
            </w:r>
            <w:r w:rsidRPr="007B7CA1">
              <w:rPr>
                <w:rFonts w:ascii="Arial" w:hAnsi="Arial" w:cs="Arial"/>
                <w:sz w:val="20"/>
                <w:szCs w:val="20"/>
                <w:vertAlign w:val="superscript"/>
                <w:lang w:val="es-CR"/>
              </w:rPr>
              <w:t>/1</w:t>
            </w:r>
          </w:p>
        </w:tc>
        <w:tc>
          <w:tcPr>
            <w:tcW w:w="1413" w:type="pct"/>
            <w:vAlign w:val="center"/>
          </w:tcPr>
          <w:p w14:paraId="045958BB" w14:textId="77777777" w:rsidR="007B7CA1" w:rsidRPr="007B7CA1" w:rsidRDefault="007B7CA1" w:rsidP="007B7CA1">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7B7CA1">
              <w:rPr>
                <w:rFonts w:ascii="Arial" w:hAnsi="Arial" w:cs="Arial"/>
                <w:sz w:val="20"/>
                <w:szCs w:val="20"/>
                <w:lang w:val="es-CR"/>
              </w:rPr>
              <w:t xml:space="preserve">Acciones correctivas </w:t>
            </w:r>
            <w:r w:rsidRPr="007B7CA1">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955" w:type="pct"/>
            <w:vAlign w:val="center"/>
          </w:tcPr>
          <w:p w14:paraId="72ADC124" w14:textId="77777777" w:rsidR="007B7CA1" w:rsidRPr="007B7CA1" w:rsidRDefault="007B7CA1" w:rsidP="007B7CA1">
            <w:pPr>
              <w:contextualSpacing/>
              <w:jc w:val="center"/>
              <w:rPr>
                <w:rFonts w:ascii="Arial" w:hAnsi="Arial" w:cs="Arial"/>
                <w:sz w:val="20"/>
                <w:szCs w:val="20"/>
                <w:lang w:val="es-CR"/>
              </w:rPr>
            </w:pPr>
            <w:r w:rsidRPr="007B7CA1">
              <w:rPr>
                <w:rFonts w:ascii="Arial" w:hAnsi="Arial" w:cs="Arial"/>
                <w:sz w:val="20"/>
                <w:szCs w:val="20"/>
                <w:lang w:val="es-CR"/>
              </w:rPr>
              <w:t xml:space="preserve">Persona responsable de brindar la información </w:t>
            </w:r>
          </w:p>
        </w:tc>
        <w:tc>
          <w:tcPr>
            <w:tcW w:w="1019" w:type="pct"/>
            <w:vAlign w:val="center"/>
          </w:tcPr>
          <w:p w14:paraId="0ED77FA9" w14:textId="77777777" w:rsidR="007B7CA1" w:rsidRPr="007B7CA1" w:rsidRDefault="007B7CA1" w:rsidP="007B7CA1">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s-CR"/>
              </w:rPr>
            </w:pPr>
            <w:r w:rsidRPr="007B7CA1">
              <w:rPr>
                <w:rFonts w:ascii="Arial" w:hAnsi="Arial" w:cs="Arial"/>
                <w:sz w:val="20"/>
                <w:szCs w:val="20"/>
                <w:lang w:val="es-CR"/>
              </w:rPr>
              <w:t xml:space="preserve">Fecha de implementación </w:t>
            </w:r>
            <w:r w:rsidRPr="007B7CA1">
              <w:rPr>
                <w:rFonts w:ascii="Arial" w:hAnsi="Arial" w:cs="Arial"/>
                <w:sz w:val="20"/>
                <w:szCs w:val="20"/>
                <w:vertAlign w:val="superscript"/>
                <w:lang w:val="es-CR"/>
              </w:rPr>
              <w:t>/3</w:t>
            </w:r>
          </w:p>
        </w:tc>
      </w:tr>
      <w:tr w:rsidR="007B7CA1" w:rsidRPr="007B7CA1" w14:paraId="48EB1D5F" w14:textId="77777777" w:rsidTr="00A2518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7" w:type="pct"/>
            <w:vAlign w:val="center"/>
          </w:tcPr>
          <w:p w14:paraId="2050853C" w14:textId="77777777" w:rsidR="007B7CA1" w:rsidRPr="007B7CA1" w:rsidRDefault="007B7CA1" w:rsidP="007B7CA1">
            <w:pPr>
              <w:contextualSpacing/>
              <w:jc w:val="both"/>
              <w:rPr>
                <w:rFonts w:ascii="Arial" w:hAnsi="Arial" w:cs="Arial"/>
                <w:b w:val="0"/>
                <w:bCs w:val="0"/>
                <w:sz w:val="20"/>
                <w:szCs w:val="20"/>
                <w:lang w:val="es-CR"/>
              </w:rPr>
            </w:pPr>
            <w:r w:rsidRPr="007B7CA1">
              <w:rPr>
                <w:rFonts w:ascii="Arial" w:hAnsi="Arial" w:cs="Arial"/>
                <w:b w:val="0"/>
                <w:bCs w:val="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4C14100F" w14:textId="77777777" w:rsidR="007B7CA1" w:rsidRPr="007B7CA1" w:rsidRDefault="007B7CA1" w:rsidP="007B7CA1">
            <w:pPr>
              <w:rPr>
                <w:rFonts w:ascii="Arial" w:hAnsi="Arial" w:cs="Arial"/>
                <w:sz w:val="20"/>
                <w:szCs w:val="20"/>
                <w:lang w:val="es-CR"/>
              </w:rPr>
            </w:pPr>
            <w:r w:rsidRPr="007B7CA1">
              <w:rPr>
                <w:rFonts w:ascii="Arial" w:hAnsi="Arial" w:cs="Arial"/>
                <w:sz w:val="20"/>
                <w:szCs w:val="20"/>
                <w:lang w:val="es-CR" w:eastAsia="es-CR"/>
              </w:rPr>
              <w:t>86,91%</w:t>
            </w:r>
          </w:p>
        </w:tc>
        <w:tc>
          <w:tcPr>
            <w:tcW w:w="1413" w:type="pct"/>
            <w:vAlign w:val="center"/>
          </w:tcPr>
          <w:p w14:paraId="38B8F14E" w14:textId="77777777" w:rsidR="007B7CA1" w:rsidRPr="007B7CA1" w:rsidRDefault="007B7CA1" w:rsidP="007B7CA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7B7CA1">
              <w:rPr>
                <w:rFonts w:ascii="Arial" w:hAnsi="Arial" w:cs="Arial"/>
                <w:sz w:val="20"/>
                <w:szCs w:val="20"/>
                <w:lang w:val="es-CR"/>
              </w:rPr>
              <w:t xml:space="preserve">Seguimiento trimestral al pago de los servicios públicos. Solicitar a financiero detalle del porcentaje ejecutado. </w:t>
            </w:r>
          </w:p>
        </w:tc>
        <w:tc>
          <w:tcPr>
            <w:cnfStyle w:val="000010000000" w:firstRow="0" w:lastRow="0" w:firstColumn="0" w:lastColumn="0" w:oddVBand="1" w:evenVBand="0" w:oddHBand="0" w:evenHBand="0" w:firstRowFirstColumn="0" w:firstRowLastColumn="0" w:lastRowFirstColumn="0" w:lastRowLastColumn="0"/>
            <w:tcW w:w="955" w:type="pct"/>
          </w:tcPr>
          <w:p w14:paraId="2A0E1FB8" w14:textId="77777777" w:rsidR="007B7CA1" w:rsidRPr="007B7CA1" w:rsidRDefault="007B7CA1" w:rsidP="007B7CA1">
            <w:pPr>
              <w:contextualSpacing/>
              <w:jc w:val="both"/>
              <w:rPr>
                <w:rFonts w:ascii="Arial" w:hAnsi="Arial" w:cs="Arial"/>
                <w:bCs/>
                <w:sz w:val="20"/>
                <w:szCs w:val="20"/>
                <w:lang w:val="es-CR"/>
              </w:rPr>
            </w:pPr>
            <w:r w:rsidRPr="007B7CA1">
              <w:rPr>
                <w:rFonts w:ascii="Arial" w:hAnsi="Arial" w:cs="Arial"/>
                <w:bCs/>
                <w:sz w:val="20"/>
                <w:szCs w:val="20"/>
                <w:lang w:val="es-CR"/>
              </w:rPr>
              <w:t xml:space="preserve">Licda. Helen Ballestero M. Coordinadora Administrativa  </w:t>
            </w:r>
          </w:p>
        </w:tc>
        <w:tc>
          <w:tcPr>
            <w:tcW w:w="1019" w:type="pct"/>
          </w:tcPr>
          <w:p w14:paraId="7AE39C46"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30 de marzo 2022</w:t>
            </w:r>
          </w:p>
          <w:p w14:paraId="08EF1FBF" w14:textId="220E0364"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 xml:space="preserve">30 de </w:t>
            </w:r>
            <w:r w:rsidRPr="00CC39AB">
              <w:rPr>
                <w:rFonts w:ascii="Arial" w:hAnsi="Arial" w:cs="Arial"/>
                <w:bCs/>
                <w:sz w:val="20"/>
                <w:szCs w:val="20"/>
                <w:lang w:val="es-CR"/>
              </w:rPr>
              <w:t>junio 2022</w:t>
            </w:r>
          </w:p>
          <w:p w14:paraId="58A18EAB"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 xml:space="preserve">30 de setiembre 2022  </w:t>
            </w:r>
          </w:p>
        </w:tc>
      </w:tr>
      <w:tr w:rsidR="007B7CA1" w:rsidRPr="007B7CA1" w14:paraId="326A7CEC" w14:textId="77777777" w:rsidTr="00A25184">
        <w:trPr>
          <w:trHeight w:val="312"/>
        </w:trPr>
        <w:tc>
          <w:tcPr>
            <w:cnfStyle w:val="001000000000" w:firstRow="0" w:lastRow="0" w:firstColumn="1" w:lastColumn="0" w:oddVBand="0" w:evenVBand="0" w:oddHBand="0" w:evenHBand="0" w:firstRowFirstColumn="0" w:firstRowLastColumn="0" w:lastRowFirstColumn="0" w:lastRowLastColumn="0"/>
            <w:tcW w:w="997" w:type="pct"/>
            <w:vAlign w:val="center"/>
          </w:tcPr>
          <w:p w14:paraId="7ED2AAE3" w14:textId="77777777" w:rsidR="007B7CA1" w:rsidRPr="007B7CA1" w:rsidRDefault="007B7CA1" w:rsidP="007B7CA1">
            <w:pPr>
              <w:contextualSpacing/>
              <w:jc w:val="both"/>
              <w:rPr>
                <w:rFonts w:ascii="Arial" w:hAnsi="Arial" w:cs="Arial"/>
                <w:b w:val="0"/>
                <w:bCs w:val="0"/>
                <w:sz w:val="20"/>
                <w:szCs w:val="20"/>
                <w:lang w:val="es-CR"/>
              </w:rPr>
            </w:pPr>
            <w:r w:rsidRPr="007B7CA1">
              <w:rPr>
                <w:rFonts w:ascii="Arial" w:hAnsi="Arial" w:cs="Arial"/>
                <w:b w:val="0"/>
                <w:bCs w:val="0"/>
                <w:sz w:val="20"/>
                <w:szCs w:val="20"/>
                <w:lang w:val="es-CR" w:eastAsia="es-CR"/>
              </w:rPr>
              <w:t xml:space="preserve">Materiales y Suministros </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72F2BD73" w14:textId="77777777" w:rsidR="007B7CA1" w:rsidRPr="007B7CA1" w:rsidRDefault="007B7CA1" w:rsidP="007B7CA1">
            <w:pPr>
              <w:rPr>
                <w:rFonts w:ascii="Arial" w:hAnsi="Arial" w:cs="Arial"/>
                <w:sz w:val="20"/>
                <w:szCs w:val="20"/>
                <w:lang w:val="es-CR"/>
              </w:rPr>
            </w:pPr>
            <w:r w:rsidRPr="007B7CA1">
              <w:rPr>
                <w:rFonts w:ascii="Arial" w:hAnsi="Arial" w:cs="Arial"/>
                <w:sz w:val="20"/>
                <w:szCs w:val="20"/>
                <w:lang w:val="es-CR" w:eastAsia="es-CR"/>
              </w:rPr>
              <w:t>87,78%</w:t>
            </w:r>
          </w:p>
        </w:tc>
        <w:tc>
          <w:tcPr>
            <w:tcW w:w="1413" w:type="pct"/>
            <w:vAlign w:val="center"/>
          </w:tcPr>
          <w:p w14:paraId="655ACFB3" w14:textId="625BDA16" w:rsidR="007B7CA1" w:rsidRPr="007B7CA1" w:rsidRDefault="007B7CA1" w:rsidP="007B7CA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7B7CA1">
              <w:rPr>
                <w:rFonts w:ascii="Arial" w:hAnsi="Arial" w:cs="Arial"/>
                <w:sz w:val="20"/>
                <w:szCs w:val="20"/>
                <w:lang w:val="es-CR"/>
              </w:rPr>
              <w:t xml:space="preserve">Seguimiento bimensual por medio de </w:t>
            </w:r>
            <w:r w:rsidRPr="00CC39AB">
              <w:rPr>
                <w:rFonts w:ascii="Arial" w:hAnsi="Arial" w:cs="Arial"/>
                <w:sz w:val="20"/>
                <w:szCs w:val="20"/>
                <w:lang w:val="es-CR"/>
              </w:rPr>
              <w:t>reuniones con</w:t>
            </w:r>
            <w:r w:rsidRPr="007B7CA1">
              <w:rPr>
                <w:rFonts w:ascii="Arial" w:hAnsi="Arial" w:cs="Arial"/>
                <w:sz w:val="20"/>
                <w:szCs w:val="20"/>
                <w:lang w:val="es-CR"/>
              </w:rPr>
              <w:t xml:space="preserve"> personal del programa 950 </w:t>
            </w:r>
          </w:p>
        </w:tc>
        <w:tc>
          <w:tcPr>
            <w:cnfStyle w:val="000010000000" w:firstRow="0" w:lastRow="0" w:firstColumn="0" w:lastColumn="0" w:oddVBand="1" w:evenVBand="0" w:oddHBand="0" w:evenHBand="0" w:firstRowFirstColumn="0" w:firstRowLastColumn="0" w:lastRowFirstColumn="0" w:lastRowLastColumn="0"/>
            <w:tcW w:w="955" w:type="pct"/>
          </w:tcPr>
          <w:p w14:paraId="67DEE7A8" w14:textId="77777777" w:rsidR="007B7CA1" w:rsidRPr="007B7CA1" w:rsidRDefault="007B7CA1" w:rsidP="007B7CA1">
            <w:pPr>
              <w:contextualSpacing/>
              <w:jc w:val="both"/>
              <w:rPr>
                <w:rFonts w:ascii="Arial" w:hAnsi="Arial" w:cs="Arial"/>
                <w:bCs/>
                <w:sz w:val="20"/>
                <w:szCs w:val="20"/>
                <w:lang w:val="es-CR"/>
              </w:rPr>
            </w:pPr>
            <w:r w:rsidRPr="007B7CA1">
              <w:rPr>
                <w:rFonts w:ascii="Arial" w:hAnsi="Arial" w:cs="Arial"/>
                <w:bCs/>
                <w:sz w:val="20"/>
                <w:szCs w:val="20"/>
                <w:lang w:val="es-CR"/>
              </w:rPr>
              <w:t xml:space="preserve">Licda. Sara Arce, Jefatura OAPVD </w:t>
            </w:r>
          </w:p>
          <w:p w14:paraId="6D6A0BDE" w14:textId="77777777" w:rsidR="007B7CA1" w:rsidRPr="007B7CA1" w:rsidRDefault="007B7CA1" w:rsidP="007B7CA1">
            <w:pPr>
              <w:contextualSpacing/>
              <w:jc w:val="both"/>
              <w:rPr>
                <w:rFonts w:ascii="Arial" w:hAnsi="Arial" w:cs="Arial"/>
                <w:bCs/>
                <w:sz w:val="20"/>
                <w:szCs w:val="20"/>
                <w:lang w:val="es-CR"/>
              </w:rPr>
            </w:pPr>
            <w:r w:rsidRPr="007B7CA1">
              <w:rPr>
                <w:rFonts w:ascii="Arial" w:hAnsi="Arial" w:cs="Arial"/>
                <w:bCs/>
                <w:sz w:val="20"/>
                <w:szCs w:val="20"/>
                <w:lang w:val="es-CR"/>
              </w:rPr>
              <w:t xml:space="preserve">Lic. Pedro Arce, Jefatura OAPVD </w:t>
            </w:r>
          </w:p>
        </w:tc>
        <w:tc>
          <w:tcPr>
            <w:tcW w:w="1019" w:type="pct"/>
          </w:tcPr>
          <w:p w14:paraId="18563CCF"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28 de febrero 2022</w:t>
            </w:r>
          </w:p>
          <w:p w14:paraId="3F67A019"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29 de abril 2022</w:t>
            </w:r>
          </w:p>
          <w:p w14:paraId="0575C331"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30 de junio 2022</w:t>
            </w:r>
          </w:p>
          <w:p w14:paraId="11CDD5B1"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31 de agosto 2022</w:t>
            </w:r>
          </w:p>
          <w:p w14:paraId="208BA532"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31 octubre 2022</w:t>
            </w:r>
          </w:p>
          <w:p w14:paraId="284D23FE"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16 diciembre 2022</w:t>
            </w:r>
          </w:p>
        </w:tc>
      </w:tr>
      <w:tr w:rsidR="007B7CA1" w:rsidRPr="007B7CA1" w14:paraId="7804357A" w14:textId="77777777" w:rsidTr="00A2518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7" w:type="pct"/>
            <w:vAlign w:val="center"/>
          </w:tcPr>
          <w:p w14:paraId="3A4745AC"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rPr>
              <w:t>Bienes duraderos</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5B48AC74" w14:textId="48C1DFD7" w:rsidR="007B7CA1" w:rsidRPr="007B7CA1" w:rsidRDefault="007B7CA1" w:rsidP="007B7CA1">
            <w:pPr>
              <w:spacing w:line="360" w:lineRule="auto"/>
              <w:rPr>
                <w:rFonts w:ascii="Arial" w:hAnsi="Arial" w:cs="Arial"/>
                <w:sz w:val="20"/>
                <w:szCs w:val="20"/>
                <w:lang w:val="es-CR"/>
              </w:rPr>
            </w:pPr>
            <w:r w:rsidRPr="007B7CA1">
              <w:rPr>
                <w:rFonts w:ascii="Arial" w:hAnsi="Arial" w:cs="Arial"/>
                <w:sz w:val="20"/>
                <w:szCs w:val="20"/>
                <w:lang w:val="es-CR"/>
              </w:rPr>
              <w:t xml:space="preserve">15,60 </w:t>
            </w:r>
            <w:r w:rsidR="00AE22BC">
              <w:rPr>
                <w:rFonts w:ascii="Arial" w:hAnsi="Arial" w:cs="Arial"/>
                <w:sz w:val="20"/>
                <w:szCs w:val="20"/>
                <w:lang w:val="es-CR"/>
              </w:rPr>
              <w:t>%</w:t>
            </w:r>
          </w:p>
        </w:tc>
        <w:tc>
          <w:tcPr>
            <w:tcW w:w="1413" w:type="pct"/>
          </w:tcPr>
          <w:p w14:paraId="0E0CB73C" w14:textId="76B8254E"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7B7CA1">
              <w:rPr>
                <w:rFonts w:ascii="Arial" w:hAnsi="Arial" w:cs="Arial"/>
                <w:sz w:val="20"/>
                <w:szCs w:val="20"/>
                <w:lang w:val="es-CR"/>
              </w:rPr>
              <w:t xml:space="preserve">Seguimiento bimensual por medio de </w:t>
            </w:r>
            <w:r w:rsidRPr="00CC39AB">
              <w:rPr>
                <w:rFonts w:ascii="Arial" w:hAnsi="Arial" w:cs="Arial"/>
                <w:sz w:val="20"/>
                <w:szCs w:val="20"/>
                <w:lang w:val="es-CR"/>
              </w:rPr>
              <w:t>reuniones con</w:t>
            </w:r>
            <w:r w:rsidRPr="007B7CA1">
              <w:rPr>
                <w:rFonts w:ascii="Arial" w:hAnsi="Arial" w:cs="Arial"/>
                <w:sz w:val="20"/>
                <w:szCs w:val="20"/>
                <w:lang w:val="es-CR"/>
              </w:rPr>
              <w:t xml:space="preserve"> personal del programa 950 </w:t>
            </w:r>
          </w:p>
        </w:tc>
        <w:tc>
          <w:tcPr>
            <w:cnfStyle w:val="000010000000" w:firstRow="0" w:lastRow="0" w:firstColumn="0" w:lastColumn="0" w:oddVBand="1" w:evenVBand="0" w:oddHBand="0" w:evenHBand="0" w:firstRowFirstColumn="0" w:firstRowLastColumn="0" w:lastRowFirstColumn="0" w:lastRowLastColumn="0"/>
            <w:tcW w:w="955" w:type="pct"/>
          </w:tcPr>
          <w:p w14:paraId="18DE2B27" w14:textId="77777777" w:rsidR="007B7CA1" w:rsidRPr="007B7CA1" w:rsidRDefault="007B7CA1" w:rsidP="007B7CA1">
            <w:pPr>
              <w:contextualSpacing/>
              <w:jc w:val="both"/>
              <w:rPr>
                <w:rFonts w:ascii="Arial" w:hAnsi="Arial" w:cs="Arial"/>
                <w:bCs/>
                <w:sz w:val="20"/>
                <w:szCs w:val="20"/>
                <w:lang w:val="es-CR"/>
              </w:rPr>
            </w:pPr>
            <w:r w:rsidRPr="007B7CA1">
              <w:rPr>
                <w:rFonts w:ascii="Arial" w:hAnsi="Arial" w:cs="Arial"/>
                <w:bCs/>
                <w:sz w:val="20"/>
                <w:szCs w:val="20"/>
                <w:lang w:val="es-CR"/>
              </w:rPr>
              <w:t xml:space="preserve">Licda. Sara Arce, Jefatura OAPVD </w:t>
            </w:r>
          </w:p>
          <w:p w14:paraId="1E2A2D0B" w14:textId="77777777"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Lic. Pedro Arce, Jefatura OAPVD </w:t>
            </w:r>
          </w:p>
        </w:tc>
        <w:tc>
          <w:tcPr>
            <w:tcW w:w="1019" w:type="pct"/>
          </w:tcPr>
          <w:p w14:paraId="530EC979"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28 de febrero 2022</w:t>
            </w:r>
          </w:p>
          <w:p w14:paraId="795415EC"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29 de abril 2022</w:t>
            </w:r>
          </w:p>
          <w:p w14:paraId="29D9FF50"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30 de junio 2022</w:t>
            </w:r>
          </w:p>
          <w:p w14:paraId="2B246E37"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31 de agosto 2022</w:t>
            </w:r>
          </w:p>
          <w:p w14:paraId="2FA4F8C4" w14:textId="77777777" w:rsidR="007B7CA1" w:rsidRPr="007B7CA1" w:rsidRDefault="007B7CA1" w:rsidP="007B7CA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31 octubre 2022</w:t>
            </w:r>
          </w:p>
          <w:p w14:paraId="66E8474D" w14:textId="77777777"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16 diciembre 2022</w:t>
            </w:r>
          </w:p>
        </w:tc>
      </w:tr>
      <w:tr w:rsidR="007B7CA1" w:rsidRPr="007B7CA1" w14:paraId="35A277A2" w14:textId="77777777" w:rsidTr="00A25184">
        <w:trPr>
          <w:trHeight w:val="312"/>
        </w:trPr>
        <w:tc>
          <w:tcPr>
            <w:cnfStyle w:val="001000000000" w:firstRow="0" w:lastRow="0" w:firstColumn="1" w:lastColumn="0" w:oddVBand="0" w:evenVBand="0" w:oddHBand="0" w:evenHBand="0" w:firstRowFirstColumn="0" w:firstRowLastColumn="0" w:lastRowFirstColumn="0" w:lastRowLastColumn="0"/>
            <w:tcW w:w="997" w:type="pct"/>
            <w:vAlign w:val="center"/>
          </w:tcPr>
          <w:p w14:paraId="548487B9"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eastAsia="es-CR"/>
              </w:rPr>
              <w:t xml:space="preserve"> Transferencias Corrientes  </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7B57AE87" w14:textId="77777777" w:rsidR="007B7CA1" w:rsidRPr="007B7CA1" w:rsidRDefault="007B7CA1" w:rsidP="007B7CA1">
            <w:pPr>
              <w:spacing w:line="360" w:lineRule="auto"/>
              <w:rPr>
                <w:rFonts w:ascii="Arial" w:hAnsi="Arial" w:cs="Arial"/>
                <w:sz w:val="20"/>
                <w:szCs w:val="20"/>
                <w:lang w:val="es-CR"/>
              </w:rPr>
            </w:pPr>
            <w:r w:rsidRPr="007B7CA1">
              <w:rPr>
                <w:rFonts w:ascii="Arial" w:hAnsi="Arial" w:cs="Arial"/>
                <w:sz w:val="20"/>
                <w:szCs w:val="20"/>
                <w:lang w:val="es-CR" w:eastAsia="es-CR"/>
              </w:rPr>
              <w:t> 80,38%</w:t>
            </w:r>
          </w:p>
        </w:tc>
        <w:tc>
          <w:tcPr>
            <w:tcW w:w="1413" w:type="pct"/>
          </w:tcPr>
          <w:p w14:paraId="6DCF6794" w14:textId="09CE478F" w:rsidR="007B7CA1" w:rsidRPr="007B7CA1" w:rsidRDefault="007B7CA1" w:rsidP="007B7CA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rPr>
            </w:pPr>
            <w:r w:rsidRPr="007B7CA1">
              <w:rPr>
                <w:rFonts w:ascii="Arial" w:hAnsi="Arial" w:cs="Arial"/>
                <w:sz w:val="20"/>
                <w:szCs w:val="20"/>
                <w:lang w:val="es-CR"/>
              </w:rPr>
              <w:t xml:space="preserve">Seguimiento bimensual por medio de </w:t>
            </w:r>
            <w:r w:rsidRPr="00CC39AB">
              <w:rPr>
                <w:rFonts w:ascii="Arial" w:hAnsi="Arial" w:cs="Arial"/>
                <w:sz w:val="20"/>
                <w:szCs w:val="20"/>
                <w:lang w:val="es-CR"/>
              </w:rPr>
              <w:t>reuniones con</w:t>
            </w:r>
            <w:r w:rsidRPr="007B7CA1">
              <w:rPr>
                <w:rFonts w:ascii="Arial" w:hAnsi="Arial" w:cs="Arial"/>
                <w:sz w:val="20"/>
                <w:szCs w:val="20"/>
                <w:lang w:val="es-CR"/>
              </w:rPr>
              <w:t xml:space="preserve"> personal del programa 950 </w:t>
            </w:r>
          </w:p>
        </w:tc>
        <w:tc>
          <w:tcPr>
            <w:cnfStyle w:val="000010000000" w:firstRow="0" w:lastRow="0" w:firstColumn="0" w:lastColumn="0" w:oddVBand="1" w:evenVBand="0" w:oddHBand="0" w:evenHBand="0" w:firstRowFirstColumn="0" w:firstRowLastColumn="0" w:lastRowFirstColumn="0" w:lastRowLastColumn="0"/>
            <w:tcW w:w="955" w:type="pct"/>
          </w:tcPr>
          <w:p w14:paraId="48C58064" w14:textId="77777777" w:rsidR="007B7CA1" w:rsidRPr="007B7CA1" w:rsidRDefault="007B7CA1" w:rsidP="007B7CA1">
            <w:pPr>
              <w:contextualSpacing/>
              <w:jc w:val="both"/>
              <w:rPr>
                <w:rFonts w:ascii="Arial" w:hAnsi="Arial" w:cs="Arial"/>
                <w:bCs/>
                <w:sz w:val="20"/>
                <w:szCs w:val="20"/>
                <w:lang w:val="es-CR"/>
              </w:rPr>
            </w:pPr>
            <w:r w:rsidRPr="007B7CA1">
              <w:rPr>
                <w:rFonts w:ascii="Arial" w:hAnsi="Arial" w:cs="Arial"/>
                <w:bCs/>
                <w:sz w:val="20"/>
                <w:szCs w:val="20"/>
                <w:lang w:val="es-CR"/>
              </w:rPr>
              <w:t xml:space="preserve">Licda. Sara Arce, Jefatura OAPVD </w:t>
            </w:r>
          </w:p>
          <w:p w14:paraId="5BDB5E42" w14:textId="77777777"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Lic. Pedro Arce, Jefatura OAPVD </w:t>
            </w:r>
          </w:p>
        </w:tc>
        <w:tc>
          <w:tcPr>
            <w:tcW w:w="1019" w:type="pct"/>
          </w:tcPr>
          <w:p w14:paraId="09BBF354"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28 de febrero 2022</w:t>
            </w:r>
          </w:p>
          <w:p w14:paraId="0A729FD5"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29 de abril 2022</w:t>
            </w:r>
          </w:p>
          <w:p w14:paraId="6A6A5856"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30 de junio 2022</w:t>
            </w:r>
          </w:p>
          <w:p w14:paraId="0CCBD0A9"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31 de agosto 2022</w:t>
            </w:r>
          </w:p>
          <w:p w14:paraId="021088B7" w14:textId="77777777" w:rsidR="007B7CA1" w:rsidRPr="007B7CA1" w:rsidRDefault="007B7CA1" w:rsidP="007B7CA1">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31 octubre 2022</w:t>
            </w:r>
          </w:p>
          <w:p w14:paraId="4F597320" w14:textId="77777777" w:rsidR="007B7CA1" w:rsidRPr="007B7CA1" w:rsidRDefault="007B7CA1" w:rsidP="007B7CA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16 diciembre 2022</w:t>
            </w:r>
          </w:p>
        </w:tc>
      </w:tr>
      <w:tr w:rsidR="007B7CA1" w:rsidRPr="007B7CA1" w14:paraId="62844B04" w14:textId="77777777" w:rsidTr="00A2518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7" w:type="pct"/>
            <w:vAlign w:val="center"/>
          </w:tcPr>
          <w:p w14:paraId="34D446A3" w14:textId="77777777" w:rsidR="007B7CA1" w:rsidRPr="007B7CA1" w:rsidRDefault="007B7CA1" w:rsidP="007B7CA1">
            <w:pPr>
              <w:spacing w:line="360" w:lineRule="auto"/>
              <w:contextualSpacing/>
              <w:jc w:val="both"/>
              <w:rPr>
                <w:rFonts w:ascii="Arial" w:hAnsi="Arial" w:cs="Arial"/>
                <w:b w:val="0"/>
                <w:bCs w:val="0"/>
                <w:sz w:val="20"/>
                <w:szCs w:val="20"/>
                <w:lang w:val="es-CR"/>
              </w:rPr>
            </w:pPr>
            <w:r w:rsidRPr="007B7CA1">
              <w:rPr>
                <w:rFonts w:ascii="Arial" w:hAnsi="Arial" w:cs="Arial"/>
                <w:b w:val="0"/>
                <w:bCs w:val="0"/>
                <w:sz w:val="20"/>
                <w:szCs w:val="20"/>
                <w:lang w:val="es-CR" w:eastAsia="es-CR"/>
              </w:rPr>
              <w:lastRenderedPageBreak/>
              <w:t xml:space="preserve"> Cuenta Especiales </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4EA6AB50" w14:textId="77777777" w:rsidR="007B7CA1" w:rsidRPr="007B7CA1" w:rsidRDefault="007B7CA1" w:rsidP="007B7CA1">
            <w:pPr>
              <w:spacing w:line="360" w:lineRule="auto"/>
              <w:rPr>
                <w:rFonts w:ascii="Arial" w:hAnsi="Arial" w:cs="Arial"/>
                <w:sz w:val="20"/>
                <w:szCs w:val="20"/>
                <w:lang w:val="es-CR"/>
              </w:rPr>
            </w:pPr>
            <w:r w:rsidRPr="007B7CA1">
              <w:rPr>
                <w:rFonts w:ascii="Arial" w:hAnsi="Arial" w:cs="Arial"/>
                <w:sz w:val="20"/>
                <w:szCs w:val="20"/>
                <w:lang w:val="es-CR" w:eastAsia="es-CR"/>
              </w:rPr>
              <w:t xml:space="preserve"> 52,04%  </w:t>
            </w:r>
          </w:p>
        </w:tc>
        <w:tc>
          <w:tcPr>
            <w:tcW w:w="1413" w:type="pct"/>
          </w:tcPr>
          <w:p w14:paraId="6B06FC91" w14:textId="7C1AB6AA"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CC39AB">
              <w:rPr>
                <w:rFonts w:ascii="Arial" w:hAnsi="Arial" w:cs="Arial"/>
                <w:sz w:val="20"/>
                <w:szCs w:val="20"/>
                <w:lang w:val="es-CR"/>
              </w:rPr>
              <w:t>Análisis mensual</w:t>
            </w:r>
            <w:r w:rsidRPr="007B7CA1">
              <w:rPr>
                <w:rFonts w:ascii="Arial" w:hAnsi="Arial" w:cs="Arial"/>
                <w:sz w:val="20"/>
                <w:szCs w:val="20"/>
                <w:lang w:val="es-CR"/>
              </w:rPr>
              <w:t xml:space="preserve"> del consumo de gastos </w:t>
            </w:r>
          </w:p>
        </w:tc>
        <w:tc>
          <w:tcPr>
            <w:cnfStyle w:val="000010000000" w:firstRow="0" w:lastRow="0" w:firstColumn="0" w:lastColumn="0" w:oddVBand="1" w:evenVBand="0" w:oddHBand="0" w:evenHBand="0" w:firstRowFirstColumn="0" w:firstRowLastColumn="0" w:lastRowFirstColumn="0" w:lastRowLastColumn="0"/>
            <w:tcW w:w="955" w:type="pct"/>
          </w:tcPr>
          <w:p w14:paraId="06144515" w14:textId="77777777" w:rsidR="007B7CA1" w:rsidRPr="007B7CA1" w:rsidRDefault="007B7CA1" w:rsidP="007B7CA1">
            <w:pPr>
              <w:contextualSpacing/>
              <w:jc w:val="both"/>
              <w:rPr>
                <w:rFonts w:ascii="Arial" w:hAnsi="Arial" w:cs="Arial"/>
                <w:bCs/>
                <w:sz w:val="20"/>
                <w:szCs w:val="20"/>
                <w:lang w:val="es-CR"/>
              </w:rPr>
            </w:pPr>
            <w:r w:rsidRPr="007B7CA1">
              <w:rPr>
                <w:rFonts w:ascii="Arial" w:hAnsi="Arial" w:cs="Arial"/>
                <w:bCs/>
                <w:sz w:val="20"/>
                <w:szCs w:val="20"/>
                <w:lang w:val="es-CR"/>
              </w:rPr>
              <w:t xml:space="preserve">Licda. Sara Arce, Jefatura OAPVD </w:t>
            </w:r>
          </w:p>
          <w:p w14:paraId="52AAFA97" w14:textId="77777777" w:rsidR="007B7CA1" w:rsidRPr="007B7CA1" w:rsidRDefault="007B7CA1" w:rsidP="007B7CA1">
            <w:pPr>
              <w:spacing w:line="360" w:lineRule="auto"/>
              <w:contextualSpacing/>
              <w:jc w:val="both"/>
              <w:rPr>
                <w:rFonts w:ascii="Arial" w:hAnsi="Arial" w:cs="Arial"/>
                <w:bCs/>
                <w:sz w:val="20"/>
                <w:szCs w:val="20"/>
                <w:lang w:val="es-CR"/>
              </w:rPr>
            </w:pPr>
            <w:r w:rsidRPr="007B7CA1">
              <w:rPr>
                <w:rFonts w:ascii="Arial" w:hAnsi="Arial" w:cs="Arial"/>
                <w:bCs/>
                <w:sz w:val="20"/>
                <w:szCs w:val="20"/>
                <w:lang w:val="es-CR"/>
              </w:rPr>
              <w:t xml:space="preserve">Lic. Pedro Arce, Jefatura OAPVD </w:t>
            </w:r>
          </w:p>
        </w:tc>
        <w:tc>
          <w:tcPr>
            <w:tcW w:w="1019" w:type="pct"/>
          </w:tcPr>
          <w:p w14:paraId="045C4308" w14:textId="77777777" w:rsidR="007B7CA1" w:rsidRPr="007B7CA1" w:rsidRDefault="007B7CA1" w:rsidP="007B7CA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7B7CA1">
              <w:rPr>
                <w:rFonts w:ascii="Arial" w:hAnsi="Arial" w:cs="Arial"/>
                <w:bCs/>
                <w:sz w:val="20"/>
                <w:szCs w:val="20"/>
                <w:lang w:val="es-CR"/>
              </w:rPr>
              <w:t xml:space="preserve">01 de cada mes a partir de febrero 2022. </w:t>
            </w:r>
          </w:p>
        </w:tc>
      </w:tr>
    </w:tbl>
    <w:p w14:paraId="083ED2BD" w14:textId="77777777" w:rsidR="007B7CA1" w:rsidRPr="007B7CA1" w:rsidRDefault="007B7CA1" w:rsidP="007B7CA1">
      <w:pPr>
        <w:jc w:val="both"/>
        <w:rPr>
          <w:rFonts w:ascii="Arial" w:eastAsiaTheme="minorEastAsia" w:hAnsi="Arial" w:cs="Arial"/>
          <w:b/>
          <w:sz w:val="16"/>
          <w:szCs w:val="16"/>
          <w:lang w:val="es-CR"/>
        </w:rPr>
      </w:pPr>
      <w:r w:rsidRPr="007B7CA1">
        <w:rPr>
          <w:rFonts w:ascii="Arial" w:eastAsiaTheme="minorEastAsia" w:hAnsi="Arial" w:cs="Arial"/>
          <w:b/>
          <w:sz w:val="16"/>
          <w:szCs w:val="16"/>
          <w:lang w:val="es-CR"/>
        </w:rPr>
        <w:t xml:space="preserve">Fuente: </w:t>
      </w:r>
      <w:r w:rsidRPr="007B7CA1">
        <w:rPr>
          <w:rFonts w:ascii="Arial" w:eastAsiaTheme="minorEastAsia" w:hAnsi="Arial" w:cs="Arial"/>
          <w:sz w:val="16"/>
          <w:szCs w:val="20"/>
          <w:lang w:val="es-ES_tradnl"/>
        </w:rPr>
        <w:t>Sistema Módulo de Poderes al 31 de diciembre 2021</w:t>
      </w:r>
    </w:p>
    <w:p w14:paraId="6D2760EB" w14:textId="77777777" w:rsidR="007B7CA1" w:rsidRPr="007B7CA1" w:rsidRDefault="007B7CA1" w:rsidP="007B7CA1">
      <w:pPr>
        <w:jc w:val="both"/>
        <w:rPr>
          <w:rFonts w:ascii="Arial" w:eastAsiaTheme="minorEastAsia" w:hAnsi="Arial" w:cs="Arial"/>
          <w:sz w:val="16"/>
          <w:szCs w:val="20"/>
          <w:lang w:val="es-ES_tradnl"/>
        </w:rPr>
      </w:pPr>
      <w:r w:rsidRPr="007B7CA1">
        <w:rPr>
          <w:rFonts w:ascii="Arial" w:eastAsiaTheme="minorEastAsia" w:hAnsi="Arial" w:cs="Arial"/>
          <w:sz w:val="16"/>
          <w:szCs w:val="20"/>
          <w:lang w:val="es-ES_tradnl"/>
        </w:rPr>
        <w:t>/1 Esta información se obtiene del archivo Excel remitido por la DGPN, de la hoja “Liquidación”.</w:t>
      </w:r>
    </w:p>
    <w:p w14:paraId="1ABE036C" w14:textId="77777777" w:rsidR="007B7CA1" w:rsidRPr="007B7CA1" w:rsidRDefault="007B7CA1" w:rsidP="007B7CA1">
      <w:pPr>
        <w:jc w:val="both"/>
        <w:rPr>
          <w:rFonts w:ascii="Arial" w:eastAsiaTheme="minorEastAsia" w:hAnsi="Arial" w:cs="Arial"/>
          <w:sz w:val="16"/>
          <w:szCs w:val="20"/>
          <w:lang w:val="es-ES_tradnl"/>
        </w:rPr>
      </w:pPr>
      <w:r w:rsidRPr="007B7CA1">
        <w:rPr>
          <w:rFonts w:ascii="Arial" w:eastAsiaTheme="minorEastAsia" w:hAnsi="Arial" w:cs="Arial"/>
          <w:sz w:val="16"/>
          <w:szCs w:val="20"/>
          <w:lang w:val="es-ES_tradnl"/>
        </w:rPr>
        <w:t>/2 Se refiere a acciones que implementará el centro gestor en 2022 para subsanar los problemas de ejecución que se presentaron al 31/12/2021.</w:t>
      </w:r>
    </w:p>
    <w:p w14:paraId="0695F704" w14:textId="77777777" w:rsidR="007B7CA1" w:rsidRPr="007B7CA1" w:rsidRDefault="007B7CA1" w:rsidP="007B7CA1">
      <w:pPr>
        <w:jc w:val="both"/>
        <w:rPr>
          <w:rFonts w:ascii="Arial" w:eastAsiaTheme="minorEastAsia" w:hAnsi="Arial" w:cs="Arial"/>
          <w:sz w:val="16"/>
          <w:szCs w:val="20"/>
          <w:lang w:val="es-ES_tradnl"/>
        </w:rPr>
      </w:pPr>
      <w:r w:rsidRPr="007B7CA1">
        <w:rPr>
          <w:rFonts w:ascii="Arial" w:eastAsiaTheme="minorEastAsia" w:hAnsi="Arial" w:cs="Arial"/>
          <w:sz w:val="16"/>
          <w:szCs w:val="20"/>
          <w:lang w:val="es-ES_tradnl"/>
        </w:rPr>
        <w:t>/3 Se refiere a la fecha en que las acciones correctivas empezarán a ser implementadas por el centro gestor.</w:t>
      </w:r>
    </w:p>
    <w:p w14:paraId="788575BE" w14:textId="77777777" w:rsidR="00255476" w:rsidRDefault="00255476" w:rsidP="00255476">
      <w:pPr>
        <w:spacing w:after="120" w:line="360" w:lineRule="auto"/>
        <w:jc w:val="both"/>
        <w:rPr>
          <w:rFonts w:ascii="Arial" w:hAnsi="Arial" w:cs="Arial"/>
          <w:sz w:val="20"/>
          <w:szCs w:val="20"/>
          <w:lang w:val="es-ES_tradnl"/>
        </w:rPr>
      </w:pPr>
    </w:p>
    <w:p w14:paraId="3302E7A5" w14:textId="77777777" w:rsidR="00255476" w:rsidRDefault="00255476" w:rsidP="00255476">
      <w:pPr>
        <w:spacing w:after="120" w:line="360" w:lineRule="auto"/>
        <w:jc w:val="both"/>
        <w:rPr>
          <w:rFonts w:ascii="Arial" w:hAnsi="Arial" w:cs="Arial"/>
          <w:sz w:val="20"/>
          <w:szCs w:val="20"/>
          <w:lang w:val="es-ES_tradnl"/>
        </w:rPr>
      </w:pPr>
    </w:p>
    <w:p w14:paraId="4500C5B1" w14:textId="49ACEAEC" w:rsidR="00B02E64" w:rsidRDefault="00B02E64" w:rsidP="00367AB3">
      <w:pPr>
        <w:spacing w:after="120" w:line="360" w:lineRule="auto"/>
        <w:jc w:val="both"/>
        <w:rPr>
          <w:rFonts w:ascii="Arial" w:hAnsi="Arial" w:cs="Arial"/>
          <w:sz w:val="20"/>
          <w:szCs w:val="20"/>
          <w:lang w:val="es-ES_tradnl"/>
        </w:rPr>
      </w:pPr>
    </w:p>
    <w:bookmarkEnd w:id="0"/>
    <w:p w14:paraId="30EDE5D8" w14:textId="77777777" w:rsidR="00232C5D" w:rsidRPr="00DA79A8" w:rsidRDefault="00232C5D">
      <w:pPr>
        <w:rPr>
          <w:rStyle w:val="Ttulodellibro"/>
          <w:rFonts w:cs="Arial"/>
          <w:bCs w:val="0"/>
          <w:sz w:val="20"/>
          <w:lang w:val="es-MX"/>
        </w:rPr>
      </w:pPr>
      <w:r w:rsidRPr="00DA79A8">
        <w:rPr>
          <w:rStyle w:val="Ttulodellibro"/>
          <w:rFonts w:cs="Arial"/>
          <w:b w:val="0"/>
        </w:rPr>
        <w:br w:type="page"/>
      </w:r>
    </w:p>
    <w:p w14:paraId="179D0B46" w14:textId="444B8ACB" w:rsidR="00E3767D" w:rsidRPr="00C67330" w:rsidRDefault="00E3767D" w:rsidP="00E3767D">
      <w:pPr>
        <w:jc w:val="center"/>
        <w:rPr>
          <w:rFonts w:ascii="Arial" w:hAnsi="Arial" w:cs="Arial"/>
          <w:sz w:val="20"/>
          <w:szCs w:val="20"/>
          <w:lang w:val="es-ES_tradnl"/>
        </w:rPr>
      </w:pPr>
    </w:p>
    <w:p w14:paraId="122D656A" w14:textId="20A9E524" w:rsidR="001911DA" w:rsidRPr="001808B1" w:rsidRDefault="001808B1" w:rsidP="00BE5AA1">
      <w:pPr>
        <w:pStyle w:val="Ttulo2"/>
        <w:keepLines/>
        <w:numPr>
          <w:ilvl w:val="0"/>
          <w:numId w:val="14"/>
        </w:numPr>
        <w:spacing w:before="360" w:line="259" w:lineRule="auto"/>
        <w:rPr>
          <w:rStyle w:val="Ttulodellibro"/>
          <w:rFonts w:eastAsiaTheme="majorEastAsia" w:cs="Arial"/>
          <w:b/>
          <w:smallCaps w:val="0"/>
          <w:color w:val="002060"/>
          <w:sz w:val="28"/>
          <w:szCs w:val="28"/>
          <w:lang w:val="es-ES"/>
        </w:rPr>
      </w:pPr>
      <w:bookmarkStart w:id="37" w:name="_Toc88819974"/>
      <w:bookmarkStart w:id="38" w:name="_Toc93420486"/>
      <w:bookmarkStart w:id="39" w:name="_Toc87963773"/>
      <w:bookmarkStart w:id="40" w:name="_Hlk93419223"/>
      <w:r w:rsidRPr="001808B1">
        <w:rPr>
          <w:rFonts w:ascii="Arial" w:eastAsiaTheme="majorEastAsia" w:hAnsi="Arial" w:cs="Arial"/>
          <w:bCs w:val="0"/>
          <w:color w:val="002060"/>
          <w:spacing w:val="5"/>
          <w:sz w:val="28"/>
          <w:szCs w:val="28"/>
          <w:lang w:val="es-ES"/>
        </w:rPr>
        <w:t>Apartado de Gestión: Centro Gestor</w:t>
      </w:r>
      <w:bookmarkEnd w:id="37"/>
      <w:bookmarkEnd w:id="38"/>
      <w:r w:rsidRPr="001808B1">
        <w:rPr>
          <w:rFonts w:ascii="Arial" w:eastAsiaTheme="majorEastAsia" w:hAnsi="Arial" w:cs="Arial"/>
          <w:bCs w:val="0"/>
          <w:color w:val="002060"/>
          <w:spacing w:val="5"/>
          <w:sz w:val="28"/>
          <w:szCs w:val="28"/>
          <w:lang w:val="es-ES"/>
        </w:rPr>
        <w:t xml:space="preserve"> </w:t>
      </w:r>
      <w:bookmarkEnd w:id="39"/>
    </w:p>
    <w:bookmarkEnd w:id="40"/>
    <w:p w14:paraId="05A36039" w14:textId="67AF17A9" w:rsidR="00B25945" w:rsidRDefault="00B25945">
      <w:pPr>
        <w:rPr>
          <w:rFonts w:ascii="Arial" w:hAnsi="Arial" w:cs="Arial"/>
          <w:b/>
          <w:bCs/>
          <w:sz w:val="20"/>
          <w:szCs w:val="20"/>
          <w:highlight w:val="yellow"/>
          <w:lang w:val="es-MX"/>
        </w:rPr>
      </w:pPr>
    </w:p>
    <w:p w14:paraId="432BADFF" w14:textId="7DBEF649" w:rsidR="00B25945" w:rsidRDefault="00B25945">
      <w:pPr>
        <w:rPr>
          <w:rFonts w:ascii="Arial" w:hAnsi="Arial" w:cs="Arial"/>
          <w:b/>
          <w:bCs/>
          <w:sz w:val="20"/>
          <w:szCs w:val="20"/>
          <w:highlight w:val="yellow"/>
          <w:lang w:val="es-MX"/>
        </w:rPr>
      </w:pPr>
    </w:p>
    <w:p w14:paraId="49C608C6" w14:textId="0D2ADB16" w:rsidR="00787790" w:rsidRDefault="00787790" w:rsidP="00BE5AA1">
      <w:pPr>
        <w:pStyle w:val="Ttulo2"/>
        <w:keepLines/>
        <w:numPr>
          <w:ilvl w:val="1"/>
          <w:numId w:val="13"/>
        </w:numPr>
        <w:spacing w:before="360" w:line="259" w:lineRule="auto"/>
        <w:jc w:val="both"/>
        <w:rPr>
          <w:rFonts w:ascii="Arial" w:hAnsi="Arial" w:cs="Arial"/>
          <w:iCs/>
          <w:color w:val="002060"/>
          <w:spacing w:val="15"/>
          <w:szCs w:val="20"/>
        </w:rPr>
      </w:pPr>
      <w:bookmarkStart w:id="41" w:name="_Toc25758878"/>
      <w:bookmarkStart w:id="42" w:name="_Toc56690436"/>
      <w:bookmarkStart w:id="43" w:name="_Toc93420487"/>
      <w:r w:rsidRPr="00A82E00">
        <w:rPr>
          <w:rFonts w:ascii="Arial" w:hAnsi="Arial" w:cs="Arial"/>
          <w:iCs/>
          <w:color w:val="002060"/>
          <w:spacing w:val="15"/>
          <w:szCs w:val="20"/>
        </w:rPr>
        <w:t>Análisis de los logros obtenidos</w:t>
      </w:r>
      <w:bookmarkEnd w:id="41"/>
      <w:bookmarkEnd w:id="42"/>
      <w:bookmarkEnd w:id="43"/>
    </w:p>
    <w:p w14:paraId="76F66905" w14:textId="77777777" w:rsidR="000D7CDF" w:rsidRPr="000D7CDF" w:rsidRDefault="000D7CDF" w:rsidP="000D7CDF">
      <w:pPr>
        <w:rPr>
          <w:lang w:val="es-MX"/>
        </w:rPr>
      </w:pPr>
    </w:p>
    <w:p w14:paraId="4D4B653A" w14:textId="77777777" w:rsidR="00787790" w:rsidRPr="004D2D74" w:rsidRDefault="00787790" w:rsidP="00787790">
      <w:pPr>
        <w:ind w:left="118"/>
        <w:rPr>
          <w:rFonts w:ascii="Arial" w:hAnsi="Arial" w:cs="Arial"/>
          <w:sz w:val="20"/>
          <w:szCs w:val="20"/>
          <w:u w:val="single"/>
          <w:lang w:val="es-MX"/>
        </w:rPr>
      </w:pPr>
    </w:p>
    <w:p w14:paraId="0CE538A9" w14:textId="77777777" w:rsidR="00C9198D" w:rsidRDefault="00787790" w:rsidP="00AD2276">
      <w:pPr>
        <w:numPr>
          <w:ilvl w:val="0"/>
          <w:numId w:val="1"/>
        </w:numPr>
        <w:spacing w:after="160" w:line="360" w:lineRule="auto"/>
        <w:ind w:left="426"/>
        <w:jc w:val="both"/>
        <w:rPr>
          <w:rFonts w:ascii="Arial" w:hAnsi="Arial" w:cs="Arial"/>
          <w:b/>
          <w:sz w:val="20"/>
          <w:szCs w:val="20"/>
        </w:rPr>
      </w:pPr>
      <w:r w:rsidRPr="00787790">
        <w:rPr>
          <w:rFonts w:ascii="Arial" w:hAnsi="Arial" w:cs="Arial"/>
          <w:b/>
          <w:sz w:val="20"/>
          <w:szCs w:val="20"/>
        </w:rPr>
        <w:t>Comentar ¿cómo la gestión desarrollada contribuyó con la misión institucional?</w:t>
      </w:r>
    </w:p>
    <w:p w14:paraId="16284CC7" w14:textId="0EDDE6FE" w:rsidR="00FF4F87" w:rsidRPr="000C36AC" w:rsidRDefault="00787790" w:rsidP="000C36AC">
      <w:pPr>
        <w:spacing w:line="360" w:lineRule="auto"/>
        <w:jc w:val="both"/>
        <w:rPr>
          <w:rFonts w:ascii="Arial" w:hAnsi="Arial" w:cs="Arial"/>
          <w:b/>
          <w:sz w:val="20"/>
          <w:szCs w:val="20"/>
        </w:rPr>
      </w:pPr>
      <w:r w:rsidRPr="000C36AC">
        <w:rPr>
          <w:rFonts w:ascii="Arial" w:hAnsi="Arial" w:cs="Arial"/>
          <w:b/>
          <w:sz w:val="20"/>
          <w:szCs w:val="20"/>
        </w:rPr>
        <w:t>Para el Programa 926:</w:t>
      </w:r>
      <w:r w:rsidRPr="000C36AC">
        <w:rPr>
          <w:rFonts w:ascii="Arial" w:hAnsi="Arial" w:cs="Arial"/>
          <w:sz w:val="20"/>
          <w:szCs w:val="20"/>
        </w:rPr>
        <w:t xml:space="preserve"> </w:t>
      </w:r>
      <w:r w:rsidR="00FF4F87" w:rsidRPr="000C36AC">
        <w:rPr>
          <w:rFonts w:ascii="Arial" w:eastAsiaTheme="minorEastAsia" w:hAnsi="Arial" w:cs="Arial"/>
          <w:sz w:val="20"/>
          <w:szCs w:val="20"/>
        </w:rPr>
        <w:t xml:space="preserve">El Poder Judicial realizó un esfuerzo enorme en el periodo 2021 para lograr una justicia pronta, cumplida y accesible para la población nacional a pesar de que diferentes factores externos que se mencionaron en el presente informe tuvieron incidencia considerable en los recursos formulados, así como en las metas institucionales. </w:t>
      </w:r>
    </w:p>
    <w:p w14:paraId="59B80603" w14:textId="231633C1" w:rsidR="00787790" w:rsidRPr="000C36AC" w:rsidRDefault="00787790" w:rsidP="000C36AC">
      <w:pPr>
        <w:spacing w:line="360" w:lineRule="auto"/>
        <w:jc w:val="both"/>
        <w:rPr>
          <w:rFonts w:ascii="Arial" w:hAnsi="Arial" w:cs="Arial"/>
          <w:sz w:val="20"/>
          <w:szCs w:val="20"/>
        </w:rPr>
      </w:pPr>
    </w:p>
    <w:p w14:paraId="2B98C4D7" w14:textId="1EC446FF" w:rsidR="00787790" w:rsidRPr="000C36AC" w:rsidRDefault="00787790" w:rsidP="000C36AC">
      <w:pPr>
        <w:spacing w:line="360" w:lineRule="auto"/>
        <w:jc w:val="both"/>
        <w:rPr>
          <w:rFonts w:ascii="Arial" w:hAnsi="Arial" w:cs="Arial"/>
          <w:sz w:val="20"/>
          <w:szCs w:val="20"/>
        </w:rPr>
      </w:pPr>
    </w:p>
    <w:p w14:paraId="48C78F3C" w14:textId="77777777" w:rsidR="00C074E5" w:rsidRPr="000C36AC" w:rsidRDefault="003C4FE2" w:rsidP="000C36AC">
      <w:pPr>
        <w:spacing w:line="360" w:lineRule="auto"/>
        <w:jc w:val="both"/>
        <w:rPr>
          <w:rFonts w:ascii="Arial" w:eastAsiaTheme="minorEastAsia" w:hAnsi="Arial" w:cs="Arial"/>
          <w:sz w:val="20"/>
          <w:szCs w:val="20"/>
        </w:rPr>
      </w:pPr>
      <w:r w:rsidRPr="000C36AC">
        <w:rPr>
          <w:rFonts w:ascii="Arial" w:hAnsi="Arial" w:cs="Arial"/>
          <w:b/>
          <w:sz w:val="20"/>
          <w:szCs w:val="20"/>
        </w:rPr>
        <w:t>Para el Programa 927:</w:t>
      </w:r>
      <w:r w:rsidRPr="000C36AC">
        <w:rPr>
          <w:rFonts w:ascii="Arial" w:hAnsi="Arial" w:cs="Arial"/>
          <w:sz w:val="20"/>
          <w:szCs w:val="20"/>
        </w:rPr>
        <w:t xml:space="preserve">   </w:t>
      </w:r>
      <w:r w:rsidR="00C074E5" w:rsidRPr="000C36AC">
        <w:rPr>
          <w:rFonts w:ascii="Arial" w:eastAsiaTheme="minorEastAsia" w:hAnsi="Arial" w:cs="Arial"/>
          <w:sz w:val="20"/>
          <w:szCs w:val="20"/>
        </w:rPr>
        <w:t xml:space="preserve">En el caso del Programa 927 </w:t>
      </w:r>
      <w:r w:rsidR="00C074E5" w:rsidRPr="000C36AC">
        <w:rPr>
          <w:rFonts w:ascii="Arial" w:eastAsiaTheme="minorEastAsia" w:hAnsi="Arial" w:cs="Arial"/>
          <w:i/>
          <w:iCs/>
          <w:sz w:val="20"/>
          <w:szCs w:val="20"/>
        </w:rPr>
        <w:t>“Servicio Jurisdiccional”</w:t>
      </w:r>
      <w:r w:rsidR="00C074E5" w:rsidRPr="000C36AC">
        <w:rPr>
          <w:rFonts w:ascii="Arial" w:eastAsiaTheme="minorEastAsia" w:hAnsi="Arial" w:cs="Arial"/>
          <w:sz w:val="20"/>
          <w:szCs w:val="20"/>
        </w:rPr>
        <w:t xml:space="preserve"> del Poder Judicial, la misión institucional definida en el plan estratégico 2019-2024 es “</w:t>
      </w:r>
      <w:r w:rsidR="00C074E5" w:rsidRPr="000C36AC">
        <w:rPr>
          <w:rFonts w:ascii="Arial" w:eastAsiaTheme="minorEastAsia" w:hAnsi="Arial" w:cs="Arial"/>
          <w:i/>
          <w:iCs/>
          <w:sz w:val="20"/>
          <w:szCs w:val="20"/>
        </w:rPr>
        <w:t>Administrar justicia pronta, cumplida y accesible, de conformidad con el ordenamiento jurídico para contribuir con la democracia, la paz social y el desarrollo sostenible del país”</w:t>
      </w:r>
      <w:r w:rsidR="00C074E5" w:rsidRPr="000C36AC">
        <w:rPr>
          <w:rFonts w:ascii="Arial" w:eastAsiaTheme="minorEastAsia" w:hAnsi="Arial" w:cs="Arial"/>
          <w:sz w:val="20"/>
          <w:szCs w:val="20"/>
        </w:rPr>
        <w:t xml:space="preserve">. </w:t>
      </w:r>
    </w:p>
    <w:p w14:paraId="2ACEDC2C" w14:textId="77777777" w:rsidR="00C074E5" w:rsidRPr="000C36AC" w:rsidRDefault="00C074E5" w:rsidP="000C36AC">
      <w:pPr>
        <w:spacing w:line="360" w:lineRule="auto"/>
        <w:jc w:val="both"/>
        <w:rPr>
          <w:rFonts w:ascii="Arial" w:eastAsiaTheme="minorEastAsia" w:hAnsi="Arial" w:cs="Arial"/>
          <w:sz w:val="20"/>
          <w:szCs w:val="20"/>
        </w:rPr>
      </w:pPr>
    </w:p>
    <w:p w14:paraId="5CE1429F" w14:textId="77777777" w:rsidR="00C074E5" w:rsidRPr="000C36AC" w:rsidRDefault="00C074E5"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El contenido presupuestario asignado durante el año 2021 para el programa mencionado (Servicio Jurisdiccional), permitió que se brindara un servicio acorde con lo establecido en el artículo 41 de la Constitución Política.</w:t>
      </w:r>
    </w:p>
    <w:p w14:paraId="48C5C845" w14:textId="77777777" w:rsidR="00C074E5" w:rsidRPr="000C36AC" w:rsidRDefault="00C074E5" w:rsidP="000C36AC">
      <w:pPr>
        <w:spacing w:line="360" w:lineRule="auto"/>
        <w:jc w:val="both"/>
        <w:rPr>
          <w:rFonts w:ascii="Arial" w:eastAsiaTheme="minorEastAsia" w:hAnsi="Arial" w:cs="Arial"/>
          <w:sz w:val="20"/>
          <w:szCs w:val="20"/>
        </w:rPr>
      </w:pPr>
    </w:p>
    <w:p w14:paraId="66A0D83B" w14:textId="77777777" w:rsidR="00C074E5" w:rsidRPr="000C36AC" w:rsidRDefault="00C074E5"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Lo anterior, se alcanzó en gran medida por medio de la implementación de las reformas en las materias civil y laboral; el plan de descongestionamiento para la implementación del Código Procesal Agrario; el plan de descongestionamiento para la implementación del Código Procesal de Familia, así como el Rediseño de Procesos del Modelo Penal con la aplicación de nuevas tecnologías de información.</w:t>
      </w:r>
    </w:p>
    <w:p w14:paraId="43942F1E" w14:textId="77777777" w:rsidR="00C074E5" w:rsidRPr="000C36AC" w:rsidRDefault="00C074E5" w:rsidP="000C36AC">
      <w:pPr>
        <w:spacing w:line="360" w:lineRule="auto"/>
        <w:jc w:val="both"/>
        <w:rPr>
          <w:rFonts w:ascii="Arial" w:eastAsiaTheme="minorEastAsia" w:hAnsi="Arial" w:cs="Arial"/>
          <w:sz w:val="20"/>
          <w:szCs w:val="20"/>
        </w:rPr>
      </w:pPr>
    </w:p>
    <w:p w14:paraId="26E06A04" w14:textId="77777777" w:rsidR="00C074E5" w:rsidRPr="000C36AC" w:rsidRDefault="00C074E5"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Adicionalmente, se deben considerar las medidas adoptadas por el Poder Judicial desde el año 2020, orientadas en asegurar la continuidad de servicio brindado por los distintos despachos jurisdiccionales del país a raíz de la pandemia por COVID-19; las cuales abarcaron diversos aspectos, entre los que se citan:</w:t>
      </w:r>
    </w:p>
    <w:p w14:paraId="0A4FE64F" w14:textId="77777777" w:rsidR="00C074E5" w:rsidRPr="000C36AC" w:rsidRDefault="00C074E5" w:rsidP="000C36AC">
      <w:pPr>
        <w:spacing w:line="360" w:lineRule="auto"/>
        <w:jc w:val="both"/>
        <w:rPr>
          <w:rFonts w:ascii="Arial" w:eastAsiaTheme="minorEastAsia" w:hAnsi="Arial" w:cs="Arial"/>
          <w:sz w:val="20"/>
          <w:szCs w:val="20"/>
        </w:rPr>
      </w:pPr>
    </w:p>
    <w:p w14:paraId="364329C9" w14:textId="77777777" w:rsidR="00C074E5" w:rsidRPr="00B129D5" w:rsidRDefault="00C074E5" w:rsidP="00BE5AA1">
      <w:pPr>
        <w:pStyle w:val="Prrafodelista"/>
        <w:numPr>
          <w:ilvl w:val="0"/>
          <w:numId w:val="18"/>
        </w:numPr>
        <w:spacing w:line="360" w:lineRule="auto"/>
        <w:jc w:val="both"/>
        <w:rPr>
          <w:rFonts w:ascii="Arial" w:eastAsiaTheme="minorEastAsia" w:hAnsi="Arial" w:cs="Arial"/>
          <w:sz w:val="20"/>
          <w:szCs w:val="20"/>
        </w:rPr>
      </w:pPr>
      <w:r w:rsidRPr="00B129D5">
        <w:rPr>
          <w:rFonts w:ascii="Arial" w:eastAsiaTheme="minorEastAsia" w:hAnsi="Arial" w:cs="Arial"/>
          <w:sz w:val="20"/>
          <w:szCs w:val="20"/>
        </w:rPr>
        <w:lastRenderedPageBreak/>
        <w:t>Continuidad del teletrabajo, así como el establecimiento de perfiles y formalización del proceso entre las personas.</w:t>
      </w:r>
    </w:p>
    <w:p w14:paraId="49A6C9A1" w14:textId="77777777" w:rsidR="00C074E5" w:rsidRPr="00B129D5" w:rsidRDefault="00C074E5" w:rsidP="00BE5AA1">
      <w:pPr>
        <w:pStyle w:val="Prrafodelista"/>
        <w:numPr>
          <w:ilvl w:val="0"/>
          <w:numId w:val="18"/>
        </w:numPr>
        <w:spacing w:line="360" w:lineRule="auto"/>
        <w:jc w:val="both"/>
        <w:rPr>
          <w:rFonts w:ascii="Arial" w:eastAsiaTheme="minorEastAsia" w:hAnsi="Arial" w:cs="Arial"/>
          <w:sz w:val="20"/>
          <w:szCs w:val="20"/>
        </w:rPr>
      </w:pPr>
      <w:r w:rsidRPr="00B129D5">
        <w:rPr>
          <w:rFonts w:ascii="Arial" w:eastAsiaTheme="minorEastAsia" w:hAnsi="Arial" w:cs="Arial"/>
          <w:sz w:val="20"/>
          <w:szCs w:val="20"/>
        </w:rPr>
        <w:t>Adquisición de las respectivas licencias para dar continuidad al teletrabajo.</w:t>
      </w:r>
    </w:p>
    <w:p w14:paraId="1E91F584" w14:textId="77777777" w:rsidR="00C074E5" w:rsidRPr="00B129D5" w:rsidRDefault="00C074E5" w:rsidP="00BE5AA1">
      <w:pPr>
        <w:pStyle w:val="Prrafodelista"/>
        <w:numPr>
          <w:ilvl w:val="0"/>
          <w:numId w:val="18"/>
        </w:numPr>
        <w:spacing w:line="360" w:lineRule="auto"/>
        <w:jc w:val="both"/>
        <w:rPr>
          <w:rFonts w:ascii="Arial" w:eastAsiaTheme="minorEastAsia" w:hAnsi="Arial" w:cs="Arial"/>
          <w:sz w:val="20"/>
          <w:szCs w:val="20"/>
        </w:rPr>
      </w:pPr>
      <w:r w:rsidRPr="00B129D5">
        <w:rPr>
          <w:rFonts w:ascii="Arial" w:eastAsiaTheme="minorEastAsia" w:hAnsi="Arial" w:cs="Arial"/>
          <w:sz w:val="20"/>
          <w:szCs w:val="20"/>
        </w:rPr>
        <w:t>Continuidad a horarios extraordinarios para aquellos despachos que por sus particularidades así lo requieran.</w:t>
      </w:r>
    </w:p>
    <w:p w14:paraId="60847C21" w14:textId="77777777" w:rsidR="00C074E5" w:rsidRPr="00B129D5" w:rsidRDefault="00C074E5" w:rsidP="00BE5AA1">
      <w:pPr>
        <w:pStyle w:val="Prrafodelista"/>
        <w:numPr>
          <w:ilvl w:val="0"/>
          <w:numId w:val="18"/>
        </w:numPr>
        <w:spacing w:line="360" w:lineRule="auto"/>
        <w:jc w:val="both"/>
        <w:rPr>
          <w:rFonts w:ascii="Arial" w:eastAsiaTheme="minorEastAsia" w:hAnsi="Arial" w:cs="Arial"/>
          <w:sz w:val="20"/>
          <w:szCs w:val="20"/>
        </w:rPr>
      </w:pPr>
      <w:r w:rsidRPr="00B129D5">
        <w:rPr>
          <w:rFonts w:ascii="Arial" w:eastAsiaTheme="minorEastAsia" w:hAnsi="Arial" w:cs="Arial"/>
          <w:sz w:val="20"/>
          <w:szCs w:val="20"/>
        </w:rPr>
        <w:t>Seguimiento y control de la gestión realizada por los despachos en tiempos de pandemia.</w:t>
      </w:r>
    </w:p>
    <w:p w14:paraId="559ADA26" w14:textId="77777777" w:rsidR="00C074E5" w:rsidRPr="00B129D5" w:rsidRDefault="00C074E5" w:rsidP="00BE5AA1">
      <w:pPr>
        <w:pStyle w:val="Prrafodelista"/>
        <w:numPr>
          <w:ilvl w:val="0"/>
          <w:numId w:val="18"/>
        </w:numPr>
        <w:spacing w:line="360" w:lineRule="auto"/>
        <w:jc w:val="both"/>
        <w:rPr>
          <w:rFonts w:ascii="Arial" w:eastAsiaTheme="minorEastAsia" w:hAnsi="Arial" w:cs="Arial"/>
          <w:sz w:val="20"/>
          <w:szCs w:val="20"/>
        </w:rPr>
      </w:pPr>
      <w:r w:rsidRPr="00B129D5">
        <w:rPr>
          <w:rFonts w:ascii="Arial" w:eastAsiaTheme="minorEastAsia" w:hAnsi="Arial" w:cs="Arial"/>
          <w:sz w:val="20"/>
          <w:szCs w:val="20"/>
        </w:rPr>
        <w:t xml:space="preserve">Utilización de los protocolos para la realización de audiencias orales por medios tecnológicos en las materias agraria, civil, contencioso-administrativa y civil de hacienda, contravencional, ejecución de la pena, familia, laboral, penal, penal juvenil y tránsito; así como el protocolo para la realización de audiencias de resolución alterna de conflictos y Justicia Restaurativa por medios tecnológicos en los Centros de Conciliación del Poder Judicial, en los cuales se establecieron guías prácticas, que facilitan los criterios y las reglas básicas a seguir por parte de los operadores del sistema de administración de justicia para un adecuado y efectivo desarrollo de audiencias por medio de videoconferencia, ya sea de circuito cerrado de televisión del Poder Judicial o por la herramienta denominada </w:t>
      </w:r>
      <w:r w:rsidRPr="00B129D5">
        <w:rPr>
          <w:rFonts w:ascii="Arial" w:eastAsiaTheme="minorEastAsia" w:hAnsi="Arial" w:cs="Arial"/>
          <w:i/>
          <w:iCs/>
          <w:sz w:val="20"/>
          <w:szCs w:val="20"/>
        </w:rPr>
        <w:t>“Microsoft Teams”</w:t>
      </w:r>
      <w:r w:rsidRPr="00B129D5">
        <w:rPr>
          <w:rFonts w:ascii="Arial" w:eastAsiaTheme="minorEastAsia" w:hAnsi="Arial" w:cs="Arial"/>
          <w:sz w:val="20"/>
          <w:szCs w:val="20"/>
        </w:rPr>
        <w:t>, autorizada en la circular 36-CDTI-2020 de la Dirección de Tecnología de la Información; recurriendo así a medios tecnológicos que permitieron crear un canal de comunicación idóneo en tiempo real, entre las partes intervinientes del proceso que se encontraban en lugares distintos.</w:t>
      </w:r>
    </w:p>
    <w:p w14:paraId="580EF7E8" w14:textId="19E103A2" w:rsidR="003C4FE2" w:rsidRPr="000C36AC" w:rsidRDefault="003C4FE2" w:rsidP="000C36AC">
      <w:pPr>
        <w:spacing w:line="360" w:lineRule="auto"/>
        <w:jc w:val="both"/>
        <w:rPr>
          <w:rFonts w:ascii="Arial" w:hAnsi="Arial" w:cs="Arial"/>
          <w:sz w:val="20"/>
          <w:szCs w:val="20"/>
          <w:lang w:val="es-MX"/>
        </w:rPr>
      </w:pPr>
      <w:r w:rsidRPr="000C36AC">
        <w:rPr>
          <w:rFonts w:ascii="Arial" w:hAnsi="Arial" w:cs="Arial"/>
          <w:sz w:val="20"/>
          <w:szCs w:val="20"/>
          <w:lang w:val="es-MX"/>
        </w:rPr>
        <w:t>.</w:t>
      </w:r>
    </w:p>
    <w:p w14:paraId="734A0C3D" w14:textId="7AC46E4D" w:rsidR="00787790" w:rsidRPr="000C36AC" w:rsidRDefault="00787790" w:rsidP="000C36AC">
      <w:pPr>
        <w:spacing w:line="360" w:lineRule="auto"/>
        <w:jc w:val="both"/>
        <w:rPr>
          <w:rFonts w:ascii="Arial" w:hAnsi="Arial" w:cs="Arial"/>
          <w:sz w:val="20"/>
          <w:szCs w:val="20"/>
        </w:rPr>
      </w:pPr>
    </w:p>
    <w:p w14:paraId="55C75377" w14:textId="77777777" w:rsidR="00C21E5F" w:rsidRPr="000C36AC" w:rsidRDefault="001E7408" w:rsidP="000C36AC">
      <w:pPr>
        <w:spacing w:line="360" w:lineRule="auto"/>
        <w:jc w:val="both"/>
        <w:rPr>
          <w:rFonts w:ascii="Arial" w:eastAsiaTheme="minorEastAsia" w:hAnsi="Arial" w:cs="Arial"/>
          <w:sz w:val="20"/>
          <w:szCs w:val="20"/>
        </w:rPr>
      </w:pPr>
      <w:r w:rsidRPr="000C36AC">
        <w:rPr>
          <w:rFonts w:ascii="Arial" w:hAnsi="Arial" w:cs="Arial"/>
          <w:b/>
          <w:sz w:val="20"/>
          <w:szCs w:val="20"/>
        </w:rPr>
        <w:t xml:space="preserve">Para el Programa 928:  </w:t>
      </w:r>
      <w:r w:rsidR="00C21E5F" w:rsidRPr="000C36AC">
        <w:rPr>
          <w:rFonts w:ascii="Arial" w:eastAsiaTheme="minorEastAsia" w:hAnsi="Arial" w:cs="Arial"/>
          <w:sz w:val="20"/>
          <w:szCs w:val="20"/>
        </w:rPr>
        <w:t xml:space="preserve">En el caso específico del Organismo de Investigación Judicial que constituye un conjunto de especialidades científicas, médicas y policiales, se logró a través de la ejecución del presupuesto, dotar las herramientas necesarias a todos los involucrados en estas áreas, lo que constituye mayor nivel de especialización y protección para cada colaborador.  Es así como se tiene un laboratorio robusto con equipamiento de alta tecnología y se tiene una policía mayormente resguardada para poder enfrentar el alto impacto de la criminalidad, lo cual contribuye a nuestra misión dirigida a una administración de justicia pronta y cumplida.  Además, se logró concretar obras de construcción bastante importantes como son la Morgue Auxiliar y el Edificio del Incinerador que permitirá realizar la quema de droga a nivel institucional sin la participación de terceros, minimizando el nivel de riesgo en este tipo de operaciones.  Si bien es cierto, no se logró el porcentaje ideal, lo cierto del caso es que existen factores tanto internos como externos que no permiten alcanzar la totalidad de lo programado y el año 2021 fue un claro </w:t>
      </w:r>
      <w:r w:rsidR="00C21E5F" w:rsidRPr="000C36AC">
        <w:rPr>
          <w:rFonts w:ascii="Arial" w:eastAsiaTheme="minorEastAsia" w:hAnsi="Arial" w:cs="Arial"/>
          <w:sz w:val="20"/>
          <w:szCs w:val="20"/>
        </w:rPr>
        <w:lastRenderedPageBreak/>
        <w:t>ejemplo de cómo los objetivos que forman parte de un plan estratégico pueden variar considerablemente.</w:t>
      </w:r>
    </w:p>
    <w:p w14:paraId="5CC880C6" w14:textId="1E7716B5" w:rsidR="00787790" w:rsidRPr="000C36AC" w:rsidRDefault="00787790" w:rsidP="000C36AC">
      <w:pPr>
        <w:spacing w:line="360" w:lineRule="auto"/>
        <w:jc w:val="both"/>
        <w:rPr>
          <w:rFonts w:ascii="Arial" w:hAnsi="Arial" w:cs="Arial"/>
          <w:sz w:val="20"/>
          <w:szCs w:val="20"/>
        </w:rPr>
      </w:pPr>
    </w:p>
    <w:p w14:paraId="3E4C0838" w14:textId="77777777" w:rsidR="00FF57C7" w:rsidRPr="000C36AC" w:rsidRDefault="001D6E7F" w:rsidP="000C36AC">
      <w:pPr>
        <w:spacing w:line="360" w:lineRule="auto"/>
        <w:jc w:val="both"/>
        <w:rPr>
          <w:rFonts w:ascii="Arial" w:eastAsiaTheme="minorEastAsia" w:hAnsi="Arial" w:cs="Arial"/>
          <w:sz w:val="20"/>
          <w:szCs w:val="20"/>
        </w:rPr>
      </w:pPr>
      <w:r w:rsidRPr="000C36AC">
        <w:rPr>
          <w:rFonts w:ascii="Arial" w:hAnsi="Arial" w:cs="Arial"/>
          <w:b/>
          <w:sz w:val="20"/>
          <w:szCs w:val="20"/>
        </w:rPr>
        <w:t xml:space="preserve">Para el Programa 929:  </w:t>
      </w:r>
      <w:r w:rsidR="00FF57C7" w:rsidRPr="000C36AC">
        <w:rPr>
          <w:rFonts w:ascii="Arial" w:eastAsiaTheme="minorEastAsia" w:hAnsi="Arial" w:cs="Arial"/>
          <w:sz w:val="20"/>
          <w:szCs w:val="20"/>
        </w:rPr>
        <w:t xml:space="preserve">La gestión desarrollada por el programa 929, contribuyó de diferentes formas con la misión institucional; se realizó el equipamiento de la Oficina de Prensa y la compra de equipos necesarios en las diferentes oficinas del Ministerio Público, que permitirán resolver los casos de manera eficiente y eficaz, garantizando el acceso a la justicia; además, a pesar de la situación actual que enfrenta el país, debido al COVID-19, se procuró brindar un servicio púbico de calidad al desarrollarse diversas acciones para el fortalecimiento de los conocimientos, habilidades y destrezas de las personas funcionarias del Ministerio Púbico en diversos aspectos, que a su vez permiten una mejor atención a las personas usuarias del Poder Judicial. </w:t>
      </w:r>
    </w:p>
    <w:p w14:paraId="05E4249D" w14:textId="77777777" w:rsidR="00FF57C7" w:rsidRPr="000C36AC" w:rsidRDefault="00FF57C7"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Cabe señalar que, como parte de la labor de proyección institucional se continua con el plan Nacional de Transparencia y Rendición de Cuentas en el Ministerio Público, el cual busca la cercanía con la ciudadanía a nivel nacional.</w:t>
      </w:r>
    </w:p>
    <w:p w14:paraId="493ECEE4" w14:textId="1C5D4D77" w:rsidR="002F0343" w:rsidRPr="000C36AC" w:rsidRDefault="002F0343" w:rsidP="000C36AC">
      <w:pPr>
        <w:spacing w:line="360" w:lineRule="auto"/>
        <w:jc w:val="both"/>
        <w:rPr>
          <w:rFonts w:ascii="Arial" w:hAnsi="Arial" w:cs="Arial"/>
          <w:sz w:val="20"/>
          <w:szCs w:val="20"/>
        </w:rPr>
      </w:pPr>
    </w:p>
    <w:p w14:paraId="4F6DEB2B" w14:textId="77777777" w:rsidR="00CD6C60" w:rsidRPr="000C36AC" w:rsidRDefault="00CD6C60" w:rsidP="000C36AC">
      <w:pPr>
        <w:spacing w:line="360" w:lineRule="auto"/>
        <w:jc w:val="both"/>
        <w:rPr>
          <w:rFonts w:ascii="Arial" w:hAnsi="Arial" w:cs="Arial"/>
          <w:sz w:val="20"/>
          <w:szCs w:val="20"/>
        </w:rPr>
      </w:pPr>
    </w:p>
    <w:p w14:paraId="038E68A6" w14:textId="39D36C15" w:rsidR="0076342B" w:rsidRPr="000C36AC" w:rsidRDefault="00CD6C60" w:rsidP="000C36AC">
      <w:pPr>
        <w:spacing w:line="360" w:lineRule="auto"/>
        <w:jc w:val="both"/>
        <w:rPr>
          <w:rFonts w:ascii="Arial" w:eastAsiaTheme="minorEastAsia" w:hAnsi="Arial" w:cs="Arial"/>
          <w:sz w:val="20"/>
          <w:szCs w:val="20"/>
        </w:rPr>
      </w:pPr>
      <w:r w:rsidRPr="000C36AC">
        <w:rPr>
          <w:rFonts w:ascii="Arial" w:hAnsi="Arial" w:cs="Arial"/>
          <w:b/>
          <w:sz w:val="20"/>
          <w:szCs w:val="20"/>
        </w:rPr>
        <w:t>Para el Programa 930</w:t>
      </w:r>
      <w:r w:rsidR="000A4CB3" w:rsidRPr="000C36AC">
        <w:rPr>
          <w:rFonts w:ascii="Arial" w:hAnsi="Arial" w:cs="Arial"/>
          <w:b/>
          <w:sz w:val="20"/>
          <w:szCs w:val="20"/>
        </w:rPr>
        <w:t>: “</w:t>
      </w:r>
      <w:r w:rsidR="0076342B" w:rsidRPr="000C36AC">
        <w:rPr>
          <w:rFonts w:ascii="Arial" w:eastAsiaTheme="minorEastAsia" w:hAnsi="Arial" w:cs="Arial"/>
          <w:sz w:val="20"/>
          <w:szCs w:val="20"/>
        </w:rPr>
        <w:t>Proveer defensa pública con excelencia, solidaridad y compromiso a todas las personas usuarias, contribuyendo a garantizar la plena vigencia de los derechos, libertades, garantías e intereses de estas personas, en forma ágil y oportuna, en los procesos judiciales que nos han sido legalmente asignados”</w:t>
      </w:r>
    </w:p>
    <w:p w14:paraId="09516107" w14:textId="77777777" w:rsidR="0076342B" w:rsidRPr="000C36AC" w:rsidRDefault="0076342B"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La gestión desarrollada impacta directamente el servicio que brinda la Defensa Pública, la cual está totalmente ligada a la atención de la población que requiere los servicios de un profesional en derecho, en las materias en las que ofrece asistencia letrada la institución.</w:t>
      </w:r>
    </w:p>
    <w:p w14:paraId="12041047" w14:textId="77777777" w:rsidR="0076342B" w:rsidRPr="000C36AC" w:rsidRDefault="0076342B"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El servicio está dirigido especialmente a población vulnerable, que encuentra en la Defensa Pública la posibilidad de contar con asistencia letrada para enfrentar un proceso judicial. Cada persona usuaria es particular en la atención de su caso, por tanto, recibe un servicio individualizado que permite a la persona defensora recolectar la información suficiente para plantear una estrategia para la solución del conflicto buscando el mejor resultado para la parte representada de acuerdo a las disposiciones legales vigentes.</w:t>
      </w:r>
    </w:p>
    <w:p w14:paraId="3BF6E5DF" w14:textId="77777777" w:rsidR="00CD6C60" w:rsidRPr="000C36AC" w:rsidRDefault="00CD6C60" w:rsidP="000C36AC">
      <w:pPr>
        <w:spacing w:line="360" w:lineRule="auto"/>
        <w:jc w:val="both"/>
        <w:rPr>
          <w:rFonts w:ascii="Arial" w:hAnsi="Arial" w:cs="Arial"/>
          <w:b/>
          <w:sz w:val="20"/>
          <w:szCs w:val="20"/>
        </w:rPr>
      </w:pPr>
    </w:p>
    <w:p w14:paraId="7D74A04A" w14:textId="77777777" w:rsidR="00AD2276" w:rsidRPr="000C36AC" w:rsidRDefault="00CD6C60" w:rsidP="000C36AC">
      <w:pPr>
        <w:spacing w:line="360" w:lineRule="auto"/>
        <w:jc w:val="both"/>
        <w:rPr>
          <w:rFonts w:ascii="Arial" w:eastAsiaTheme="minorEastAsia" w:hAnsi="Arial" w:cs="Arial"/>
          <w:sz w:val="20"/>
          <w:szCs w:val="20"/>
        </w:rPr>
      </w:pPr>
      <w:r w:rsidRPr="000C36AC">
        <w:rPr>
          <w:rFonts w:ascii="Arial" w:hAnsi="Arial" w:cs="Arial"/>
          <w:b/>
          <w:sz w:val="20"/>
          <w:szCs w:val="20"/>
        </w:rPr>
        <w:t xml:space="preserve">Para el Programa 950: </w:t>
      </w:r>
      <w:r w:rsidR="00AD2276" w:rsidRPr="000C36AC">
        <w:rPr>
          <w:rFonts w:ascii="Arial" w:eastAsiaTheme="minorEastAsia" w:hAnsi="Arial" w:cs="Arial"/>
          <w:sz w:val="20"/>
          <w:szCs w:val="20"/>
        </w:rPr>
        <w:t xml:space="preserve">A fin de contribuir a un segmento de la población que por mucho tiempo estuvo proscrito en el ámbito judicial como lo son las personas víctimas y testigos, en el 2009 entró en vigencia la Ley 8720 “Ley de Protección a Víctimas, Testigos y demás Sujetos </w:t>
      </w:r>
      <w:r w:rsidR="00AD2276" w:rsidRPr="000C36AC">
        <w:rPr>
          <w:rFonts w:ascii="Arial" w:eastAsiaTheme="minorEastAsia" w:hAnsi="Arial" w:cs="Arial"/>
          <w:sz w:val="20"/>
          <w:szCs w:val="20"/>
        </w:rPr>
        <w:lastRenderedPageBreak/>
        <w:t xml:space="preserve">Intervinientes en el Proceso Penal” instrumento jurídico que vino a proteger y regular los derechos de la persona víctimas y testigos en el derecho penal costarricense. </w:t>
      </w:r>
    </w:p>
    <w:p w14:paraId="7E362F84" w14:textId="77777777" w:rsidR="00AD2276" w:rsidRPr="000C36AC" w:rsidRDefault="00AD2276" w:rsidP="000C36AC">
      <w:pPr>
        <w:spacing w:line="360" w:lineRule="auto"/>
        <w:jc w:val="both"/>
        <w:rPr>
          <w:rFonts w:ascii="Arial" w:eastAsiaTheme="minorEastAsia" w:hAnsi="Arial" w:cs="Arial"/>
          <w:sz w:val="20"/>
          <w:szCs w:val="20"/>
        </w:rPr>
      </w:pPr>
    </w:p>
    <w:p w14:paraId="7FC9C5DF" w14:textId="77777777" w:rsidR="00AD2276" w:rsidRPr="000C36AC" w:rsidRDefault="00AD2276"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Desde la labor de los equipos de atención, protección y con apoyo de los agentes protectores que integran el programa 950 se busca prestar un servicio público de calidad que aporte a la misión institucional, garantizando siempre la búsqueda de los derechos y participación de las personas víctimas de un delito en el proceso penal.</w:t>
      </w:r>
    </w:p>
    <w:p w14:paraId="7AB90401" w14:textId="77777777" w:rsidR="00AD2276" w:rsidRPr="000C36AC" w:rsidRDefault="00AD2276" w:rsidP="000C36AC">
      <w:pPr>
        <w:spacing w:line="360" w:lineRule="auto"/>
        <w:jc w:val="both"/>
        <w:rPr>
          <w:rFonts w:ascii="Arial" w:eastAsiaTheme="minorEastAsia" w:hAnsi="Arial" w:cs="Arial"/>
          <w:sz w:val="20"/>
          <w:szCs w:val="20"/>
        </w:rPr>
      </w:pPr>
    </w:p>
    <w:p w14:paraId="26DB8E47" w14:textId="77777777" w:rsidR="00AD2276" w:rsidRPr="000C36AC" w:rsidRDefault="00AD2276"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 xml:space="preserve">A pesar de las limitaciones generadas por la pandemia, en el 2021 tanto la Oficina de Atención y Protección a Víctimas como la Unidad de Protección desarrollaron planes de trabajo que permitieron la atención del 100% de las solicitudes de servicio remitidas por las diversas oficinas de los Tribunales de Justicia, Fuerza Pública, así como las solicitudes espontaneas. </w:t>
      </w:r>
    </w:p>
    <w:p w14:paraId="4FEE13A2" w14:textId="77777777" w:rsidR="00AD2276" w:rsidRPr="000C36AC" w:rsidRDefault="00AD2276" w:rsidP="000C36AC">
      <w:pPr>
        <w:spacing w:line="360" w:lineRule="auto"/>
        <w:jc w:val="both"/>
        <w:rPr>
          <w:rFonts w:ascii="Arial" w:eastAsiaTheme="minorEastAsia" w:hAnsi="Arial" w:cs="Arial"/>
          <w:sz w:val="20"/>
          <w:szCs w:val="20"/>
        </w:rPr>
      </w:pPr>
    </w:p>
    <w:p w14:paraId="7B73FF85" w14:textId="77777777" w:rsidR="00AD2276" w:rsidRPr="000C36AC" w:rsidRDefault="00AD2276"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De acuerdo a los datos estadísticos el 2021 finalizó con 18.266,00 asuntos entre casos nuevos y reingresos de los cuales correspondían al Programa de Atención 11.197 y al Programa de Protección 7.069. </w:t>
      </w:r>
    </w:p>
    <w:p w14:paraId="2C1E9112" w14:textId="77777777" w:rsidR="00AD2276" w:rsidRPr="000C36AC" w:rsidRDefault="00AD2276" w:rsidP="000C36AC">
      <w:pPr>
        <w:spacing w:line="360" w:lineRule="auto"/>
        <w:jc w:val="both"/>
        <w:rPr>
          <w:rFonts w:ascii="Arial" w:eastAsiaTheme="minorEastAsia" w:hAnsi="Arial" w:cs="Arial"/>
          <w:sz w:val="20"/>
          <w:szCs w:val="20"/>
        </w:rPr>
      </w:pPr>
    </w:p>
    <w:p w14:paraId="2BB02DD7" w14:textId="77777777" w:rsidR="00AD2276" w:rsidRPr="000C36AC" w:rsidRDefault="00AD2276"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 xml:space="preserve">Dentro de los expedientes atendidos se registran 2.674 valoraciones de riesgo y 3.865 revaloraciones. En atención a la solicitud de la Fiscalía y el Juzgado se tramitaron 136 informes técnicos los cuales constituyen un insumo para fundamentar las solicitudes de protección procesal, prisión preventiva o anticipo jurisdiccional de prueba.    </w:t>
      </w:r>
    </w:p>
    <w:p w14:paraId="20DB63D4" w14:textId="77777777" w:rsidR="00AD2276" w:rsidRPr="000C36AC" w:rsidRDefault="00AD2276" w:rsidP="000C36AC">
      <w:pPr>
        <w:spacing w:line="360" w:lineRule="auto"/>
        <w:jc w:val="both"/>
        <w:rPr>
          <w:rFonts w:ascii="Arial" w:eastAsiaTheme="minorEastAsia" w:hAnsi="Arial" w:cs="Arial"/>
          <w:sz w:val="20"/>
          <w:szCs w:val="20"/>
        </w:rPr>
      </w:pPr>
    </w:p>
    <w:p w14:paraId="1B9183E0" w14:textId="77777777" w:rsidR="00AD2276" w:rsidRPr="000C36AC" w:rsidRDefault="00AD2276"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 xml:space="preserve">Tomando en consideración el tema de confinamiento se llevaron a cabo 4.860 asesorías telefónicas. </w:t>
      </w:r>
    </w:p>
    <w:p w14:paraId="387CE345" w14:textId="77777777" w:rsidR="00AD2276" w:rsidRPr="000C36AC" w:rsidRDefault="00AD2276" w:rsidP="000C36AC">
      <w:pPr>
        <w:spacing w:line="360" w:lineRule="auto"/>
        <w:jc w:val="both"/>
        <w:rPr>
          <w:rFonts w:ascii="Arial" w:eastAsiaTheme="minorEastAsia" w:hAnsi="Arial" w:cs="Arial"/>
          <w:sz w:val="20"/>
          <w:szCs w:val="20"/>
        </w:rPr>
      </w:pPr>
    </w:p>
    <w:p w14:paraId="2A279F11" w14:textId="77777777" w:rsidR="00AD2276" w:rsidRPr="000C36AC" w:rsidRDefault="00AD2276" w:rsidP="000C36AC">
      <w:pPr>
        <w:spacing w:line="360" w:lineRule="auto"/>
        <w:jc w:val="both"/>
        <w:rPr>
          <w:rFonts w:ascii="Arial" w:eastAsiaTheme="minorEastAsia" w:hAnsi="Arial" w:cs="Arial"/>
          <w:sz w:val="20"/>
          <w:szCs w:val="20"/>
        </w:rPr>
      </w:pPr>
      <w:r w:rsidRPr="000C36AC">
        <w:rPr>
          <w:rFonts w:ascii="Arial" w:eastAsiaTheme="minorEastAsia" w:hAnsi="Arial" w:cs="Arial"/>
          <w:sz w:val="20"/>
          <w:szCs w:val="20"/>
        </w:rPr>
        <w:t xml:space="preserve">Debido a la pandemia desde la disciplina de psicología se promovió la realización de atención al paciente de manera virtual, la denominada </w:t>
      </w:r>
      <w:r w:rsidRPr="000C36AC">
        <w:rPr>
          <w:rFonts w:ascii="Arial" w:eastAsiaTheme="minorEastAsia" w:hAnsi="Arial" w:cs="Arial"/>
          <w:b/>
          <w:sz w:val="20"/>
          <w:szCs w:val="20"/>
          <w:shd w:val="clear" w:color="auto" w:fill="FFFFFF"/>
        </w:rPr>
        <w:t>Tele-psicología</w:t>
      </w:r>
      <w:r w:rsidRPr="000C36AC">
        <w:rPr>
          <w:rFonts w:ascii="Arial" w:eastAsiaTheme="minorEastAsia" w:hAnsi="Arial" w:cs="Arial"/>
          <w:sz w:val="20"/>
          <w:szCs w:val="20"/>
        </w:rPr>
        <w:t xml:space="preserve"> se puso en práctica con el fin de no exponer a las personas usuarias a salir de sus casas, la nueva forma de prestación de servicio se comenzó a funcionar en mayo por lo que se llegaron a contabilizar a diciembre 78    sesiones de trabajo de este tipo. </w:t>
      </w:r>
    </w:p>
    <w:p w14:paraId="53C8C9C4" w14:textId="4D0E1037" w:rsidR="00CD6C60" w:rsidRPr="000C36AC" w:rsidRDefault="00CD6C60" w:rsidP="000C36AC">
      <w:pPr>
        <w:spacing w:line="360" w:lineRule="auto"/>
        <w:jc w:val="both"/>
        <w:rPr>
          <w:rFonts w:ascii="Arial" w:hAnsi="Arial" w:cs="Arial"/>
          <w:sz w:val="20"/>
          <w:szCs w:val="20"/>
        </w:rPr>
      </w:pPr>
    </w:p>
    <w:p w14:paraId="3EDC10FF" w14:textId="77777777" w:rsidR="00AE0476" w:rsidRPr="000C36AC" w:rsidRDefault="00AE0476" w:rsidP="000C36AC">
      <w:pPr>
        <w:spacing w:line="360" w:lineRule="auto"/>
        <w:jc w:val="both"/>
        <w:rPr>
          <w:rFonts w:ascii="Arial" w:hAnsi="Arial" w:cs="Arial"/>
          <w:color w:val="000000" w:themeColor="text1"/>
          <w:sz w:val="20"/>
          <w:szCs w:val="20"/>
        </w:rPr>
      </w:pPr>
    </w:p>
    <w:p w14:paraId="180A1998" w14:textId="77777777" w:rsidR="00787790" w:rsidRPr="00B45228" w:rsidRDefault="00787790" w:rsidP="00787790">
      <w:pPr>
        <w:jc w:val="both"/>
        <w:rPr>
          <w:rFonts w:ascii="Arial" w:hAnsi="Arial" w:cs="Arial"/>
          <w:bCs/>
          <w:sz w:val="20"/>
          <w:szCs w:val="20"/>
        </w:rPr>
      </w:pPr>
    </w:p>
    <w:p w14:paraId="03CB9156" w14:textId="77777777" w:rsidR="00787790" w:rsidRPr="004D2D74" w:rsidRDefault="00787790" w:rsidP="00787790">
      <w:pPr>
        <w:spacing w:line="360" w:lineRule="auto"/>
        <w:ind w:left="66"/>
        <w:jc w:val="both"/>
        <w:rPr>
          <w:rFonts w:ascii="Arial" w:hAnsi="Arial" w:cs="Arial"/>
          <w:bCs/>
          <w:sz w:val="20"/>
          <w:szCs w:val="20"/>
        </w:rPr>
      </w:pPr>
    </w:p>
    <w:p w14:paraId="33934777" w14:textId="5627CBB8" w:rsidR="00787790" w:rsidRPr="00963AB7" w:rsidRDefault="00787790" w:rsidP="006C299C">
      <w:pPr>
        <w:numPr>
          <w:ilvl w:val="0"/>
          <w:numId w:val="1"/>
        </w:numPr>
        <w:spacing w:after="160" w:line="360" w:lineRule="auto"/>
        <w:ind w:left="426"/>
        <w:jc w:val="both"/>
        <w:rPr>
          <w:rFonts w:ascii="Arial" w:eastAsiaTheme="minorEastAsia" w:hAnsi="Arial" w:cs="Arial"/>
          <w:bCs/>
          <w:sz w:val="20"/>
          <w:szCs w:val="20"/>
        </w:rPr>
      </w:pPr>
      <w:r w:rsidRPr="00787790">
        <w:rPr>
          <w:rFonts w:ascii="Arial" w:hAnsi="Arial" w:cs="Arial"/>
          <w:b/>
          <w:sz w:val="20"/>
          <w:szCs w:val="20"/>
        </w:rPr>
        <w:lastRenderedPageBreak/>
        <w:t xml:space="preserve">En caso que corresponda, refiérase a la vinculación de los logros del programa y/o </w:t>
      </w:r>
      <w:r w:rsidRPr="00262D3C">
        <w:rPr>
          <w:rFonts w:ascii="Arial" w:eastAsiaTheme="minorEastAsia" w:hAnsi="Arial" w:cs="Arial"/>
          <w:b/>
          <w:sz w:val="20"/>
          <w:szCs w:val="20"/>
        </w:rPr>
        <w:t>subprograma con lo establecido en el PNDIP 2019-2022</w:t>
      </w:r>
      <w:r w:rsidR="0018199B" w:rsidRPr="00262D3C">
        <w:rPr>
          <w:rFonts w:ascii="Arial" w:eastAsiaTheme="minorEastAsia" w:hAnsi="Arial" w:cs="Arial"/>
          <w:b/>
          <w:sz w:val="20"/>
          <w:szCs w:val="20"/>
        </w:rPr>
        <w:t>.</w:t>
      </w:r>
    </w:p>
    <w:p w14:paraId="5203A8AC" w14:textId="77777777" w:rsidR="00C21E5F" w:rsidRPr="008071E2" w:rsidRDefault="00787790" w:rsidP="00963AB7">
      <w:pPr>
        <w:spacing w:line="360" w:lineRule="auto"/>
        <w:jc w:val="both"/>
        <w:rPr>
          <w:rFonts w:ascii="Arial" w:eastAsiaTheme="minorEastAsia" w:hAnsi="Arial" w:cs="Arial"/>
          <w:bCs/>
          <w:sz w:val="20"/>
          <w:szCs w:val="20"/>
        </w:rPr>
      </w:pPr>
      <w:r w:rsidRPr="00963AB7">
        <w:rPr>
          <w:rFonts w:ascii="Arial" w:eastAsiaTheme="minorEastAsia" w:hAnsi="Arial" w:cs="Arial"/>
          <w:b/>
          <w:sz w:val="20"/>
          <w:szCs w:val="20"/>
        </w:rPr>
        <w:t>Para el Programa 926:</w:t>
      </w:r>
      <w:r w:rsidRPr="008071E2">
        <w:rPr>
          <w:rFonts w:ascii="Arial" w:eastAsiaTheme="minorEastAsia" w:hAnsi="Arial" w:cs="Arial"/>
          <w:bCs/>
          <w:sz w:val="20"/>
          <w:szCs w:val="20"/>
        </w:rPr>
        <w:t xml:space="preserve">  </w:t>
      </w:r>
      <w:r w:rsidR="00036A60" w:rsidRPr="008071E2">
        <w:rPr>
          <w:rFonts w:ascii="Arial" w:eastAsiaTheme="minorEastAsia" w:hAnsi="Arial" w:cs="Arial"/>
          <w:bCs/>
          <w:sz w:val="20"/>
          <w:szCs w:val="20"/>
        </w:rPr>
        <w:t>Tal y como lo establece el Plan Nacional de Desarrollo e Inversión Pública, dentro de uno de sus fines es el logro de objetivos mediante la administración eficiente de los recursos financieros, el Poder Judicial se apegó a su cumplimiento mediante los logros institucionales debido al compromiso nacional de brindar un servicio oportuno y de calidad a la ciudadanía, así como con los objetivos del Plan Estratégico Institucional con el cumplimiento oportuno y eficaz en la ejecución de los proyectos estratégicos y en el buen resultado de los procesos de formulación y ejecución presupuestaria anual.</w:t>
      </w:r>
    </w:p>
    <w:p w14:paraId="2374FB37" w14:textId="77777777" w:rsidR="00C21E5F" w:rsidRPr="008071E2" w:rsidRDefault="00C21E5F" w:rsidP="00963AB7">
      <w:pPr>
        <w:spacing w:line="360" w:lineRule="auto"/>
        <w:jc w:val="both"/>
        <w:rPr>
          <w:rFonts w:ascii="Arial" w:eastAsiaTheme="minorEastAsia" w:hAnsi="Arial" w:cs="Arial"/>
          <w:bCs/>
          <w:sz w:val="20"/>
          <w:szCs w:val="20"/>
        </w:rPr>
      </w:pPr>
    </w:p>
    <w:p w14:paraId="42ABC0D7" w14:textId="716AA626" w:rsidR="00036A60" w:rsidRPr="008071E2" w:rsidRDefault="00036A60" w:rsidP="00963AB7">
      <w:pPr>
        <w:spacing w:line="360" w:lineRule="auto"/>
        <w:jc w:val="both"/>
        <w:rPr>
          <w:rFonts w:ascii="Arial" w:eastAsiaTheme="minorEastAsia" w:hAnsi="Arial" w:cs="Arial"/>
          <w:bCs/>
          <w:sz w:val="20"/>
          <w:szCs w:val="20"/>
        </w:rPr>
      </w:pPr>
      <w:r w:rsidRPr="008071E2">
        <w:rPr>
          <w:rFonts w:ascii="Arial" w:eastAsiaTheme="minorEastAsia" w:hAnsi="Arial" w:cs="Arial"/>
          <w:bCs/>
          <w:sz w:val="20"/>
          <w:szCs w:val="20"/>
        </w:rPr>
        <w:t>Lo anterior se visualiza en el óptimo porcentaje de ejecución logrado, pese a que el mismo se vio afectado por el no traslado de recursos entre partidas según las normas de ejecución y las aprobaciones tardías de los presupuestos extraordinarios.</w:t>
      </w:r>
    </w:p>
    <w:p w14:paraId="37F960C8" w14:textId="7502BBA2" w:rsidR="00787790" w:rsidRDefault="00787790" w:rsidP="00746018">
      <w:pPr>
        <w:jc w:val="both"/>
        <w:rPr>
          <w:rFonts w:ascii="Arial" w:hAnsi="Arial" w:cs="Arial"/>
          <w:bCs/>
          <w:sz w:val="20"/>
          <w:szCs w:val="20"/>
        </w:rPr>
      </w:pPr>
    </w:p>
    <w:p w14:paraId="04E53409" w14:textId="6809EC3F" w:rsidR="00787790" w:rsidRDefault="00787790" w:rsidP="00746018">
      <w:pPr>
        <w:jc w:val="both"/>
        <w:rPr>
          <w:rFonts w:ascii="Arial" w:hAnsi="Arial" w:cs="Arial"/>
          <w:bCs/>
          <w:sz w:val="20"/>
          <w:szCs w:val="20"/>
        </w:rPr>
      </w:pPr>
    </w:p>
    <w:p w14:paraId="48252007" w14:textId="77777777" w:rsidR="005653FF" w:rsidRPr="005653FF" w:rsidRDefault="00746018" w:rsidP="005653FF">
      <w:pPr>
        <w:spacing w:line="360" w:lineRule="auto"/>
        <w:jc w:val="both"/>
        <w:rPr>
          <w:rFonts w:ascii="Arial" w:eastAsiaTheme="minorEastAsia" w:hAnsi="Arial" w:cs="Arial"/>
          <w:color w:val="000000" w:themeColor="text1"/>
          <w:sz w:val="20"/>
          <w:szCs w:val="20"/>
        </w:rPr>
      </w:pPr>
      <w:r w:rsidRPr="008E4359">
        <w:rPr>
          <w:rFonts w:ascii="Arial" w:hAnsi="Arial" w:cs="Arial"/>
          <w:b/>
          <w:color w:val="000000" w:themeColor="text1"/>
          <w:sz w:val="20"/>
          <w:szCs w:val="20"/>
        </w:rPr>
        <w:t>Para el Programa 927:</w:t>
      </w:r>
      <w:r w:rsidRPr="008E4359">
        <w:rPr>
          <w:rFonts w:ascii="Arial" w:hAnsi="Arial" w:cs="Arial"/>
          <w:bCs/>
          <w:color w:val="000000" w:themeColor="text1"/>
          <w:sz w:val="20"/>
          <w:szCs w:val="20"/>
        </w:rPr>
        <w:t xml:space="preserve">    </w:t>
      </w:r>
      <w:r w:rsidR="005653FF" w:rsidRPr="005653FF">
        <w:rPr>
          <w:rFonts w:ascii="Arial" w:eastAsiaTheme="minorEastAsia" w:hAnsi="Arial" w:cs="Arial"/>
          <w:color w:val="000000" w:themeColor="text1"/>
          <w:sz w:val="20"/>
          <w:szCs w:val="20"/>
        </w:rPr>
        <w:t xml:space="preserve">En el caso del Poder Judicial, no aplica una vinculación directa con el </w:t>
      </w:r>
      <w:r w:rsidR="005653FF" w:rsidRPr="005653FF">
        <w:rPr>
          <w:rFonts w:ascii="Arial" w:eastAsiaTheme="minorEastAsia" w:hAnsi="Arial" w:cs="Arial"/>
          <w:bCs/>
          <w:color w:val="000000" w:themeColor="text1"/>
          <w:sz w:val="20"/>
          <w:szCs w:val="20"/>
        </w:rPr>
        <w:t>Plan Nacional de Desarrollo y de Inversión Pública del Bicentenario 2019-2022, en virtud de que la institución trabaja</w:t>
      </w:r>
      <w:r w:rsidR="005653FF" w:rsidRPr="005653FF">
        <w:rPr>
          <w:rFonts w:ascii="Arial" w:eastAsiaTheme="minorEastAsia" w:hAnsi="Arial" w:cs="Arial"/>
          <w:color w:val="000000" w:themeColor="text1"/>
          <w:sz w:val="20"/>
          <w:szCs w:val="20"/>
        </w:rPr>
        <w:t xml:space="preserve"> con su propio Plan Estratégico 2019-2024. Uno de los objetivos estratégicos del plan es “</w:t>
      </w:r>
      <w:r w:rsidR="005653FF" w:rsidRPr="005653FF">
        <w:rPr>
          <w:rFonts w:ascii="Arial" w:eastAsiaTheme="minorEastAsia" w:hAnsi="Arial" w:cs="Arial"/>
          <w:i/>
          <w:iCs/>
          <w:color w:val="000000" w:themeColor="text1"/>
          <w:sz w:val="20"/>
          <w:szCs w:val="20"/>
        </w:rPr>
        <w:t>Resolver conflictos de forma imparcial, célere y eficaz, para contribuir con la democracia y la paz social”.</w:t>
      </w:r>
      <w:r w:rsidR="005653FF" w:rsidRPr="005653FF">
        <w:rPr>
          <w:rFonts w:ascii="Arial" w:eastAsiaTheme="minorEastAsia" w:hAnsi="Arial" w:cs="Arial"/>
          <w:color w:val="000000" w:themeColor="text1"/>
          <w:sz w:val="20"/>
          <w:szCs w:val="20"/>
        </w:rPr>
        <w:t xml:space="preserve"> Al respecto, se logró incrementar la resolución de casos, producto de la implementación y seguimiento de las reformas citadas en el punto a., lo que a su vez permitió brindar una respuesta más oportuna a la persona usuaria.</w:t>
      </w:r>
    </w:p>
    <w:p w14:paraId="5FB928D1" w14:textId="595EEB7C" w:rsidR="00787790" w:rsidRDefault="00787790" w:rsidP="00787790">
      <w:pPr>
        <w:jc w:val="both"/>
        <w:rPr>
          <w:rFonts w:ascii="Arial" w:hAnsi="Arial" w:cs="Arial"/>
          <w:bCs/>
          <w:sz w:val="20"/>
          <w:szCs w:val="20"/>
        </w:rPr>
      </w:pPr>
    </w:p>
    <w:p w14:paraId="297CDDD9" w14:textId="36579397" w:rsidR="001E7408" w:rsidRDefault="001E7408" w:rsidP="00787790">
      <w:pPr>
        <w:jc w:val="both"/>
        <w:rPr>
          <w:rFonts w:ascii="Arial" w:hAnsi="Arial" w:cs="Arial"/>
          <w:bCs/>
          <w:sz w:val="20"/>
          <w:szCs w:val="20"/>
        </w:rPr>
      </w:pPr>
    </w:p>
    <w:p w14:paraId="7498D767" w14:textId="644CC08E" w:rsidR="00C21E5F" w:rsidRPr="00C21E5F" w:rsidRDefault="001E7408" w:rsidP="00003FD8">
      <w:pPr>
        <w:spacing w:line="360" w:lineRule="auto"/>
        <w:jc w:val="both"/>
        <w:rPr>
          <w:rFonts w:ascii="Arial" w:eastAsiaTheme="minorEastAsia" w:hAnsi="Arial" w:cs="Arial"/>
          <w:bCs/>
          <w:sz w:val="20"/>
          <w:szCs w:val="20"/>
        </w:rPr>
      </w:pPr>
      <w:r w:rsidRPr="001E7408">
        <w:rPr>
          <w:rFonts w:ascii="Arial" w:hAnsi="Arial" w:cs="Arial"/>
          <w:b/>
          <w:sz w:val="20"/>
          <w:szCs w:val="20"/>
        </w:rPr>
        <w:t>Para el Programa 928</w:t>
      </w:r>
      <w:r w:rsidR="00C21E5F" w:rsidRPr="00C21E5F">
        <w:rPr>
          <w:rFonts w:ascii="Arial" w:eastAsiaTheme="minorEastAsia" w:hAnsi="Arial" w:cs="Arial"/>
          <w:bCs/>
          <w:sz w:val="20"/>
          <w:szCs w:val="20"/>
        </w:rPr>
        <w:t xml:space="preserve"> </w:t>
      </w:r>
      <w:r w:rsidR="00C21E5F">
        <w:rPr>
          <w:rFonts w:ascii="Arial" w:eastAsiaTheme="minorEastAsia" w:hAnsi="Arial" w:cs="Arial"/>
          <w:bCs/>
          <w:sz w:val="20"/>
          <w:szCs w:val="20"/>
        </w:rPr>
        <w:t>:</w:t>
      </w:r>
      <w:r w:rsidR="00C21E5F" w:rsidRPr="00C21E5F">
        <w:rPr>
          <w:rFonts w:ascii="Arial" w:eastAsiaTheme="minorEastAsia" w:hAnsi="Arial" w:cs="Arial"/>
          <w:bCs/>
          <w:sz w:val="20"/>
          <w:szCs w:val="20"/>
        </w:rPr>
        <w:t xml:space="preserve">El plan estratégico institucional del Poder Judicial está enfocado en contribuir con la paz      social y lograr una sociedad que confíe en el servicio de justicia que se le brinda, por lo que, a través de la ejecución presupuestaria, se puede contribuir en gran manera en estos objetivos, ya que se tienen mejores equipos con pericias más acertadas y tiempos de respuesta más efectivos y una policía debidamente equipada que le permita enfrentar la criminalidad y brindar la paz social que toda sociedad requiere.  </w:t>
      </w:r>
    </w:p>
    <w:p w14:paraId="7E808BC9" w14:textId="268C7531" w:rsidR="001D6E7F" w:rsidRDefault="001D6E7F" w:rsidP="00036A60">
      <w:pPr>
        <w:jc w:val="both"/>
        <w:rPr>
          <w:rFonts w:ascii="Arial" w:hAnsi="Arial" w:cs="Arial"/>
          <w:bCs/>
          <w:sz w:val="20"/>
          <w:szCs w:val="20"/>
        </w:rPr>
      </w:pPr>
    </w:p>
    <w:p w14:paraId="314213FB" w14:textId="77777777" w:rsidR="00FF57C7" w:rsidRPr="00FF57C7" w:rsidRDefault="001D6E7F" w:rsidP="00FF57C7">
      <w:pPr>
        <w:spacing w:line="360" w:lineRule="auto"/>
        <w:jc w:val="both"/>
        <w:rPr>
          <w:rFonts w:ascii="Arial" w:eastAsiaTheme="minorEastAsia" w:hAnsi="Arial" w:cs="Arial"/>
          <w:bCs/>
          <w:sz w:val="20"/>
          <w:szCs w:val="20"/>
        </w:rPr>
      </w:pPr>
      <w:r w:rsidRPr="001E7408">
        <w:rPr>
          <w:rFonts w:ascii="Arial" w:hAnsi="Arial" w:cs="Arial"/>
          <w:b/>
          <w:sz w:val="20"/>
          <w:szCs w:val="20"/>
        </w:rPr>
        <w:t>Para el Programa 92</w:t>
      </w:r>
      <w:r>
        <w:rPr>
          <w:rFonts w:ascii="Arial" w:hAnsi="Arial" w:cs="Arial"/>
          <w:b/>
          <w:sz w:val="20"/>
          <w:szCs w:val="20"/>
        </w:rPr>
        <w:t>9</w:t>
      </w:r>
      <w:r w:rsidRPr="001E7408">
        <w:rPr>
          <w:rFonts w:ascii="Arial" w:hAnsi="Arial" w:cs="Arial"/>
          <w:b/>
          <w:sz w:val="20"/>
          <w:szCs w:val="20"/>
        </w:rPr>
        <w:t xml:space="preserve">:  </w:t>
      </w:r>
      <w:r w:rsidR="00FF57C7" w:rsidRPr="00FF57C7">
        <w:rPr>
          <w:rFonts w:ascii="Arial" w:eastAsiaTheme="minorEastAsia" w:hAnsi="Arial" w:cs="Arial"/>
          <w:bCs/>
          <w:sz w:val="20"/>
          <w:szCs w:val="20"/>
        </w:rPr>
        <w:t>En el caso del Programa 929 Ministerio Público, se formulan políticas de persecución penal y abordaje integral de la criminalidad, que sirven de guía para la orientación de la labor de las personas funcionarias, y así brindar una justicia pronta y cumplida.</w:t>
      </w:r>
    </w:p>
    <w:p w14:paraId="4F055794" w14:textId="77777777" w:rsidR="00FF57C7" w:rsidRPr="00FF57C7" w:rsidRDefault="00FF57C7" w:rsidP="00FF57C7">
      <w:pPr>
        <w:spacing w:line="360" w:lineRule="auto"/>
        <w:jc w:val="both"/>
        <w:rPr>
          <w:rFonts w:ascii="Arial" w:eastAsiaTheme="minorEastAsia" w:hAnsi="Arial" w:cs="Arial"/>
          <w:bCs/>
          <w:sz w:val="20"/>
          <w:szCs w:val="20"/>
        </w:rPr>
      </w:pPr>
    </w:p>
    <w:p w14:paraId="1AFDA8FA" w14:textId="77777777" w:rsidR="00FF57C7" w:rsidRPr="00FF57C7" w:rsidRDefault="00FF57C7" w:rsidP="00FF57C7">
      <w:pPr>
        <w:spacing w:line="360" w:lineRule="auto"/>
        <w:jc w:val="both"/>
        <w:rPr>
          <w:rFonts w:ascii="Arial" w:eastAsiaTheme="minorEastAsia" w:hAnsi="Arial" w:cs="Arial"/>
          <w:bCs/>
          <w:sz w:val="20"/>
          <w:szCs w:val="20"/>
        </w:rPr>
      </w:pPr>
      <w:r w:rsidRPr="00FF57C7">
        <w:rPr>
          <w:rFonts w:ascii="Arial" w:eastAsiaTheme="minorEastAsia" w:hAnsi="Arial" w:cs="Arial"/>
          <w:bCs/>
          <w:sz w:val="20"/>
          <w:szCs w:val="20"/>
        </w:rPr>
        <w:lastRenderedPageBreak/>
        <w:t>Por otra parte, en el año 2021, se continuó con el plan para la descongestión y atención de rezago de expedientes, así como la implementación de las políticas para la detección de los fenómenos criminales, tales como lavado de dinero, corrupción, narcotráfico, violencia de género, entre otros.</w:t>
      </w:r>
    </w:p>
    <w:p w14:paraId="10483AFE" w14:textId="77777777" w:rsidR="00FF57C7" w:rsidRPr="00FF57C7" w:rsidRDefault="00FF57C7" w:rsidP="00FF57C7">
      <w:pPr>
        <w:spacing w:line="360" w:lineRule="auto"/>
        <w:jc w:val="both"/>
        <w:rPr>
          <w:rFonts w:ascii="Arial" w:eastAsiaTheme="minorEastAsia" w:hAnsi="Arial" w:cs="Arial"/>
          <w:bCs/>
          <w:sz w:val="20"/>
          <w:szCs w:val="20"/>
        </w:rPr>
      </w:pPr>
    </w:p>
    <w:p w14:paraId="3E0BD048" w14:textId="77777777" w:rsidR="00FF57C7" w:rsidRPr="00FF57C7" w:rsidRDefault="00FF57C7" w:rsidP="00FF57C7">
      <w:pPr>
        <w:spacing w:line="360" w:lineRule="auto"/>
        <w:jc w:val="both"/>
        <w:rPr>
          <w:rFonts w:ascii="Arial" w:eastAsiaTheme="minorEastAsia" w:hAnsi="Arial" w:cs="Arial"/>
          <w:bCs/>
          <w:sz w:val="20"/>
          <w:szCs w:val="20"/>
        </w:rPr>
      </w:pPr>
      <w:r w:rsidRPr="00FF57C7">
        <w:rPr>
          <w:rFonts w:ascii="Arial" w:eastAsiaTheme="minorEastAsia" w:hAnsi="Arial" w:cs="Arial"/>
          <w:bCs/>
          <w:sz w:val="20"/>
          <w:szCs w:val="20"/>
        </w:rPr>
        <w:t>Finalmente, con respecto a la proyección institucional y la política de Participación Ciudadana del Poder Judicial, se puso en marcha el plan Nacional de Transparencia y Rendición de Cuentas en el Ministerio Público, siendo que la mayoría de sesiones se realizaron de manera virtual dado la situación del COVID-19, además se cuenta con la página web, donde se puede consultar la Red Interinstitucional de Transparencia, así como los Planes Institucionales y Cumplimiento.</w:t>
      </w:r>
    </w:p>
    <w:p w14:paraId="46E91D77" w14:textId="664221DC" w:rsidR="00CD6C60" w:rsidRDefault="00CD6C60" w:rsidP="00036A60">
      <w:pPr>
        <w:jc w:val="both"/>
        <w:rPr>
          <w:rFonts w:ascii="Arial" w:hAnsi="Arial" w:cs="Arial"/>
          <w:bCs/>
          <w:sz w:val="20"/>
          <w:szCs w:val="20"/>
        </w:rPr>
      </w:pPr>
    </w:p>
    <w:p w14:paraId="4CE61979" w14:textId="51FBFCC0" w:rsidR="001D6E7F" w:rsidRDefault="001D6E7F" w:rsidP="006C5605">
      <w:pPr>
        <w:spacing w:line="360" w:lineRule="auto"/>
        <w:jc w:val="both"/>
        <w:rPr>
          <w:rFonts w:ascii="Arial" w:hAnsi="Arial" w:cs="Arial"/>
          <w:bCs/>
          <w:sz w:val="20"/>
          <w:szCs w:val="20"/>
        </w:rPr>
      </w:pPr>
    </w:p>
    <w:p w14:paraId="39FDE703" w14:textId="77777777" w:rsidR="00AC1DEC" w:rsidRPr="00AC1DEC" w:rsidRDefault="00CD6C60" w:rsidP="00AC1DEC">
      <w:pPr>
        <w:spacing w:line="360" w:lineRule="auto"/>
        <w:jc w:val="both"/>
        <w:rPr>
          <w:rFonts w:ascii="Arial" w:eastAsiaTheme="minorEastAsia" w:hAnsi="Arial" w:cs="Arial"/>
          <w:bCs/>
          <w:sz w:val="20"/>
          <w:szCs w:val="20"/>
        </w:rPr>
      </w:pPr>
      <w:r w:rsidRPr="001B6C7A">
        <w:rPr>
          <w:rFonts w:ascii="Arial" w:hAnsi="Arial" w:cs="Arial"/>
          <w:b/>
          <w:sz w:val="20"/>
          <w:szCs w:val="20"/>
        </w:rPr>
        <w:t xml:space="preserve">Para el Programa 930:  </w:t>
      </w:r>
      <w:r w:rsidR="00AC1DEC" w:rsidRPr="00AC1DEC">
        <w:rPr>
          <w:rFonts w:ascii="Arial" w:eastAsiaTheme="minorEastAsia" w:hAnsi="Arial" w:cs="Arial"/>
          <w:bCs/>
          <w:sz w:val="20"/>
          <w:szCs w:val="20"/>
        </w:rPr>
        <w:t xml:space="preserve">El plan estratégico del Poder Judicial establece como misión “Administrar justicia pronta, cumplida y accesible, de conformidad con el ordenamiento jurídico para contribuir con la paz social, el desarrollo integral y sostenible del país”. </w:t>
      </w:r>
    </w:p>
    <w:p w14:paraId="5C9435E8" w14:textId="77777777" w:rsidR="00AC1DEC" w:rsidRPr="00AC1DEC" w:rsidRDefault="00AC1DEC" w:rsidP="00AC1DEC">
      <w:pPr>
        <w:spacing w:after="160" w:line="360" w:lineRule="auto"/>
        <w:jc w:val="both"/>
        <w:rPr>
          <w:rFonts w:ascii="Arial" w:eastAsiaTheme="minorEastAsia" w:hAnsi="Arial" w:cs="Arial"/>
          <w:bCs/>
          <w:sz w:val="20"/>
          <w:szCs w:val="20"/>
        </w:rPr>
      </w:pPr>
      <w:r w:rsidRPr="00AC1DEC">
        <w:rPr>
          <w:rFonts w:ascii="Arial" w:eastAsiaTheme="minorEastAsia" w:hAnsi="Arial" w:cs="Arial"/>
          <w:bCs/>
          <w:sz w:val="20"/>
          <w:szCs w:val="20"/>
        </w:rPr>
        <w:t xml:space="preserve">Los objetivos de la Defensa Pública se encuentran vinculados con este componente estratégico ya que permiten medir, en primera instancia, la capacidad que tienen la Defensa Pública para atender las distintas poblaciones que demandan el servicio; esto garantiza el acceso de las personas usuarias a una asesoría y presentación letrada en un proceso judicial de manera gratuita. La Defensa Pública se constituye en este punto como un puente entre el aparato judicial y la persona usuaria, lo cual garantiza no solo el acceso, sino también garantizar a la parte representada una atención adecuada, que le permita desarrollar y preparar los alegatos para la defensa del conflicto que se quiere resolver en estrados judiciales. </w:t>
      </w:r>
    </w:p>
    <w:p w14:paraId="3CE4DAA0" w14:textId="77777777" w:rsidR="00AC1DEC" w:rsidRPr="00AC1DEC" w:rsidRDefault="00AC1DEC" w:rsidP="00AC1DEC">
      <w:pPr>
        <w:spacing w:after="160" w:line="360" w:lineRule="auto"/>
        <w:ind w:left="66"/>
        <w:jc w:val="both"/>
        <w:rPr>
          <w:rFonts w:ascii="Arial" w:eastAsiaTheme="minorEastAsia" w:hAnsi="Arial" w:cs="Arial"/>
          <w:bCs/>
          <w:sz w:val="20"/>
          <w:szCs w:val="20"/>
        </w:rPr>
      </w:pPr>
      <w:r w:rsidRPr="00AC1DEC">
        <w:rPr>
          <w:rFonts w:ascii="Arial" w:eastAsiaTheme="minorEastAsia" w:hAnsi="Arial" w:cs="Arial"/>
          <w:bCs/>
          <w:sz w:val="20"/>
          <w:szCs w:val="20"/>
        </w:rPr>
        <w:t>Los objetivos a su vez están vinculados con los ejes transversales que impactan a la persona usuaria, estos son:</w:t>
      </w:r>
    </w:p>
    <w:p w14:paraId="32A401B2" w14:textId="77777777" w:rsidR="00AC1DEC" w:rsidRPr="00AC1DEC" w:rsidRDefault="00AC1DEC" w:rsidP="00BE5AA1">
      <w:pPr>
        <w:numPr>
          <w:ilvl w:val="0"/>
          <w:numId w:val="12"/>
        </w:numPr>
        <w:spacing w:after="160" w:line="360" w:lineRule="auto"/>
        <w:jc w:val="both"/>
        <w:rPr>
          <w:rFonts w:ascii="Arial" w:eastAsiaTheme="minorEastAsia" w:hAnsi="Arial" w:cs="Arial"/>
          <w:bCs/>
          <w:sz w:val="20"/>
          <w:szCs w:val="20"/>
        </w:rPr>
      </w:pPr>
      <w:r w:rsidRPr="00AC1DEC">
        <w:rPr>
          <w:rFonts w:ascii="Arial" w:eastAsiaTheme="minorEastAsia" w:hAnsi="Arial" w:cs="Arial"/>
          <w:bCs/>
          <w:sz w:val="20"/>
          <w:szCs w:val="20"/>
        </w:rPr>
        <w:t>Acceso a la justicia</w:t>
      </w:r>
    </w:p>
    <w:p w14:paraId="7D5A643F" w14:textId="660D23B1" w:rsidR="001B6C7A" w:rsidRPr="00AC1DEC" w:rsidRDefault="00AC1DEC" w:rsidP="00BE5AA1">
      <w:pPr>
        <w:numPr>
          <w:ilvl w:val="0"/>
          <w:numId w:val="12"/>
        </w:numPr>
        <w:spacing w:after="160" w:line="360" w:lineRule="auto"/>
        <w:jc w:val="both"/>
        <w:rPr>
          <w:rFonts w:ascii="Arial" w:eastAsiaTheme="minorEastAsia" w:hAnsi="Arial" w:cs="Arial"/>
          <w:bCs/>
          <w:sz w:val="20"/>
          <w:szCs w:val="20"/>
        </w:rPr>
      </w:pPr>
      <w:r w:rsidRPr="00AC1DEC">
        <w:rPr>
          <w:rFonts w:ascii="Arial" w:eastAsiaTheme="minorEastAsia" w:hAnsi="Arial" w:cs="Arial"/>
          <w:bCs/>
          <w:sz w:val="20"/>
          <w:szCs w:val="20"/>
        </w:rPr>
        <w:t>Valor del servicio de administración de justicia</w:t>
      </w:r>
    </w:p>
    <w:p w14:paraId="6EB4758E" w14:textId="6625F1A7" w:rsidR="00CD6C60" w:rsidRDefault="00CD6C60" w:rsidP="00CD6C60">
      <w:pPr>
        <w:spacing w:line="360" w:lineRule="auto"/>
        <w:jc w:val="both"/>
        <w:rPr>
          <w:rFonts w:ascii="Arial" w:hAnsi="Arial" w:cs="Arial"/>
          <w:bCs/>
          <w:sz w:val="20"/>
          <w:szCs w:val="20"/>
        </w:rPr>
      </w:pPr>
    </w:p>
    <w:p w14:paraId="58B46FD4" w14:textId="1D3301E4" w:rsidR="00B32351" w:rsidRDefault="00B32351" w:rsidP="00CD6C60">
      <w:pPr>
        <w:spacing w:line="360" w:lineRule="auto"/>
        <w:jc w:val="both"/>
        <w:rPr>
          <w:rFonts w:ascii="Arial" w:hAnsi="Arial" w:cs="Arial"/>
          <w:bCs/>
          <w:sz w:val="20"/>
          <w:szCs w:val="20"/>
        </w:rPr>
      </w:pPr>
    </w:p>
    <w:p w14:paraId="48DC548E" w14:textId="47A4A56D" w:rsidR="00B32351" w:rsidRDefault="00B32351" w:rsidP="00CD6C60">
      <w:pPr>
        <w:spacing w:line="360" w:lineRule="auto"/>
        <w:jc w:val="both"/>
        <w:rPr>
          <w:rFonts w:ascii="Arial" w:hAnsi="Arial" w:cs="Arial"/>
          <w:bCs/>
          <w:sz w:val="20"/>
          <w:szCs w:val="20"/>
        </w:rPr>
      </w:pPr>
    </w:p>
    <w:p w14:paraId="126B1846" w14:textId="77777777" w:rsidR="00B32351" w:rsidRPr="0011789E" w:rsidRDefault="00B32351" w:rsidP="00CD6C60">
      <w:pPr>
        <w:spacing w:line="360" w:lineRule="auto"/>
        <w:jc w:val="both"/>
        <w:rPr>
          <w:rFonts w:ascii="Arial" w:hAnsi="Arial" w:cs="Arial"/>
          <w:bCs/>
          <w:sz w:val="20"/>
          <w:szCs w:val="20"/>
        </w:rPr>
      </w:pPr>
    </w:p>
    <w:p w14:paraId="58C5E5D0" w14:textId="77777777" w:rsidR="001E7408" w:rsidRPr="00046F48" w:rsidRDefault="001E7408" w:rsidP="00787790">
      <w:pPr>
        <w:jc w:val="both"/>
        <w:rPr>
          <w:rFonts w:ascii="Arial" w:hAnsi="Arial" w:cs="Arial"/>
          <w:bCs/>
          <w:sz w:val="20"/>
          <w:szCs w:val="20"/>
        </w:rPr>
      </w:pPr>
    </w:p>
    <w:p w14:paraId="51FEBA30" w14:textId="77777777" w:rsidR="00AD2276" w:rsidRPr="00AD2276" w:rsidRDefault="00CD6C60" w:rsidP="00AD2276">
      <w:pPr>
        <w:spacing w:line="360" w:lineRule="auto"/>
        <w:jc w:val="both"/>
        <w:rPr>
          <w:rFonts w:ascii="Arial" w:eastAsiaTheme="minorEastAsia" w:hAnsi="Arial" w:cs="Arial"/>
          <w:bCs/>
          <w:sz w:val="20"/>
          <w:szCs w:val="20"/>
        </w:rPr>
      </w:pPr>
      <w:r w:rsidRPr="001E7408">
        <w:rPr>
          <w:rFonts w:ascii="Arial" w:hAnsi="Arial" w:cs="Arial"/>
          <w:b/>
          <w:sz w:val="20"/>
          <w:szCs w:val="20"/>
        </w:rPr>
        <w:lastRenderedPageBreak/>
        <w:t xml:space="preserve">Para el Programa </w:t>
      </w:r>
      <w:r>
        <w:rPr>
          <w:rFonts w:ascii="Arial" w:hAnsi="Arial" w:cs="Arial"/>
          <w:b/>
          <w:sz w:val="20"/>
          <w:szCs w:val="20"/>
        </w:rPr>
        <w:t xml:space="preserve">950: </w:t>
      </w:r>
      <w:r w:rsidR="0085116F">
        <w:rPr>
          <w:rFonts w:ascii="Arial" w:hAnsi="Arial" w:cs="Arial"/>
          <w:b/>
          <w:sz w:val="20"/>
          <w:szCs w:val="20"/>
        </w:rPr>
        <w:t xml:space="preserve"> </w:t>
      </w:r>
      <w:r w:rsidR="00AD2276" w:rsidRPr="00AD2276">
        <w:rPr>
          <w:rFonts w:ascii="Arial" w:eastAsiaTheme="minorEastAsia" w:hAnsi="Arial" w:cs="Arial"/>
          <w:bCs/>
          <w:sz w:val="20"/>
          <w:szCs w:val="20"/>
        </w:rPr>
        <w:t>Por medio de los servicios que brindan las oficinas que integran el programa 950, los usuarios y usuarias tienen acceso a conocer sus derechos, a contar con medidas de protección dirigidas a disminuir el riesgo y/o amenazas contra su vida e integridad física por el hecho de participar en un proceso penal, dicho servicio permite el fortalecimiento y la confianza de la sociedad en la administración de justicia y Estado de Derecho.</w:t>
      </w:r>
    </w:p>
    <w:p w14:paraId="3439A991" w14:textId="77777777" w:rsidR="00AD2276" w:rsidRPr="00AD2276" w:rsidRDefault="00AD2276" w:rsidP="00AD2276">
      <w:pPr>
        <w:spacing w:line="360" w:lineRule="auto"/>
        <w:jc w:val="both"/>
        <w:rPr>
          <w:rFonts w:ascii="Arial" w:eastAsiaTheme="minorEastAsia" w:hAnsi="Arial" w:cs="Arial"/>
          <w:bCs/>
          <w:sz w:val="20"/>
          <w:szCs w:val="20"/>
        </w:rPr>
      </w:pPr>
    </w:p>
    <w:p w14:paraId="232AE942" w14:textId="77777777" w:rsidR="00AD2276" w:rsidRPr="00AD2276" w:rsidRDefault="00AD2276" w:rsidP="00AD2276">
      <w:pPr>
        <w:spacing w:line="360" w:lineRule="auto"/>
        <w:jc w:val="both"/>
        <w:rPr>
          <w:rFonts w:ascii="Arial" w:eastAsiaTheme="minorEastAsia" w:hAnsi="Arial" w:cs="Arial"/>
          <w:bCs/>
          <w:sz w:val="20"/>
          <w:szCs w:val="20"/>
        </w:rPr>
      </w:pPr>
      <w:r w:rsidRPr="00AD2276">
        <w:rPr>
          <w:rFonts w:ascii="Arial" w:eastAsiaTheme="minorEastAsia" w:hAnsi="Arial" w:cs="Arial"/>
          <w:bCs/>
          <w:sz w:val="20"/>
          <w:szCs w:val="20"/>
        </w:rPr>
        <w:t>A fin de enriquecer la comunicación institucional e informar a la población de sus derechos y alcances de la ley 8720 Ley de Protección a Víctimas, testigos y demás sujetos intervinientes en proceso penal, la Oficina de Atención y Protección a la Víctima y la Unidad de Protección, tuvieron notable participación en medios radiales, televisivos, así como redes.</w:t>
      </w:r>
    </w:p>
    <w:p w14:paraId="489D2018" w14:textId="40434AB0" w:rsidR="0085116F" w:rsidRDefault="0085116F" w:rsidP="00036A60">
      <w:pPr>
        <w:jc w:val="both"/>
        <w:rPr>
          <w:rFonts w:ascii="Arial" w:hAnsi="Arial" w:cs="Arial"/>
          <w:bCs/>
          <w:sz w:val="20"/>
          <w:szCs w:val="20"/>
        </w:rPr>
      </w:pPr>
    </w:p>
    <w:p w14:paraId="7690FD89" w14:textId="335B6BE1" w:rsidR="00516521" w:rsidRDefault="00516521">
      <w:pPr>
        <w:rPr>
          <w:rFonts w:ascii="Arial" w:hAnsi="Arial" w:cs="Arial"/>
          <w:b/>
          <w:bCs/>
          <w:sz w:val="20"/>
          <w:szCs w:val="20"/>
          <w:highlight w:val="yellow"/>
          <w:lang w:val="es-MX"/>
        </w:rPr>
      </w:pPr>
    </w:p>
    <w:p w14:paraId="55465AFF" w14:textId="071DD4B0" w:rsidR="00516521" w:rsidRDefault="00516521">
      <w:pPr>
        <w:rPr>
          <w:rFonts w:ascii="Arial" w:hAnsi="Arial" w:cs="Arial"/>
          <w:b/>
          <w:bCs/>
          <w:sz w:val="20"/>
          <w:szCs w:val="20"/>
          <w:highlight w:val="yellow"/>
          <w:lang w:val="es-MX"/>
        </w:rPr>
      </w:pPr>
    </w:p>
    <w:p w14:paraId="1E751491" w14:textId="29754F3C" w:rsidR="00516521" w:rsidRDefault="00516521">
      <w:pP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Producción cuantificable:</w:t>
      </w:r>
    </w:p>
    <w:p w14:paraId="146D68F5" w14:textId="44604B05" w:rsidR="00F00955" w:rsidRDefault="00F00955">
      <w:pPr>
        <w:rPr>
          <w:rFonts w:ascii="Arial" w:hAnsi="Arial" w:cs="Arial"/>
          <w:b/>
          <w:bCs/>
          <w:color w:val="1F497D" w:themeColor="text2"/>
          <w:sz w:val="20"/>
          <w:szCs w:val="20"/>
          <w:lang w:val="es-MX"/>
        </w:rPr>
      </w:pPr>
    </w:p>
    <w:p w14:paraId="3845BD3B" w14:textId="77777777" w:rsidR="00F00955" w:rsidRPr="00F00955" w:rsidRDefault="00F00955" w:rsidP="00F00955">
      <w:pPr>
        <w:spacing w:after="160" w:line="360" w:lineRule="auto"/>
        <w:jc w:val="both"/>
        <w:rPr>
          <w:rFonts w:ascii="Arial" w:eastAsiaTheme="minorEastAsia" w:hAnsi="Arial" w:cs="Arial"/>
          <w:sz w:val="20"/>
          <w:szCs w:val="20"/>
        </w:rPr>
      </w:pPr>
      <w:r w:rsidRPr="00F00955">
        <w:rPr>
          <w:rFonts w:ascii="Arial" w:eastAsiaTheme="minorEastAsia" w:hAnsi="Arial" w:cs="Arial"/>
          <w:sz w:val="20"/>
          <w:szCs w:val="20"/>
        </w:rPr>
        <w:t>A continuación, se muestra la tabla con la metodología a utilizar para la definición de los rangos de cumplimiento.</w:t>
      </w:r>
    </w:p>
    <w:p w14:paraId="66795061" w14:textId="77777777" w:rsidR="00F00955" w:rsidRPr="00F00955" w:rsidRDefault="00F00955" w:rsidP="00F00955">
      <w:pPr>
        <w:spacing w:line="360" w:lineRule="auto"/>
        <w:jc w:val="center"/>
        <w:rPr>
          <w:rFonts w:ascii="Arial" w:eastAsiaTheme="minorEastAsia" w:hAnsi="Arial" w:cs="Arial"/>
          <w:b/>
          <w:sz w:val="20"/>
          <w:szCs w:val="20"/>
        </w:rPr>
      </w:pPr>
      <w:r w:rsidRPr="00F00955">
        <w:rPr>
          <w:rFonts w:ascii="Arial" w:eastAsiaTheme="minorEastAsia" w:hAnsi="Arial" w:cs="Arial"/>
          <w:b/>
          <w:sz w:val="20"/>
          <w:szCs w:val="20"/>
        </w:rPr>
        <w:t>Tabla 1. Parámetros de cumplimiento</w:t>
      </w:r>
    </w:p>
    <w:tbl>
      <w:tblPr>
        <w:tblStyle w:val="Listaclara-nfasis51"/>
        <w:tblW w:w="0" w:type="auto"/>
        <w:jc w:val="center"/>
        <w:tblBorders>
          <w:insideH w:val="single" w:sz="6" w:space="0" w:color="4BACC6" w:themeColor="accent5"/>
          <w:insideV w:val="single" w:sz="6" w:space="0" w:color="4BACC6" w:themeColor="accent5"/>
        </w:tblBorders>
        <w:tblLook w:val="04A0" w:firstRow="1" w:lastRow="0" w:firstColumn="1" w:lastColumn="0" w:noHBand="0" w:noVBand="1"/>
      </w:tblPr>
      <w:tblGrid>
        <w:gridCol w:w="2962"/>
        <w:gridCol w:w="3875"/>
      </w:tblGrid>
      <w:tr w:rsidR="00F00955" w:rsidRPr="00F00955" w14:paraId="216B5434" w14:textId="77777777" w:rsidTr="00465D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70D922C" w14:textId="77777777" w:rsidR="00F00955" w:rsidRPr="00F00955" w:rsidRDefault="00F00955" w:rsidP="00F00955">
            <w:pPr>
              <w:spacing w:line="360" w:lineRule="auto"/>
              <w:rPr>
                <w:rFonts w:ascii="Arial" w:hAnsi="Arial" w:cs="Arial"/>
                <w:b w:val="0"/>
                <w:color w:val="auto"/>
                <w:sz w:val="20"/>
                <w:szCs w:val="20"/>
                <w:lang w:val="es-MX"/>
              </w:rPr>
            </w:pPr>
            <w:r w:rsidRPr="00F00955">
              <w:rPr>
                <w:rFonts w:ascii="Arial" w:hAnsi="Arial" w:cs="Arial"/>
                <w:color w:val="auto"/>
                <w:sz w:val="20"/>
                <w:szCs w:val="20"/>
                <w:lang w:val="es-MX"/>
              </w:rPr>
              <w:t>Parámetros de cumplimiento</w:t>
            </w:r>
          </w:p>
        </w:tc>
        <w:tc>
          <w:tcPr>
            <w:tcW w:w="0" w:type="auto"/>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3EAD8245" w14:textId="77777777" w:rsidR="00F00955" w:rsidRPr="00F00955" w:rsidRDefault="00F00955" w:rsidP="00F009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es-MX"/>
              </w:rPr>
            </w:pPr>
            <w:r w:rsidRPr="00F00955">
              <w:rPr>
                <w:rFonts w:ascii="Arial" w:hAnsi="Arial" w:cs="Arial"/>
                <w:color w:val="auto"/>
                <w:sz w:val="20"/>
                <w:szCs w:val="20"/>
                <w:lang w:val="es-MX"/>
              </w:rPr>
              <w:t>Rango</w:t>
            </w:r>
          </w:p>
        </w:tc>
      </w:tr>
      <w:tr w:rsidR="00F00955" w:rsidRPr="00F00955" w14:paraId="7EB0A4B1" w14:textId="77777777" w:rsidTr="00465D52">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2D8A1F24" w14:textId="77777777" w:rsidR="00F00955" w:rsidRPr="00F00955" w:rsidRDefault="00F00955" w:rsidP="00F00955">
            <w:pPr>
              <w:spacing w:line="360" w:lineRule="auto"/>
              <w:rPr>
                <w:rFonts w:ascii="Arial" w:hAnsi="Arial" w:cs="Arial"/>
                <w:b w:val="0"/>
                <w:sz w:val="20"/>
                <w:szCs w:val="20"/>
                <w:lang w:val="es-MX"/>
              </w:rPr>
            </w:pPr>
            <w:r w:rsidRPr="00F00955">
              <w:rPr>
                <w:rFonts w:ascii="Arial" w:hAnsi="Arial" w:cs="Arial"/>
                <w:b w:val="0"/>
                <w:sz w:val="20"/>
                <w:szCs w:val="20"/>
                <w:lang w:val="es-MX"/>
              </w:rPr>
              <w:t>Cumplimiento Alto (CA)</w:t>
            </w:r>
          </w:p>
        </w:tc>
        <w:tc>
          <w:tcPr>
            <w:tcW w:w="0" w:type="auto"/>
            <w:tcBorders>
              <w:top w:val="single" w:sz="6" w:space="0" w:color="4BACC6" w:themeColor="accent5"/>
              <w:left w:val="single" w:sz="6" w:space="0" w:color="4BACC6" w:themeColor="accent5"/>
              <w:bottom w:val="single" w:sz="6" w:space="0" w:color="4BACC6" w:themeColor="accent5"/>
            </w:tcBorders>
            <w:vAlign w:val="center"/>
            <w:hideMark/>
          </w:tcPr>
          <w:p w14:paraId="26D97029" w14:textId="77777777" w:rsidR="00F00955" w:rsidRPr="00F00955" w:rsidRDefault="00F00955" w:rsidP="00F009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F00955">
              <w:rPr>
                <w:rFonts w:ascii="Arial" w:hAnsi="Arial" w:cs="Arial"/>
                <w:i/>
                <w:sz w:val="20"/>
                <w:szCs w:val="20"/>
                <w:lang w:val="es-MX"/>
              </w:rPr>
              <w:t>Mayor o igual a 90,00%</w:t>
            </w:r>
          </w:p>
        </w:tc>
      </w:tr>
      <w:tr w:rsidR="00F00955" w:rsidRPr="00F00955" w14:paraId="73258A19" w14:textId="77777777" w:rsidTr="00465D52">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59AB054C" w14:textId="77777777" w:rsidR="00F00955" w:rsidRPr="00F00955" w:rsidRDefault="00F00955" w:rsidP="00F00955">
            <w:pPr>
              <w:spacing w:line="360" w:lineRule="auto"/>
              <w:rPr>
                <w:rFonts w:ascii="Arial" w:hAnsi="Arial" w:cs="Arial"/>
                <w:b w:val="0"/>
                <w:sz w:val="20"/>
                <w:szCs w:val="20"/>
                <w:lang w:val="es-MX"/>
              </w:rPr>
            </w:pPr>
            <w:r w:rsidRPr="00F00955">
              <w:rPr>
                <w:rFonts w:ascii="Arial" w:hAnsi="Arial" w:cs="Arial"/>
                <w:b w:val="0"/>
                <w:sz w:val="20"/>
                <w:szCs w:val="20"/>
                <w:lang w:val="es-MX"/>
              </w:rPr>
              <w:t>Cumplimiento Medio (CM)</w:t>
            </w:r>
          </w:p>
        </w:tc>
        <w:tc>
          <w:tcPr>
            <w:tcW w:w="0" w:type="auto"/>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10F71D23" w14:textId="77777777" w:rsidR="00F00955" w:rsidRPr="00F00955" w:rsidRDefault="00F00955" w:rsidP="00F009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s-MX"/>
              </w:rPr>
            </w:pPr>
            <w:r w:rsidRPr="00F00955">
              <w:rPr>
                <w:rFonts w:ascii="Arial" w:hAnsi="Arial" w:cs="Arial"/>
                <w:i/>
                <w:sz w:val="20"/>
                <w:szCs w:val="20"/>
                <w:lang w:val="es-MX"/>
              </w:rPr>
              <w:t>Menor o igual a 89,99% o igual a 50,00%</w:t>
            </w:r>
          </w:p>
        </w:tc>
      </w:tr>
      <w:tr w:rsidR="00F00955" w:rsidRPr="00F00955" w14:paraId="43DF23C8" w14:textId="77777777" w:rsidTr="00465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4BACC6" w:themeColor="accent5"/>
              <w:right w:val="single" w:sz="6" w:space="0" w:color="4BACC6" w:themeColor="accent5"/>
            </w:tcBorders>
            <w:shd w:val="clear" w:color="auto" w:fill="C00000"/>
            <w:vAlign w:val="center"/>
            <w:hideMark/>
          </w:tcPr>
          <w:p w14:paraId="022FDEBE" w14:textId="77777777" w:rsidR="00F00955" w:rsidRPr="00F00955" w:rsidRDefault="00F00955" w:rsidP="00F00955">
            <w:pPr>
              <w:spacing w:line="360" w:lineRule="auto"/>
              <w:rPr>
                <w:rFonts w:ascii="Arial" w:hAnsi="Arial" w:cs="Arial"/>
                <w:b w:val="0"/>
                <w:sz w:val="20"/>
                <w:szCs w:val="20"/>
                <w:lang w:val="es-MX"/>
              </w:rPr>
            </w:pPr>
            <w:r w:rsidRPr="00F00955">
              <w:rPr>
                <w:rFonts w:ascii="Arial" w:hAnsi="Arial" w:cs="Arial"/>
                <w:b w:val="0"/>
                <w:sz w:val="20"/>
                <w:szCs w:val="20"/>
                <w:lang w:val="es-MX"/>
              </w:rPr>
              <w:t>Cumplimiento Bajo (CB)</w:t>
            </w:r>
          </w:p>
        </w:tc>
        <w:tc>
          <w:tcPr>
            <w:tcW w:w="0" w:type="auto"/>
            <w:tcBorders>
              <w:top w:val="single" w:sz="6" w:space="0" w:color="4BACC6" w:themeColor="accent5"/>
              <w:left w:val="single" w:sz="6" w:space="0" w:color="4BACC6" w:themeColor="accent5"/>
            </w:tcBorders>
            <w:vAlign w:val="center"/>
            <w:hideMark/>
          </w:tcPr>
          <w:p w14:paraId="0180C3AB" w14:textId="77777777" w:rsidR="00F00955" w:rsidRPr="00F00955" w:rsidRDefault="00F00955" w:rsidP="00F009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F00955">
              <w:rPr>
                <w:rFonts w:ascii="Arial" w:hAnsi="Arial" w:cs="Arial"/>
                <w:i/>
                <w:sz w:val="20"/>
                <w:szCs w:val="20"/>
                <w:lang w:val="es-MX"/>
              </w:rPr>
              <w:t>Menor o igual a 49,99%</w:t>
            </w:r>
          </w:p>
        </w:tc>
      </w:tr>
    </w:tbl>
    <w:p w14:paraId="56561E07" w14:textId="77777777" w:rsidR="005362D0" w:rsidRPr="00F00955" w:rsidRDefault="005362D0" w:rsidP="005362D0">
      <w:pPr>
        <w:keepNext/>
        <w:keepLines/>
        <w:spacing w:before="360" w:after="160" w:line="259" w:lineRule="auto"/>
        <w:jc w:val="both"/>
        <w:outlineLvl w:val="1"/>
        <w:rPr>
          <w:rFonts w:ascii="Arial" w:eastAsiaTheme="majorEastAsia" w:hAnsi="Arial" w:cs="Arial"/>
          <w:b/>
          <w:bCs/>
          <w:iCs/>
          <w:vanish/>
          <w:spacing w:val="15"/>
          <w:sz w:val="22"/>
        </w:rPr>
      </w:pPr>
      <w:bookmarkStart w:id="44" w:name="_Toc88750323"/>
      <w:bookmarkStart w:id="45" w:name="_Toc88750482"/>
      <w:bookmarkStart w:id="46" w:name="_Toc88819976"/>
      <w:bookmarkStart w:id="47" w:name="_Toc93408628"/>
      <w:bookmarkStart w:id="48" w:name="_Toc93408656"/>
      <w:bookmarkStart w:id="49" w:name="_Toc93411023"/>
      <w:bookmarkStart w:id="50" w:name="_Toc93411080"/>
      <w:bookmarkStart w:id="51" w:name="_Toc93420488"/>
      <w:bookmarkEnd w:id="44"/>
      <w:bookmarkEnd w:id="45"/>
      <w:bookmarkEnd w:id="46"/>
      <w:bookmarkEnd w:id="47"/>
      <w:bookmarkEnd w:id="48"/>
      <w:bookmarkEnd w:id="49"/>
      <w:bookmarkEnd w:id="50"/>
      <w:bookmarkEnd w:id="51"/>
    </w:p>
    <w:p w14:paraId="78118EC7" w14:textId="77777777" w:rsidR="00F00955" w:rsidRPr="00F00955" w:rsidRDefault="00F00955" w:rsidP="00262D3C">
      <w:pPr>
        <w:keepNext/>
        <w:keepLines/>
        <w:spacing w:before="360" w:after="160" w:line="259" w:lineRule="auto"/>
        <w:ind w:left="432"/>
        <w:jc w:val="both"/>
        <w:outlineLvl w:val="1"/>
        <w:rPr>
          <w:rFonts w:ascii="Arial" w:eastAsiaTheme="majorEastAsia" w:hAnsi="Arial" w:cs="Arial"/>
          <w:b/>
          <w:bCs/>
          <w:iCs/>
          <w:vanish/>
          <w:spacing w:val="15"/>
          <w:sz w:val="22"/>
        </w:rPr>
      </w:pPr>
      <w:bookmarkStart w:id="52" w:name="_Toc88750324"/>
      <w:bookmarkStart w:id="53" w:name="_Toc88750483"/>
      <w:bookmarkStart w:id="54" w:name="_Toc88819977"/>
      <w:bookmarkStart w:id="55" w:name="_Toc93408629"/>
      <w:bookmarkStart w:id="56" w:name="_Toc93408657"/>
      <w:bookmarkStart w:id="57" w:name="_Toc93411024"/>
      <w:bookmarkStart w:id="58" w:name="_Toc93411081"/>
      <w:bookmarkStart w:id="59" w:name="_Toc93420489"/>
      <w:bookmarkEnd w:id="52"/>
      <w:bookmarkEnd w:id="53"/>
      <w:bookmarkEnd w:id="54"/>
      <w:bookmarkEnd w:id="55"/>
      <w:bookmarkEnd w:id="56"/>
      <w:bookmarkEnd w:id="57"/>
      <w:bookmarkEnd w:id="58"/>
      <w:bookmarkEnd w:id="59"/>
    </w:p>
    <w:p w14:paraId="549F55C3" w14:textId="77777777" w:rsidR="00F00955" w:rsidRPr="00F00955" w:rsidRDefault="00F00955" w:rsidP="005362D0">
      <w:pPr>
        <w:rPr>
          <w:rFonts w:eastAsiaTheme="minorEastAsia"/>
        </w:rPr>
      </w:pPr>
      <w:bookmarkStart w:id="60" w:name="_Toc88750325"/>
      <w:bookmarkStart w:id="61" w:name="_Toc88750484"/>
      <w:bookmarkStart w:id="62" w:name="_Toc88819978"/>
      <w:bookmarkEnd w:id="60"/>
      <w:bookmarkEnd w:id="61"/>
      <w:bookmarkEnd w:id="62"/>
    </w:p>
    <w:p w14:paraId="7FAA0236" w14:textId="4D23A5E1" w:rsidR="00F00955" w:rsidRDefault="00F00955" w:rsidP="005362D0">
      <w:pPr>
        <w:rPr>
          <w:rFonts w:eastAsiaTheme="minorEastAsia"/>
        </w:rPr>
      </w:pPr>
    </w:p>
    <w:p w14:paraId="6B9F89B1" w14:textId="62724D26" w:rsidR="005362D0" w:rsidRDefault="005362D0" w:rsidP="005362D0">
      <w:pPr>
        <w:rPr>
          <w:rFonts w:eastAsiaTheme="minorEastAsia"/>
        </w:rPr>
      </w:pPr>
    </w:p>
    <w:p w14:paraId="5606A2C4" w14:textId="59C3AC55" w:rsidR="005362D0" w:rsidRDefault="005362D0" w:rsidP="005362D0">
      <w:pPr>
        <w:rPr>
          <w:rFonts w:eastAsiaTheme="minorEastAsia"/>
        </w:rPr>
      </w:pPr>
    </w:p>
    <w:p w14:paraId="42B72EBE" w14:textId="4EA21FBD" w:rsidR="005362D0" w:rsidRDefault="005362D0" w:rsidP="005362D0">
      <w:pPr>
        <w:rPr>
          <w:rFonts w:eastAsiaTheme="minorEastAsia"/>
        </w:rPr>
      </w:pPr>
    </w:p>
    <w:p w14:paraId="3CA88288" w14:textId="27A47253" w:rsidR="005362D0" w:rsidRDefault="005362D0" w:rsidP="005362D0">
      <w:pPr>
        <w:rPr>
          <w:rFonts w:eastAsiaTheme="minorEastAsia"/>
        </w:rPr>
      </w:pPr>
    </w:p>
    <w:p w14:paraId="6AC2A89A" w14:textId="48CAFC9A" w:rsidR="005362D0" w:rsidRDefault="005362D0" w:rsidP="005362D0">
      <w:pPr>
        <w:rPr>
          <w:rFonts w:eastAsiaTheme="minorEastAsia"/>
        </w:rPr>
      </w:pPr>
    </w:p>
    <w:p w14:paraId="2E4985ED" w14:textId="55A390BD" w:rsidR="005362D0" w:rsidRDefault="005362D0" w:rsidP="005362D0">
      <w:pPr>
        <w:rPr>
          <w:rFonts w:eastAsiaTheme="minorEastAsia"/>
        </w:rPr>
      </w:pPr>
    </w:p>
    <w:p w14:paraId="7EF492F9" w14:textId="07B76561" w:rsidR="005362D0" w:rsidRDefault="005362D0" w:rsidP="005362D0">
      <w:pPr>
        <w:rPr>
          <w:rFonts w:eastAsiaTheme="minorEastAsia"/>
        </w:rPr>
      </w:pPr>
    </w:p>
    <w:p w14:paraId="21B8E4BA" w14:textId="4D2B66AC" w:rsidR="005362D0" w:rsidRDefault="005362D0" w:rsidP="005362D0">
      <w:pPr>
        <w:rPr>
          <w:rFonts w:eastAsiaTheme="minorEastAsia"/>
        </w:rPr>
      </w:pPr>
    </w:p>
    <w:p w14:paraId="150EA9AE" w14:textId="6E903FD7" w:rsidR="005362D0" w:rsidRDefault="005362D0" w:rsidP="005362D0">
      <w:pPr>
        <w:rPr>
          <w:rFonts w:eastAsiaTheme="minorEastAsia"/>
        </w:rPr>
      </w:pPr>
    </w:p>
    <w:p w14:paraId="2EEE0DD2" w14:textId="77777777" w:rsidR="005362D0" w:rsidRDefault="005362D0" w:rsidP="005362D0">
      <w:pPr>
        <w:rPr>
          <w:rFonts w:eastAsiaTheme="minorEastAsia"/>
        </w:rPr>
      </w:pPr>
    </w:p>
    <w:p w14:paraId="624D42EB" w14:textId="77777777" w:rsidR="005362D0" w:rsidRPr="00F00955" w:rsidRDefault="005362D0" w:rsidP="00F00955">
      <w:pPr>
        <w:jc w:val="both"/>
        <w:rPr>
          <w:rFonts w:ascii="Arial" w:eastAsiaTheme="minorEastAsia" w:hAnsi="Arial" w:cs="Arial"/>
          <w:bCs/>
          <w:sz w:val="20"/>
          <w:szCs w:val="20"/>
        </w:rPr>
      </w:pPr>
    </w:p>
    <w:p w14:paraId="25757C50" w14:textId="7B8F435C" w:rsidR="00920597" w:rsidRPr="00A82E00" w:rsidRDefault="00920597" w:rsidP="00BE5AA1">
      <w:pPr>
        <w:pStyle w:val="Ttulo2"/>
        <w:keepLines/>
        <w:numPr>
          <w:ilvl w:val="1"/>
          <w:numId w:val="13"/>
        </w:numPr>
        <w:spacing w:before="360" w:line="259" w:lineRule="auto"/>
        <w:jc w:val="both"/>
        <w:rPr>
          <w:rFonts w:ascii="Arial" w:hAnsi="Arial" w:cs="Arial"/>
          <w:iCs/>
          <w:smallCaps/>
          <w:color w:val="002060"/>
          <w:spacing w:val="15"/>
          <w:szCs w:val="20"/>
        </w:rPr>
      </w:pPr>
      <w:bookmarkStart w:id="63" w:name="_Toc93420490"/>
      <w:r w:rsidRPr="00A82E00">
        <w:rPr>
          <w:rFonts w:ascii="Arial" w:hAnsi="Arial" w:cs="Arial"/>
          <w:iCs/>
          <w:color w:val="002060"/>
          <w:spacing w:val="15"/>
          <w:szCs w:val="20"/>
        </w:rPr>
        <w:lastRenderedPageBreak/>
        <w:t xml:space="preserve">Análisis de </w:t>
      </w:r>
      <w:r>
        <w:rPr>
          <w:rFonts w:ascii="Arial" w:hAnsi="Arial" w:cs="Arial"/>
          <w:iCs/>
          <w:color w:val="002060"/>
          <w:spacing w:val="15"/>
          <w:szCs w:val="20"/>
        </w:rPr>
        <w:t>Unidades de Medida</w:t>
      </w:r>
      <w:bookmarkEnd w:id="63"/>
    </w:p>
    <w:p w14:paraId="3D2AD000" w14:textId="2E7A759B" w:rsidR="00F00955" w:rsidRDefault="00F00955">
      <w:pPr>
        <w:rPr>
          <w:rFonts w:ascii="Arial" w:hAnsi="Arial" w:cs="Arial"/>
          <w:b/>
          <w:bCs/>
          <w:color w:val="1F497D" w:themeColor="text2"/>
          <w:sz w:val="20"/>
          <w:szCs w:val="20"/>
          <w:lang w:val="es-MX"/>
        </w:rPr>
      </w:pPr>
    </w:p>
    <w:p w14:paraId="2AFE7A7A" w14:textId="77777777" w:rsidR="00F00955" w:rsidRPr="00516521" w:rsidRDefault="00F00955">
      <w:pPr>
        <w:rPr>
          <w:rFonts w:ascii="Arial" w:hAnsi="Arial" w:cs="Arial"/>
          <w:b/>
          <w:bCs/>
          <w:color w:val="1F497D" w:themeColor="text2"/>
          <w:sz w:val="20"/>
          <w:szCs w:val="20"/>
          <w:lang w:val="es-MX"/>
        </w:rPr>
      </w:pPr>
    </w:p>
    <w:p w14:paraId="11FEA1E7" w14:textId="7095C52D" w:rsidR="00516521" w:rsidRPr="00857385" w:rsidRDefault="00516521" w:rsidP="00857385">
      <w:pPr>
        <w:jc w:val="center"/>
        <w:rPr>
          <w:rFonts w:ascii="Arial" w:hAnsi="Arial" w:cs="Arial"/>
          <w:b/>
          <w:bCs/>
          <w:color w:val="1F497D" w:themeColor="text2"/>
          <w:sz w:val="20"/>
          <w:szCs w:val="20"/>
          <w:lang w:val="es-MX"/>
        </w:rPr>
      </w:pPr>
    </w:p>
    <w:p w14:paraId="3CBA3A45" w14:textId="0922DEA6" w:rsidR="00516521" w:rsidRPr="00857385" w:rsidRDefault="00516521" w:rsidP="00857385">
      <w:pPr>
        <w:jc w:val="center"/>
        <w:rPr>
          <w:rFonts w:ascii="Arial" w:hAnsi="Arial" w:cs="Arial"/>
          <w:b/>
          <w:bCs/>
          <w:color w:val="1F497D" w:themeColor="text2"/>
          <w:sz w:val="20"/>
          <w:szCs w:val="20"/>
          <w:lang w:val="es-MX"/>
        </w:rPr>
      </w:pPr>
      <w:r w:rsidRPr="00857385">
        <w:rPr>
          <w:rFonts w:ascii="Arial" w:hAnsi="Arial" w:cs="Arial"/>
          <w:b/>
          <w:bCs/>
          <w:color w:val="1F497D" w:themeColor="text2"/>
          <w:sz w:val="20"/>
          <w:szCs w:val="20"/>
          <w:lang w:val="es-MX"/>
        </w:rPr>
        <w:t xml:space="preserve">Programa 927 </w:t>
      </w:r>
      <w:r w:rsidR="00412EB8">
        <w:rPr>
          <w:rFonts w:ascii="Arial" w:hAnsi="Arial" w:cs="Arial"/>
          <w:b/>
          <w:bCs/>
          <w:color w:val="1F497D" w:themeColor="text2"/>
          <w:sz w:val="20"/>
          <w:szCs w:val="20"/>
          <w:lang w:val="es-MX"/>
        </w:rPr>
        <w:t>–</w:t>
      </w:r>
      <w:r w:rsidRPr="00857385">
        <w:rPr>
          <w:rFonts w:ascii="Arial" w:hAnsi="Arial" w:cs="Arial"/>
          <w:b/>
          <w:bCs/>
          <w:color w:val="1F497D" w:themeColor="text2"/>
          <w:sz w:val="20"/>
          <w:szCs w:val="20"/>
          <w:lang w:val="es-MX"/>
        </w:rPr>
        <w:t xml:space="preserve"> Servicio Jurisdiccional</w:t>
      </w:r>
    </w:p>
    <w:p w14:paraId="1BBD7F6E" w14:textId="4FCE5D3A" w:rsidR="00EB6BE8" w:rsidRPr="00EB6BE8" w:rsidRDefault="00EB6BE8">
      <w:pPr>
        <w:rPr>
          <w:rFonts w:ascii="Arial" w:hAnsi="Arial" w:cs="Arial"/>
          <w:b/>
          <w:bCs/>
          <w:sz w:val="20"/>
          <w:szCs w:val="20"/>
          <w:lang w:val="es-MX"/>
        </w:rPr>
      </w:pPr>
    </w:p>
    <w:p w14:paraId="44C750AC" w14:textId="6F912B80" w:rsidR="00503D75" w:rsidRPr="0011789E" w:rsidRDefault="00503D75" w:rsidP="00CD5C9F">
      <w:pPr>
        <w:ind w:left="-142"/>
        <w:contextualSpacing/>
        <w:jc w:val="both"/>
        <w:rPr>
          <w:rFonts w:ascii="Arial" w:hAnsi="Arial" w:cs="Arial"/>
          <w:sz w:val="12"/>
          <w:szCs w:val="20"/>
          <w:lang w:val="es-ES_tradnl"/>
        </w:rPr>
      </w:pPr>
      <w:bookmarkStart w:id="64" w:name="_Hlk61365211"/>
      <w:r w:rsidRPr="0011789E">
        <w:rPr>
          <w:rFonts w:ascii="Arial" w:hAnsi="Arial" w:cs="Arial"/>
          <w:b/>
          <w:sz w:val="16"/>
          <w:szCs w:val="20"/>
          <w:lang w:val="es-ES_tradnl"/>
        </w:rPr>
        <w:t xml:space="preserve">  </w:t>
      </w:r>
    </w:p>
    <w:bookmarkEnd w:id="64"/>
    <w:p w14:paraId="6EE7ED8B" w14:textId="2A89C49C"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30</w:t>
      </w:r>
      <w:r w:rsidRPr="00AE3D7B">
        <w:rPr>
          <w:rFonts w:ascii="Arial" w:hAnsi="Arial" w:cs="Arial"/>
          <w:b/>
          <w:bCs/>
          <w:i w:val="0"/>
          <w:iCs w:val="0"/>
          <w:color w:val="auto"/>
          <w:sz w:val="20"/>
          <w:szCs w:val="20"/>
        </w:rPr>
        <w:fldChar w:fldCharType="end"/>
      </w:r>
    </w:p>
    <w:p w14:paraId="71BF81C0" w14:textId="5290E1EF" w:rsidR="0001651D" w:rsidRPr="0001651D" w:rsidRDefault="0001651D" w:rsidP="0001651D">
      <w:pPr>
        <w:spacing w:line="360" w:lineRule="auto"/>
        <w:jc w:val="center"/>
        <w:rPr>
          <w:rFonts w:ascii="Arial" w:eastAsiaTheme="minorEastAsia" w:hAnsi="Arial" w:cs="Arial"/>
          <w:sz w:val="20"/>
          <w:szCs w:val="20"/>
          <w:lang w:val="es-ES_tradnl"/>
        </w:rPr>
      </w:pPr>
      <w:r w:rsidRPr="0001651D">
        <w:rPr>
          <w:rFonts w:ascii="Arial" w:eastAsiaTheme="minorEastAsia" w:hAnsi="Arial" w:cs="Arial"/>
          <w:b/>
          <w:sz w:val="20"/>
          <w:szCs w:val="20"/>
          <w:lang w:val="es-ES_tradnl"/>
        </w:rPr>
        <w:t xml:space="preserve">Cumplimiento de unidades de medida </w:t>
      </w:r>
    </w:p>
    <w:p w14:paraId="5AE184FB" w14:textId="3B1219E6" w:rsidR="0001651D" w:rsidRPr="0001651D" w:rsidRDefault="0001651D" w:rsidP="0001651D">
      <w:pPr>
        <w:spacing w:line="360" w:lineRule="auto"/>
        <w:jc w:val="center"/>
        <w:rPr>
          <w:rFonts w:ascii="Arial" w:eastAsiaTheme="minorEastAsia" w:hAnsi="Arial" w:cs="Arial"/>
          <w:sz w:val="20"/>
          <w:szCs w:val="20"/>
          <w:lang w:val="es-ES_tradnl"/>
        </w:rPr>
      </w:pPr>
      <w:r w:rsidRPr="0001651D">
        <w:rPr>
          <w:rFonts w:ascii="Arial" w:eastAsiaTheme="minorEastAsia" w:hAnsi="Arial" w:cs="Arial"/>
          <w:sz w:val="20"/>
          <w:szCs w:val="20"/>
          <w:lang w:val="es-ES_tradnl"/>
        </w:rPr>
        <w:t>Programa 927</w:t>
      </w:r>
      <w:r w:rsidR="000F2809">
        <w:rPr>
          <w:rFonts w:ascii="Arial" w:eastAsiaTheme="minorEastAsia" w:hAnsi="Arial" w:cs="Arial"/>
          <w:sz w:val="20"/>
          <w:szCs w:val="20"/>
          <w:lang w:val="es-ES_tradnl"/>
        </w:rPr>
        <w:t xml:space="preserve"> Servicio Jurisdiccional </w:t>
      </w:r>
    </w:p>
    <w:p w14:paraId="18B7701F" w14:textId="77777777" w:rsidR="0001651D" w:rsidRPr="0001651D" w:rsidRDefault="0001651D" w:rsidP="0001651D">
      <w:pPr>
        <w:spacing w:line="360" w:lineRule="auto"/>
        <w:jc w:val="center"/>
        <w:rPr>
          <w:rFonts w:ascii="Arial" w:eastAsiaTheme="minorEastAsia" w:hAnsi="Arial" w:cs="Arial"/>
          <w:b/>
          <w:sz w:val="20"/>
          <w:szCs w:val="20"/>
          <w:lang w:val="es-ES_tradnl"/>
        </w:rPr>
      </w:pPr>
      <w:r w:rsidRPr="0001651D">
        <w:rPr>
          <w:rFonts w:ascii="Arial" w:eastAsiaTheme="minorEastAsia" w:hAnsi="Arial" w:cs="Arial"/>
          <w:sz w:val="20"/>
          <w:szCs w:val="20"/>
          <w:lang w:val="es-ES_tradnl"/>
        </w:rPr>
        <w:t>Al 31 de diciembre 2021</w:t>
      </w:r>
    </w:p>
    <w:tbl>
      <w:tblPr>
        <w:tblStyle w:val="Listaclara-nfasis119"/>
        <w:tblW w:w="9204" w:type="dxa"/>
        <w:jc w:val="center"/>
        <w:tblLayout w:type="fixed"/>
        <w:tblLook w:val="00A0" w:firstRow="1" w:lastRow="0" w:firstColumn="1" w:lastColumn="0" w:noHBand="0" w:noVBand="0"/>
      </w:tblPr>
      <w:tblGrid>
        <w:gridCol w:w="1408"/>
        <w:gridCol w:w="1276"/>
        <w:gridCol w:w="1417"/>
        <w:gridCol w:w="1418"/>
        <w:gridCol w:w="1134"/>
        <w:gridCol w:w="1134"/>
        <w:gridCol w:w="1417"/>
      </w:tblGrid>
      <w:tr w:rsidR="00724CAD" w:rsidRPr="0001651D" w14:paraId="2DD5AB6C" w14:textId="77777777" w:rsidTr="00FC1C1E">
        <w:trPr>
          <w:cnfStyle w:val="100000000000" w:firstRow="1" w:lastRow="0" w:firstColumn="0" w:lastColumn="0" w:oddVBand="0" w:evenVBand="0" w:oddHBand="0" w:evenHBand="0" w:firstRowFirstColumn="0" w:firstRowLastColumn="0" w:lastRowFirstColumn="0" w:lastRowLastColumn="0"/>
          <w:trHeight w:val="1488"/>
          <w:tblHeader/>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0550E0F" w14:textId="77777777" w:rsidR="0001651D" w:rsidRPr="00FC1C1E" w:rsidRDefault="0001651D" w:rsidP="004759C1">
            <w:pPr>
              <w:spacing w:line="360" w:lineRule="auto"/>
              <w:jc w:val="center"/>
              <w:rPr>
                <w:rFonts w:ascii="Arial" w:hAnsi="Arial" w:cs="Arial"/>
                <w:b w:val="0"/>
                <w:bCs w:val="0"/>
                <w:sz w:val="20"/>
                <w:szCs w:val="20"/>
              </w:rPr>
            </w:pPr>
          </w:p>
          <w:p w14:paraId="6A092326" w14:textId="77777777" w:rsidR="0001651D" w:rsidRPr="00FC1C1E" w:rsidRDefault="0001651D" w:rsidP="004759C1">
            <w:pPr>
              <w:spacing w:line="360" w:lineRule="auto"/>
              <w:jc w:val="center"/>
              <w:rPr>
                <w:rFonts w:ascii="Arial" w:hAnsi="Arial" w:cs="Arial"/>
                <w:b w:val="0"/>
                <w:sz w:val="20"/>
                <w:szCs w:val="20"/>
              </w:rPr>
            </w:pPr>
            <w:r w:rsidRPr="00FC1C1E">
              <w:rPr>
                <w:rFonts w:ascii="Arial" w:hAnsi="Arial" w:cs="Arial"/>
                <w:sz w:val="20"/>
                <w:szCs w:val="20"/>
              </w:rPr>
              <w:t>Nombre del producto</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7B965081" w14:textId="77777777" w:rsidR="0001651D" w:rsidRPr="00FC1C1E" w:rsidRDefault="0001651D" w:rsidP="004759C1">
            <w:pPr>
              <w:spacing w:line="360" w:lineRule="auto"/>
              <w:jc w:val="center"/>
              <w:rPr>
                <w:rFonts w:ascii="Arial" w:hAnsi="Arial" w:cs="Arial"/>
                <w:b w:val="0"/>
                <w:bCs w:val="0"/>
                <w:sz w:val="20"/>
                <w:szCs w:val="20"/>
              </w:rPr>
            </w:pPr>
          </w:p>
          <w:p w14:paraId="509B4DB0" w14:textId="11961B63" w:rsidR="0001651D" w:rsidRPr="00FC1C1E" w:rsidRDefault="0001651D" w:rsidP="004759C1">
            <w:pPr>
              <w:spacing w:line="360" w:lineRule="auto"/>
              <w:jc w:val="center"/>
              <w:rPr>
                <w:rFonts w:ascii="Arial" w:hAnsi="Arial" w:cs="Arial"/>
                <w:b w:val="0"/>
                <w:bCs w:val="0"/>
                <w:sz w:val="20"/>
                <w:szCs w:val="20"/>
              </w:rPr>
            </w:pPr>
            <w:r w:rsidRPr="00FC1C1E">
              <w:rPr>
                <w:rFonts w:ascii="Arial" w:hAnsi="Arial" w:cs="Arial"/>
                <w:sz w:val="20"/>
                <w:szCs w:val="20"/>
              </w:rPr>
              <w:t>Nombre de la</w:t>
            </w:r>
          </w:p>
          <w:p w14:paraId="71003745" w14:textId="77777777" w:rsidR="0001651D" w:rsidRPr="00FC1C1E" w:rsidRDefault="0001651D" w:rsidP="004759C1">
            <w:pPr>
              <w:spacing w:line="360" w:lineRule="auto"/>
              <w:jc w:val="center"/>
              <w:rPr>
                <w:rFonts w:ascii="Arial" w:hAnsi="Arial" w:cs="Arial"/>
                <w:b w:val="0"/>
                <w:sz w:val="20"/>
                <w:szCs w:val="20"/>
              </w:rPr>
            </w:pPr>
            <w:r w:rsidRPr="00FC1C1E">
              <w:rPr>
                <w:rFonts w:ascii="Arial" w:hAnsi="Arial" w:cs="Arial"/>
                <w:sz w:val="20"/>
                <w:szCs w:val="20"/>
              </w:rPr>
              <w:t>unidad de medida</w:t>
            </w:r>
          </w:p>
        </w:tc>
        <w:tc>
          <w:tcPr>
            <w:tcW w:w="1417" w:type="dxa"/>
            <w:vAlign w:val="center"/>
          </w:tcPr>
          <w:p w14:paraId="30554635" w14:textId="77777777" w:rsidR="0001651D" w:rsidRPr="00FC1C1E" w:rsidRDefault="0001651D" w:rsidP="004759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527327B5" w14:textId="77777777" w:rsidR="0001651D" w:rsidRPr="00FC1C1E" w:rsidRDefault="0001651D" w:rsidP="004759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C1C1E">
              <w:rPr>
                <w:rFonts w:ascii="Arial" w:hAnsi="Arial" w:cs="Arial"/>
                <w:sz w:val="20"/>
                <w:szCs w:val="20"/>
              </w:rPr>
              <w:t>Programado</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26C73D65" w14:textId="77777777" w:rsidR="0001651D" w:rsidRPr="00FC1C1E" w:rsidRDefault="0001651D" w:rsidP="004759C1">
            <w:pPr>
              <w:spacing w:line="360" w:lineRule="auto"/>
              <w:jc w:val="center"/>
              <w:rPr>
                <w:rFonts w:ascii="Arial" w:hAnsi="Arial" w:cs="Arial"/>
                <w:b w:val="0"/>
                <w:bCs w:val="0"/>
                <w:sz w:val="20"/>
                <w:szCs w:val="20"/>
              </w:rPr>
            </w:pPr>
          </w:p>
          <w:p w14:paraId="448B2215" w14:textId="77777777" w:rsidR="0001651D" w:rsidRPr="00FC1C1E" w:rsidRDefault="0001651D" w:rsidP="004759C1">
            <w:pPr>
              <w:spacing w:line="360" w:lineRule="auto"/>
              <w:jc w:val="center"/>
              <w:rPr>
                <w:rFonts w:ascii="Arial" w:hAnsi="Arial" w:cs="Arial"/>
                <w:b w:val="0"/>
                <w:sz w:val="20"/>
                <w:szCs w:val="20"/>
              </w:rPr>
            </w:pPr>
            <w:r w:rsidRPr="00FC1C1E">
              <w:rPr>
                <w:rFonts w:ascii="Arial" w:hAnsi="Arial" w:cs="Arial"/>
                <w:sz w:val="20"/>
                <w:szCs w:val="20"/>
              </w:rPr>
              <w:t>Alcanzado</w:t>
            </w:r>
          </w:p>
        </w:tc>
        <w:tc>
          <w:tcPr>
            <w:tcW w:w="1134" w:type="dxa"/>
            <w:vAlign w:val="center"/>
          </w:tcPr>
          <w:p w14:paraId="28A76A07" w14:textId="77777777" w:rsidR="0001651D" w:rsidRPr="00FC1C1E" w:rsidRDefault="0001651D" w:rsidP="004759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399B65AF" w14:textId="77777777" w:rsidR="0001651D" w:rsidRPr="00FC1C1E" w:rsidRDefault="0001651D" w:rsidP="004759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C1C1E">
              <w:rPr>
                <w:rFonts w:ascii="Arial" w:hAnsi="Arial" w:cs="Arial"/>
                <w:sz w:val="20"/>
                <w:szCs w:val="20"/>
              </w:rPr>
              <w:t xml:space="preserve">Nivel alcanzado al 30/06/2021 </w:t>
            </w:r>
            <w:r w:rsidRPr="00FC1C1E">
              <w:rPr>
                <w:rFonts w:ascii="Arial" w:hAnsi="Arial" w:cs="Arial"/>
                <w:b w:val="0"/>
                <w:bCs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998CDEF" w14:textId="77777777" w:rsidR="0001651D" w:rsidRPr="00FC1C1E" w:rsidRDefault="0001651D" w:rsidP="004759C1">
            <w:pPr>
              <w:spacing w:line="360" w:lineRule="auto"/>
              <w:jc w:val="center"/>
              <w:rPr>
                <w:rFonts w:ascii="Arial" w:hAnsi="Arial" w:cs="Arial"/>
                <w:b w:val="0"/>
                <w:bCs w:val="0"/>
                <w:sz w:val="20"/>
                <w:szCs w:val="20"/>
              </w:rPr>
            </w:pPr>
          </w:p>
          <w:p w14:paraId="1620F7C2" w14:textId="46A56E05" w:rsidR="0001651D" w:rsidRPr="00FC1C1E" w:rsidRDefault="0001651D" w:rsidP="004759C1">
            <w:pPr>
              <w:spacing w:line="360" w:lineRule="auto"/>
              <w:jc w:val="center"/>
              <w:rPr>
                <w:rFonts w:ascii="Arial" w:hAnsi="Arial" w:cs="Arial"/>
                <w:b w:val="0"/>
                <w:color w:val="0070C0"/>
                <w:sz w:val="20"/>
                <w:szCs w:val="20"/>
                <w:highlight w:val="yellow"/>
              </w:rPr>
            </w:pPr>
            <w:r w:rsidRPr="00FC1C1E">
              <w:rPr>
                <w:rFonts w:ascii="Arial" w:hAnsi="Arial" w:cs="Arial"/>
                <w:sz w:val="20"/>
                <w:szCs w:val="20"/>
              </w:rPr>
              <w:t>Nivel alcanzado al 31/12/2021</w:t>
            </w:r>
          </w:p>
        </w:tc>
        <w:tc>
          <w:tcPr>
            <w:tcW w:w="1417" w:type="dxa"/>
            <w:vAlign w:val="center"/>
          </w:tcPr>
          <w:p w14:paraId="09CD8E38" w14:textId="537A937A" w:rsidR="0001651D" w:rsidRPr="00FC1C1E" w:rsidRDefault="0001651D" w:rsidP="004759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C1C1E">
              <w:rPr>
                <w:rFonts w:ascii="Arial" w:hAnsi="Arial" w:cs="Arial"/>
                <w:sz w:val="20"/>
                <w:szCs w:val="20"/>
              </w:rPr>
              <w:t xml:space="preserve">Fuente de datos </w:t>
            </w:r>
            <w:r w:rsidRPr="00FC1C1E">
              <w:rPr>
                <w:rFonts w:ascii="Arial" w:hAnsi="Arial" w:cs="Arial"/>
                <w:sz w:val="20"/>
                <w:szCs w:val="20"/>
                <w:vertAlign w:val="superscript"/>
              </w:rPr>
              <w:t>/2</w:t>
            </w:r>
          </w:p>
        </w:tc>
      </w:tr>
      <w:tr w:rsidR="0001651D" w:rsidRPr="0001651D" w14:paraId="24E1CEDF" w14:textId="77777777" w:rsidTr="00475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91E2719" w14:textId="20788B1C" w:rsidR="0001651D" w:rsidRPr="0001651D" w:rsidRDefault="0001651D" w:rsidP="004759C1">
            <w:pPr>
              <w:autoSpaceDE w:val="0"/>
              <w:autoSpaceDN w:val="0"/>
              <w:adjustRightInd w:val="0"/>
              <w:spacing w:line="360" w:lineRule="auto"/>
              <w:jc w:val="center"/>
              <w:rPr>
                <w:rFonts w:ascii="Arial" w:hAnsi="Arial" w:cs="Arial"/>
                <w:color w:val="000000"/>
                <w:sz w:val="20"/>
                <w:szCs w:val="20"/>
                <w:lang w:val="es-CR"/>
              </w:rPr>
            </w:pPr>
            <w:r w:rsidRPr="0001651D">
              <w:rPr>
                <w:rFonts w:ascii="Arial" w:hAnsi="Arial" w:cs="Arial"/>
                <w:b w:val="0"/>
                <w:bCs w:val="0"/>
                <w:color w:val="000000"/>
                <w:sz w:val="20"/>
                <w:szCs w:val="20"/>
                <w:lang w:val="es-CR"/>
              </w:rPr>
              <w:t>Casos judiciales terminados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4CED442" w14:textId="4B7D7834" w:rsidR="0001651D" w:rsidRPr="0001651D" w:rsidRDefault="0001651D" w:rsidP="004759C1">
            <w:pPr>
              <w:autoSpaceDE w:val="0"/>
              <w:autoSpaceDN w:val="0"/>
              <w:adjustRightInd w:val="0"/>
              <w:spacing w:line="360" w:lineRule="auto"/>
              <w:jc w:val="center"/>
              <w:rPr>
                <w:rFonts w:ascii="Arial" w:hAnsi="Arial" w:cs="Arial"/>
                <w:color w:val="000000"/>
                <w:sz w:val="20"/>
                <w:szCs w:val="20"/>
                <w:lang w:val="es-CR"/>
              </w:rPr>
            </w:pPr>
            <w:r w:rsidRPr="0001651D">
              <w:rPr>
                <w:rFonts w:ascii="Arial" w:hAnsi="Arial" w:cs="Arial"/>
                <w:color w:val="000000"/>
                <w:sz w:val="20"/>
                <w:szCs w:val="20"/>
                <w:lang w:val="es-CR"/>
              </w:rPr>
              <w:t>Expediente judicial</w:t>
            </w:r>
          </w:p>
        </w:tc>
        <w:tc>
          <w:tcPr>
            <w:tcW w:w="1417" w:type="dxa"/>
            <w:vAlign w:val="center"/>
          </w:tcPr>
          <w:p w14:paraId="5DB1AA49" w14:textId="77777777" w:rsidR="0001651D" w:rsidRPr="0001651D" w:rsidRDefault="0001651D" w:rsidP="004759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01651D">
              <w:rPr>
                <w:rFonts w:ascii="Arial" w:hAnsi="Arial" w:cs="Arial"/>
                <w:sz w:val="20"/>
                <w:szCs w:val="20"/>
                <w:lang w:val="es-ES_tradnl"/>
              </w:rPr>
              <w:t>522.143,00</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03DEA936" w14:textId="77777777" w:rsidR="0001651D" w:rsidRPr="0001651D" w:rsidRDefault="0001651D" w:rsidP="004759C1">
            <w:pPr>
              <w:spacing w:line="360" w:lineRule="auto"/>
              <w:jc w:val="center"/>
              <w:rPr>
                <w:rFonts w:ascii="Arial" w:hAnsi="Arial" w:cs="Arial"/>
                <w:sz w:val="20"/>
                <w:szCs w:val="20"/>
                <w:lang w:val="es-ES_tradnl"/>
              </w:rPr>
            </w:pPr>
            <w:r w:rsidRPr="0001651D">
              <w:rPr>
                <w:rFonts w:ascii="Arial" w:hAnsi="Arial" w:cs="Arial"/>
                <w:sz w:val="20"/>
                <w:szCs w:val="20"/>
                <w:lang w:val="es-ES_tradnl"/>
              </w:rPr>
              <w:t>575.028,00</w:t>
            </w:r>
          </w:p>
        </w:tc>
        <w:tc>
          <w:tcPr>
            <w:tcW w:w="1134" w:type="dxa"/>
            <w:vAlign w:val="center"/>
          </w:tcPr>
          <w:p w14:paraId="100E254E" w14:textId="77777777" w:rsidR="0001651D" w:rsidRPr="0001651D" w:rsidRDefault="0001651D" w:rsidP="004759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01651D">
              <w:rPr>
                <w:rFonts w:ascii="Arial" w:hAnsi="Arial" w:cs="Arial"/>
                <w:sz w:val="20"/>
                <w:szCs w:val="20"/>
                <w:lang w:val="es-ES_tradnl"/>
              </w:rPr>
              <w:t>56,57%</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9B9ED04" w14:textId="77777777" w:rsidR="0001651D" w:rsidRPr="0001651D" w:rsidRDefault="0001651D" w:rsidP="004759C1">
            <w:pPr>
              <w:spacing w:line="360" w:lineRule="auto"/>
              <w:jc w:val="center"/>
              <w:rPr>
                <w:rFonts w:ascii="Arial" w:hAnsi="Arial" w:cs="Arial"/>
                <w:sz w:val="20"/>
                <w:szCs w:val="20"/>
                <w:lang w:val="es-ES_tradnl"/>
              </w:rPr>
            </w:pPr>
            <w:r w:rsidRPr="0001651D">
              <w:rPr>
                <w:rFonts w:ascii="Arial" w:hAnsi="Arial" w:cs="Arial"/>
                <w:sz w:val="20"/>
                <w:szCs w:val="20"/>
                <w:lang w:val="es-ES_tradnl"/>
              </w:rPr>
              <w:t>110,13%</w:t>
            </w:r>
          </w:p>
        </w:tc>
        <w:tc>
          <w:tcPr>
            <w:tcW w:w="1417" w:type="dxa"/>
            <w:vAlign w:val="center"/>
          </w:tcPr>
          <w:p w14:paraId="3CC67776" w14:textId="77777777" w:rsidR="0001651D" w:rsidRPr="0001651D" w:rsidRDefault="0001651D" w:rsidP="004759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01651D">
              <w:rPr>
                <w:rFonts w:ascii="Arial" w:hAnsi="Arial" w:cs="Arial"/>
                <w:sz w:val="20"/>
                <w:szCs w:val="20"/>
                <w:lang w:val="es-ES_tradnl"/>
              </w:rPr>
              <w:t>Subproceso de Estadística, Dirección de Planificación</w:t>
            </w:r>
          </w:p>
        </w:tc>
      </w:tr>
    </w:tbl>
    <w:p w14:paraId="05CA1529" w14:textId="77777777" w:rsidR="0001651D" w:rsidRPr="0001651D" w:rsidRDefault="0001651D" w:rsidP="0001651D">
      <w:pPr>
        <w:spacing w:after="160"/>
        <w:contextualSpacing/>
        <w:jc w:val="both"/>
        <w:rPr>
          <w:rFonts w:ascii="Arial" w:eastAsiaTheme="minorEastAsia" w:hAnsi="Arial" w:cs="Arial"/>
          <w:color w:val="C00000"/>
          <w:sz w:val="16"/>
          <w:szCs w:val="16"/>
          <w:lang w:val="es-ES_tradnl"/>
        </w:rPr>
      </w:pPr>
      <w:r w:rsidRPr="0001651D">
        <w:rPr>
          <w:rFonts w:ascii="Arial" w:eastAsiaTheme="minorEastAsia" w:hAnsi="Arial" w:cs="Arial"/>
          <w:b/>
          <w:sz w:val="16"/>
          <w:szCs w:val="16"/>
          <w:lang w:val="es-ES_tradnl"/>
        </w:rPr>
        <w:t xml:space="preserve"> Fuente</w:t>
      </w:r>
      <w:r w:rsidRPr="0001651D">
        <w:rPr>
          <w:rFonts w:ascii="Arial" w:eastAsiaTheme="minorEastAsia" w:hAnsi="Arial" w:cs="Arial"/>
          <w:sz w:val="16"/>
          <w:szCs w:val="16"/>
          <w:lang w:val="es-ES_tradnl"/>
        </w:rPr>
        <w:t>: Subproceso Estadística, Dirección de Planificación</w:t>
      </w:r>
      <w:r w:rsidRPr="0001651D">
        <w:rPr>
          <w:rFonts w:ascii="Arial" w:eastAsiaTheme="minorEastAsia" w:hAnsi="Arial" w:cs="Arial"/>
          <w:color w:val="C00000"/>
          <w:sz w:val="16"/>
          <w:szCs w:val="16"/>
        </w:rPr>
        <w:t>.</w:t>
      </w:r>
    </w:p>
    <w:p w14:paraId="349A78B2" w14:textId="77777777" w:rsidR="0001651D" w:rsidRPr="0001651D" w:rsidRDefault="0001651D" w:rsidP="0001651D">
      <w:pPr>
        <w:spacing w:after="160"/>
        <w:ind w:left="-142"/>
        <w:contextualSpacing/>
        <w:jc w:val="both"/>
        <w:rPr>
          <w:rFonts w:ascii="Arial" w:eastAsiaTheme="minorEastAsia" w:hAnsi="Arial" w:cs="Arial"/>
          <w:sz w:val="16"/>
          <w:szCs w:val="16"/>
          <w:lang w:val="es-ES_tradnl"/>
        </w:rPr>
      </w:pPr>
      <w:r w:rsidRPr="0001651D">
        <w:rPr>
          <w:rFonts w:ascii="Arial" w:eastAsiaTheme="minorEastAsia" w:hAnsi="Arial" w:cs="Arial"/>
          <w:sz w:val="16"/>
          <w:szCs w:val="16"/>
          <w:lang w:val="es-ES_tradnl"/>
        </w:rPr>
        <w:t xml:space="preserve">  /1 Esta información se obtiene del informe semestral.</w:t>
      </w:r>
    </w:p>
    <w:p w14:paraId="25152459" w14:textId="77777777" w:rsidR="0001651D" w:rsidRPr="0001651D" w:rsidRDefault="0001651D" w:rsidP="0001651D">
      <w:pPr>
        <w:spacing w:after="160"/>
        <w:ind w:left="-142"/>
        <w:contextualSpacing/>
        <w:jc w:val="both"/>
        <w:rPr>
          <w:rFonts w:ascii="Arial" w:eastAsiaTheme="minorEastAsia" w:hAnsi="Arial" w:cs="Arial"/>
          <w:sz w:val="16"/>
          <w:szCs w:val="16"/>
          <w:lang w:val="es-ES_tradnl"/>
        </w:rPr>
      </w:pPr>
      <w:r w:rsidRPr="0001651D">
        <w:rPr>
          <w:rFonts w:ascii="Arial" w:eastAsiaTheme="minorEastAsia" w:hAnsi="Arial" w:cs="Arial"/>
          <w:sz w:val="16"/>
          <w:szCs w:val="16"/>
          <w:lang w:val="es-ES_tradnl"/>
        </w:rPr>
        <w:t xml:space="preserve">  /2 Acorde a lo establecido en la ley de presupuesto 2021 y sus reformas.</w:t>
      </w:r>
    </w:p>
    <w:p w14:paraId="37204273" w14:textId="77777777" w:rsidR="0001651D" w:rsidRPr="0001651D" w:rsidRDefault="0001651D" w:rsidP="0001651D">
      <w:pPr>
        <w:spacing w:after="160" w:line="360" w:lineRule="auto"/>
        <w:ind w:left="118"/>
        <w:rPr>
          <w:rFonts w:ascii="Arial" w:eastAsiaTheme="minorEastAsia" w:hAnsi="Arial" w:cs="Arial"/>
          <w:sz w:val="16"/>
          <w:szCs w:val="16"/>
          <w:u w:val="single"/>
          <w:lang w:val="es-MX"/>
        </w:rPr>
      </w:pPr>
    </w:p>
    <w:p w14:paraId="6BA200A1" w14:textId="77777777" w:rsidR="0001651D" w:rsidRPr="0001651D" w:rsidRDefault="0001651D" w:rsidP="0001651D">
      <w:pPr>
        <w:spacing w:line="360" w:lineRule="auto"/>
        <w:jc w:val="both"/>
        <w:rPr>
          <w:rFonts w:ascii="Arial" w:eastAsiaTheme="minorEastAsia" w:hAnsi="Arial" w:cs="Arial"/>
          <w:color w:val="000000" w:themeColor="text1"/>
          <w:sz w:val="20"/>
          <w:szCs w:val="20"/>
        </w:rPr>
      </w:pPr>
      <w:r w:rsidRPr="0001651D">
        <w:rPr>
          <w:rFonts w:ascii="Arial" w:eastAsiaTheme="minorEastAsia" w:hAnsi="Arial" w:cs="Arial"/>
          <w:color w:val="000000" w:themeColor="text1"/>
          <w:sz w:val="20"/>
          <w:szCs w:val="20"/>
        </w:rPr>
        <w:t xml:space="preserve">Del cuadro anterior se desprende que al 31 de diciembre de 2021 se registró una mayor cantidad de casos terminados a lo proyectado, dado que se finalizaron 575.028,00 expedientes de 522.143,00 programados, lo que equivale a un 110,17% en el nivel alcanzado. </w:t>
      </w:r>
    </w:p>
    <w:p w14:paraId="40FF0BF0" w14:textId="77777777" w:rsidR="0001651D" w:rsidRPr="0001651D" w:rsidRDefault="0001651D" w:rsidP="0001651D">
      <w:pPr>
        <w:spacing w:after="160" w:line="259" w:lineRule="auto"/>
        <w:rPr>
          <w:rFonts w:ascii="Arial" w:eastAsiaTheme="minorEastAsia" w:hAnsi="Arial" w:cs="Arial"/>
          <w:color w:val="000000" w:themeColor="text1"/>
          <w:sz w:val="20"/>
          <w:szCs w:val="20"/>
        </w:rPr>
      </w:pPr>
      <w:r w:rsidRPr="0001651D">
        <w:rPr>
          <w:rFonts w:ascii="Arial" w:eastAsiaTheme="minorEastAsia" w:hAnsi="Arial" w:cs="Arial"/>
          <w:color w:val="000000" w:themeColor="text1"/>
          <w:sz w:val="20"/>
          <w:szCs w:val="20"/>
        </w:rPr>
        <w:br w:type="page"/>
      </w:r>
    </w:p>
    <w:p w14:paraId="0FCD4EB6" w14:textId="52515164" w:rsidR="00D16496" w:rsidRPr="00516521" w:rsidRDefault="00D16496">
      <w:pPr>
        <w:rPr>
          <w:rFonts w:ascii="Arial" w:hAnsi="Arial" w:cs="Arial"/>
          <w:color w:val="1F497D" w:themeColor="text2"/>
          <w:sz w:val="20"/>
          <w:szCs w:val="20"/>
          <w:lang w:val="es-MX"/>
        </w:rPr>
      </w:pPr>
    </w:p>
    <w:p w14:paraId="2431DB67" w14:textId="19FE5BC8" w:rsidR="00516521" w:rsidRPr="00A32122" w:rsidRDefault="00516521" w:rsidP="00516521">
      <w:pPr>
        <w:jc w:val="center"/>
        <w:rPr>
          <w:rFonts w:ascii="Arial" w:hAnsi="Arial" w:cs="Arial"/>
          <w:b/>
          <w:bCs/>
          <w:color w:val="1F497D" w:themeColor="text2"/>
          <w:sz w:val="20"/>
          <w:szCs w:val="20"/>
          <w:lang w:val="es-MX"/>
        </w:rPr>
      </w:pPr>
      <w:r w:rsidRPr="00A32122">
        <w:rPr>
          <w:rFonts w:ascii="Arial" w:hAnsi="Arial" w:cs="Arial"/>
          <w:b/>
          <w:bCs/>
          <w:color w:val="1F497D" w:themeColor="text2"/>
          <w:sz w:val="20"/>
          <w:szCs w:val="20"/>
          <w:lang w:val="es-MX"/>
        </w:rPr>
        <w:t>Programa 930 Servicio de Defensa Pública</w:t>
      </w:r>
    </w:p>
    <w:p w14:paraId="47D8C99F" w14:textId="62BBC16F" w:rsidR="004411AC" w:rsidRDefault="004411AC">
      <w:pPr>
        <w:rPr>
          <w:rFonts w:ascii="Arial" w:hAnsi="Arial" w:cs="Arial"/>
          <w:b/>
          <w:bCs/>
          <w:sz w:val="20"/>
          <w:szCs w:val="20"/>
          <w:highlight w:val="yellow"/>
          <w:lang w:val="es-MX"/>
        </w:rPr>
      </w:pPr>
    </w:p>
    <w:p w14:paraId="109A8711" w14:textId="77777777" w:rsidR="00FE11CD" w:rsidRPr="00FE11CD" w:rsidRDefault="00FE11CD" w:rsidP="00FE11CD">
      <w:pPr>
        <w:spacing w:line="259" w:lineRule="auto"/>
        <w:rPr>
          <w:rFonts w:ascii="Arial" w:eastAsiaTheme="minorEastAsia" w:hAnsi="Arial" w:cs="Arial"/>
          <w:b/>
          <w:sz w:val="20"/>
          <w:szCs w:val="20"/>
          <w:lang w:val="es-ES_tradnl"/>
        </w:rPr>
      </w:pPr>
    </w:p>
    <w:p w14:paraId="02486C31" w14:textId="1ADB4223"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31</w:t>
      </w:r>
      <w:r w:rsidRPr="00AE3D7B">
        <w:rPr>
          <w:rFonts w:ascii="Arial" w:hAnsi="Arial" w:cs="Arial"/>
          <w:b/>
          <w:bCs/>
          <w:i w:val="0"/>
          <w:iCs w:val="0"/>
          <w:color w:val="auto"/>
          <w:sz w:val="20"/>
          <w:szCs w:val="20"/>
        </w:rPr>
        <w:fldChar w:fldCharType="end"/>
      </w:r>
    </w:p>
    <w:p w14:paraId="133C56DE" w14:textId="2F6B4D46" w:rsidR="00FE11CD" w:rsidRPr="00FE11CD" w:rsidRDefault="00FE11CD" w:rsidP="00FE11CD">
      <w:pPr>
        <w:spacing w:line="259" w:lineRule="auto"/>
        <w:jc w:val="center"/>
        <w:rPr>
          <w:rFonts w:ascii="Arial" w:eastAsiaTheme="minorEastAsia" w:hAnsi="Arial" w:cs="Arial"/>
          <w:sz w:val="20"/>
          <w:szCs w:val="20"/>
          <w:lang w:val="es-ES_tradnl"/>
        </w:rPr>
      </w:pPr>
      <w:r w:rsidRPr="00FE11CD">
        <w:rPr>
          <w:rFonts w:ascii="Arial" w:eastAsiaTheme="minorEastAsia" w:hAnsi="Arial" w:cs="Arial"/>
          <w:b/>
          <w:sz w:val="20"/>
          <w:szCs w:val="20"/>
          <w:lang w:val="es-ES_tradnl"/>
        </w:rPr>
        <w:t xml:space="preserve"> Cumplimiento de unidades de medida </w:t>
      </w:r>
    </w:p>
    <w:p w14:paraId="0CDD4543" w14:textId="77777777" w:rsidR="00FE11CD" w:rsidRPr="00FE11CD" w:rsidRDefault="00FE11CD" w:rsidP="00FE11CD">
      <w:pPr>
        <w:jc w:val="center"/>
        <w:rPr>
          <w:rFonts w:ascii="Arial" w:eastAsiaTheme="minorEastAsia" w:hAnsi="Arial" w:cs="Arial"/>
          <w:color w:val="C00000"/>
          <w:sz w:val="20"/>
          <w:szCs w:val="20"/>
          <w:lang w:val="es-ES_tradnl"/>
        </w:rPr>
      </w:pPr>
      <w:r w:rsidRPr="00FE11CD">
        <w:rPr>
          <w:rFonts w:ascii="Arial" w:eastAsiaTheme="minorEastAsia" w:hAnsi="Arial" w:cs="Arial"/>
          <w:sz w:val="20"/>
          <w:szCs w:val="20"/>
          <w:lang w:val="es-ES_tradnl"/>
        </w:rPr>
        <w:t>Programa 930, Defensa Pública</w:t>
      </w:r>
    </w:p>
    <w:p w14:paraId="1FB6E12D" w14:textId="77777777" w:rsidR="00FE11CD" w:rsidRPr="00FE11CD" w:rsidRDefault="00FE11CD" w:rsidP="00FE11CD">
      <w:pPr>
        <w:spacing w:line="259" w:lineRule="auto"/>
        <w:jc w:val="center"/>
        <w:rPr>
          <w:rFonts w:ascii="Arial" w:eastAsiaTheme="minorEastAsia" w:hAnsi="Arial" w:cs="Arial"/>
          <w:b/>
          <w:sz w:val="20"/>
          <w:szCs w:val="20"/>
          <w:lang w:val="es-ES_tradnl"/>
        </w:rPr>
      </w:pPr>
      <w:r w:rsidRPr="00FE11CD">
        <w:rPr>
          <w:rFonts w:ascii="Arial" w:eastAsiaTheme="minorEastAsia" w:hAnsi="Arial" w:cs="Arial"/>
          <w:sz w:val="20"/>
          <w:szCs w:val="20"/>
          <w:lang w:val="es-ES_tradnl"/>
        </w:rPr>
        <w:t>Al 31 de diciembre 2021</w:t>
      </w:r>
    </w:p>
    <w:tbl>
      <w:tblPr>
        <w:tblStyle w:val="Listaclara-nfasis122"/>
        <w:tblW w:w="9062" w:type="dxa"/>
        <w:jc w:val="center"/>
        <w:tblLook w:val="00A0" w:firstRow="1" w:lastRow="0" w:firstColumn="1" w:lastColumn="0" w:noHBand="0" w:noVBand="0"/>
      </w:tblPr>
      <w:tblGrid>
        <w:gridCol w:w="1128"/>
        <w:gridCol w:w="1106"/>
        <w:gridCol w:w="1395"/>
        <w:gridCol w:w="24"/>
        <w:gridCol w:w="1181"/>
        <w:gridCol w:w="20"/>
        <w:gridCol w:w="1217"/>
        <w:gridCol w:w="1217"/>
        <w:gridCol w:w="1774"/>
      </w:tblGrid>
      <w:tr w:rsidR="00FE11CD" w:rsidRPr="00FE11CD" w14:paraId="0DE18459" w14:textId="77777777" w:rsidTr="007E75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45E939EA" w14:textId="77777777" w:rsidR="00FE11CD" w:rsidRPr="00FE11CD" w:rsidRDefault="00FE11CD" w:rsidP="007E7520">
            <w:pPr>
              <w:jc w:val="center"/>
              <w:rPr>
                <w:rFonts w:ascii="Arial" w:hAnsi="Arial" w:cs="Arial"/>
                <w:b w:val="0"/>
                <w:bCs w:val="0"/>
                <w:sz w:val="20"/>
                <w:szCs w:val="20"/>
              </w:rPr>
            </w:pPr>
          </w:p>
          <w:p w14:paraId="1F5F9330" w14:textId="77777777" w:rsidR="00FE11CD" w:rsidRPr="00FE11CD" w:rsidRDefault="00FE11CD" w:rsidP="007E7520">
            <w:pPr>
              <w:jc w:val="center"/>
              <w:rPr>
                <w:rFonts w:ascii="Arial" w:hAnsi="Arial" w:cs="Arial"/>
                <w:b w:val="0"/>
                <w:sz w:val="20"/>
                <w:szCs w:val="20"/>
              </w:rPr>
            </w:pPr>
            <w:r w:rsidRPr="00FE11CD">
              <w:rPr>
                <w:rFonts w:ascii="Arial" w:hAnsi="Arial" w:cs="Arial"/>
                <w:sz w:val="20"/>
                <w:szCs w:val="20"/>
              </w:rPr>
              <w:t>Nombre del producto</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309E4F5C" w14:textId="77777777" w:rsidR="00FE11CD" w:rsidRPr="00FE11CD" w:rsidRDefault="00FE11CD" w:rsidP="007E7520">
            <w:pPr>
              <w:jc w:val="center"/>
              <w:rPr>
                <w:rFonts w:ascii="Arial" w:hAnsi="Arial" w:cs="Arial"/>
                <w:b w:val="0"/>
                <w:bCs w:val="0"/>
                <w:sz w:val="20"/>
                <w:szCs w:val="20"/>
              </w:rPr>
            </w:pPr>
          </w:p>
          <w:p w14:paraId="44575BBB" w14:textId="30D7B21F" w:rsidR="00FE11CD" w:rsidRPr="00FE11CD" w:rsidRDefault="00FE11CD" w:rsidP="007E7520">
            <w:pPr>
              <w:jc w:val="center"/>
              <w:rPr>
                <w:rFonts w:ascii="Arial" w:hAnsi="Arial" w:cs="Arial"/>
                <w:b w:val="0"/>
                <w:bCs w:val="0"/>
                <w:sz w:val="20"/>
                <w:szCs w:val="20"/>
              </w:rPr>
            </w:pPr>
            <w:r w:rsidRPr="00FE11CD">
              <w:rPr>
                <w:rFonts w:ascii="Arial" w:hAnsi="Arial" w:cs="Arial"/>
                <w:sz w:val="20"/>
                <w:szCs w:val="20"/>
              </w:rPr>
              <w:t>Nombre de la</w:t>
            </w:r>
          </w:p>
          <w:p w14:paraId="6666F092" w14:textId="77777777" w:rsidR="00FE11CD" w:rsidRPr="00FE11CD" w:rsidRDefault="00FE11CD" w:rsidP="007E7520">
            <w:pPr>
              <w:jc w:val="center"/>
              <w:rPr>
                <w:rFonts w:ascii="Arial" w:hAnsi="Arial" w:cs="Arial"/>
                <w:b w:val="0"/>
                <w:sz w:val="20"/>
                <w:szCs w:val="20"/>
              </w:rPr>
            </w:pPr>
            <w:r w:rsidRPr="00FE11CD">
              <w:rPr>
                <w:rFonts w:ascii="Arial" w:hAnsi="Arial" w:cs="Arial"/>
                <w:sz w:val="20"/>
                <w:szCs w:val="20"/>
              </w:rPr>
              <w:t>unidad de medida</w:t>
            </w:r>
          </w:p>
        </w:tc>
        <w:tc>
          <w:tcPr>
            <w:tcW w:w="1339" w:type="dxa"/>
            <w:vAlign w:val="center"/>
          </w:tcPr>
          <w:p w14:paraId="1627F080" w14:textId="77777777" w:rsidR="00FE11CD" w:rsidRPr="00FE11CD" w:rsidRDefault="00FE11CD" w:rsidP="007E752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154221B7" w14:textId="77777777" w:rsidR="00FE11CD" w:rsidRPr="00FE11CD" w:rsidRDefault="00FE11CD" w:rsidP="007E752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E11CD">
              <w:rPr>
                <w:rFonts w:ascii="Arial" w:hAnsi="Arial" w:cs="Arial"/>
                <w:sz w:val="20"/>
                <w:szCs w:val="20"/>
              </w:rPr>
              <w:t>Programado</w:t>
            </w:r>
          </w:p>
        </w:tc>
        <w:tc>
          <w:tcPr>
            <w:cnfStyle w:val="000010000000" w:firstRow="0" w:lastRow="0" w:firstColumn="0" w:lastColumn="0" w:oddVBand="1" w:evenVBand="0" w:oddHBand="0" w:evenHBand="0" w:firstRowFirstColumn="0" w:firstRowLastColumn="0" w:lastRowFirstColumn="0" w:lastRowLastColumn="0"/>
            <w:tcW w:w="1190" w:type="dxa"/>
            <w:gridSpan w:val="3"/>
            <w:vAlign w:val="center"/>
          </w:tcPr>
          <w:p w14:paraId="25141A56" w14:textId="77777777" w:rsidR="00FE11CD" w:rsidRPr="00FE11CD" w:rsidRDefault="00FE11CD" w:rsidP="007E7520">
            <w:pPr>
              <w:jc w:val="center"/>
              <w:rPr>
                <w:rFonts w:ascii="Arial" w:hAnsi="Arial" w:cs="Arial"/>
                <w:b w:val="0"/>
                <w:bCs w:val="0"/>
                <w:sz w:val="20"/>
                <w:szCs w:val="20"/>
              </w:rPr>
            </w:pPr>
          </w:p>
          <w:p w14:paraId="0F431935" w14:textId="77777777" w:rsidR="00FE11CD" w:rsidRPr="00FE11CD" w:rsidRDefault="00FE11CD" w:rsidP="007E7520">
            <w:pPr>
              <w:jc w:val="center"/>
              <w:rPr>
                <w:rFonts w:ascii="Arial" w:hAnsi="Arial" w:cs="Arial"/>
                <w:b w:val="0"/>
                <w:sz w:val="20"/>
                <w:szCs w:val="20"/>
              </w:rPr>
            </w:pPr>
            <w:r w:rsidRPr="00FE11CD">
              <w:rPr>
                <w:rFonts w:ascii="Arial" w:hAnsi="Arial" w:cs="Arial"/>
                <w:sz w:val="20"/>
                <w:szCs w:val="20"/>
              </w:rPr>
              <w:t>Alcanzado</w:t>
            </w:r>
          </w:p>
        </w:tc>
        <w:tc>
          <w:tcPr>
            <w:tcW w:w="1170" w:type="dxa"/>
            <w:vAlign w:val="center"/>
          </w:tcPr>
          <w:p w14:paraId="1C2AB011" w14:textId="77777777" w:rsidR="00FE11CD" w:rsidRPr="00FE11CD" w:rsidRDefault="00FE11CD" w:rsidP="007E752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2CB13D4A" w14:textId="77777777" w:rsidR="00FE11CD" w:rsidRPr="00FE11CD" w:rsidRDefault="00FE11CD" w:rsidP="007E752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E11CD">
              <w:rPr>
                <w:rFonts w:ascii="Arial" w:hAnsi="Arial" w:cs="Arial"/>
                <w:sz w:val="20"/>
                <w:szCs w:val="20"/>
              </w:rPr>
              <w:t xml:space="preserve">Nivel alcanzado al 30/06/2021 </w:t>
            </w:r>
            <w:r w:rsidRPr="00FE11CD">
              <w:rPr>
                <w:rFonts w:ascii="Arial" w:hAnsi="Arial" w:cs="Arial"/>
                <w:b w:val="0"/>
                <w:bCs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68913CE" w14:textId="77777777" w:rsidR="00FE11CD" w:rsidRPr="00FE11CD" w:rsidRDefault="00FE11CD" w:rsidP="007E7520">
            <w:pPr>
              <w:jc w:val="center"/>
              <w:rPr>
                <w:rFonts w:ascii="Arial" w:hAnsi="Arial" w:cs="Arial"/>
                <w:b w:val="0"/>
                <w:bCs w:val="0"/>
                <w:sz w:val="20"/>
                <w:szCs w:val="20"/>
              </w:rPr>
            </w:pPr>
          </w:p>
          <w:p w14:paraId="73C98A18" w14:textId="5DD92534" w:rsidR="00FE11CD" w:rsidRPr="00FE11CD" w:rsidRDefault="00FE11CD" w:rsidP="007E7520">
            <w:pPr>
              <w:jc w:val="center"/>
              <w:rPr>
                <w:rFonts w:ascii="Arial" w:hAnsi="Arial" w:cs="Arial"/>
                <w:b w:val="0"/>
                <w:color w:val="0070C0"/>
                <w:sz w:val="20"/>
                <w:szCs w:val="20"/>
                <w:highlight w:val="yellow"/>
              </w:rPr>
            </w:pPr>
            <w:r w:rsidRPr="00FE11CD">
              <w:rPr>
                <w:rFonts w:ascii="Arial" w:hAnsi="Arial" w:cs="Arial"/>
                <w:sz w:val="20"/>
                <w:szCs w:val="20"/>
              </w:rPr>
              <w:t>Nivel alcanzado al 31/12/2021</w:t>
            </w:r>
          </w:p>
        </w:tc>
        <w:tc>
          <w:tcPr>
            <w:tcW w:w="2044" w:type="dxa"/>
            <w:vAlign w:val="center"/>
          </w:tcPr>
          <w:p w14:paraId="15C3A6C5" w14:textId="6E7522D7" w:rsidR="00FE11CD" w:rsidRPr="00FE11CD" w:rsidRDefault="00FE11CD" w:rsidP="007E752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E11CD">
              <w:rPr>
                <w:rFonts w:ascii="Arial" w:hAnsi="Arial" w:cs="Arial"/>
                <w:sz w:val="20"/>
                <w:szCs w:val="20"/>
              </w:rPr>
              <w:t xml:space="preserve">Fuente de datos </w:t>
            </w:r>
            <w:r w:rsidRPr="00FE11CD">
              <w:rPr>
                <w:rFonts w:ascii="Arial" w:hAnsi="Arial" w:cs="Arial"/>
                <w:sz w:val="20"/>
                <w:szCs w:val="20"/>
                <w:vertAlign w:val="superscript"/>
              </w:rPr>
              <w:t>/2</w:t>
            </w:r>
          </w:p>
        </w:tc>
      </w:tr>
      <w:tr w:rsidR="00FE11CD" w:rsidRPr="00FE11CD" w14:paraId="4D94A99F" w14:textId="77777777" w:rsidTr="007E7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1F9F0753" w14:textId="77777777" w:rsidR="00FE11CD" w:rsidRPr="00FE11CD" w:rsidRDefault="00FE11CD" w:rsidP="007E7520">
            <w:pPr>
              <w:jc w:val="center"/>
              <w:rPr>
                <w:rFonts w:ascii="Arial" w:hAnsi="Arial" w:cs="Arial"/>
                <w:b w:val="0"/>
                <w:sz w:val="20"/>
                <w:szCs w:val="20"/>
                <w:lang w:val="es-ES_tradnl"/>
              </w:rPr>
            </w:pPr>
            <w:r w:rsidRPr="00FE11CD">
              <w:rPr>
                <w:rFonts w:ascii="Arial" w:hAnsi="Arial" w:cs="Arial"/>
                <w:b w:val="0"/>
                <w:sz w:val="20"/>
                <w:szCs w:val="20"/>
                <w:lang w:val="es-ES_tradnl"/>
              </w:rPr>
              <w:t>Asistencia legal en los procesos judiciales.</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32E8CF73" w14:textId="77777777" w:rsidR="00FE11CD" w:rsidRPr="00FE11CD" w:rsidRDefault="00FE11CD" w:rsidP="007E7520">
            <w:pPr>
              <w:jc w:val="center"/>
              <w:rPr>
                <w:rFonts w:ascii="Arial" w:hAnsi="Arial" w:cs="Arial"/>
                <w:sz w:val="20"/>
                <w:szCs w:val="20"/>
                <w:lang w:val="es-ES_tradnl"/>
              </w:rPr>
            </w:pPr>
            <w:r w:rsidRPr="00FE11CD">
              <w:rPr>
                <w:rFonts w:ascii="Arial" w:hAnsi="Arial" w:cs="Arial"/>
                <w:sz w:val="20"/>
                <w:szCs w:val="20"/>
                <w:lang w:val="es-ES_tradnl"/>
              </w:rPr>
              <w:t>Población que requiere asistencia legal</w:t>
            </w:r>
          </w:p>
        </w:tc>
        <w:tc>
          <w:tcPr>
            <w:tcW w:w="1368" w:type="dxa"/>
            <w:gridSpan w:val="2"/>
            <w:vAlign w:val="center"/>
          </w:tcPr>
          <w:p w14:paraId="286B2F84" w14:textId="77777777" w:rsidR="00FE11CD" w:rsidRPr="00FE11CD" w:rsidRDefault="00FE11CD" w:rsidP="007E75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FE11CD">
              <w:rPr>
                <w:rFonts w:ascii="Arial" w:hAnsi="Arial" w:cs="Arial"/>
                <w:sz w:val="20"/>
                <w:szCs w:val="20"/>
                <w:lang w:val="es-ES_tradnl"/>
              </w:rPr>
              <w:t>118.000</w:t>
            </w:r>
          </w:p>
        </w:tc>
        <w:tc>
          <w:tcPr>
            <w:cnfStyle w:val="000010000000" w:firstRow="0" w:lastRow="0" w:firstColumn="0" w:lastColumn="0" w:oddVBand="1" w:evenVBand="0" w:oddHBand="0" w:evenHBand="0" w:firstRowFirstColumn="0" w:firstRowLastColumn="0" w:lastRowFirstColumn="0" w:lastRowLastColumn="0"/>
            <w:tcW w:w="1137" w:type="dxa"/>
            <w:vAlign w:val="center"/>
          </w:tcPr>
          <w:p w14:paraId="330AB265" w14:textId="77777777" w:rsidR="00FE11CD" w:rsidRPr="00FE11CD" w:rsidRDefault="00FE11CD" w:rsidP="007E7520">
            <w:pPr>
              <w:jc w:val="center"/>
              <w:rPr>
                <w:rFonts w:ascii="Arial" w:hAnsi="Arial" w:cs="Arial"/>
                <w:sz w:val="20"/>
                <w:szCs w:val="20"/>
                <w:lang w:val="es-ES_tradnl"/>
              </w:rPr>
            </w:pPr>
            <w:r w:rsidRPr="00FE11CD">
              <w:rPr>
                <w:rFonts w:ascii="Arial" w:hAnsi="Arial" w:cs="Arial"/>
                <w:sz w:val="20"/>
                <w:szCs w:val="20"/>
                <w:lang w:val="es-ES_tradnl"/>
              </w:rPr>
              <w:t>120.412</w:t>
            </w:r>
          </w:p>
        </w:tc>
        <w:tc>
          <w:tcPr>
            <w:tcW w:w="1194" w:type="dxa"/>
            <w:gridSpan w:val="2"/>
            <w:vAlign w:val="center"/>
          </w:tcPr>
          <w:p w14:paraId="3C6AA58F" w14:textId="77777777" w:rsidR="00FE11CD" w:rsidRPr="00FE11CD" w:rsidRDefault="00FE11CD" w:rsidP="007E75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FE11CD">
              <w:rPr>
                <w:rFonts w:ascii="Arial" w:hAnsi="Arial" w:cs="Arial"/>
                <w:sz w:val="20"/>
                <w:szCs w:val="20"/>
                <w:lang w:val="es-ES_tradnl"/>
              </w:rPr>
              <w:t>43,25%</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25E22C2" w14:textId="77777777" w:rsidR="00FE11CD" w:rsidRPr="00FE11CD" w:rsidRDefault="00FE11CD" w:rsidP="007E7520">
            <w:pPr>
              <w:jc w:val="center"/>
              <w:rPr>
                <w:rFonts w:ascii="Arial" w:hAnsi="Arial" w:cs="Arial"/>
                <w:sz w:val="20"/>
                <w:szCs w:val="20"/>
                <w:lang w:val="es-ES_tradnl"/>
              </w:rPr>
            </w:pPr>
            <w:r w:rsidRPr="00FE11CD">
              <w:rPr>
                <w:rFonts w:ascii="Arial" w:hAnsi="Arial" w:cs="Arial"/>
                <w:sz w:val="20"/>
                <w:szCs w:val="20"/>
                <w:lang w:val="es-ES_tradnl"/>
              </w:rPr>
              <w:t>102,04%</w:t>
            </w:r>
          </w:p>
        </w:tc>
        <w:tc>
          <w:tcPr>
            <w:tcW w:w="2044" w:type="dxa"/>
            <w:vAlign w:val="center"/>
          </w:tcPr>
          <w:p w14:paraId="50685513" w14:textId="77777777" w:rsidR="00FE11CD" w:rsidRPr="00FE11CD" w:rsidRDefault="00FE11CD" w:rsidP="007E75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FE11CD">
              <w:rPr>
                <w:rFonts w:ascii="Arial" w:hAnsi="Arial" w:cs="Arial"/>
                <w:sz w:val="20"/>
                <w:szCs w:val="20"/>
                <w:lang w:val="es-ES_tradnl"/>
              </w:rPr>
              <w:t>Oficina Administración Defensa Pública, Libros de Registro General, Informe Mensual, SIGMA</w:t>
            </w:r>
          </w:p>
        </w:tc>
      </w:tr>
    </w:tbl>
    <w:p w14:paraId="5B3C0BEE" w14:textId="77777777" w:rsidR="00FE11CD" w:rsidRPr="00FE11CD" w:rsidRDefault="00FE11CD" w:rsidP="00FE11CD">
      <w:pPr>
        <w:spacing w:after="160" w:line="259" w:lineRule="auto"/>
        <w:ind w:left="-142"/>
        <w:contextualSpacing/>
        <w:jc w:val="both"/>
        <w:rPr>
          <w:rFonts w:ascii="Arial" w:eastAsiaTheme="minorEastAsia" w:hAnsi="Arial" w:cs="Arial"/>
          <w:color w:val="000000" w:themeColor="text1"/>
          <w:sz w:val="16"/>
          <w:szCs w:val="20"/>
          <w:lang w:val="es-ES_tradnl"/>
        </w:rPr>
      </w:pPr>
      <w:r w:rsidRPr="00FE11CD">
        <w:rPr>
          <w:rFonts w:ascii="Arial" w:eastAsiaTheme="minorEastAsia" w:hAnsi="Arial" w:cs="Arial"/>
          <w:b/>
          <w:sz w:val="16"/>
          <w:szCs w:val="20"/>
          <w:lang w:val="es-ES_tradnl"/>
        </w:rPr>
        <w:t xml:space="preserve">  Fuente</w:t>
      </w:r>
      <w:r w:rsidRPr="00FE11CD">
        <w:rPr>
          <w:rFonts w:ascii="Arial" w:eastAsiaTheme="minorEastAsia" w:hAnsi="Arial" w:cs="Arial"/>
          <w:sz w:val="16"/>
          <w:szCs w:val="20"/>
          <w:lang w:val="es-ES_tradnl"/>
        </w:rPr>
        <w:t xml:space="preserve">: </w:t>
      </w:r>
      <w:r w:rsidRPr="00FE11CD">
        <w:rPr>
          <w:rFonts w:ascii="Arial" w:eastAsiaTheme="minorEastAsia" w:hAnsi="Arial" w:cs="Arial"/>
          <w:color w:val="000000" w:themeColor="text1"/>
          <w:sz w:val="16"/>
          <w:szCs w:val="20"/>
        </w:rPr>
        <w:t>Oficina Administración Defensa Pública, Libros de Registro General, Informe Mensual, SIGMA.</w:t>
      </w:r>
    </w:p>
    <w:p w14:paraId="29A29B21" w14:textId="77777777" w:rsidR="00FE11CD" w:rsidRPr="00FE11CD" w:rsidRDefault="00FE11CD" w:rsidP="00FE11CD">
      <w:pPr>
        <w:spacing w:after="160" w:line="259" w:lineRule="auto"/>
        <w:ind w:left="-142"/>
        <w:contextualSpacing/>
        <w:jc w:val="both"/>
        <w:rPr>
          <w:rFonts w:ascii="Arial" w:eastAsiaTheme="minorEastAsia" w:hAnsi="Arial" w:cs="Arial"/>
          <w:sz w:val="16"/>
          <w:szCs w:val="20"/>
          <w:lang w:val="es-ES_tradnl"/>
        </w:rPr>
      </w:pPr>
      <w:r w:rsidRPr="00FE11CD">
        <w:rPr>
          <w:rFonts w:ascii="Arial" w:eastAsiaTheme="minorEastAsia" w:hAnsi="Arial" w:cs="Arial"/>
          <w:sz w:val="16"/>
          <w:szCs w:val="20"/>
          <w:lang w:val="es-ES_tradnl"/>
        </w:rPr>
        <w:t xml:space="preserve">  /1 Esta información se obtiene del informe semestral.</w:t>
      </w:r>
    </w:p>
    <w:p w14:paraId="5E260984" w14:textId="77777777" w:rsidR="00FE11CD" w:rsidRPr="00FE11CD" w:rsidRDefault="00FE11CD" w:rsidP="00FE11CD">
      <w:pPr>
        <w:spacing w:after="160" w:line="259" w:lineRule="auto"/>
        <w:ind w:left="-142"/>
        <w:contextualSpacing/>
        <w:jc w:val="both"/>
        <w:rPr>
          <w:rFonts w:ascii="Arial" w:eastAsiaTheme="minorEastAsia" w:hAnsi="Arial" w:cs="Arial"/>
          <w:sz w:val="16"/>
          <w:szCs w:val="20"/>
          <w:lang w:val="es-ES_tradnl"/>
        </w:rPr>
      </w:pPr>
      <w:r w:rsidRPr="00FE11CD">
        <w:rPr>
          <w:rFonts w:ascii="Arial" w:eastAsiaTheme="minorEastAsia" w:hAnsi="Arial" w:cs="Arial"/>
          <w:sz w:val="16"/>
          <w:szCs w:val="16"/>
          <w:lang w:val="es-ES_tradnl"/>
        </w:rPr>
        <w:t xml:space="preserve">  /2 Acorde a lo establecido en la ley de presupuesto 2021 y sus reformas.</w:t>
      </w:r>
    </w:p>
    <w:p w14:paraId="7448068F" w14:textId="77777777" w:rsidR="00FE11CD" w:rsidRPr="00FE11CD" w:rsidRDefault="00FE11CD" w:rsidP="00FE11CD">
      <w:pPr>
        <w:spacing w:after="160" w:line="360" w:lineRule="auto"/>
        <w:jc w:val="both"/>
        <w:rPr>
          <w:rFonts w:ascii="Arial" w:eastAsiaTheme="minorEastAsia" w:hAnsi="Arial" w:cs="Arial"/>
          <w:sz w:val="20"/>
          <w:szCs w:val="20"/>
        </w:rPr>
      </w:pPr>
    </w:p>
    <w:p w14:paraId="1738D344" w14:textId="47484E2D" w:rsidR="00F849E4" w:rsidRPr="00AE3D7B" w:rsidRDefault="00FE11CD" w:rsidP="00F849E4">
      <w:pPr>
        <w:pStyle w:val="Descripcin"/>
        <w:jc w:val="center"/>
        <w:rPr>
          <w:rFonts w:ascii="Arial" w:hAnsi="Arial" w:cs="Arial"/>
          <w:b/>
          <w:bCs/>
          <w:i w:val="0"/>
          <w:iCs w:val="0"/>
          <w:color w:val="auto"/>
          <w:sz w:val="20"/>
          <w:szCs w:val="20"/>
          <w:lang w:val="es-ES_tradnl"/>
        </w:rPr>
      </w:pPr>
      <w:r w:rsidRPr="00FE11CD">
        <w:rPr>
          <w:rFonts w:ascii="Arial" w:eastAsiaTheme="minorEastAsia" w:hAnsi="Arial" w:cs="Arial"/>
          <w:color w:val="000000"/>
          <w:sz w:val="20"/>
          <w:szCs w:val="20"/>
          <w:lang w:val="es-CR" w:eastAsia="es-CR"/>
        </w:rPr>
        <w:t xml:space="preserve"> </w:t>
      </w:r>
      <w:r w:rsidR="00F849E4" w:rsidRPr="00AE3D7B">
        <w:rPr>
          <w:rFonts w:ascii="Arial" w:hAnsi="Arial" w:cs="Arial"/>
          <w:b/>
          <w:bCs/>
          <w:i w:val="0"/>
          <w:iCs w:val="0"/>
          <w:color w:val="auto"/>
          <w:sz w:val="20"/>
          <w:szCs w:val="20"/>
        </w:rPr>
        <w:t xml:space="preserve">Cuadro  </w:t>
      </w:r>
      <w:r w:rsidR="00F849E4" w:rsidRPr="00AE3D7B">
        <w:rPr>
          <w:rFonts w:ascii="Arial" w:hAnsi="Arial" w:cs="Arial"/>
          <w:b/>
          <w:bCs/>
          <w:i w:val="0"/>
          <w:iCs w:val="0"/>
          <w:color w:val="auto"/>
          <w:sz w:val="20"/>
          <w:szCs w:val="20"/>
        </w:rPr>
        <w:fldChar w:fldCharType="begin"/>
      </w:r>
      <w:r w:rsidR="00F849E4" w:rsidRPr="00AE3D7B">
        <w:rPr>
          <w:rFonts w:ascii="Arial" w:hAnsi="Arial" w:cs="Arial"/>
          <w:b/>
          <w:bCs/>
          <w:i w:val="0"/>
          <w:iCs w:val="0"/>
          <w:color w:val="auto"/>
          <w:sz w:val="20"/>
          <w:szCs w:val="20"/>
        </w:rPr>
        <w:instrText xml:space="preserve"> SEQ cuadro_ \* ARABIC </w:instrText>
      </w:r>
      <w:r w:rsidR="00F849E4" w:rsidRPr="00AE3D7B">
        <w:rPr>
          <w:rFonts w:ascii="Arial" w:hAnsi="Arial" w:cs="Arial"/>
          <w:b/>
          <w:bCs/>
          <w:i w:val="0"/>
          <w:iCs w:val="0"/>
          <w:color w:val="auto"/>
          <w:sz w:val="20"/>
          <w:szCs w:val="20"/>
        </w:rPr>
        <w:fldChar w:fldCharType="separate"/>
      </w:r>
      <w:r w:rsidR="00F849E4">
        <w:rPr>
          <w:rFonts w:ascii="Arial" w:hAnsi="Arial" w:cs="Arial"/>
          <w:b/>
          <w:bCs/>
          <w:i w:val="0"/>
          <w:iCs w:val="0"/>
          <w:noProof/>
          <w:color w:val="auto"/>
          <w:sz w:val="20"/>
          <w:szCs w:val="20"/>
        </w:rPr>
        <w:t>32</w:t>
      </w:r>
      <w:r w:rsidR="00F849E4" w:rsidRPr="00AE3D7B">
        <w:rPr>
          <w:rFonts w:ascii="Arial" w:hAnsi="Arial" w:cs="Arial"/>
          <w:b/>
          <w:bCs/>
          <w:i w:val="0"/>
          <w:iCs w:val="0"/>
          <w:color w:val="auto"/>
          <w:sz w:val="20"/>
          <w:szCs w:val="20"/>
        </w:rPr>
        <w:fldChar w:fldCharType="end"/>
      </w:r>
    </w:p>
    <w:p w14:paraId="0A309496" w14:textId="7A0D9D88" w:rsidR="00FE11CD" w:rsidRPr="00FE11CD" w:rsidRDefault="00FE11CD" w:rsidP="00FE11CD">
      <w:pPr>
        <w:spacing w:line="259" w:lineRule="auto"/>
        <w:ind w:left="720"/>
        <w:jc w:val="center"/>
        <w:rPr>
          <w:rFonts w:ascii="Arial" w:eastAsiaTheme="minorEastAsia" w:hAnsi="Arial" w:cs="Arial"/>
          <w:b/>
          <w:bCs/>
          <w:color w:val="000000"/>
          <w:sz w:val="20"/>
          <w:szCs w:val="20"/>
          <w:lang w:val="es-CR" w:eastAsia="es-CR"/>
        </w:rPr>
      </w:pPr>
      <w:r w:rsidRPr="00FE11CD">
        <w:rPr>
          <w:rFonts w:ascii="Arial" w:eastAsiaTheme="minorEastAsia" w:hAnsi="Arial" w:cs="Arial"/>
          <w:b/>
          <w:color w:val="000000"/>
          <w:sz w:val="20"/>
          <w:szCs w:val="20"/>
          <w:lang w:val="es-CR" w:eastAsia="es-CR"/>
        </w:rPr>
        <w:t>Unidades de medida.</w:t>
      </w:r>
      <w:r w:rsidRPr="00FE11CD">
        <w:rPr>
          <w:rFonts w:ascii="Arial" w:eastAsiaTheme="minorEastAsia" w:hAnsi="Arial" w:cs="Arial"/>
          <w:color w:val="000000"/>
          <w:sz w:val="20"/>
          <w:szCs w:val="20"/>
          <w:lang w:val="es-CR" w:eastAsia="es-CR"/>
        </w:rPr>
        <w:t xml:space="preserve"> </w:t>
      </w:r>
      <w:r w:rsidRPr="00FE11CD">
        <w:rPr>
          <w:rFonts w:ascii="Arial" w:eastAsiaTheme="minorEastAsia" w:hAnsi="Arial" w:cs="Arial"/>
          <w:b/>
          <w:color w:val="000000"/>
          <w:sz w:val="20"/>
          <w:szCs w:val="20"/>
          <w:lang w:val="es-CR" w:eastAsia="es-CR"/>
        </w:rPr>
        <w:t>Acciones correctivas de mitad de año no efectivas</w:t>
      </w:r>
    </w:p>
    <w:p w14:paraId="04C1030E" w14:textId="77777777" w:rsidR="00FE11CD" w:rsidRPr="00FE11CD" w:rsidRDefault="00FE11CD" w:rsidP="00FE11CD">
      <w:pPr>
        <w:jc w:val="center"/>
        <w:rPr>
          <w:rFonts w:ascii="Arial" w:eastAsiaTheme="minorEastAsia" w:hAnsi="Arial" w:cs="Arial"/>
          <w:sz w:val="20"/>
          <w:szCs w:val="20"/>
          <w:lang w:val="es-ES_tradnl"/>
        </w:rPr>
      </w:pPr>
      <w:r w:rsidRPr="00FE11CD">
        <w:rPr>
          <w:rFonts w:ascii="Arial" w:eastAsiaTheme="minorEastAsia" w:hAnsi="Arial" w:cs="Arial"/>
          <w:sz w:val="20"/>
          <w:szCs w:val="20"/>
          <w:lang w:val="es-ES_tradnl"/>
        </w:rPr>
        <w:t>Programa 930, Defensa Pública</w:t>
      </w:r>
    </w:p>
    <w:p w14:paraId="7B9EEB47" w14:textId="77777777" w:rsidR="00FE11CD" w:rsidRPr="00FE11CD" w:rsidRDefault="00FE11CD" w:rsidP="00FE11CD">
      <w:pPr>
        <w:spacing w:line="259" w:lineRule="auto"/>
        <w:ind w:left="720"/>
        <w:jc w:val="center"/>
        <w:rPr>
          <w:rFonts w:ascii="Arial" w:eastAsiaTheme="minorEastAsia" w:hAnsi="Arial" w:cs="Arial"/>
          <w:color w:val="000000"/>
          <w:sz w:val="20"/>
          <w:szCs w:val="20"/>
          <w:lang w:val="es-CR" w:eastAsia="es-CR"/>
        </w:rPr>
      </w:pPr>
      <w:r w:rsidRPr="00FE11CD">
        <w:rPr>
          <w:rFonts w:ascii="Arial" w:eastAsiaTheme="minorEastAsia" w:hAnsi="Arial" w:cs="Arial"/>
          <w:color w:val="000000"/>
          <w:sz w:val="20"/>
          <w:szCs w:val="20"/>
          <w:lang w:val="es-CR" w:eastAsia="es-CR"/>
        </w:rPr>
        <w:t>Cumplimiento menor al 25,00% al 30/06/2021 y menor al 90,00% al 31/12/2021</w:t>
      </w:r>
    </w:p>
    <w:tbl>
      <w:tblPr>
        <w:tblStyle w:val="Listaclara-nfasis122"/>
        <w:tblW w:w="4950" w:type="pct"/>
        <w:tblLook w:val="00A0" w:firstRow="1" w:lastRow="0" w:firstColumn="1" w:lastColumn="0" w:noHBand="0" w:noVBand="0"/>
      </w:tblPr>
      <w:tblGrid>
        <w:gridCol w:w="1281"/>
        <w:gridCol w:w="2253"/>
        <w:gridCol w:w="2745"/>
        <w:gridCol w:w="2120"/>
      </w:tblGrid>
      <w:tr w:rsidR="00FE11CD" w:rsidRPr="00FE11CD" w14:paraId="5D066896"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1AB4EFAB" w14:textId="77777777" w:rsidR="00FE11CD" w:rsidRPr="00FE11CD" w:rsidRDefault="00FE11CD" w:rsidP="00FE11CD">
            <w:pPr>
              <w:contextualSpacing/>
              <w:jc w:val="center"/>
              <w:rPr>
                <w:rFonts w:ascii="Arial" w:hAnsi="Arial" w:cs="Arial"/>
                <w:bCs w:val="0"/>
                <w:sz w:val="20"/>
                <w:szCs w:val="20"/>
                <w:lang w:val="es-CR"/>
              </w:rPr>
            </w:pPr>
            <w:r w:rsidRPr="00FE11CD">
              <w:rPr>
                <w:rFonts w:ascii="Arial" w:hAnsi="Arial" w:cs="Arial"/>
                <w:sz w:val="20"/>
                <w:szCs w:val="20"/>
                <w:lang w:val="es-CR"/>
              </w:rPr>
              <w:t>Unidad de Medida</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2A5B23C0" w14:textId="77777777" w:rsidR="00FE11CD" w:rsidRPr="00FE11CD" w:rsidRDefault="00FE11CD" w:rsidP="00FE11CD">
            <w:pPr>
              <w:contextualSpacing/>
              <w:jc w:val="center"/>
              <w:rPr>
                <w:rFonts w:ascii="Arial" w:hAnsi="Arial" w:cs="Arial"/>
                <w:b w:val="0"/>
                <w:bCs w:val="0"/>
                <w:sz w:val="20"/>
                <w:szCs w:val="20"/>
                <w:lang w:val="es-CR"/>
              </w:rPr>
            </w:pPr>
            <w:r w:rsidRPr="00FE11CD">
              <w:rPr>
                <w:rFonts w:ascii="Arial" w:hAnsi="Arial" w:cs="Arial"/>
                <w:sz w:val="20"/>
                <w:szCs w:val="20"/>
                <w:lang w:val="es-CR"/>
              </w:rPr>
              <w:t>Factores</w:t>
            </w:r>
          </w:p>
          <w:p w14:paraId="0577522C" w14:textId="77777777" w:rsidR="00FE11CD" w:rsidRPr="00FE11CD" w:rsidRDefault="00FE11CD" w:rsidP="00FE11CD">
            <w:pPr>
              <w:contextualSpacing/>
              <w:jc w:val="center"/>
              <w:rPr>
                <w:rFonts w:ascii="Arial" w:hAnsi="Arial" w:cs="Arial"/>
                <w:sz w:val="20"/>
                <w:szCs w:val="20"/>
                <w:lang w:val="es-CR"/>
              </w:rPr>
            </w:pPr>
            <w:r w:rsidRPr="00FE11CD">
              <w:rPr>
                <w:rFonts w:ascii="Arial" w:hAnsi="Arial" w:cs="Arial"/>
                <w:sz w:val="20"/>
                <w:szCs w:val="20"/>
                <w:lang w:val="es-CR"/>
              </w:rPr>
              <w:t xml:space="preserve">al 30/06/2021 </w:t>
            </w:r>
            <w:r w:rsidRPr="00FE11CD">
              <w:rPr>
                <w:rFonts w:ascii="Arial" w:hAnsi="Arial" w:cs="Arial"/>
                <w:sz w:val="20"/>
                <w:szCs w:val="20"/>
                <w:vertAlign w:val="superscript"/>
                <w:lang w:val="es-CR"/>
              </w:rPr>
              <w:t>/1</w:t>
            </w:r>
          </w:p>
        </w:tc>
        <w:tc>
          <w:tcPr>
            <w:tcW w:w="1634" w:type="pct"/>
            <w:vAlign w:val="center"/>
          </w:tcPr>
          <w:p w14:paraId="4D981828" w14:textId="77777777" w:rsidR="00FE11CD" w:rsidRPr="00FE11CD" w:rsidRDefault="00FE11CD" w:rsidP="00FE11CD">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FE11CD">
              <w:rPr>
                <w:rFonts w:ascii="Arial" w:hAnsi="Arial" w:cs="Arial"/>
                <w:sz w:val="20"/>
                <w:szCs w:val="20"/>
                <w:lang w:val="es-CR"/>
              </w:rPr>
              <w:t xml:space="preserve">Acciones correctivas </w:t>
            </w:r>
            <w:r w:rsidRPr="00FE11CD">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5EE39CE2" w14:textId="77777777" w:rsidR="00FE11CD" w:rsidRPr="00FE11CD" w:rsidRDefault="00FE11CD" w:rsidP="00FE11CD">
            <w:pPr>
              <w:spacing w:line="360" w:lineRule="auto"/>
              <w:contextualSpacing/>
              <w:jc w:val="center"/>
              <w:rPr>
                <w:rFonts w:ascii="Arial" w:hAnsi="Arial" w:cs="Arial"/>
                <w:bCs w:val="0"/>
                <w:sz w:val="20"/>
                <w:szCs w:val="20"/>
                <w:lang w:val="es-CR"/>
              </w:rPr>
            </w:pPr>
            <w:r w:rsidRPr="00FE11CD">
              <w:rPr>
                <w:rFonts w:ascii="Arial" w:hAnsi="Arial" w:cs="Arial"/>
                <w:sz w:val="20"/>
                <w:szCs w:val="20"/>
                <w:lang w:val="es-CR"/>
              </w:rPr>
              <w:t xml:space="preserve">Razones </w:t>
            </w:r>
            <w:r w:rsidRPr="00FE11CD">
              <w:rPr>
                <w:rFonts w:ascii="Arial" w:hAnsi="Arial" w:cs="Arial"/>
                <w:sz w:val="20"/>
                <w:szCs w:val="20"/>
                <w:vertAlign w:val="superscript"/>
                <w:lang w:val="es-CR"/>
              </w:rPr>
              <w:t>/3</w:t>
            </w:r>
          </w:p>
        </w:tc>
      </w:tr>
      <w:tr w:rsidR="00FE11CD" w:rsidRPr="00FE11CD" w14:paraId="39E2245C"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59E71E34" w14:textId="77777777" w:rsidR="00FE11CD" w:rsidRPr="00C70B71" w:rsidRDefault="00FE11CD" w:rsidP="00C70B71">
            <w:pPr>
              <w:contextualSpacing/>
              <w:jc w:val="center"/>
              <w:rPr>
                <w:rFonts w:ascii="Arial" w:hAnsi="Arial" w:cs="Arial"/>
                <w:b w:val="0"/>
                <w:bCs w:val="0"/>
                <w:sz w:val="20"/>
                <w:szCs w:val="20"/>
                <w:lang w:val="es-CR"/>
              </w:rPr>
            </w:pPr>
            <w:r w:rsidRPr="00C70B71">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1341" w:type="pct"/>
          </w:tcPr>
          <w:p w14:paraId="127E9752" w14:textId="77777777" w:rsidR="00FE11CD" w:rsidRPr="00C70B71" w:rsidRDefault="00FE11CD" w:rsidP="00C70B71">
            <w:pPr>
              <w:jc w:val="center"/>
              <w:rPr>
                <w:rFonts w:ascii="Arial" w:hAnsi="Arial" w:cs="Arial"/>
                <w:sz w:val="20"/>
                <w:szCs w:val="20"/>
                <w:lang w:val="es-CR"/>
              </w:rPr>
            </w:pPr>
            <w:r w:rsidRPr="00C70B71">
              <w:rPr>
                <w:rFonts w:ascii="Arial" w:hAnsi="Arial" w:cs="Arial"/>
                <w:sz w:val="20"/>
                <w:szCs w:val="20"/>
                <w:lang w:val="es-CR"/>
              </w:rPr>
              <w:t>-</w:t>
            </w:r>
          </w:p>
          <w:p w14:paraId="1D7FE3E2" w14:textId="77777777" w:rsidR="00FE11CD" w:rsidRPr="00C70B71" w:rsidRDefault="00FE11CD" w:rsidP="00C70B71">
            <w:pPr>
              <w:jc w:val="center"/>
              <w:rPr>
                <w:rFonts w:ascii="Arial" w:hAnsi="Arial" w:cs="Arial"/>
                <w:sz w:val="20"/>
                <w:szCs w:val="20"/>
                <w:lang w:val="es-CR"/>
              </w:rPr>
            </w:pPr>
          </w:p>
        </w:tc>
        <w:tc>
          <w:tcPr>
            <w:tcW w:w="1634" w:type="pct"/>
          </w:tcPr>
          <w:p w14:paraId="4E560654" w14:textId="77777777" w:rsidR="00FE11CD" w:rsidRPr="00C70B71" w:rsidRDefault="00FE11CD" w:rsidP="00C70B7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C70B71">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1262" w:type="pct"/>
          </w:tcPr>
          <w:p w14:paraId="553DAB51" w14:textId="77777777" w:rsidR="00FE11CD" w:rsidRPr="00C70B71" w:rsidRDefault="00FE11CD" w:rsidP="00C70B71">
            <w:pPr>
              <w:contextualSpacing/>
              <w:jc w:val="center"/>
              <w:rPr>
                <w:rFonts w:ascii="Arial" w:hAnsi="Arial" w:cs="Arial"/>
                <w:sz w:val="20"/>
                <w:szCs w:val="20"/>
                <w:lang w:val="es-CR"/>
              </w:rPr>
            </w:pPr>
            <w:r w:rsidRPr="00C70B71">
              <w:rPr>
                <w:rFonts w:ascii="Arial" w:hAnsi="Arial" w:cs="Arial"/>
                <w:sz w:val="20"/>
                <w:szCs w:val="20"/>
                <w:lang w:val="es-CR"/>
              </w:rPr>
              <w:t>-</w:t>
            </w:r>
          </w:p>
        </w:tc>
      </w:tr>
    </w:tbl>
    <w:p w14:paraId="3399A069" w14:textId="77777777" w:rsidR="00FE11CD" w:rsidRPr="00FE11CD" w:rsidRDefault="00FE11CD" w:rsidP="00FE11CD">
      <w:pPr>
        <w:spacing w:line="259" w:lineRule="auto"/>
        <w:rPr>
          <w:rFonts w:ascii="Arial" w:eastAsiaTheme="minorEastAsia" w:hAnsi="Arial" w:cs="Arial"/>
          <w:bCs/>
          <w:color w:val="000000" w:themeColor="text1"/>
          <w:sz w:val="16"/>
          <w:szCs w:val="16"/>
          <w:lang w:val="es-CR"/>
        </w:rPr>
      </w:pPr>
      <w:r w:rsidRPr="00FE11CD">
        <w:rPr>
          <w:rFonts w:ascii="Arial" w:eastAsiaTheme="minorEastAsia" w:hAnsi="Arial" w:cs="Arial"/>
          <w:b/>
          <w:sz w:val="16"/>
          <w:szCs w:val="16"/>
          <w:lang w:val="es-CR"/>
        </w:rPr>
        <w:t>Fuente</w:t>
      </w:r>
      <w:r w:rsidRPr="00FE11CD">
        <w:rPr>
          <w:rFonts w:ascii="Arial" w:eastAsiaTheme="minorEastAsia" w:hAnsi="Arial" w:cs="Arial"/>
          <w:sz w:val="16"/>
          <w:szCs w:val="16"/>
          <w:lang w:val="es-CR"/>
        </w:rPr>
        <w:t xml:space="preserve">: </w:t>
      </w:r>
      <w:r w:rsidRPr="00FE11CD">
        <w:rPr>
          <w:rFonts w:ascii="Arial" w:eastAsiaTheme="minorEastAsia" w:hAnsi="Arial" w:cs="Arial"/>
          <w:color w:val="000000" w:themeColor="text1"/>
          <w:sz w:val="16"/>
          <w:szCs w:val="20"/>
        </w:rPr>
        <w:t>Oficina Administración Defensa Pública, Libros de Registro General, Informe Mensual, SIGMA.</w:t>
      </w:r>
    </w:p>
    <w:p w14:paraId="27AB9E75" w14:textId="77777777" w:rsidR="00FE11CD" w:rsidRPr="00FE11CD" w:rsidRDefault="00FE11CD" w:rsidP="00FE11CD">
      <w:pPr>
        <w:spacing w:line="259" w:lineRule="auto"/>
        <w:rPr>
          <w:rFonts w:ascii="Arial" w:eastAsiaTheme="minorEastAsia" w:hAnsi="Arial" w:cs="Arial"/>
          <w:sz w:val="16"/>
          <w:szCs w:val="16"/>
          <w:lang w:val="es-CR"/>
        </w:rPr>
      </w:pPr>
      <w:r w:rsidRPr="00FE11CD">
        <w:rPr>
          <w:rFonts w:ascii="Arial" w:eastAsiaTheme="minorEastAsia" w:hAnsi="Arial" w:cs="Arial"/>
          <w:sz w:val="16"/>
          <w:szCs w:val="16"/>
          <w:lang w:val="es-CR"/>
        </w:rPr>
        <w:t>/1</w:t>
      </w:r>
      <w:r w:rsidRPr="00FE11CD">
        <w:rPr>
          <w:rFonts w:ascii="Arial" w:eastAsiaTheme="minorEastAsia" w:hAnsi="Arial" w:cs="Arial"/>
          <w:b/>
          <w:sz w:val="16"/>
          <w:szCs w:val="16"/>
          <w:lang w:val="es-CR"/>
        </w:rPr>
        <w:t xml:space="preserve"> </w:t>
      </w:r>
      <w:r w:rsidRPr="00FE11CD">
        <w:rPr>
          <w:rFonts w:ascii="Arial" w:eastAsiaTheme="minorEastAsia" w:hAnsi="Arial" w:cs="Arial"/>
          <w:sz w:val="16"/>
          <w:szCs w:val="16"/>
          <w:lang w:val="es-CR"/>
        </w:rPr>
        <w:t>Indicar la descripción del factor señalado en el informe de seguimiento semestral.</w:t>
      </w:r>
    </w:p>
    <w:p w14:paraId="7DEABED3" w14:textId="77777777" w:rsidR="00FE11CD" w:rsidRPr="00FE11CD" w:rsidRDefault="00FE11CD" w:rsidP="00FE11CD">
      <w:pPr>
        <w:spacing w:line="259" w:lineRule="auto"/>
        <w:rPr>
          <w:rFonts w:ascii="Arial" w:eastAsiaTheme="minorEastAsia" w:hAnsi="Arial" w:cs="Arial"/>
          <w:sz w:val="16"/>
          <w:szCs w:val="16"/>
          <w:lang w:val="es-CR"/>
        </w:rPr>
      </w:pPr>
      <w:r w:rsidRPr="00FE11CD">
        <w:rPr>
          <w:rFonts w:ascii="Arial" w:eastAsiaTheme="minorEastAsia" w:hAnsi="Arial" w:cs="Arial"/>
          <w:sz w:val="16"/>
          <w:szCs w:val="16"/>
          <w:lang w:val="es-CR"/>
        </w:rPr>
        <w:t>/2 Se refieren a las acciones propuestas en el informe de seguimiento semestral.</w:t>
      </w:r>
    </w:p>
    <w:p w14:paraId="31A79A11" w14:textId="77777777" w:rsidR="00FE11CD" w:rsidRPr="00FE11CD" w:rsidRDefault="00FE11CD" w:rsidP="00FE11CD">
      <w:pPr>
        <w:spacing w:line="259" w:lineRule="auto"/>
        <w:rPr>
          <w:rFonts w:ascii="Arial" w:eastAsiaTheme="minorEastAsia" w:hAnsi="Arial" w:cs="Arial"/>
          <w:sz w:val="16"/>
          <w:szCs w:val="16"/>
          <w:lang w:val="es-CR"/>
        </w:rPr>
      </w:pPr>
      <w:r w:rsidRPr="00FE11CD">
        <w:rPr>
          <w:rFonts w:ascii="Arial" w:eastAsiaTheme="minorEastAsia" w:hAnsi="Arial" w:cs="Arial"/>
          <w:sz w:val="16"/>
          <w:szCs w:val="16"/>
          <w:lang w:val="es-CR"/>
        </w:rPr>
        <w:t>/3</w:t>
      </w:r>
      <w:r w:rsidRPr="00FE11CD">
        <w:rPr>
          <w:rFonts w:ascii="Arial" w:eastAsiaTheme="minorEastAsia" w:hAnsi="Arial" w:cs="Arial"/>
          <w:b/>
          <w:sz w:val="16"/>
          <w:szCs w:val="16"/>
          <w:lang w:val="es-CR"/>
        </w:rPr>
        <w:t xml:space="preserve"> </w:t>
      </w:r>
      <w:r w:rsidRPr="00FE11CD">
        <w:rPr>
          <w:rFonts w:ascii="Arial" w:eastAsiaTheme="minorEastAsia" w:hAnsi="Arial" w:cs="Arial"/>
          <w:sz w:val="16"/>
          <w:szCs w:val="16"/>
          <w:lang w:val="es-CR"/>
        </w:rPr>
        <w:t>Se refieren a las razones por las cuales las acciones correctivas propuestas no fueron efectivas para alcanzar un nivel superior al 90,00% de cumplimiento.</w:t>
      </w:r>
    </w:p>
    <w:p w14:paraId="05CE49EF" w14:textId="77777777" w:rsidR="00FE11CD" w:rsidRPr="00FE11CD" w:rsidRDefault="00FE11CD" w:rsidP="00FE11CD">
      <w:pPr>
        <w:spacing w:after="160" w:line="259" w:lineRule="auto"/>
        <w:rPr>
          <w:rFonts w:ascii="Arial" w:eastAsiaTheme="minorEastAsia" w:hAnsi="Arial" w:cs="Arial"/>
          <w:sz w:val="20"/>
          <w:szCs w:val="20"/>
          <w:u w:val="single"/>
          <w:lang w:val="es-MX"/>
        </w:rPr>
      </w:pPr>
    </w:p>
    <w:p w14:paraId="596C084F" w14:textId="77777777" w:rsidR="0092046F" w:rsidRDefault="0092046F" w:rsidP="00F849E4">
      <w:pPr>
        <w:pStyle w:val="Descripcin"/>
        <w:jc w:val="center"/>
        <w:rPr>
          <w:rFonts w:ascii="Arial" w:hAnsi="Arial" w:cs="Arial"/>
          <w:b/>
          <w:bCs/>
          <w:i w:val="0"/>
          <w:iCs w:val="0"/>
          <w:color w:val="auto"/>
          <w:sz w:val="20"/>
          <w:szCs w:val="20"/>
        </w:rPr>
      </w:pPr>
    </w:p>
    <w:p w14:paraId="21A96A2A" w14:textId="77777777" w:rsidR="0092046F" w:rsidRDefault="0092046F" w:rsidP="00F849E4">
      <w:pPr>
        <w:pStyle w:val="Descripcin"/>
        <w:jc w:val="center"/>
        <w:rPr>
          <w:rFonts w:ascii="Arial" w:hAnsi="Arial" w:cs="Arial"/>
          <w:b/>
          <w:bCs/>
          <w:i w:val="0"/>
          <w:iCs w:val="0"/>
          <w:color w:val="auto"/>
          <w:sz w:val="20"/>
          <w:szCs w:val="20"/>
        </w:rPr>
      </w:pPr>
    </w:p>
    <w:p w14:paraId="0D4AF6FA" w14:textId="77777777" w:rsidR="0092046F" w:rsidRDefault="0092046F" w:rsidP="00F849E4">
      <w:pPr>
        <w:pStyle w:val="Descripcin"/>
        <w:jc w:val="center"/>
        <w:rPr>
          <w:rFonts w:ascii="Arial" w:hAnsi="Arial" w:cs="Arial"/>
          <w:b/>
          <w:bCs/>
          <w:i w:val="0"/>
          <w:iCs w:val="0"/>
          <w:color w:val="auto"/>
          <w:sz w:val="20"/>
          <w:szCs w:val="20"/>
        </w:rPr>
      </w:pPr>
    </w:p>
    <w:p w14:paraId="6A401909" w14:textId="1DE24A59"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lastRenderedPageBreak/>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33</w:t>
      </w:r>
      <w:r w:rsidRPr="00AE3D7B">
        <w:rPr>
          <w:rFonts w:ascii="Arial" w:hAnsi="Arial" w:cs="Arial"/>
          <w:b/>
          <w:bCs/>
          <w:i w:val="0"/>
          <w:iCs w:val="0"/>
          <w:color w:val="auto"/>
          <w:sz w:val="20"/>
          <w:szCs w:val="20"/>
        </w:rPr>
        <w:fldChar w:fldCharType="end"/>
      </w:r>
    </w:p>
    <w:p w14:paraId="55F6FB70" w14:textId="380D7045" w:rsidR="00FE11CD" w:rsidRPr="00FE11CD" w:rsidRDefault="00FE11CD" w:rsidP="00FE11CD">
      <w:pPr>
        <w:ind w:left="720"/>
        <w:jc w:val="center"/>
        <w:rPr>
          <w:rFonts w:ascii="Arial" w:eastAsiaTheme="minorEastAsia" w:hAnsi="Arial" w:cs="Arial"/>
          <w:b/>
          <w:bCs/>
          <w:color w:val="000000"/>
          <w:sz w:val="20"/>
          <w:szCs w:val="20"/>
          <w:lang w:val="es-CR" w:eastAsia="es-CR"/>
        </w:rPr>
      </w:pPr>
      <w:r w:rsidRPr="00FE11CD">
        <w:rPr>
          <w:rFonts w:ascii="Arial" w:eastAsiaTheme="minorEastAsia" w:hAnsi="Arial" w:cs="Arial"/>
          <w:b/>
          <w:color w:val="000000"/>
          <w:sz w:val="20"/>
          <w:szCs w:val="20"/>
          <w:lang w:val="es-CR" w:eastAsia="es-CR"/>
        </w:rPr>
        <w:t>Unidades de medida.</w:t>
      </w:r>
      <w:r w:rsidRPr="00FE11CD">
        <w:rPr>
          <w:rFonts w:ascii="Arial" w:eastAsiaTheme="minorEastAsia" w:hAnsi="Arial" w:cs="Arial"/>
          <w:color w:val="000000"/>
          <w:sz w:val="20"/>
          <w:szCs w:val="20"/>
          <w:lang w:val="es-CR" w:eastAsia="es-CR"/>
        </w:rPr>
        <w:t xml:space="preserve"> </w:t>
      </w:r>
      <w:r w:rsidRPr="00FE11CD">
        <w:rPr>
          <w:rFonts w:ascii="Arial" w:eastAsiaTheme="minorEastAsia" w:hAnsi="Arial" w:cs="Arial"/>
          <w:b/>
          <w:sz w:val="20"/>
          <w:szCs w:val="20"/>
          <w:lang w:val="es-CR" w:eastAsia="es-CR"/>
        </w:rPr>
        <w:t>Acciones correctivas y fechas de implementación</w:t>
      </w:r>
    </w:p>
    <w:p w14:paraId="7F18D891" w14:textId="77777777" w:rsidR="00FE11CD" w:rsidRPr="00FE11CD" w:rsidRDefault="00FE11CD" w:rsidP="00FE11CD">
      <w:pPr>
        <w:jc w:val="center"/>
        <w:rPr>
          <w:rFonts w:ascii="Arial" w:eastAsiaTheme="minorEastAsia" w:hAnsi="Arial" w:cs="Arial"/>
          <w:sz w:val="20"/>
          <w:szCs w:val="20"/>
          <w:lang w:val="es-ES_tradnl"/>
        </w:rPr>
      </w:pPr>
      <w:r w:rsidRPr="00FE11CD">
        <w:rPr>
          <w:rFonts w:ascii="Arial" w:eastAsiaTheme="minorEastAsia" w:hAnsi="Arial" w:cs="Arial"/>
          <w:sz w:val="20"/>
          <w:szCs w:val="20"/>
          <w:lang w:val="es-ES_tradnl"/>
        </w:rPr>
        <w:t>Programa 930, Defensa Pública</w:t>
      </w:r>
    </w:p>
    <w:p w14:paraId="77392D8E" w14:textId="77777777" w:rsidR="00FE11CD" w:rsidRPr="00FE11CD" w:rsidRDefault="00FE11CD" w:rsidP="00FE11CD">
      <w:pPr>
        <w:jc w:val="center"/>
        <w:rPr>
          <w:rFonts w:ascii="Arial" w:eastAsiaTheme="minorEastAsia" w:hAnsi="Arial" w:cs="Arial"/>
          <w:color w:val="000000"/>
          <w:sz w:val="20"/>
          <w:szCs w:val="20"/>
          <w:lang w:val="es-CR" w:eastAsia="es-CR"/>
        </w:rPr>
      </w:pPr>
      <w:r w:rsidRPr="00FE11CD">
        <w:rPr>
          <w:rFonts w:ascii="Arial" w:eastAsiaTheme="minorEastAsia" w:hAnsi="Arial" w:cs="Arial"/>
          <w:color w:val="000000"/>
          <w:sz w:val="20"/>
          <w:szCs w:val="20"/>
          <w:lang w:val="es-CR" w:eastAsia="es-CR"/>
        </w:rPr>
        <w:t>Cumplimiento menor al 90,00%</w:t>
      </w:r>
    </w:p>
    <w:p w14:paraId="67959C97" w14:textId="77777777" w:rsidR="00FE11CD" w:rsidRPr="00FE11CD" w:rsidRDefault="00FE11CD" w:rsidP="00FE11CD">
      <w:pPr>
        <w:jc w:val="center"/>
        <w:rPr>
          <w:rFonts w:ascii="Arial" w:eastAsiaTheme="minorEastAsia" w:hAnsi="Arial" w:cs="Arial"/>
          <w:color w:val="000000"/>
          <w:sz w:val="20"/>
          <w:szCs w:val="20"/>
          <w:lang w:val="es-CR" w:eastAsia="es-CR"/>
        </w:rPr>
      </w:pPr>
      <w:r w:rsidRPr="00FE11CD">
        <w:rPr>
          <w:rFonts w:ascii="Arial" w:eastAsiaTheme="minorEastAsia" w:hAnsi="Arial" w:cs="Arial"/>
          <w:color w:val="000000"/>
          <w:sz w:val="20"/>
          <w:szCs w:val="20"/>
          <w:lang w:val="es-CR" w:eastAsia="es-CR"/>
        </w:rPr>
        <w:t>Al 31 de diciembre 2021</w:t>
      </w:r>
    </w:p>
    <w:tbl>
      <w:tblPr>
        <w:tblStyle w:val="Listaclara-nfasis122"/>
        <w:tblW w:w="5000" w:type="pct"/>
        <w:tblLook w:val="00A0" w:firstRow="1" w:lastRow="0" w:firstColumn="1" w:lastColumn="0" w:noHBand="0" w:noVBand="0"/>
      </w:tblPr>
      <w:tblGrid>
        <w:gridCol w:w="1032"/>
        <w:gridCol w:w="1517"/>
        <w:gridCol w:w="1517"/>
        <w:gridCol w:w="1284"/>
        <w:gridCol w:w="1395"/>
        <w:gridCol w:w="1739"/>
      </w:tblGrid>
      <w:tr w:rsidR="00FE11CD" w:rsidRPr="00FE11CD" w14:paraId="53500944"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698" w:type="pct"/>
            <w:vAlign w:val="center"/>
          </w:tcPr>
          <w:p w14:paraId="71A53E5E" w14:textId="77777777" w:rsidR="00FE11CD" w:rsidRPr="00FE11CD" w:rsidRDefault="00FE11CD" w:rsidP="00FE11CD">
            <w:pPr>
              <w:contextualSpacing/>
              <w:jc w:val="center"/>
              <w:rPr>
                <w:rFonts w:ascii="Arial" w:hAnsi="Arial" w:cs="Arial"/>
                <w:bCs w:val="0"/>
                <w:sz w:val="20"/>
                <w:szCs w:val="20"/>
                <w:lang w:val="es-CR"/>
              </w:rPr>
            </w:pPr>
            <w:r w:rsidRPr="00FE11CD">
              <w:rPr>
                <w:rFonts w:ascii="Arial" w:hAnsi="Arial" w:cs="Arial"/>
                <w:sz w:val="20"/>
                <w:szCs w:val="20"/>
                <w:lang w:val="es-CR"/>
              </w:rPr>
              <w:t>Unidad de medida</w:t>
            </w:r>
          </w:p>
        </w:tc>
        <w:tc>
          <w:tcPr>
            <w:cnfStyle w:val="000010000000" w:firstRow="0" w:lastRow="0" w:firstColumn="0" w:lastColumn="0" w:oddVBand="1" w:evenVBand="0" w:oddHBand="0" w:evenHBand="0" w:firstRowFirstColumn="0" w:firstRowLastColumn="0" w:lastRowFirstColumn="0" w:lastRowLastColumn="0"/>
            <w:tcW w:w="817" w:type="pct"/>
            <w:vAlign w:val="center"/>
          </w:tcPr>
          <w:p w14:paraId="6B56A377" w14:textId="77777777" w:rsidR="00FE11CD" w:rsidRPr="00FE11CD" w:rsidRDefault="00FE11CD" w:rsidP="00FE11CD">
            <w:pPr>
              <w:contextualSpacing/>
              <w:jc w:val="center"/>
              <w:rPr>
                <w:rFonts w:ascii="Arial" w:hAnsi="Arial" w:cs="Arial"/>
                <w:sz w:val="20"/>
                <w:szCs w:val="20"/>
                <w:lang w:val="es-CR"/>
              </w:rPr>
            </w:pPr>
            <w:r w:rsidRPr="00FE11CD">
              <w:rPr>
                <w:rFonts w:ascii="Arial" w:hAnsi="Arial" w:cs="Arial"/>
                <w:sz w:val="20"/>
                <w:szCs w:val="20"/>
                <w:lang w:val="es-CR"/>
              </w:rPr>
              <w:t>Nivel de cumplimiento</w:t>
            </w:r>
          </w:p>
        </w:tc>
        <w:tc>
          <w:tcPr>
            <w:tcW w:w="824" w:type="pct"/>
            <w:vAlign w:val="center"/>
          </w:tcPr>
          <w:p w14:paraId="75CA0E3A" w14:textId="77777777" w:rsidR="00FE11CD" w:rsidRPr="00FE11CD" w:rsidRDefault="00FE11CD" w:rsidP="00FE11C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FE11CD">
              <w:rPr>
                <w:rFonts w:ascii="Arial" w:hAnsi="Arial" w:cs="Arial"/>
                <w:sz w:val="20"/>
                <w:szCs w:val="20"/>
                <w:lang w:val="es-CR"/>
              </w:rPr>
              <w:t>Factores que inciden en el cumplimiento</w:t>
            </w:r>
          </w:p>
        </w:tc>
        <w:tc>
          <w:tcPr>
            <w:cnfStyle w:val="000010000000" w:firstRow="0" w:lastRow="0" w:firstColumn="0" w:lastColumn="0" w:oddVBand="1" w:evenVBand="0" w:oddHBand="0" w:evenHBand="0" w:firstRowFirstColumn="0" w:firstRowLastColumn="0" w:lastRowFirstColumn="0" w:lastRowLastColumn="0"/>
            <w:tcW w:w="838" w:type="pct"/>
            <w:vAlign w:val="center"/>
          </w:tcPr>
          <w:p w14:paraId="6390CCF7" w14:textId="77777777" w:rsidR="00FE11CD" w:rsidRPr="00FE11CD" w:rsidRDefault="00FE11CD" w:rsidP="00FE11CD">
            <w:pPr>
              <w:contextualSpacing/>
              <w:jc w:val="center"/>
              <w:rPr>
                <w:rFonts w:ascii="Arial" w:hAnsi="Arial" w:cs="Arial"/>
                <w:sz w:val="20"/>
                <w:szCs w:val="20"/>
                <w:lang w:val="es-CR"/>
              </w:rPr>
            </w:pPr>
            <w:r w:rsidRPr="00FE11CD">
              <w:rPr>
                <w:rFonts w:ascii="Arial" w:hAnsi="Arial" w:cs="Arial"/>
                <w:sz w:val="20"/>
                <w:szCs w:val="20"/>
                <w:lang w:val="es-CR"/>
              </w:rPr>
              <w:t xml:space="preserve">Acciones correctivas </w:t>
            </w:r>
            <w:r w:rsidRPr="00FE11CD">
              <w:rPr>
                <w:rFonts w:ascii="Arial" w:hAnsi="Arial" w:cs="Arial"/>
                <w:sz w:val="20"/>
                <w:szCs w:val="20"/>
                <w:vertAlign w:val="superscript"/>
                <w:lang w:val="es-CR"/>
              </w:rPr>
              <w:t>/1</w:t>
            </w:r>
          </w:p>
        </w:tc>
        <w:tc>
          <w:tcPr>
            <w:tcW w:w="829" w:type="pct"/>
          </w:tcPr>
          <w:p w14:paraId="45141059" w14:textId="77777777" w:rsidR="00FE11CD" w:rsidRPr="00FE11CD" w:rsidRDefault="00FE11CD" w:rsidP="00FE11C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FE11CD">
              <w:rPr>
                <w:rFonts w:ascii="Arial" w:hAnsi="Arial" w:cs="Arial"/>
                <w:sz w:val="20"/>
                <w:szCs w:val="20"/>
                <w:lang w:val="es-CR"/>
              </w:rPr>
              <w:t xml:space="preserve">Persona responsable de brindar la información </w:t>
            </w:r>
          </w:p>
        </w:tc>
        <w:tc>
          <w:tcPr>
            <w:cnfStyle w:val="000010000000" w:firstRow="0" w:lastRow="0" w:firstColumn="0" w:lastColumn="0" w:oddVBand="1" w:evenVBand="0" w:oddHBand="0" w:evenHBand="0" w:firstRowFirstColumn="0" w:firstRowLastColumn="0" w:lastRowFirstColumn="0" w:lastRowLastColumn="0"/>
            <w:tcW w:w="994" w:type="pct"/>
            <w:vAlign w:val="center"/>
          </w:tcPr>
          <w:p w14:paraId="2DC40066" w14:textId="77777777" w:rsidR="00FE11CD" w:rsidRPr="00FE11CD" w:rsidRDefault="00FE11CD" w:rsidP="00FE11CD">
            <w:pPr>
              <w:contextualSpacing/>
              <w:jc w:val="center"/>
              <w:rPr>
                <w:rFonts w:ascii="Arial" w:hAnsi="Arial" w:cs="Arial"/>
                <w:sz w:val="20"/>
                <w:szCs w:val="20"/>
                <w:lang w:val="es-CR"/>
              </w:rPr>
            </w:pPr>
            <w:r w:rsidRPr="00FE11CD">
              <w:rPr>
                <w:rFonts w:ascii="Arial" w:hAnsi="Arial" w:cs="Arial"/>
                <w:sz w:val="20"/>
                <w:szCs w:val="20"/>
                <w:lang w:val="es-CR"/>
              </w:rPr>
              <w:t xml:space="preserve">Fecha de implementación </w:t>
            </w:r>
            <w:r w:rsidRPr="00FE11CD">
              <w:rPr>
                <w:rFonts w:ascii="Arial" w:hAnsi="Arial" w:cs="Arial"/>
                <w:sz w:val="20"/>
                <w:szCs w:val="20"/>
                <w:vertAlign w:val="superscript"/>
                <w:lang w:val="es-CR"/>
              </w:rPr>
              <w:t>/2</w:t>
            </w:r>
          </w:p>
        </w:tc>
      </w:tr>
      <w:tr w:rsidR="00FE11CD" w:rsidRPr="00FE11CD" w14:paraId="42D6B191"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98" w:type="pct"/>
          </w:tcPr>
          <w:p w14:paraId="40806918" w14:textId="77777777" w:rsidR="00FE11CD" w:rsidRPr="00C70B71" w:rsidRDefault="00FE11CD" w:rsidP="00C70B71">
            <w:pPr>
              <w:contextualSpacing/>
              <w:jc w:val="center"/>
              <w:rPr>
                <w:rFonts w:ascii="Arial" w:hAnsi="Arial" w:cs="Arial"/>
                <w:b w:val="0"/>
                <w:bCs w:val="0"/>
                <w:sz w:val="20"/>
                <w:szCs w:val="20"/>
                <w:lang w:val="es-CR"/>
              </w:rPr>
            </w:pPr>
            <w:r w:rsidRPr="00C70B71">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194C8D12" w14:textId="77777777" w:rsidR="00FE11CD" w:rsidRPr="00C70B71" w:rsidRDefault="00FE11CD" w:rsidP="00C70B71">
            <w:pPr>
              <w:jc w:val="center"/>
              <w:rPr>
                <w:rFonts w:ascii="Arial" w:hAnsi="Arial" w:cs="Arial"/>
                <w:bCs/>
                <w:sz w:val="20"/>
                <w:szCs w:val="20"/>
                <w:lang w:val="es-CR"/>
              </w:rPr>
            </w:pPr>
            <w:r w:rsidRPr="00C70B71">
              <w:rPr>
                <w:rFonts w:ascii="Arial" w:hAnsi="Arial" w:cs="Arial"/>
                <w:bCs/>
                <w:sz w:val="20"/>
                <w:szCs w:val="20"/>
                <w:lang w:val="es-CR"/>
              </w:rPr>
              <w:t>-</w:t>
            </w:r>
          </w:p>
        </w:tc>
        <w:tc>
          <w:tcPr>
            <w:tcW w:w="824" w:type="pct"/>
          </w:tcPr>
          <w:p w14:paraId="28CCACBA" w14:textId="77777777" w:rsidR="00FE11CD" w:rsidRPr="00C70B71" w:rsidRDefault="00FE11CD" w:rsidP="00C70B7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C70B71">
              <w:rPr>
                <w:rFonts w:ascii="Arial" w:hAnsi="Arial" w:cs="Arial"/>
                <w:bCs/>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38" w:type="pct"/>
          </w:tcPr>
          <w:p w14:paraId="4F0B3675" w14:textId="77777777" w:rsidR="00FE11CD" w:rsidRPr="00C70B71" w:rsidRDefault="00FE11CD" w:rsidP="00C70B71">
            <w:pPr>
              <w:contextualSpacing/>
              <w:jc w:val="center"/>
              <w:rPr>
                <w:rFonts w:ascii="Arial" w:hAnsi="Arial" w:cs="Arial"/>
                <w:bCs/>
                <w:sz w:val="20"/>
                <w:szCs w:val="20"/>
                <w:lang w:val="es-CR"/>
              </w:rPr>
            </w:pPr>
            <w:r w:rsidRPr="00C70B71">
              <w:rPr>
                <w:rFonts w:ascii="Arial" w:hAnsi="Arial" w:cs="Arial"/>
                <w:bCs/>
                <w:sz w:val="20"/>
                <w:szCs w:val="20"/>
                <w:lang w:val="es-CR"/>
              </w:rPr>
              <w:t>-</w:t>
            </w:r>
          </w:p>
        </w:tc>
        <w:tc>
          <w:tcPr>
            <w:tcW w:w="829" w:type="pct"/>
          </w:tcPr>
          <w:p w14:paraId="7C350D01" w14:textId="77777777" w:rsidR="00FE11CD" w:rsidRPr="00C70B71" w:rsidRDefault="00FE11CD" w:rsidP="00C70B71">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C70B71">
              <w:rPr>
                <w:rFonts w:ascii="Arial" w:hAnsi="Arial" w:cs="Arial"/>
                <w:bCs/>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994" w:type="pct"/>
          </w:tcPr>
          <w:p w14:paraId="1A40CBCA" w14:textId="77777777" w:rsidR="00FE11CD" w:rsidRPr="00C70B71" w:rsidRDefault="00FE11CD" w:rsidP="00C70B71">
            <w:pPr>
              <w:contextualSpacing/>
              <w:jc w:val="center"/>
              <w:rPr>
                <w:rFonts w:ascii="Arial" w:hAnsi="Arial" w:cs="Arial"/>
                <w:bCs/>
                <w:sz w:val="20"/>
                <w:szCs w:val="20"/>
                <w:lang w:val="es-CR"/>
              </w:rPr>
            </w:pPr>
            <w:r w:rsidRPr="00C70B71">
              <w:rPr>
                <w:rFonts w:ascii="Arial" w:hAnsi="Arial" w:cs="Arial"/>
                <w:bCs/>
                <w:sz w:val="20"/>
                <w:szCs w:val="20"/>
                <w:lang w:val="es-CR"/>
              </w:rPr>
              <w:t>-</w:t>
            </w:r>
          </w:p>
        </w:tc>
      </w:tr>
    </w:tbl>
    <w:p w14:paraId="4166CF75" w14:textId="77777777" w:rsidR="00FE11CD" w:rsidRPr="00FE11CD" w:rsidRDefault="00FE11CD" w:rsidP="00FE11CD">
      <w:pPr>
        <w:jc w:val="both"/>
        <w:rPr>
          <w:rFonts w:ascii="Arial" w:eastAsiaTheme="minorEastAsia" w:hAnsi="Arial" w:cs="Arial"/>
          <w:b/>
          <w:sz w:val="16"/>
          <w:szCs w:val="16"/>
          <w:lang w:val="es-CR"/>
        </w:rPr>
      </w:pPr>
      <w:r w:rsidRPr="00FE11CD">
        <w:rPr>
          <w:rFonts w:ascii="Arial" w:eastAsiaTheme="minorEastAsia" w:hAnsi="Arial" w:cs="Arial"/>
          <w:b/>
          <w:sz w:val="16"/>
          <w:szCs w:val="16"/>
          <w:lang w:val="es-CR"/>
        </w:rPr>
        <w:t xml:space="preserve">Fuente: </w:t>
      </w:r>
      <w:r w:rsidRPr="00FE11CD">
        <w:rPr>
          <w:rFonts w:ascii="Arial" w:eastAsiaTheme="minorEastAsia" w:hAnsi="Arial" w:cs="Arial"/>
          <w:color w:val="000000" w:themeColor="text1"/>
          <w:sz w:val="16"/>
          <w:szCs w:val="20"/>
        </w:rPr>
        <w:t>Oficina Administración Defensa Pública, Libros de Registro General, Informe Mensual, SIGMA.</w:t>
      </w:r>
    </w:p>
    <w:p w14:paraId="203195CB" w14:textId="77777777" w:rsidR="00FE11CD" w:rsidRPr="00FE11CD" w:rsidRDefault="00FE11CD" w:rsidP="00FE11CD">
      <w:pPr>
        <w:jc w:val="both"/>
        <w:rPr>
          <w:rFonts w:ascii="Arial" w:eastAsiaTheme="minorEastAsia" w:hAnsi="Arial" w:cs="Arial"/>
          <w:sz w:val="16"/>
          <w:szCs w:val="20"/>
          <w:lang w:val="es-ES_tradnl"/>
        </w:rPr>
      </w:pPr>
      <w:r w:rsidRPr="00FE11CD">
        <w:rPr>
          <w:rFonts w:ascii="Arial" w:eastAsiaTheme="minorEastAsia" w:hAnsi="Arial" w:cs="Arial"/>
          <w:sz w:val="16"/>
          <w:szCs w:val="20"/>
          <w:lang w:val="es-ES_tradnl"/>
        </w:rPr>
        <w:t>/1 Se refiere a acciones que implementará el centro gestor en 2022 para subsanar los problemas de ejecución que se presentaron al 31/12/2021.</w:t>
      </w:r>
    </w:p>
    <w:p w14:paraId="294C61DE" w14:textId="77777777" w:rsidR="00FE11CD" w:rsidRPr="00FE11CD" w:rsidRDefault="00FE11CD" w:rsidP="00FE11CD">
      <w:pPr>
        <w:jc w:val="both"/>
        <w:rPr>
          <w:rFonts w:ascii="Arial" w:eastAsiaTheme="minorEastAsia" w:hAnsi="Arial" w:cs="Arial"/>
          <w:sz w:val="16"/>
          <w:szCs w:val="20"/>
          <w:lang w:val="es-ES_tradnl"/>
        </w:rPr>
      </w:pPr>
      <w:r w:rsidRPr="00FE11CD">
        <w:rPr>
          <w:rFonts w:ascii="Arial" w:eastAsiaTheme="minorEastAsia" w:hAnsi="Arial" w:cs="Arial"/>
          <w:sz w:val="16"/>
          <w:szCs w:val="20"/>
          <w:lang w:val="es-ES_tradnl"/>
        </w:rPr>
        <w:t>/2 Se refiere a la fecha en que las acciones correctivas empezarán a ser implementadas por el centro gestor.</w:t>
      </w:r>
    </w:p>
    <w:p w14:paraId="09E8C9DD" w14:textId="4294DEB4" w:rsidR="006C299C" w:rsidRDefault="006C299C">
      <w:pPr>
        <w:rPr>
          <w:rFonts w:ascii="Arial" w:hAnsi="Arial" w:cs="Arial"/>
          <w:b/>
          <w:bCs/>
          <w:sz w:val="20"/>
          <w:szCs w:val="20"/>
          <w:highlight w:val="yellow"/>
          <w:lang w:val="es-MX"/>
        </w:rPr>
      </w:pPr>
    </w:p>
    <w:p w14:paraId="5DAFFC24" w14:textId="4368D3D5" w:rsidR="006C299C" w:rsidRDefault="006C299C">
      <w:pPr>
        <w:rPr>
          <w:rFonts w:ascii="Arial" w:hAnsi="Arial" w:cs="Arial"/>
          <w:b/>
          <w:bCs/>
          <w:sz w:val="20"/>
          <w:szCs w:val="20"/>
          <w:highlight w:val="yellow"/>
          <w:lang w:val="es-MX"/>
        </w:rPr>
      </w:pPr>
    </w:p>
    <w:p w14:paraId="52244B98" w14:textId="5574F1F7" w:rsidR="006C299C" w:rsidRDefault="006C299C">
      <w:pPr>
        <w:rPr>
          <w:rFonts w:ascii="Arial" w:hAnsi="Arial" w:cs="Arial"/>
          <w:b/>
          <w:bCs/>
          <w:sz w:val="20"/>
          <w:szCs w:val="20"/>
          <w:highlight w:val="yellow"/>
          <w:lang w:val="es-MX"/>
        </w:rPr>
      </w:pPr>
    </w:p>
    <w:p w14:paraId="039DF4A8" w14:textId="3D62E844" w:rsidR="00516521" w:rsidRPr="00516521" w:rsidRDefault="00516521" w:rsidP="00516521">
      <w:pPr>
        <w:jc w:val="cente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Programa 950 Servicio de Atención y Protección de Víctimas y Testigos</w:t>
      </w:r>
    </w:p>
    <w:p w14:paraId="17F243D3" w14:textId="4420B9C3" w:rsidR="006C299C" w:rsidRDefault="006C299C">
      <w:pPr>
        <w:rPr>
          <w:rFonts w:ascii="Arial" w:hAnsi="Arial" w:cs="Arial"/>
          <w:b/>
          <w:bCs/>
          <w:sz w:val="20"/>
          <w:szCs w:val="20"/>
          <w:highlight w:val="yellow"/>
          <w:lang w:val="es-MX"/>
        </w:rPr>
      </w:pPr>
    </w:p>
    <w:p w14:paraId="29056A28" w14:textId="77777777" w:rsidR="00111709" w:rsidRPr="004C0F89" w:rsidRDefault="00111709" w:rsidP="00111709">
      <w:pPr>
        <w:spacing w:line="259" w:lineRule="auto"/>
        <w:rPr>
          <w:rFonts w:ascii="Arial" w:eastAsiaTheme="minorEastAsia" w:hAnsi="Arial" w:cs="Arial"/>
          <w:b/>
          <w:sz w:val="20"/>
          <w:szCs w:val="20"/>
          <w:lang w:val="es-ES_tradnl"/>
        </w:rPr>
      </w:pPr>
    </w:p>
    <w:p w14:paraId="6E670DE9" w14:textId="3737F500"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34</w:t>
      </w:r>
      <w:r w:rsidRPr="00AE3D7B">
        <w:rPr>
          <w:rFonts w:ascii="Arial" w:hAnsi="Arial" w:cs="Arial"/>
          <w:b/>
          <w:bCs/>
          <w:i w:val="0"/>
          <w:iCs w:val="0"/>
          <w:color w:val="auto"/>
          <w:sz w:val="20"/>
          <w:szCs w:val="20"/>
        </w:rPr>
        <w:fldChar w:fldCharType="end"/>
      </w:r>
    </w:p>
    <w:p w14:paraId="4FC658CC" w14:textId="028DA62C" w:rsidR="00111709" w:rsidRPr="004C0F89" w:rsidRDefault="00111709" w:rsidP="00111709">
      <w:pPr>
        <w:spacing w:line="259" w:lineRule="auto"/>
        <w:jc w:val="center"/>
        <w:rPr>
          <w:rFonts w:ascii="Arial" w:eastAsiaTheme="minorEastAsia" w:hAnsi="Arial" w:cs="Arial"/>
          <w:sz w:val="20"/>
          <w:szCs w:val="20"/>
          <w:lang w:val="es-ES_tradnl"/>
        </w:rPr>
      </w:pPr>
      <w:r w:rsidRPr="004C0F89">
        <w:rPr>
          <w:rFonts w:ascii="Arial" w:eastAsiaTheme="minorEastAsia" w:hAnsi="Arial" w:cs="Arial"/>
          <w:b/>
          <w:sz w:val="20"/>
          <w:szCs w:val="20"/>
          <w:lang w:val="es-ES_tradnl"/>
        </w:rPr>
        <w:t xml:space="preserve">Cumplimiento de unidades de medida </w:t>
      </w:r>
    </w:p>
    <w:p w14:paraId="074962E7" w14:textId="77777777" w:rsidR="00111709" w:rsidRPr="004C0F89" w:rsidRDefault="00111709" w:rsidP="00111709">
      <w:pPr>
        <w:spacing w:before="240" w:after="160" w:line="360" w:lineRule="auto"/>
        <w:jc w:val="center"/>
        <w:rPr>
          <w:rFonts w:ascii="Arial" w:eastAsiaTheme="minorEastAsia" w:hAnsi="Arial" w:cs="Arial"/>
          <w:strike/>
          <w:sz w:val="20"/>
          <w:szCs w:val="20"/>
          <w:highlight w:val="cyan"/>
          <w:lang w:val="es-ES_tradnl"/>
        </w:rPr>
      </w:pPr>
      <w:r w:rsidRPr="004C0F89">
        <w:rPr>
          <w:rFonts w:ascii="Arial" w:eastAsiaTheme="minorEastAsia" w:hAnsi="Arial" w:cs="Arial"/>
          <w:sz w:val="20"/>
          <w:szCs w:val="20"/>
          <w:lang w:val="es-ES_tradnl"/>
        </w:rPr>
        <w:t>Programa 950 Servicio de Atención y Protección a Víctimas y Testigos</w:t>
      </w:r>
    </w:p>
    <w:p w14:paraId="2563F4C3" w14:textId="77777777" w:rsidR="00111709" w:rsidRPr="004C0F89" w:rsidRDefault="00111709" w:rsidP="00111709">
      <w:pPr>
        <w:spacing w:line="259" w:lineRule="auto"/>
        <w:jc w:val="center"/>
        <w:rPr>
          <w:rFonts w:ascii="Arial" w:eastAsiaTheme="minorEastAsia" w:hAnsi="Arial" w:cs="Arial"/>
          <w:b/>
          <w:sz w:val="20"/>
          <w:szCs w:val="20"/>
          <w:lang w:val="es-ES_tradnl"/>
        </w:rPr>
      </w:pPr>
      <w:r w:rsidRPr="004C0F89">
        <w:rPr>
          <w:rFonts w:ascii="Arial" w:eastAsiaTheme="minorEastAsia" w:hAnsi="Arial" w:cs="Arial"/>
          <w:sz w:val="20"/>
          <w:szCs w:val="20"/>
          <w:lang w:val="es-ES_tradnl"/>
        </w:rPr>
        <w:t>Al 31 de diciembre 2021</w:t>
      </w:r>
    </w:p>
    <w:tbl>
      <w:tblPr>
        <w:tblStyle w:val="Listaclara-nfasis117"/>
        <w:tblW w:w="0" w:type="auto"/>
        <w:tblLook w:val="00A0" w:firstRow="1" w:lastRow="0" w:firstColumn="1" w:lastColumn="0" w:noHBand="0" w:noVBand="0"/>
      </w:tblPr>
      <w:tblGrid>
        <w:gridCol w:w="1347"/>
        <w:gridCol w:w="1102"/>
        <w:gridCol w:w="1348"/>
        <w:gridCol w:w="1177"/>
        <w:gridCol w:w="1177"/>
        <w:gridCol w:w="1177"/>
        <w:gridCol w:w="1156"/>
      </w:tblGrid>
      <w:tr w:rsidR="00111709" w:rsidRPr="004C0F89" w14:paraId="7F51B097" w14:textId="77777777" w:rsidTr="00465D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B1A334" w14:textId="77777777" w:rsidR="00111709" w:rsidRPr="004C0F89" w:rsidRDefault="00111709" w:rsidP="00465D52">
            <w:pPr>
              <w:jc w:val="center"/>
              <w:rPr>
                <w:rFonts w:ascii="Arial" w:hAnsi="Arial" w:cs="Arial"/>
                <w:b w:val="0"/>
                <w:bCs w:val="0"/>
                <w:sz w:val="20"/>
                <w:szCs w:val="20"/>
              </w:rPr>
            </w:pPr>
          </w:p>
          <w:p w14:paraId="67CEA481" w14:textId="77777777" w:rsidR="00111709" w:rsidRPr="004C0F89" w:rsidRDefault="00111709" w:rsidP="00465D52">
            <w:pPr>
              <w:jc w:val="center"/>
              <w:rPr>
                <w:rFonts w:ascii="Arial" w:hAnsi="Arial" w:cs="Arial"/>
                <w:b w:val="0"/>
                <w:sz w:val="20"/>
                <w:szCs w:val="20"/>
              </w:rPr>
            </w:pPr>
            <w:r w:rsidRPr="004C0F89">
              <w:rPr>
                <w:rFonts w:ascii="Arial" w:hAnsi="Arial" w:cs="Arial"/>
                <w:sz w:val="20"/>
                <w:szCs w:val="20"/>
              </w:rPr>
              <w:t>Nombre del producto</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D89E5EA" w14:textId="77777777" w:rsidR="00111709" w:rsidRPr="004C0F89" w:rsidRDefault="00111709" w:rsidP="00465D52">
            <w:pPr>
              <w:jc w:val="center"/>
              <w:rPr>
                <w:rFonts w:ascii="Arial" w:hAnsi="Arial" w:cs="Arial"/>
                <w:b w:val="0"/>
                <w:bCs w:val="0"/>
                <w:sz w:val="20"/>
                <w:szCs w:val="20"/>
              </w:rPr>
            </w:pPr>
          </w:p>
          <w:p w14:paraId="2E464848" w14:textId="77777777" w:rsidR="00111709" w:rsidRPr="004C0F89" w:rsidRDefault="00111709" w:rsidP="00465D52">
            <w:pPr>
              <w:jc w:val="center"/>
              <w:rPr>
                <w:rFonts w:ascii="Arial" w:hAnsi="Arial" w:cs="Arial"/>
                <w:b w:val="0"/>
                <w:bCs w:val="0"/>
                <w:sz w:val="20"/>
                <w:szCs w:val="20"/>
              </w:rPr>
            </w:pPr>
            <w:r w:rsidRPr="004C0F89">
              <w:rPr>
                <w:rFonts w:ascii="Arial" w:hAnsi="Arial" w:cs="Arial"/>
                <w:sz w:val="20"/>
                <w:szCs w:val="20"/>
              </w:rPr>
              <w:t xml:space="preserve">Nombre de la </w:t>
            </w:r>
          </w:p>
          <w:p w14:paraId="594FB8D0" w14:textId="77777777" w:rsidR="00111709" w:rsidRPr="004C0F89" w:rsidRDefault="00111709" w:rsidP="00465D52">
            <w:pPr>
              <w:jc w:val="center"/>
              <w:rPr>
                <w:rFonts w:ascii="Arial" w:hAnsi="Arial" w:cs="Arial"/>
                <w:b w:val="0"/>
                <w:sz w:val="20"/>
                <w:szCs w:val="20"/>
              </w:rPr>
            </w:pPr>
            <w:r w:rsidRPr="004C0F89">
              <w:rPr>
                <w:rFonts w:ascii="Arial" w:hAnsi="Arial" w:cs="Arial"/>
                <w:sz w:val="20"/>
                <w:szCs w:val="20"/>
              </w:rPr>
              <w:t>unidad de medida</w:t>
            </w:r>
          </w:p>
        </w:tc>
        <w:tc>
          <w:tcPr>
            <w:tcW w:w="0" w:type="auto"/>
            <w:vAlign w:val="center"/>
          </w:tcPr>
          <w:p w14:paraId="6271E86A" w14:textId="77777777" w:rsidR="00111709" w:rsidRPr="004C0F89" w:rsidRDefault="00111709"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46EE1714" w14:textId="77777777" w:rsidR="00111709" w:rsidRPr="004C0F89" w:rsidRDefault="00111709"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C0F89">
              <w:rPr>
                <w:rFonts w:ascii="Arial" w:hAnsi="Arial" w:cs="Arial"/>
                <w:sz w:val="20"/>
                <w:szCs w:val="20"/>
              </w:rPr>
              <w:t>Programado</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6F83BAC" w14:textId="77777777" w:rsidR="00111709" w:rsidRPr="004C0F89" w:rsidRDefault="00111709" w:rsidP="00465D52">
            <w:pPr>
              <w:jc w:val="center"/>
              <w:rPr>
                <w:rFonts w:ascii="Arial" w:hAnsi="Arial" w:cs="Arial"/>
                <w:b w:val="0"/>
                <w:bCs w:val="0"/>
                <w:sz w:val="20"/>
                <w:szCs w:val="20"/>
              </w:rPr>
            </w:pPr>
          </w:p>
          <w:p w14:paraId="6C16146B" w14:textId="77777777" w:rsidR="00111709" w:rsidRPr="004C0F89" w:rsidRDefault="00111709" w:rsidP="00465D52">
            <w:pPr>
              <w:jc w:val="center"/>
              <w:rPr>
                <w:rFonts w:ascii="Arial" w:hAnsi="Arial" w:cs="Arial"/>
                <w:b w:val="0"/>
                <w:sz w:val="20"/>
                <w:szCs w:val="20"/>
              </w:rPr>
            </w:pPr>
            <w:r w:rsidRPr="004C0F89">
              <w:rPr>
                <w:rFonts w:ascii="Arial" w:hAnsi="Arial" w:cs="Arial"/>
                <w:sz w:val="20"/>
                <w:szCs w:val="20"/>
              </w:rPr>
              <w:t>Alcanzado</w:t>
            </w:r>
          </w:p>
        </w:tc>
        <w:tc>
          <w:tcPr>
            <w:tcW w:w="0" w:type="auto"/>
            <w:vAlign w:val="center"/>
          </w:tcPr>
          <w:p w14:paraId="261A2C08" w14:textId="77777777" w:rsidR="00111709" w:rsidRPr="004C0F89" w:rsidRDefault="00111709"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5517FCC1" w14:textId="77777777" w:rsidR="00111709" w:rsidRPr="004C0F89" w:rsidRDefault="00111709"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C0F89">
              <w:rPr>
                <w:rFonts w:ascii="Arial" w:hAnsi="Arial" w:cs="Arial"/>
                <w:sz w:val="20"/>
                <w:szCs w:val="20"/>
              </w:rPr>
              <w:t xml:space="preserve">Nivel alcanzado al 30/06/2021 </w:t>
            </w:r>
            <w:r w:rsidRPr="004C0F89">
              <w:rPr>
                <w:rFonts w:ascii="Arial" w:hAnsi="Arial" w:cs="Arial"/>
                <w:b w:val="0"/>
                <w:bCs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4486DC1" w14:textId="77777777" w:rsidR="00111709" w:rsidRPr="004C0F89" w:rsidRDefault="00111709" w:rsidP="00465D52">
            <w:pPr>
              <w:jc w:val="center"/>
              <w:rPr>
                <w:rFonts w:ascii="Arial" w:hAnsi="Arial" w:cs="Arial"/>
                <w:b w:val="0"/>
                <w:bCs w:val="0"/>
                <w:sz w:val="20"/>
                <w:szCs w:val="20"/>
              </w:rPr>
            </w:pPr>
          </w:p>
          <w:p w14:paraId="39A73F55" w14:textId="77777777" w:rsidR="00111709" w:rsidRPr="004C0F89" w:rsidRDefault="00111709" w:rsidP="00465D52">
            <w:pPr>
              <w:jc w:val="center"/>
              <w:rPr>
                <w:rFonts w:ascii="Arial" w:hAnsi="Arial" w:cs="Arial"/>
                <w:b w:val="0"/>
                <w:sz w:val="20"/>
                <w:szCs w:val="20"/>
                <w:highlight w:val="yellow"/>
              </w:rPr>
            </w:pPr>
            <w:r w:rsidRPr="004C0F89">
              <w:rPr>
                <w:rFonts w:ascii="Arial" w:hAnsi="Arial" w:cs="Arial"/>
                <w:sz w:val="20"/>
                <w:szCs w:val="20"/>
              </w:rPr>
              <w:t xml:space="preserve">Nivel alcanzado al 31/12/2021 </w:t>
            </w:r>
          </w:p>
        </w:tc>
        <w:tc>
          <w:tcPr>
            <w:tcW w:w="0" w:type="auto"/>
            <w:vAlign w:val="center"/>
          </w:tcPr>
          <w:p w14:paraId="60357EE3" w14:textId="77777777" w:rsidR="00111709" w:rsidRPr="004C0F89" w:rsidRDefault="00111709" w:rsidP="00465D5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C0F89">
              <w:rPr>
                <w:rFonts w:ascii="Arial" w:hAnsi="Arial" w:cs="Arial"/>
                <w:sz w:val="20"/>
                <w:szCs w:val="20"/>
              </w:rPr>
              <w:t xml:space="preserve">Fuente de datos </w:t>
            </w:r>
            <w:r w:rsidRPr="004C0F89">
              <w:rPr>
                <w:rFonts w:ascii="Arial" w:hAnsi="Arial" w:cs="Arial"/>
                <w:sz w:val="20"/>
                <w:szCs w:val="20"/>
                <w:vertAlign w:val="superscript"/>
              </w:rPr>
              <w:t>/2</w:t>
            </w:r>
            <w:r w:rsidRPr="004C0F89">
              <w:rPr>
                <w:rFonts w:ascii="Arial" w:hAnsi="Arial" w:cs="Arial"/>
                <w:b w:val="0"/>
                <w:bCs w:val="0"/>
                <w:sz w:val="20"/>
                <w:szCs w:val="20"/>
              </w:rPr>
              <w:t xml:space="preserve"> </w:t>
            </w:r>
          </w:p>
        </w:tc>
      </w:tr>
      <w:tr w:rsidR="00111709" w:rsidRPr="004C0F89" w14:paraId="4E35FA8A"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080CC" w14:textId="77777777" w:rsidR="00111709" w:rsidRPr="004C0F89" w:rsidRDefault="00111709" w:rsidP="00465D52">
            <w:pPr>
              <w:jc w:val="center"/>
              <w:rPr>
                <w:rFonts w:ascii="Arial" w:hAnsi="Arial" w:cs="Arial"/>
                <w:b w:val="0"/>
                <w:sz w:val="20"/>
                <w:szCs w:val="20"/>
                <w:lang w:val="es-ES_tradnl"/>
              </w:rPr>
            </w:pPr>
            <w:r w:rsidRPr="004C0F89">
              <w:rPr>
                <w:rFonts w:ascii="Arial" w:hAnsi="Arial" w:cs="Arial"/>
                <w:b w:val="0"/>
                <w:sz w:val="20"/>
                <w:szCs w:val="20"/>
                <w:lang w:val="es-ES_tradnl"/>
              </w:rPr>
              <w:t xml:space="preserve">Servicios de protección y atención a víctimas, testigos y otros intervinientes en procesos penales </w:t>
            </w:r>
          </w:p>
        </w:tc>
        <w:tc>
          <w:tcPr>
            <w:cnfStyle w:val="000010000000" w:firstRow="0" w:lastRow="0" w:firstColumn="0" w:lastColumn="0" w:oddVBand="1" w:evenVBand="0" w:oddHBand="0" w:evenHBand="0" w:firstRowFirstColumn="0" w:firstRowLastColumn="0" w:lastRowFirstColumn="0" w:lastRowLastColumn="0"/>
            <w:tcW w:w="0" w:type="auto"/>
          </w:tcPr>
          <w:p w14:paraId="5489FA55" w14:textId="77777777" w:rsidR="00111709" w:rsidRPr="004C0F89" w:rsidRDefault="00111709" w:rsidP="00465D52">
            <w:pPr>
              <w:jc w:val="center"/>
              <w:rPr>
                <w:rFonts w:ascii="Arial" w:hAnsi="Arial" w:cs="Arial"/>
                <w:sz w:val="20"/>
                <w:szCs w:val="20"/>
                <w:lang w:val="es-ES_tradnl"/>
              </w:rPr>
            </w:pPr>
            <w:r w:rsidRPr="004C0F89">
              <w:rPr>
                <w:rFonts w:ascii="Arial" w:hAnsi="Arial" w:cs="Arial"/>
                <w:sz w:val="20"/>
                <w:szCs w:val="20"/>
                <w:lang w:val="es-ES_tradnl"/>
              </w:rPr>
              <w:t xml:space="preserve">Solicitud atendida de protección o atención  </w:t>
            </w:r>
          </w:p>
        </w:tc>
        <w:tc>
          <w:tcPr>
            <w:tcW w:w="0" w:type="auto"/>
          </w:tcPr>
          <w:p w14:paraId="4C558231" w14:textId="77777777" w:rsidR="00111709" w:rsidRPr="004C0F89" w:rsidRDefault="00111709"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4C0F89">
              <w:rPr>
                <w:rFonts w:ascii="Arial" w:hAnsi="Arial" w:cs="Arial"/>
                <w:sz w:val="20"/>
                <w:szCs w:val="20"/>
                <w:lang w:val="es-ES_tradnl"/>
              </w:rPr>
              <w:t>16.000,00</w:t>
            </w:r>
          </w:p>
        </w:tc>
        <w:tc>
          <w:tcPr>
            <w:cnfStyle w:val="000010000000" w:firstRow="0" w:lastRow="0" w:firstColumn="0" w:lastColumn="0" w:oddVBand="1" w:evenVBand="0" w:oddHBand="0" w:evenHBand="0" w:firstRowFirstColumn="0" w:firstRowLastColumn="0" w:lastRowFirstColumn="0" w:lastRowLastColumn="0"/>
            <w:tcW w:w="0" w:type="auto"/>
          </w:tcPr>
          <w:p w14:paraId="0770808C" w14:textId="77777777" w:rsidR="00111709" w:rsidRPr="004C0F89" w:rsidRDefault="00111709" w:rsidP="00465D52">
            <w:pPr>
              <w:jc w:val="center"/>
              <w:rPr>
                <w:rFonts w:ascii="Arial" w:hAnsi="Arial" w:cs="Arial"/>
                <w:sz w:val="20"/>
                <w:szCs w:val="20"/>
                <w:lang w:val="es-ES_tradnl"/>
              </w:rPr>
            </w:pPr>
            <w:r w:rsidRPr="004C0F89">
              <w:rPr>
                <w:rFonts w:ascii="Arial" w:hAnsi="Arial" w:cs="Arial"/>
                <w:sz w:val="20"/>
                <w:szCs w:val="20"/>
                <w:lang w:val="es-ES_tradnl"/>
              </w:rPr>
              <w:t>18.266,00</w:t>
            </w:r>
          </w:p>
        </w:tc>
        <w:tc>
          <w:tcPr>
            <w:tcW w:w="0" w:type="auto"/>
          </w:tcPr>
          <w:p w14:paraId="0200402C" w14:textId="77777777" w:rsidR="00111709" w:rsidRPr="004C0F89" w:rsidRDefault="00111709"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4C0F89">
              <w:rPr>
                <w:rFonts w:ascii="Arial" w:hAnsi="Arial" w:cs="Arial"/>
                <w:sz w:val="20"/>
                <w:szCs w:val="20"/>
                <w:lang w:val="es-ES_tradnl"/>
              </w:rPr>
              <w:t>57,61%</w:t>
            </w:r>
          </w:p>
        </w:tc>
        <w:tc>
          <w:tcPr>
            <w:cnfStyle w:val="000010000000" w:firstRow="0" w:lastRow="0" w:firstColumn="0" w:lastColumn="0" w:oddVBand="1" w:evenVBand="0" w:oddHBand="0" w:evenHBand="0" w:firstRowFirstColumn="0" w:firstRowLastColumn="0" w:lastRowFirstColumn="0" w:lastRowLastColumn="0"/>
            <w:tcW w:w="0" w:type="auto"/>
          </w:tcPr>
          <w:p w14:paraId="5EAA8C22" w14:textId="77777777" w:rsidR="00111709" w:rsidRPr="004C0F89" w:rsidRDefault="00111709" w:rsidP="00465D52">
            <w:pPr>
              <w:jc w:val="center"/>
              <w:rPr>
                <w:rFonts w:ascii="Arial" w:hAnsi="Arial" w:cs="Arial"/>
                <w:sz w:val="20"/>
                <w:szCs w:val="20"/>
                <w:lang w:val="es-ES_tradnl"/>
              </w:rPr>
            </w:pPr>
            <w:r w:rsidRPr="004C0F89">
              <w:rPr>
                <w:rFonts w:ascii="Arial" w:hAnsi="Arial" w:cs="Arial"/>
                <w:sz w:val="20"/>
                <w:szCs w:val="20"/>
                <w:lang w:val="es-ES_tradnl"/>
              </w:rPr>
              <w:t>114,16%</w:t>
            </w:r>
          </w:p>
        </w:tc>
        <w:tc>
          <w:tcPr>
            <w:tcW w:w="0" w:type="auto"/>
          </w:tcPr>
          <w:p w14:paraId="4FCEDE60" w14:textId="77777777" w:rsidR="00111709" w:rsidRPr="004C0F89" w:rsidRDefault="00111709" w:rsidP="00465D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4C0F89">
              <w:rPr>
                <w:rFonts w:ascii="Arial" w:hAnsi="Arial" w:cs="Arial"/>
                <w:sz w:val="20"/>
                <w:szCs w:val="20"/>
                <w:lang w:val="es-ES_tradnl"/>
              </w:rPr>
              <w:t>SIGMA</w:t>
            </w:r>
            <w:r w:rsidRPr="004C0F89">
              <w:rPr>
                <w:rFonts w:ascii="Arial" w:hAnsi="Arial" w:cs="Arial"/>
                <w:bCs/>
                <w:sz w:val="20"/>
                <w:szCs w:val="20"/>
                <w:lang w:val="es-ES_tradnl"/>
              </w:rPr>
              <w:t xml:space="preserve"> (Sistema de Apoyo a la Toma de Decisiones del Poder Judicial)</w:t>
            </w:r>
          </w:p>
        </w:tc>
      </w:tr>
    </w:tbl>
    <w:p w14:paraId="07D96F08" w14:textId="77777777" w:rsidR="00111709" w:rsidRPr="004C0F89" w:rsidRDefault="00111709" w:rsidP="00111709">
      <w:pPr>
        <w:spacing w:after="160" w:line="259" w:lineRule="auto"/>
        <w:ind w:left="-142"/>
        <w:contextualSpacing/>
        <w:jc w:val="both"/>
        <w:rPr>
          <w:rFonts w:ascii="Arial" w:eastAsiaTheme="minorEastAsia" w:hAnsi="Arial" w:cs="Arial"/>
          <w:sz w:val="16"/>
          <w:szCs w:val="20"/>
          <w:lang w:val="es-ES_tradnl"/>
        </w:rPr>
      </w:pPr>
      <w:r w:rsidRPr="004C0F89">
        <w:rPr>
          <w:rFonts w:ascii="Arial" w:eastAsiaTheme="minorEastAsia" w:hAnsi="Arial" w:cs="Arial"/>
          <w:b/>
          <w:sz w:val="16"/>
          <w:szCs w:val="20"/>
          <w:lang w:val="es-ES_tradnl"/>
        </w:rPr>
        <w:t xml:space="preserve">  Fuente</w:t>
      </w:r>
      <w:r w:rsidRPr="004C0F89">
        <w:rPr>
          <w:rFonts w:ascii="Arial" w:eastAsiaTheme="minorEastAsia" w:hAnsi="Arial" w:cs="Arial"/>
          <w:sz w:val="16"/>
          <w:szCs w:val="20"/>
          <w:lang w:val="es-ES_tradnl"/>
        </w:rPr>
        <w:t xml:space="preserve">: </w:t>
      </w:r>
      <w:r w:rsidRPr="004C0F89">
        <w:rPr>
          <w:rFonts w:ascii="Arial" w:eastAsiaTheme="minorEastAsia" w:hAnsi="Arial" w:cs="Arial"/>
          <w:sz w:val="16"/>
          <w:szCs w:val="20"/>
        </w:rPr>
        <w:t xml:space="preserve">SIGMA PJ </w:t>
      </w:r>
    </w:p>
    <w:p w14:paraId="3B8532CA" w14:textId="77777777" w:rsidR="00111709" w:rsidRPr="004C0F89" w:rsidRDefault="00111709" w:rsidP="00111709">
      <w:pPr>
        <w:spacing w:after="160" w:line="259" w:lineRule="auto"/>
        <w:ind w:left="-142"/>
        <w:contextualSpacing/>
        <w:jc w:val="both"/>
        <w:rPr>
          <w:rFonts w:ascii="Arial" w:eastAsiaTheme="minorEastAsia" w:hAnsi="Arial" w:cs="Arial"/>
          <w:sz w:val="16"/>
          <w:szCs w:val="20"/>
          <w:lang w:val="es-ES_tradnl"/>
        </w:rPr>
      </w:pPr>
      <w:r w:rsidRPr="004C0F89">
        <w:rPr>
          <w:rFonts w:ascii="Arial" w:eastAsiaTheme="minorEastAsia" w:hAnsi="Arial" w:cs="Arial"/>
          <w:sz w:val="16"/>
          <w:szCs w:val="20"/>
          <w:lang w:val="es-ES_tradnl"/>
        </w:rPr>
        <w:t xml:space="preserve">  /1 Esta información se obtiene del informe semestral.</w:t>
      </w:r>
    </w:p>
    <w:p w14:paraId="7FFA41A7" w14:textId="77777777" w:rsidR="00111709" w:rsidRPr="004C0F89" w:rsidRDefault="00111709" w:rsidP="00111709">
      <w:pPr>
        <w:spacing w:after="160" w:line="259" w:lineRule="auto"/>
        <w:ind w:left="-142"/>
        <w:contextualSpacing/>
        <w:jc w:val="both"/>
        <w:rPr>
          <w:rFonts w:ascii="Arial" w:eastAsiaTheme="minorEastAsia" w:hAnsi="Arial" w:cs="Arial"/>
          <w:sz w:val="16"/>
          <w:szCs w:val="20"/>
          <w:lang w:val="es-ES_tradnl"/>
        </w:rPr>
      </w:pPr>
      <w:r w:rsidRPr="004C0F89">
        <w:rPr>
          <w:rFonts w:ascii="Arial" w:eastAsiaTheme="minorEastAsia" w:hAnsi="Arial" w:cs="Arial"/>
          <w:sz w:val="16"/>
          <w:szCs w:val="16"/>
          <w:lang w:val="es-ES_tradnl"/>
        </w:rPr>
        <w:t xml:space="preserve">  /2 Acorde a lo establecido en la ley de presupuesto 2021 y sus reformas.</w:t>
      </w:r>
    </w:p>
    <w:p w14:paraId="3EB58E71" w14:textId="77777777" w:rsidR="00111709" w:rsidRPr="004C0F89" w:rsidRDefault="00111709" w:rsidP="00111709">
      <w:pPr>
        <w:spacing w:after="160" w:line="259" w:lineRule="auto"/>
        <w:ind w:left="-142"/>
        <w:contextualSpacing/>
        <w:jc w:val="both"/>
        <w:rPr>
          <w:rFonts w:ascii="Arial" w:eastAsiaTheme="minorEastAsia" w:hAnsi="Arial" w:cs="Arial"/>
          <w:sz w:val="14"/>
          <w:szCs w:val="20"/>
          <w:lang w:val="es-ES_tradnl"/>
        </w:rPr>
      </w:pPr>
    </w:p>
    <w:p w14:paraId="3B9176DB" w14:textId="77777777" w:rsidR="00111709" w:rsidRPr="004C0F89" w:rsidRDefault="00111709" w:rsidP="00111709">
      <w:pPr>
        <w:spacing w:after="160" w:line="360" w:lineRule="auto"/>
        <w:jc w:val="both"/>
        <w:rPr>
          <w:rFonts w:ascii="Arial" w:eastAsiaTheme="minorEastAsia" w:hAnsi="Arial" w:cs="Arial"/>
          <w:sz w:val="20"/>
          <w:szCs w:val="20"/>
        </w:rPr>
      </w:pPr>
    </w:p>
    <w:p w14:paraId="78BED704" w14:textId="3B264927" w:rsidR="00F849E4" w:rsidRPr="00AE3D7B" w:rsidRDefault="00111709" w:rsidP="00F849E4">
      <w:pPr>
        <w:pStyle w:val="Descripcin"/>
        <w:jc w:val="center"/>
        <w:rPr>
          <w:rFonts w:ascii="Arial" w:hAnsi="Arial" w:cs="Arial"/>
          <w:b/>
          <w:bCs/>
          <w:i w:val="0"/>
          <w:iCs w:val="0"/>
          <w:color w:val="auto"/>
          <w:sz w:val="20"/>
          <w:szCs w:val="20"/>
          <w:lang w:val="es-ES_tradnl"/>
        </w:rPr>
      </w:pPr>
      <w:r w:rsidRPr="004C0F89">
        <w:rPr>
          <w:rFonts w:ascii="Arial" w:eastAsiaTheme="minorEastAsia" w:hAnsi="Arial" w:cs="Arial"/>
          <w:sz w:val="20"/>
          <w:szCs w:val="20"/>
          <w:lang w:val="es-CR" w:eastAsia="es-CR"/>
        </w:rPr>
        <w:lastRenderedPageBreak/>
        <w:t xml:space="preserve"> </w:t>
      </w:r>
      <w:r w:rsidR="00F849E4" w:rsidRPr="00AE3D7B">
        <w:rPr>
          <w:rFonts w:ascii="Arial" w:hAnsi="Arial" w:cs="Arial"/>
          <w:b/>
          <w:bCs/>
          <w:i w:val="0"/>
          <w:iCs w:val="0"/>
          <w:color w:val="auto"/>
          <w:sz w:val="20"/>
          <w:szCs w:val="20"/>
        </w:rPr>
        <w:t xml:space="preserve">Cuadro  </w:t>
      </w:r>
      <w:r w:rsidR="00F849E4" w:rsidRPr="00AE3D7B">
        <w:rPr>
          <w:rFonts w:ascii="Arial" w:hAnsi="Arial" w:cs="Arial"/>
          <w:b/>
          <w:bCs/>
          <w:i w:val="0"/>
          <w:iCs w:val="0"/>
          <w:color w:val="auto"/>
          <w:sz w:val="20"/>
          <w:szCs w:val="20"/>
        </w:rPr>
        <w:fldChar w:fldCharType="begin"/>
      </w:r>
      <w:r w:rsidR="00F849E4" w:rsidRPr="00AE3D7B">
        <w:rPr>
          <w:rFonts w:ascii="Arial" w:hAnsi="Arial" w:cs="Arial"/>
          <w:b/>
          <w:bCs/>
          <w:i w:val="0"/>
          <w:iCs w:val="0"/>
          <w:color w:val="auto"/>
          <w:sz w:val="20"/>
          <w:szCs w:val="20"/>
        </w:rPr>
        <w:instrText xml:space="preserve"> SEQ cuadro_ \* ARABIC </w:instrText>
      </w:r>
      <w:r w:rsidR="00F849E4" w:rsidRPr="00AE3D7B">
        <w:rPr>
          <w:rFonts w:ascii="Arial" w:hAnsi="Arial" w:cs="Arial"/>
          <w:b/>
          <w:bCs/>
          <w:i w:val="0"/>
          <w:iCs w:val="0"/>
          <w:color w:val="auto"/>
          <w:sz w:val="20"/>
          <w:szCs w:val="20"/>
        </w:rPr>
        <w:fldChar w:fldCharType="separate"/>
      </w:r>
      <w:r w:rsidR="00F849E4">
        <w:rPr>
          <w:rFonts w:ascii="Arial" w:hAnsi="Arial" w:cs="Arial"/>
          <w:b/>
          <w:bCs/>
          <w:i w:val="0"/>
          <w:iCs w:val="0"/>
          <w:noProof/>
          <w:color w:val="auto"/>
          <w:sz w:val="20"/>
          <w:szCs w:val="20"/>
        </w:rPr>
        <w:t>35</w:t>
      </w:r>
      <w:r w:rsidR="00F849E4" w:rsidRPr="00AE3D7B">
        <w:rPr>
          <w:rFonts w:ascii="Arial" w:hAnsi="Arial" w:cs="Arial"/>
          <w:b/>
          <w:bCs/>
          <w:i w:val="0"/>
          <w:iCs w:val="0"/>
          <w:color w:val="auto"/>
          <w:sz w:val="20"/>
          <w:szCs w:val="20"/>
        </w:rPr>
        <w:fldChar w:fldCharType="end"/>
      </w:r>
    </w:p>
    <w:p w14:paraId="5689856D" w14:textId="4C4BA25F" w:rsidR="00111709" w:rsidRPr="004C0F89" w:rsidRDefault="00111709" w:rsidP="00111709">
      <w:pPr>
        <w:spacing w:line="259" w:lineRule="auto"/>
        <w:ind w:left="720"/>
        <w:jc w:val="center"/>
        <w:rPr>
          <w:rFonts w:ascii="Arial" w:eastAsiaTheme="minorEastAsia" w:hAnsi="Arial" w:cs="Arial"/>
          <w:b/>
          <w:bCs/>
          <w:sz w:val="20"/>
          <w:szCs w:val="20"/>
          <w:lang w:val="es-CR" w:eastAsia="es-CR"/>
        </w:rPr>
      </w:pPr>
      <w:r w:rsidRPr="004C0F89">
        <w:rPr>
          <w:rFonts w:ascii="Arial" w:eastAsiaTheme="minorEastAsia" w:hAnsi="Arial" w:cs="Arial"/>
          <w:b/>
          <w:sz w:val="20"/>
          <w:szCs w:val="20"/>
          <w:lang w:val="es-CR" w:eastAsia="es-CR"/>
        </w:rPr>
        <w:t>Unidades de medida.</w:t>
      </w:r>
      <w:r w:rsidRPr="004C0F89">
        <w:rPr>
          <w:rFonts w:ascii="Arial" w:eastAsiaTheme="minorEastAsia" w:hAnsi="Arial" w:cs="Arial"/>
          <w:sz w:val="20"/>
          <w:szCs w:val="20"/>
          <w:lang w:val="es-CR" w:eastAsia="es-CR"/>
        </w:rPr>
        <w:t xml:space="preserve"> </w:t>
      </w:r>
      <w:r w:rsidRPr="004C0F89">
        <w:rPr>
          <w:rFonts w:ascii="Arial" w:eastAsiaTheme="minorEastAsia" w:hAnsi="Arial" w:cs="Arial"/>
          <w:b/>
          <w:sz w:val="20"/>
          <w:szCs w:val="20"/>
          <w:lang w:val="es-CR" w:eastAsia="es-CR"/>
        </w:rPr>
        <w:t>Acciones correctivas de mitad de año no efectivas</w:t>
      </w:r>
    </w:p>
    <w:p w14:paraId="74D08694" w14:textId="77777777" w:rsidR="00111709" w:rsidRDefault="00111709" w:rsidP="00111709">
      <w:pPr>
        <w:spacing w:before="240" w:after="160" w:line="360" w:lineRule="auto"/>
        <w:jc w:val="center"/>
        <w:rPr>
          <w:rFonts w:ascii="Arial" w:eastAsiaTheme="minorEastAsia" w:hAnsi="Arial" w:cs="Arial"/>
          <w:strike/>
          <w:sz w:val="20"/>
          <w:szCs w:val="20"/>
          <w:lang w:val="es-ES_tradnl"/>
        </w:rPr>
      </w:pPr>
      <w:r w:rsidRPr="004C0F89">
        <w:rPr>
          <w:rFonts w:ascii="Arial" w:eastAsiaTheme="minorEastAsia" w:hAnsi="Arial" w:cs="Arial"/>
          <w:sz w:val="20"/>
          <w:szCs w:val="20"/>
          <w:lang w:val="es-ES_tradnl"/>
        </w:rPr>
        <w:t>Programa 950 Servicio de Atención y Protección a Víctimas y Testigos</w:t>
      </w:r>
    </w:p>
    <w:p w14:paraId="7EC7CFC0" w14:textId="77777777" w:rsidR="00111709" w:rsidRPr="004C0F89" w:rsidRDefault="00111709" w:rsidP="00111709">
      <w:pPr>
        <w:spacing w:before="240" w:after="160" w:line="360" w:lineRule="auto"/>
        <w:jc w:val="center"/>
        <w:rPr>
          <w:rFonts w:ascii="Arial" w:eastAsiaTheme="minorEastAsia" w:hAnsi="Arial" w:cs="Arial"/>
          <w:strike/>
          <w:sz w:val="20"/>
          <w:szCs w:val="20"/>
          <w:highlight w:val="cyan"/>
          <w:lang w:val="es-ES_tradnl"/>
        </w:rPr>
      </w:pPr>
      <w:r w:rsidRPr="004C0F89">
        <w:rPr>
          <w:rFonts w:ascii="Arial" w:eastAsiaTheme="minorEastAsia" w:hAnsi="Arial" w:cs="Arial"/>
          <w:sz w:val="20"/>
          <w:szCs w:val="20"/>
          <w:lang w:val="es-CR" w:eastAsia="es-CR"/>
        </w:rPr>
        <w:t>Cumplimiento menor al 25,00% al 30/06/2021 y menor al 90,00% al 31/12/2021</w:t>
      </w:r>
    </w:p>
    <w:tbl>
      <w:tblPr>
        <w:tblStyle w:val="Listaclara-nfasis117"/>
        <w:tblW w:w="4950" w:type="pct"/>
        <w:tblLook w:val="00A0" w:firstRow="1" w:lastRow="0" w:firstColumn="1" w:lastColumn="0" w:noHBand="0" w:noVBand="0"/>
      </w:tblPr>
      <w:tblGrid>
        <w:gridCol w:w="1281"/>
        <w:gridCol w:w="2253"/>
        <w:gridCol w:w="2745"/>
        <w:gridCol w:w="2120"/>
      </w:tblGrid>
      <w:tr w:rsidR="00111709" w:rsidRPr="004C0F89" w14:paraId="005381A9"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5279FFD8" w14:textId="77777777" w:rsidR="00111709" w:rsidRPr="004C0F89" w:rsidRDefault="00111709" w:rsidP="00465D52">
            <w:pPr>
              <w:contextualSpacing/>
              <w:jc w:val="center"/>
              <w:rPr>
                <w:rFonts w:ascii="Arial" w:hAnsi="Arial" w:cs="Arial"/>
                <w:bCs w:val="0"/>
                <w:sz w:val="20"/>
                <w:szCs w:val="20"/>
                <w:lang w:val="es-CR"/>
              </w:rPr>
            </w:pPr>
            <w:r w:rsidRPr="004C0F89">
              <w:rPr>
                <w:rFonts w:ascii="Arial" w:hAnsi="Arial" w:cs="Arial"/>
                <w:sz w:val="20"/>
                <w:szCs w:val="20"/>
                <w:lang w:val="es-CR"/>
              </w:rPr>
              <w:t>Unidad de Medida</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2D58EE7E" w14:textId="77777777" w:rsidR="00111709" w:rsidRPr="004C0F89" w:rsidRDefault="00111709" w:rsidP="00465D52">
            <w:pPr>
              <w:contextualSpacing/>
              <w:jc w:val="center"/>
              <w:rPr>
                <w:rFonts w:ascii="Arial" w:hAnsi="Arial" w:cs="Arial"/>
                <w:b w:val="0"/>
                <w:bCs w:val="0"/>
                <w:sz w:val="20"/>
                <w:szCs w:val="20"/>
                <w:lang w:val="es-CR"/>
              </w:rPr>
            </w:pPr>
            <w:r w:rsidRPr="004C0F89">
              <w:rPr>
                <w:rFonts w:ascii="Arial" w:hAnsi="Arial" w:cs="Arial"/>
                <w:sz w:val="20"/>
                <w:szCs w:val="20"/>
                <w:lang w:val="es-CR"/>
              </w:rPr>
              <w:t>Factores</w:t>
            </w:r>
          </w:p>
          <w:p w14:paraId="47C21643" w14:textId="77777777" w:rsidR="00111709" w:rsidRPr="004C0F89" w:rsidRDefault="00111709" w:rsidP="00465D52">
            <w:pPr>
              <w:contextualSpacing/>
              <w:jc w:val="center"/>
              <w:rPr>
                <w:rFonts w:ascii="Arial" w:hAnsi="Arial" w:cs="Arial"/>
                <w:sz w:val="20"/>
                <w:szCs w:val="20"/>
                <w:lang w:val="es-CR"/>
              </w:rPr>
            </w:pPr>
            <w:r w:rsidRPr="004C0F89">
              <w:rPr>
                <w:rFonts w:ascii="Arial" w:hAnsi="Arial" w:cs="Arial"/>
                <w:sz w:val="20"/>
                <w:szCs w:val="20"/>
                <w:lang w:val="es-CR"/>
              </w:rPr>
              <w:t xml:space="preserve">al 30/06/2021 </w:t>
            </w:r>
            <w:r w:rsidRPr="004C0F89">
              <w:rPr>
                <w:rFonts w:ascii="Arial" w:hAnsi="Arial" w:cs="Arial"/>
                <w:sz w:val="20"/>
                <w:szCs w:val="20"/>
                <w:vertAlign w:val="superscript"/>
                <w:lang w:val="es-CR"/>
              </w:rPr>
              <w:t>/1</w:t>
            </w:r>
          </w:p>
        </w:tc>
        <w:tc>
          <w:tcPr>
            <w:tcW w:w="1634" w:type="pct"/>
            <w:vAlign w:val="center"/>
          </w:tcPr>
          <w:p w14:paraId="7BDCF4E8" w14:textId="77777777" w:rsidR="00111709" w:rsidRPr="004C0F89" w:rsidRDefault="00111709" w:rsidP="00465D5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4C0F89">
              <w:rPr>
                <w:rFonts w:ascii="Arial" w:hAnsi="Arial" w:cs="Arial"/>
                <w:sz w:val="20"/>
                <w:szCs w:val="20"/>
                <w:lang w:val="es-CR"/>
              </w:rPr>
              <w:t xml:space="preserve">Acciones correctivas </w:t>
            </w:r>
            <w:r w:rsidRPr="004C0F89">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66AC700D" w14:textId="77777777" w:rsidR="00111709" w:rsidRPr="004C0F89" w:rsidRDefault="00111709" w:rsidP="00465D52">
            <w:pPr>
              <w:spacing w:line="360" w:lineRule="auto"/>
              <w:contextualSpacing/>
              <w:jc w:val="center"/>
              <w:rPr>
                <w:rFonts w:ascii="Arial" w:hAnsi="Arial" w:cs="Arial"/>
                <w:bCs w:val="0"/>
                <w:sz w:val="20"/>
                <w:szCs w:val="20"/>
                <w:lang w:val="es-CR"/>
              </w:rPr>
            </w:pPr>
            <w:r w:rsidRPr="004C0F89">
              <w:rPr>
                <w:rFonts w:ascii="Arial" w:hAnsi="Arial" w:cs="Arial"/>
                <w:sz w:val="20"/>
                <w:szCs w:val="20"/>
                <w:lang w:val="es-CR"/>
              </w:rPr>
              <w:t xml:space="preserve">Razones </w:t>
            </w:r>
            <w:r w:rsidRPr="004C0F89">
              <w:rPr>
                <w:rFonts w:ascii="Arial" w:hAnsi="Arial" w:cs="Arial"/>
                <w:sz w:val="20"/>
                <w:szCs w:val="20"/>
                <w:vertAlign w:val="superscript"/>
                <w:lang w:val="es-CR"/>
              </w:rPr>
              <w:t>/3</w:t>
            </w:r>
          </w:p>
        </w:tc>
      </w:tr>
      <w:tr w:rsidR="00111709" w:rsidRPr="004C0F89" w14:paraId="23F936F7"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1EA1E931" w14:textId="77777777" w:rsidR="00111709" w:rsidRPr="008068C2" w:rsidRDefault="00111709" w:rsidP="008068C2">
            <w:pPr>
              <w:spacing w:line="360" w:lineRule="auto"/>
              <w:contextualSpacing/>
              <w:jc w:val="center"/>
              <w:rPr>
                <w:rFonts w:ascii="Arial" w:hAnsi="Arial" w:cs="Arial"/>
                <w:b w:val="0"/>
                <w:bCs w:val="0"/>
                <w:sz w:val="20"/>
                <w:szCs w:val="20"/>
                <w:lang w:val="es-CR"/>
              </w:rPr>
            </w:pPr>
            <w:r w:rsidRPr="008068C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1341" w:type="pct"/>
          </w:tcPr>
          <w:p w14:paraId="447BCA81" w14:textId="77777777" w:rsidR="00111709" w:rsidRPr="008068C2" w:rsidRDefault="00111709" w:rsidP="008068C2">
            <w:pPr>
              <w:spacing w:line="360" w:lineRule="auto"/>
              <w:jc w:val="center"/>
              <w:rPr>
                <w:rFonts w:ascii="Arial" w:hAnsi="Arial" w:cs="Arial"/>
                <w:sz w:val="20"/>
                <w:szCs w:val="20"/>
                <w:lang w:val="es-CR"/>
              </w:rPr>
            </w:pPr>
            <w:r w:rsidRPr="008068C2">
              <w:rPr>
                <w:rFonts w:ascii="Arial" w:hAnsi="Arial" w:cs="Arial"/>
                <w:sz w:val="20"/>
                <w:szCs w:val="20"/>
                <w:lang w:val="es-CR"/>
              </w:rPr>
              <w:t>-</w:t>
            </w:r>
          </w:p>
        </w:tc>
        <w:tc>
          <w:tcPr>
            <w:tcW w:w="1634" w:type="pct"/>
          </w:tcPr>
          <w:p w14:paraId="5C148696" w14:textId="77777777" w:rsidR="00111709" w:rsidRPr="008068C2" w:rsidRDefault="00111709" w:rsidP="008068C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1262" w:type="pct"/>
          </w:tcPr>
          <w:p w14:paraId="1A7C0C86" w14:textId="7E7560F6" w:rsidR="00111709" w:rsidRPr="008068C2" w:rsidRDefault="008068C2" w:rsidP="008068C2">
            <w:pPr>
              <w:spacing w:line="360" w:lineRule="auto"/>
              <w:contextualSpacing/>
              <w:jc w:val="center"/>
              <w:rPr>
                <w:rFonts w:ascii="Arial" w:hAnsi="Arial" w:cs="Arial"/>
                <w:sz w:val="20"/>
                <w:szCs w:val="20"/>
                <w:lang w:val="es-CR"/>
              </w:rPr>
            </w:pPr>
            <w:r w:rsidRPr="008068C2">
              <w:rPr>
                <w:rFonts w:ascii="Arial" w:hAnsi="Arial" w:cs="Arial"/>
                <w:sz w:val="20"/>
                <w:szCs w:val="20"/>
                <w:lang w:val="es-CR"/>
              </w:rPr>
              <w:t>-</w:t>
            </w:r>
          </w:p>
        </w:tc>
      </w:tr>
    </w:tbl>
    <w:p w14:paraId="2ABE63BE" w14:textId="77777777" w:rsidR="00111709" w:rsidRPr="004C0F89" w:rsidRDefault="00111709" w:rsidP="00111709">
      <w:pPr>
        <w:spacing w:line="259" w:lineRule="auto"/>
        <w:rPr>
          <w:rFonts w:ascii="Arial" w:eastAsiaTheme="minorEastAsia" w:hAnsi="Arial" w:cs="Arial"/>
          <w:bCs/>
          <w:sz w:val="16"/>
          <w:szCs w:val="16"/>
          <w:lang w:val="es-CR"/>
        </w:rPr>
      </w:pPr>
      <w:r w:rsidRPr="004C0F89">
        <w:rPr>
          <w:rFonts w:ascii="Arial" w:eastAsiaTheme="minorEastAsia" w:hAnsi="Arial" w:cs="Arial"/>
          <w:b/>
          <w:sz w:val="16"/>
          <w:szCs w:val="16"/>
          <w:lang w:val="es-CR"/>
        </w:rPr>
        <w:t>Fuente</w:t>
      </w:r>
      <w:r w:rsidRPr="004C0F89">
        <w:rPr>
          <w:rFonts w:ascii="Arial" w:eastAsiaTheme="minorEastAsia" w:hAnsi="Arial" w:cs="Arial"/>
          <w:sz w:val="16"/>
          <w:szCs w:val="16"/>
          <w:lang w:val="es-CR"/>
        </w:rPr>
        <w:t xml:space="preserve">: </w:t>
      </w:r>
      <w:r w:rsidRPr="004C0F89">
        <w:rPr>
          <w:rFonts w:ascii="Arial" w:eastAsiaTheme="minorEastAsia" w:hAnsi="Arial" w:cs="Arial"/>
          <w:sz w:val="16"/>
          <w:szCs w:val="20"/>
        </w:rPr>
        <w:t>Indicar fuente.</w:t>
      </w:r>
    </w:p>
    <w:p w14:paraId="65054AD6" w14:textId="77777777" w:rsidR="00111709" w:rsidRPr="004C0F89" w:rsidRDefault="00111709" w:rsidP="00111709">
      <w:pPr>
        <w:spacing w:line="259" w:lineRule="auto"/>
        <w:rPr>
          <w:rFonts w:ascii="Arial" w:eastAsiaTheme="minorEastAsia" w:hAnsi="Arial" w:cs="Arial"/>
          <w:sz w:val="16"/>
          <w:szCs w:val="16"/>
          <w:lang w:val="es-CR"/>
        </w:rPr>
      </w:pPr>
      <w:r w:rsidRPr="004C0F89">
        <w:rPr>
          <w:rFonts w:ascii="Arial" w:eastAsiaTheme="minorEastAsia" w:hAnsi="Arial" w:cs="Arial"/>
          <w:sz w:val="16"/>
          <w:szCs w:val="16"/>
          <w:lang w:val="es-CR"/>
        </w:rPr>
        <w:t>/1</w:t>
      </w:r>
      <w:r w:rsidRPr="004C0F89">
        <w:rPr>
          <w:rFonts w:ascii="Arial" w:eastAsiaTheme="minorEastAsia" w:hAnsi="Arial" w:cs="Arial"/>
          <w:b/>
          <w:sz w:val="16"/>
          <w:szCs w:val="16"/>
          <w:lang w:val="es-CR"/>
        </w:rPr>
        <w:t xml:space="preserve"> </w:t>
      </w:r>
      <w:r w:rsidRPr="004C0F89">
        <w:rPr>
          <w:rFonts w:ascii="Arial" w:eastAsiaTheme="minorEastAsia" w:hAnsi="Arial" w:cs="Arial"/>
          <w:sz w:val="16"/>
          <w:szCs w:val="16"/>
          <w:lang w:val="es-CR"/>
        </w:rPr>
        <w:t>Indicar la descripción del factor señalado en el informe de seguimiento semestral.</w:t>
      </w:r>
    </w:p>
    <w:p w14:paraId="1714D347" w14:textId="77777777" w:rsidR="00111709" w:rsidRPr="004C0F89" w:rsidRDefault="00111709" w:rsidP="00111709">
      <w:pPr>
        <w:spacing w:line="259" w:lineRule="auto"/>
        <w:rPr>
          <w:rFonts w:ascii="Arial" w:eastAsiaTheme="minorEastAsia" w:hAnsi="Arial" w:cs="Arial"/>
          <w:sz w:val="16"/>
          <w:szCs w:val="16"/>
          <w:lang w:val="es-CR"/>
        </w:rPr>
      </w:pPr>
      <w:r w:rsidRPr="004C0F89">
        <w:rPr>
          <w:rFonts w:ascii="Arial" w:eastAsiaTheme="minorEastAsia" w:hAnsi="Arial" w:cs="Arial"/>
          <w:sz w:val="16"/>
          <w:szCs w:val="16"/>
          <w:lang w:val="es-CR"/>
        </w:rPr>
        <w:t>/2 Se refieren a las acciones propuestas en el informe de seguimiento semestral.</w:t>
      </w:r>
    </w:p>
    <w:p w14:paraId="14FA14FA" w14:textId="77777777" w:rsidR="00111709" w:rsidRPr="004C0F89" w:rsidRDefault="00111709" w:rsidP="00111709">
      <w:pPr>
        <w:spacing w:line="259" w:lineRule="auto"/>
        <w:rPr>
          <w:rFonts w:ascii="Arial" w:eastAsiaTheme="minorEastAsia" w:hAnsi="Arial" w:cs="Arial"/>
          <w:sz w:val="16"/>
          <w:szCs w:val="16"/>
          <w:lang w:val="es-CR"/>
        </w:rPr>
      </w:pPr>
      <w:r w:rsidRPr="004C0F89">
        <w:rPr>
          <w:rFonts w:ascii="Arial" w:eastAsiaTheme="minorEastAsia" w:hAnsi="Arial" w:cs="Arial"/>
          <w:sz w:val="16"/>
          <w:szCs w:val="16"/>
          <w:lang w:val="es-CR"/>
        </w:rPr>
        <w:t>/3</w:t>
      </w:r>
      <w:r w:rsidRPr="004C0F89">
        <w:rPr>
          <w:rFonts w:ascii="Arial" w:eastAsiaTheme="minorEastAsia" w:hAnsi="Arial" w:cs="Arial"/>
          <w:b/>
          <w:sz w:val="16"/>
          <w:szCs w:val="16"/>
          <w:lang w:val="es-CR"/>
        </w:rPr>
        <w:t xml:space="preserve"> </w:t>
      </w:r>
      <w:r w:rsidRPr="004C0F89">
        <w:rPr>
          <w:rFonts w:ascii="Arial" w:eastAsiaTheme="minorEastAsia" w:hAnsi="Arial" w:cs="Arial"/>
          <w:sz w:val="16"/>
          <w:szCs w:val="16"/>
          <w:lang w:val="es-CR"/>
        </w:rPr>
        <w:t>Se refieren a las razones por las cuales las acciones correctivas propuestas no fueron efectivas para alcanzar un nivel superior al 90,00% de cumplimiento.</w:t>
      </w:r>
    </w:p>
    <w:p w14:paraId="5903678D" w14:textId="77777777" w:rsidR="00111709" w:rsidRPr="004C0F89" w:rsidRDefault="00111709" w:rsidP="00111709">
      <w:pPr>
        <w:spacing w:after="160" w:line="259" w:lineRule="auto"/>
        <w:ind w:left="118"/>
        <w:rPr>
          <w:rFonts w:ascii="Arial" w:eastAsiaTheme="minorEastAsia" w:hAnsi="Arial" w:cs="Arial"/>
          <w:sz w:val="20"/>
          <w:szCs w:val="20"/>
          <w:u w:val="single"/>
          <w:lang w:val="es-MX"/>
        </w:rPr>
      </w:pPr>
    </w:p>
    <w:p w14:paraId="46D1239A" w14:textId="109B1691"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36</w:t>
      </w:r>
      <w:r w:rsidRPr="00AE3D7B">
        <w:rPr>
          <w:rFonts w:ascii="Arial" w:hAnsi="Arial" w:cs="Arial"/>
          <w:b/>
          <w:bCs/>
          <w:i w:val="0"/>
          <w:iCs w:val="0"/>
          <w:color w:val="auto"/>
          <w:sz w:val="20"/>
          <w:szCs w:val="20"/>
        </w:rPr>
        <w:fldChar w:fldCharType="end"/>
      </w:r>
    </w:p>
    <w:p w14:paraId="43E70863" w14:textId="604F9AE4" w:rsidR="00111709" w:rsidRPr="004C0F89" w:rsidRDefault="00111709" w:rsidP="00111709">
      <w:pPr>
        <w:ind w:left="720"/>
        <w:jc w:val="center"/>
        <w:rPr>
          <w:rFonts w:ascii="Arial" w:eastAsiaTheme="minorEastAsia" w:hAnsi="Arial" w:cs="Arial"/>
          <w:b/>
          <w:bCs/>
          <w:sz w:val="20"/>
          <w:szCs w:val="20"/>
          <w:lang w:val="es-CR" w:eastAsia="es-CR"/>
        </w:rPr>
      </w:pPr>
      <w:r w:rsidRPr="004C0F89">
        <w:rPr>
          <w:rFonts w:ascii="Arial" w:eastAsiaTheme="minorEastAsia" w:hAnsi="Arial" w:cs="Arial"/>
          <w:b/>
          <w:sz w:val="20"/>
          <w:szCs w:val="20"/>
          <w:lang w:val="es-CR" w:eastAsia="es-CR"/>
        </w:rPr>
        <w:t>Unidades de medida.</w:t>
      </w:r>
      <w:r w:rsidRPr="004C0F89">
        <w:rPr>
          <w:rFonts w:ascii="Arial" w:eastAsiaTheme="minorEastAsia" w:hAnsi="Arial" w:cs="Arial"/>
          <w:sz w:val="20"/>
          <w:szCs w:val="20"/>
          <w:lang w:val="es-CR" w:eastAsia="es-CR"/>
        </w:rPr>
        <w:t xml:space="preserve"> </w:t>
      </w:r>
      <w:r w:rsidRPr="004C0F89">
        <w:rPr>
          <w:rFonts w:ascii="Arial" w:eastAsiaTheme="minorEastAsia" w:hAnsi="Arial" w:cs="Arial"/>
          <w:b/>
          <w:sz w:val="20"/>
          <w:szCs w:val="20"/>
          <w:lang w:val="es-CR" w:eastAsia="es-CR"/>
        </w:rPr>
        <w:t>Acciones correctivas y fechas de implementación</w:t>
      </w:r>
    </w:p>
    <w:p w14:paraId="113990EA" w14:textId="77777777" w:rsidR="00111709" w:rsidRPr="004C0F89" w:rsidRDefault="00111709" w:rsidP="00111709">
      <w:pPr>
        <w:spacing w:before="240" w:after="160" w:line="360" w:lineRule="auto"/>
        <w:jc w:val="center"/>
        <w:rPr>
          <w:rFonts w:ascii="Arial" w:eastAsiaTheme="minorEastAsia" w:hAnsi="Arial" w:cs="Arial"/>
          <w:strike/>
          <w:sz w:val="20"/>
          <w:szCs w:val="20"/>
          <w:highlight w:val="cyan"/>
          <w:lang w:val="es-ES_tradnl"/>
        </w:rPr>
      </w:pPr>
      <w:r w:rsidRPr="004C0F89">
        <w:rPr>
          <w:rFonts w:ascii="Arial" w:eastAsiaTheme="minorEastAsia" w:hAnsi="Arial" w:cs="Arial"/>
          <w:sz w:val="20"/>
          <w:szCs w:val="20"/>
          <w:lang w:val="es-ES_tradnl"/>
        </w:rPr>
        <w:t>Programa 950 Servicio de Atención y Protección a Víctimas y Testigos</w:t>
      </w:r>
    </w:p>
    <w:p w14:paraId="68791767" w14:textId="77777777" w:rsidR="00111709" w:rsidRPr="004C0F89" w:rsidRDefault="00111709" w:rsidP="00111709">
      <w:pPr>
        <w:jc w:val="center"/>
        <w:rPr>
          <w:rFonts w:ascii="Arial" w:eastAsiaTheme="minorEastAsia" w:hAnsi="Arial" w:cs="Arial"/>
          <w:sz w:val="20"/>
          <w:szCs w:val="20"/>
          <w:lang w:val="es-CR" w:eastAsia="es-CR"/>
        </w:rPr>
      </w:pPr>
      <w:r w:rsidRPr="004C0F89">
        <w:rPr>
          <w:rFonts w:ascii="Arial" w:eastAsiaTheme="minorEastAsia" w:hAnsi="Arial" w:cs="Arial"/>
          <w:sz w:val="20"/>
          <w:szCs w:val="20"/>
          <w:lang w:val="es-CR" w:eastAsia="es-CR"/>
        </w:rPr>
        <w:t>Cumplimiento menor al 90,00%</w:t>
      </w:r>
    </w:p>
    <w:p w14:paraId="0883C5AE" w14:textId="77777777" w:rsidR="00111709" w:rsidRPr="004C0F89" w:rsidRDefault="00111709" w:rsidP="00111709">
      <w:pPr>
        <w:jc w:val="center"/>
        <w:rPr>
          <w:rFonts w:ascii="Arial" w:eastAsiaTheme="minorEastAsia" w:hAnsi="Arial" w:cs="Arial"/>
          <w:sz w:val="20"/>
          <w:szCs w:val="20"/>
          <w:lang w:val="es-CR" w:eastAsia="es-CR"/>
        </w:rPr>
      </w:pPr>
      <w:r w:rsidRPr="004C0F89">
        <w:rPr>
          <w:rFonts w:ascii="Arial" w:eastAsiaTheme="minorEastAsia" w:hAnsi="Arial" w:cs="Arial"/>
          <w:sz w:val="20"/>
          <w:szCs w:val="20"/>
          <w:lang w:val="es-CR" w:eastAsia="es-CR"/>
        </w:rPr>
        <w:t>Al 31 de diciembre 2021</w:t>
      </w:r>
    </w:p>
    <w:tbl>
      <w:tblPr>
        <w:tblStyle w:val="Listaclara-nfasis117"/>
        <w:tblW w:w="5000" w:type="pct"/>
        <w:tblLook w:val="00A0" w:firstRow="1" w:lastRow="0" w:firstColumn="1" w:lastColumn="0" w:noHBand="0" w:noVBand="0"/>
      </w:tblPr>
      <w:tblGrid>
        <w:gridCol w:w="1032"/>
        <w:gridCol w:w="1517"/>
        <w:gridCol w:w="1517"/>
        <w:gridCol w:w="1284"/>
        <w:gridCol w:w="1395"/>
        <w:gridCol w:w="1739"/>
      </w:tblGrid>
      <w:tr w:rsidR="00111709" w:rsidRPr="004C0F89" w14:paraId="24BC489A"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698" w:type="pct"/>
            <w:vAlign w:val="center"/>
          </w:tcPr>
          <w:p w14:paraId="42434FF8" w14:textId="77777777" w:rsidR="00111709" w:rsidRPr="004C0F89" w:rsidRDefault="00111709" w:rsidP="00465D52">
            <w:pPr>
              <w:contextualSpacing/>
              <w:jc w:val="center"/>
              <w:rPr>
                <w:rFonts w:ascii="Arial" w:hAnsi="Arial" w:cs="Arial"/>
                <w:bCs w:val="0"/>
                <w:sz w:val="20"/>
                <w:szCs w:val="20"/>
                <w:lang w:val="es-CR"/>
              </w:rPr>
            </w:pPr>
            <w:r w:rsidRPr="004C0F89">
              <w:rPr>
                <w:rFonts w:ascii="Arial" w:hAnsi="Arial" w:cs="Arial"/>
                <w:sz w:val="20"/>
                <w:szCs w:val="20"/>
                <w:lang w:val="es-CR"/>
              </w:rPr>
              <w:t>Unidad de medida</w:t>
            </w:r>
          </w:p>
        </w:tc>
        <w:tc>
          <w:tcPr>
            <w:cnfStyle w:val="000010000000" w:firstRow="0" w:lastRow="0" w:firstColumn="0" w:lastColumn="0" w:oddVBand="1" w:evenVBand="0" w:oddHBand="0" w:evenHBand="0" w:firstRowFirstColumn="0" w:firstRowLastColumn="0" w:lastRowFirstColumn="0" w:lastRowLastColumn="0"/>
            <w:tcW w:w="817" w:type="pct"/>
            <w:vAlign w:val="center"/>
          </w:tcPr>
          <w:p w14:paraId="2B5FB9EE" w14:textId="77777777" w:rsidR="00111709" w:rsidRPr="004C0F89" w:rsidRDefault="00111709" w:rsidP="00465D52">
            <w:pPr>
              <w:contextualSpacing/>
              <w:jc w:val="center"/>
              <w:rPr>
                <w:rFonts w:ascii="Arial" w:hAnsi="Arial" w:cs="Arial"/>
                <w:sz w:val="20"/>
                <w:szCs w:val="20"/>
                <w:lang w:val="es-CR"/>
              </w:rPr>
            </w:pPr>
            <w:r w:rsidRPr="004C0F89">
              <w:rPr>
                <w:rFonts w:ascii="Arial" w:hAnsi="Arial" w:cs="Arial"/>
                <w:sz w:val="20"/>
                <w:szCs w:val="20"/>
                <w:lang w:val="es-CR"/>
              </w:rPr>
              <w:t>Nivel de cumplimiento</w:t>
            </w:r>
          </w:p>
        </w:tc>
        <w:tc>
          <w:tcPr>
            <w:tcW w:w="824" w:type="pct"/>
            <w:vAlign w:val="center"/>
          </w:tcPr>
          <w:p w14:paraId="126CBB53" w14:textId="77777777" w:rsidR="00111709" w:rsidRPr="004C0F89" w:rsidRDefault="00111709" w:rsidP="00465D52">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4C0F89">
              <w:rPr>
                <w:rFonts w:ascii="Arial" w:hAnsi="Arial" w:cs="Arial"/>
                <w:sz w:val="20"/>
                <w:szCs w:val="20"/>
                <w:lang w:val="es-CR"/>
              </w:rPr>
              <w:t>Factores que inciden en el cumplimiento</w:t>
            </w:r>
          </w:p>
        </w:tc>
        <w:tc>
          <w:tcPr>
            <w:cnfStyle w:val="000010000000" w:firstRow="0" w:lastRow="0" w:firstColumn="0" w:lastColumn="0" w:oddVBand="1" w:evenVBand="0" w:oddHBand="0" w:evenHBand="0" w:firstRowFirstColumn="0" w:firstRowLastColumn="0" w:lastRowFirstColumn="0" w:lastRowLastColumn="0"/>
            <w:tcW w:w="838" w:type="pct"/>
            <w:vAlign w:val="center"/>
          </w:tcPr>
          <w:p w14:paraId="705B2D26" w14:textId="77777777" w:rsidR="00111709" w:rsidRPr="004C0F89" w:rsidRDefault="00111709" w:rsidP="00465D52">
            <w:pPr>
              <w:contextualSpacing/>
              <w:jc w:val="center"/>
              <w:rPr>
                <w:rFonts w:ascii="Arial" w:hAnsi="Arial" w:cs="Arial"/>
                <w:sz w:val="20"/>
                <w:szCs w:val="20"/>
                <w:lang w:val="es-CR"/>
              </w:rPr>
            </w:pPr>
            <w:r w:rsidRPr="004C0F89">
              <w:rPr>
                <w:rFonts w:ascii="Arial" w:hAnsi="Arial" w:cs="Arial"/>
                <w:sz w:val="20"/>
                <w:szCs w:val="20"/>
                <w:lang w:val="es-CR"/>
              </w:rPr>
              <w:t xml:space="preserve">Acciones correctivas </w:t>
            </w:r>
            <w:r w:rsidRPr="004C0F89">
              <w:rPr>
                <w:rFonts w:ascii="Arial" w:hAnsi="Arial" w:cs="Arial"/>
                <w:sz w:val="20"/>
                <w:szCs w:val="20"/>
                <w:vertAlign w:val="superscript"/>
                <w:lang w:val="es-CR"/>
              </w:rPr>
              <w:t>/1</w:t>
            </w:r>
          </w:p>
        </w:tc>
        <w:tc>
          <w:tcPr>
            <w:tcW w:w="829" w:type="pct"/>
          </w:tcPr>
          <w:p w14:paraId="74E00E60" w14:textId="77777777" w:rsidR="00111709" w:rsidRPr="004C0F89" w:rsidRDefault="00111709" w:rsidP="00465D52">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4C0F89">
              <w:rPr>
                <w:rFonts w:ascii="Arial" w:hAnsi="Arial" w:cs="Arial"/>
                <w:sz w:val="20"/>
                <w:szCs w:val="20"/>
                <w:lang w:val="es-CR"/>
              </w:rPr>
              <w:t xml:space="preserve">Persona responsable de brindar la información </w:t>
            </w:r>
          </w:p>
        </w:tc>
        <w:tc>
          <w:tcPr>
            <w:cnfStyle w:val="000010000000" w:firstRow="0" w:lastRow="0" w:firstColumn="0" w:lastColumn="0" w:oddVBand="1" w:evenVBand="0" w:oddHBand="0" w:evenHBand="0" w:firstRowFirstColumn="0" w:firstRowLastColumn="0" w:lastRowFirstColumn="0" w:lastRowLastColumn="0"/>
            <w:tcW w:w="994" w:type="pct"/>
            <w:vAlign w:val="center"/>
          </w:tcPr>
          <w:p w14:paraId="52947794" w14:textId="77777777" w:rsidR="00111709" w:rsidRPr="004C0F89" w:rsidRDefault="00111709" w:rsidP="00465D52">
            <w:pPr>
              <w:contextualSpacing/>
              <w:jc w:val="center"/>
              <w:rPr>
                <w:rFonts w:ascii="Arial" w:hAnsi="Arial" w:cs="Arial"/>
                <w:sz w:val="20"/>
                <w:szCs w:val="20"/>
                <w:lang w:val="es-CR"/>
              </w:rPr>
            </w:pPr>
            <w:r w:rsidRPr="004C0F89">
              <w:rPr>
                <w:rFonts w:ascii="Arial" w:hAnsi="Arial" w:cs="Arial"/>
                <w:sz w:val="20"/>
                <w:szCs w:val="20"/>
                <w:lang w:val="es-CR"/>
              </w:rPr>
              <w:t xml:space="preserve">Fecha de implementación </w:t>
            </w:r>
            <w:r w:rsidRPr="004C0F89">
              <w:rPr>
                <w:rFonts w:ascii="Arial" w:hAnsi="Arial" w:cs="Arial"/>
                <w:sz w:val="20"/>
                <w:szCs w:val="20"/>
                <w:vertAlign w:val="superscript"/>
                <w:lang w:val="es-CR"/>
              </w:rPr>
              <w:t>/2</w:t>
            </w:r>
          </w:p>
        </w:tc>
      </w:tr>
      <w:tr w:rsidR="00111709" w:rsidRPr="004C0F89" w14:paraId="0B5582F9"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98" w:type="pct"/>
          </w:tcPr>
          <w:p w14:paraId="6639FBA2" w14:textId="77777777" w:rsidR="00111709" w:rsidRPr="008068C2" w:rsidRDefault="00111709" w:rsidP="008068C2">
            <w:pPr>
              <w:spacing w:line="360" w:lineRule="auto"/>
              <w:contextualSpacing/>
              <w:jc w:val="center"/>
              <w:rPr>
                <w:rFonts w:ascii="Arial" w:hAnsi="Arial" w:cs="Arial"/>
                <w:b w:val="0"/>
                <w:bCs w:val="0"/>
                <w:sz w:val="20"/>
                <w:szCs w:val="20"/>
                <w:lang w:val="es-CR"/>
              </w:rPr>
            </w:pPr>
            <w:r w:rsidRPr="008068C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59775ED3" w14:textId="77777777" w:rsidR="00111709" w:rsidRPr="008068C2" w:rsidRDefault="00111709" w:rsidP="008068C2">
            <w:pPr>
              <w:spacing w:line="360" w:lineRule="auto"/>
              <w:jc w:val="center"/>
              <w:rPr>
                <w:rFonts w:ascii="Arial" w:hAnsi="Arial" w:cs="Arial"/>
                <w:sz w:val="20"/>
                <w:szCs w:val="20"/>
                <w:lang w:val="es-CR"/>
              </w:rPr>
            </w:pPr>
            <w:r w:rsidRPr="008068C2">
              <w:rPr>
                <w:rFonts w:ascii="Arial" w:hAnsi="Arial" w:cs="Arial"/>
                <w:sz w:val="20"/>
                <w:szCs w:val="20"/>
                <w:lang w:val="es-CR"/>
              </w:rPr>
              <w:t>-</w:t>
            </w:r>
          </w:p>
        </w:tc>
        <w:tc>
          <w:tcPr>
            <w:tcW w:w="824" w:type="pct"/>
          </w:tcPr>
          <w:p w14:paraId="537DB0D9" w14:textId="77777777" w:rsidR="00111709" w:rsidRPr="008068C2" w:rsidRDefault="00111709" w:rsidP="008068C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38" w:type="pct"/>
          </w:tcPr>
          <w:p w14:paraId="17F659C3" w14:textId="77777777" w:rsidR="00111709" w:rsidRPr="008068C2" w:rsidRDefault="00111709" w:rsidP="008068C2">
            <w:pPr>
              <w:spacing w:line="360" w:lineRule="auto"/>
              <w:contextualSpacing/>
              <w:jc w:val="center"/>
              <w:rPr>
                <w:rFonts w:ascii="Arial" w:hAnsi="Arial" w:cs="Arial"/>
                <w:sz w:val="20"/>
                <w:szCs w:val="20"/>
                <w:lang w:val="es-CR"/>
              </w:rPr>
            </w:pPr>
            <w:r w:rsidRPr="008068C2">
              <w:rPr>
                <w:rFonts w:ascii="Arial" w:hAnsi="Arial" w:cs="Arial"/>
                <w:sz w:val="20"/>
                <w:szCs w:val="20"/>
                <w:lang w:val="es-CR"/>
              </w:rPr>
              <w:t>-</w:t>
            </w:r>
          </w:p>
        </w:tc>
        <w:tc>
          <w:tcPr>
            <w:tcW w:w="829" w:type="pct"/>
          </w:tcPr>
          <w:p w14:paraId="60DE5B04" w14:textId="77777777" w:rsidR="00111709" w:rsidRPr="008068C2" w:rsidRDefault="00111709" w:rsidP="008068C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994" w:type="pct"/>
          </w:tcPr>
          <w:p w14:paraId="4D5685BD" w14:textId="77777777" w:rsidR="00111709" w:rsidRPr="008068C2" w:rsidRDefault="00111709" w:rsidP="008068C2">
            <w:pPr>
              <w:spacing w:line="360" w:lineRule="auto"/>
              <w:contextualSpacing/>
              <w:jc w:val="center"/>
              <w:rPr>
                <w:rFonts w:ascii="Arial" w:hAnsi="Arial" w:cs="Arial"/>
                <w:sz w:val="20"/>
                <w:szCs w:val="20"/>
                <w:lang w:val="es-CR"/>
              </w:rPr>
            </w:pPr>
            <w:r w:rsidRPr="008068C2">
              <w:rPr>
                <w:rFonts w:ascii="Arial" w:hAnsi="Arial" w:cs="Arial"/>
                <w:sz w:val="20"/>
                <w:szCs w:val="20"/>
                <w:lang w:val="es-CR"/>
              </w:rPr>
              <w:t>-</w:t>
            </w:r>
          </w:p>
        </w:tc>
      </w:tr>
      <w:tr w:rsidR="00111709" w:rsidRPr="004C0F89" w14:paraId="5472987F"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698" w:type="pct"/>
          </w:tcPr>
          <w:p w14:paraId="6A8E3FBB" w14:textId="77777777" w:rsidR="00111709" w:rsidRPr="008068C2" w:rsidRDefault="00111709" w:rsidP="008068C2">
            <w:pPr>
              <w:spacing w:line="360" w:lineRule="auto"/>
              <w:contextualSpacing/>
              <w:jc w:val="center"/>
              <w:rPr>
                <w:rFonts w:ascii="Arial" w:hAnsi="Arial" w:cs="Arial"/>
                <w:b w:val="0"/>
                <w:bCs w:val="0"/>
                <w:sz w:val="20"/>
                <w:szCs w:val="20"/>
                <w:highlight w:val="yellow"/>
                <w:lang w:val="es-CR"/>
              </w:rPr>
            </w:pPr>
            <w:r w:rsidRPr="008068C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6E2FC864" w14:textId="77777777" w:rsidR="00111709" w:rsidRPr="008068C2" w:rsidRDefault="00111709" w:rsidP="008068C2">
            <w:pPr>
              <w:spacing w:line="360" w:lineRule="auto"/>
              <w:jc w:val="center"/>
              <w:rPr>
                <w:rFonts w:ascii="Arial" w:hAnsi="Arial" w:cs="Arial"/>
                <w:sz w:val="20"/>
                <w:szCs w:val="20"/>
                <w:highlight w:val="yellow"/>
                <w:lang w:val="es-CR"/>
              </w:rPr>
            </w:pPr>
            <w:r w:rsidRPr="008068C2">
              <w:rPr>
                <w:rFonts w:ascii="Arial" w:hAnsi="Arial" w:cs="Arial"/>
                <w:sz w:val="20"/>
                <w:szCs w:val="20"/>
                <w:lang w:val="es-CR"/>
              </w:rPr>
              <w:t>-</w:t>
            </w:r>
          </w:p>
        </w:tc>
        <w:tc>
          <w:tcPr>
            <w:tcW w:w="824" w:type="pct"/>
          </w:tcPr>
          <w:p w14:paraId="3A278DE7" w14:textId="77777777" w:rsidR="00111709" w:rsidRPr="008068C2" w:rsidRDefault="00111709" w:rsidP="008068C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38" w:type="pct"/>
          </w:tcPr>
          <w:p w14:paraId="1A7BAE36" w14:textId="77777777" w:rsidR="00111709" w:rsidRPr="008068C2" w:rsidRDefault="00111709" w:rsidP="008068C2">
            <w:pPr>
              <w:spacing w:line="360" w:lineRule="auto"/>
              <w:contextualSpacing/>
              <w:jc w:val="center"/>
              <w:rPr>
                <w:rFonts w:ascii="Arial" w:hAnsi="Arial" w:cs="Arial"/>
                <w:sz w:val="20"/>
                <w:szCs w:val="20"/>
                <w:highlight w:val="yellow"/>
                <w:lang w:val="es-CR"/>
              </w:rPr>
            </w:pPr>
            <w:r w:rsidRPr="008068C2">
              <w:rPr>
                <w:rFonts w:ascii="Arial" w:hAnsi="Arial" w:cs="Arial"/>
                <w:sz w:val="20"/>
                <w:szCs w:val="20"/>
                <w:lang w:val="es-CR"/>
              </w:rPr>
              <w:t>-</w:t>
            </w:r>
          </w:p>
        </w:tc>
        <w:tc>
          <w:tcPr>
            <w:tcW w:w="829" w:type="pct"/>
          </w:tcPr>
          <w:p w14:paraId="15D7188C" w14:textId="77777777" w:rsidR="00111709" w:rsidRPr="008068C2" w:rsidRDefault="00111709" w:rsidP="008068C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994" w:type="pct"/>
          </w:tcPr>
          <w:p w14:paraId="77D57EE9" w14:textId="77777777" w:rsidR="00111709" w:rsidRPr="008068C2" w:rsidRDefault="00111709" w:rsidP="008068C2">
            <w:pPr>
              <w:spacing w:line="360" w:lineRule="auto"/>
              <w:contextualSpacing/>
              <w:jc w:val="center"/>
              <w:rPr>
                <w:rFonts w:ascii="Arial" w:hAnsi="Arial" w:cs="Arial"/>
                <w:sz w:val="20"/>
                <w:szCs w:val="20"/>
                <w:highlight w:val="yellow"/>
                <w:lang w:val="es-CR"/>
              </w:rPr>
            </w:pPr>
            <w:r w:rsidRPr="008068C2">
              <w:rPr>
                <w:rFonts w:ascii="Arial" w:hAnsi="Arial" w:cs="Arial"/>
                <w:sz w:val="20"/>
                <w:szCs w:val="20"/>
                <w:lang w:val="es-CR"/>
              </w:rPr>
              <w:t>-</w:t>
            </w:r>
          </w:p>
        </w:tc>
      </w:tr>
      <w:tr w:rsidR="00111709" w:rsidRPr="004C0F89" w14:paraId="07FAEEB7"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98" w:type="pct"/>
          </w:tcPr>
          <w:p w14:paraId="4B5110AF" w14:textId="77777777" w:rsidR="00111709" w:rsidRPr="008068C2" w:rsidRDefault="00111709" w:rsidP="008068C2">
            <w:pPr>
              <w:spacing w:line="360" w:lineRule="auto"/>
              <w:contextualSpacing/>
              <w:jc w:val="center"/>
              <w:rPr>
                <w:rFonts w:ascii="Arial" w:hAnsi="Arial" w:cs="Arial"/>
                <w:b w:val="0"/>
                <w:bCs w:val="0"/>
                <w:sz w:val="20"/>
                <w:szCs w:val="20"/>
                <w:highlight w:val="yellow"/>
                <w:lang w:val="es-CR"/>
              </w:rPr>
            </w:pPr>
            <w:r w:rsidRPr="008068C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7FF9ED86" w14:textId="77777777" w:rsidR="00111709" w:rsidRPr="008068C2" w:rsidRDefault="00111709" w:rsidP="008068C2">
            <w:pPr>
              <w:spacing w:line="360" w:lineRule="auto"/>
              <w:jc w:val="center"/>
              <w:rPr>
                <w:rFonts w:ascii="Arial" w:hAnsi="Arial" w:cs="Arial"/>
                <w:sz w:val="20"/>
                <w:szCs w:val="20"/>
                <w:highlight w:val="yellow"/>
                <w:lang w:val="es-CR"/>
              </w:rPr>
            </w:pPr>
            <w:r w:rsidRPr="008068C2">
              <w:rPr>
                <w:rFonts w:ascii="Arial" w:hAnsi="Arial" w:cs="Arial"/>
                <w:sz w:val="20"/>
                <w:szCs w:val="20"/>
                <w:lang w:val="es-CR"/>
              </w:rPr>
              <w:t>-</w:t>
            </w:r>
          </w:p>
        </w:tc>
        <w:tc>
          <w:tcPr>
            <w:tcW w:w="824" w:type="pct"/>
          </w:tcPr>
          <w:p w14:paraId="321A39B9" w14:textId="77777777" w:rsidR="00111709" w:rsidRPr="008068C2" w:rsidRDefault="00111709" w:rsidP="008068C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38" w:type="pct"/>
          </w:tcPr>
          <w:p w14:paraId="3325346A" w14:textId="77777777" w:rsidR="00111709" w:rsidRPr="008068C2" w:rsidRDefault="00111709" w:rsidP="008068C2">
            <w:pPr>
              <w:spacing w:line="360" w:lineRule="auto"/>
              <w:contextualSpacing/>
              <w:jc w:val="center"/>
              <w:rPr>
                <w:rFonts w:ascii="Arial" w:hAnsi="Arial" w:cs="Arial"/>
                <w:sz w:val="20"/>
                <w:szCs w:val="20"/>
                <w:highlight w:val="yellow"/>
                <w:lang w:val="es-CR"/>
              </w:rPr>
            </w:pPr>
            <w:r w:rsidRPr="008068C2">
              <w:rPr>
                <w:rFonts w:ascii="Arial" w:hAnsi="Arial" w:cs="Arial"/>
                <w:sz w:val="20"/>
                <w:szCs w:val="20"/>
                <w:lang w:val="es-CR"/>
              </w:rPr>
              <w:t>-</w:t>
            </w:r>
          </w:p>
        </w:tc>
        <w:tc>
          <w:tcPr>
            <w:tcW w:w="829" w:type="pct"/>
          </w:tcPr>
          <w:p w14:paraId="3558A7EA" w14:textId="77777777" w:rsidR="00111709" w:rsidRPr="008068C2" w:rsidRDefault="00111709" w:rsidP="008068C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994" w:type="pct"/>
          </w:tcPr>
          <w:p w14:paraId="252E9AF2" w14:textId="77777777" w:rsidR="00111709" w:rsidRPr="008068C2" w:rsidRDefault="00111709" w:rsidP="008068C2">
            <w:pPr>
              <w:spacing w:line="360" w:lineRule="auto"/>
              <w:contextualSpacing/>
              <w:jc w:val="center"/>
              <w:rPr>
                <w:rFonts w:ascii="Arial" w:hAnsi="Arial" w:cs="Arial"/>
                <w:sz w:val="20"/>
                <w:szCs w:val="20"/>
                <w:highlight w:val="yellow"/>
                <w:lang w:val="es-CR"/>
              </w:rPr>
            </w:pPr>
            <w:r w:rsidRPr="008068C2">
              <w:rPr>
                <w:rFonts w:ascii="Arial" w:hAnsi="Arial" w:cs="Arial"/>
                <w:sz w:val="20"/>
                <w:szCs w:val="20"/>
                <w:lang w:val="es-CR"/>
              </w:rPr>
              <w:t>-</w:t>
            </w:r>
          </w:p>
        </w:tc>
      </w:tr>
      <w:tr w:rsidR="00111709" w:rsidRPr="004C0F89" w14:paraId="239B8A7A" w14:textId="77777777" w:rsidTr="00465D52">
        <w:trPr>
          <w:trHeight w:val="312"/>
        </w:trPr>
        <w:tc>
          <w:tcPr>
            <w:cnfStyle w:val="001000000000" w:firstRow="0" w:lastRow="0" w:firstColumn="1" w:lastColumn="0" w:oddVBand="0" w:evenVBand="0" w:oddHBand="0" w:evenHBand="0" w:firstRowFirstColumn="0" w:firstRowLastColumn="0" w:lastRowFirstColumn="0" w:lastRowLastColumn="0"/>
            <w:tcW w:w="698" w:type="pct"/>
          </w:tcPr>
          <w:p w14:paraId="40A489D1" w14:textId="77777777" w:rsidR="00111709" w:rsidRPr="008068C2" w:rsidRDefault="00111709" w:rsidP="008068C2">
            <w:pPr>
              <w:spacing w:line="360" w:lineRule="auto"/>
              <w:contextualSpacing/>
              <w:jc w:val="center"/>
              <w:rPr>
                <w:rFonts w:ascii="Arial" w:hAnsi="Arial" w:cs="Arial"/>
                <w:b w:val="0"/>
                <w:bCs w:val="0"/>
                <w:sz w:val="20"/>
                <w:szCs w:val="20"/>
                <w:highlight w:val="yellow"/>
                <w:lang w:val="es-CR"/>
              </w:rPr>
            </w:pPr>
            <w:r w:rsidRPr="008068C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0347FEA1" w14:textId="77777777" w:rsidR="00111709" w:rsidRPr="008068C2" w:rsidRDefault="00111709" w:rsidP="008068C2">
            <w:pPr>
              <w:spacing w:line="360" w:lineRule="auto"/>
              <w:jc w:val="center"/>
              <w:rPr>
                <w:rFonts w:ascii="Arial" w:hAnsi="Arial" w:cs="Arial"/>
                <w:sz w:val="20"/>
                <w:szCs w:val="20"/>
                <w:highlight w:val="yellow"/>
                <w:lang w:val="es-CR"/>
              </w:rPr>
            </w:pPr>
            <w:r w:rsidRPr="008068C2">
              <w:rPr>
                <w:rFonts w:ascii="Arial" w:hAnsi="Arial" w:cs="Arial"/>
                <w:sz w:val="20"/>
                <w:szCs w:val="20"/>
                <w:lang w:val="es-CR"/>
              </w:rPr>
              <w:t>-</w:t>
            </w:r>
          </w:p>
        </w:tc>
        <w:tc>
          <w:tcPr>
            <w:tcW w:w="824" w:type="pct"/>
          </w:tcPr>
          <w:p w14:paraId="7C0028F2" w14:textId="77777777" w:rsidR="00111709" w:rsidRPr="008068C2" w:rsidRDefault="00111709" w:rsidP="008068C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38" w:type="pct"/>
          </w:tcPr>
          <w:p w14:paraId="2D2FD08A" w14:textId="77777777" w:rsidR="00111709" w:rsidRPr="008068C2" w:rsidRDefault="00111709" w:rsidP="008068C2">
            <w:pPr>
              <w:spacing w:line="360" w:lineRule="auto"/>
              <w:contextualSpacing/>
              <w:jc w:val="center"/>
              <w:rPr>
                <w:rFonts w:ascii="Arial" w:hAnsi="Arial" w:cs="Arial"/>
                <w:sz w:val="20"/>
                <w:szCs w:val="20"/>
                <w:highlight w:val="yellow"/>
                <w:lang w:val="es-CR"/>
              </w:rPr>
            </w:pPr>
            <w:r w:rsidRPr="008068C2">
              <w:rPr>
                <w:rFonts w:ascii="Arial" w:hAnsi="Arial" w:cs="Arial"/>
                <w:sz w:val="20"/>
                <w:szCs w:val="20"/>
                <w:lang w:val="es-CR"/>
              </w:rPr>
              <w:t>-</w:t>
            </w:r>
          </w:p>
        </w:tc>
        <w:tc>
          <w:tcPr>
            <w:tcW w:w="829" w:type="pct"/>
          </w:tcPr>
          <w:p w14:paraId="1E601C05" w14:textId="77777777" w:rsidR="00111709" w:rsidRPr="008068C2" w:rsidRDefault="00111709" w:rsidP="008068C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CR"/>
              </w:rPr>
            </w:pPr>
            <w:r w:rsidRPr="008068C2">
              <w:rPr>
                <w:rFonts w:ascii="Arial" w:hAnsi="Arial" w:cs="Arial"/>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994" w:type="pct"/>
          </w:tcPr>
          <w:p w14:paraId="681FB625" w14:textId="77777777" w:rsidR="00111709" w:rsidRPr="008068C2" w:rsidRDefault="00111709" w:rsidP="008068C2">
            <w:pPr>
              <w:spacing w:line="360" w:lineRule="auto"/>
              <w:contextualSpacing/>
              <w:jc w:val="center"/>
              <w:rPr>
                <w:rFonts w:ascii="Arial" w:hAnsi="Arial" w:cs="Arial"/>
                <w:sz w:val="20"/>
                <w:szCs w:val="20"/>
                <w:highlight w:val="yellow"/>
                <w:lang w:val="es-CR"/>
              </w:rPr>
            </w:pPr>
            <w:r w:rsidRPr="008068C2">
              <w:rPr>
                <w:rFonts w:ascii="Arial" w:hAnsi="Arial" w:cs="Arial"/>
                <w:sz w:val="20"/>
                <w:szCs w:val="20"/>
                <w:lang w:val="es-CR"/>
              </w:rPr>
              <w:t>-</w:t>
            </w:r>
          </w:p>
        </w:tc>
      </w:tr>
    </w:tbl>
    <w:p w14:paraId="211C266A" w14:textId="77777777" w:rsidR="00111709" w:rsidRPr="004C0F89" w:rsidRDefault="00111709" w:rsidP="00111709">
      <w:pPr>
        <w:jc w:val="both"/>
        <w:rPr>
          <w:rFonts w:ascii="Arial" w:eastAsiaTheme="minorEastAsia" w:hAnsi="Arial" w:cs="Arial"/>
          <w:b/>
          <w:sz w:val="16"/>
          <w:szCs w:val="16"/>
          <w:lang w:val="es-CR"/>
        </w:rPr>
      </w:pPr>
      <w:r w:rsidRPr="004C0F89">
        <w:rPr>
          <w:rFonts w:ascii="Arial" w:eastAsiaTheme="minorEastAsia" w:hAnsi="Arial" w:cs="Arial"/>
          <w:b/>
          <w:sz w:val="16"/>
          <w:szCs w:val="16"/>
          <w:lang w:val="es-CR"/>
        </w:rPr>
        <w:t xml:space="preserve">Fuente: </w:t>
      </w:r>
      <w:r w:rsidRPr="004C0F89">
        <w:rPr>
          <w:rFonts w:ascii="Arial" w:eastAsiaTheme="minorEastAsia" w:hAnsi="Arial" w:cs="Arial"/>
          <w:sz w:val="16"/>
          <w:szCs w:val="16"/>
          <w:lang w:val="es-CR"/>
        </w:rPr>
        <w:t>indicar fuente</w:t>
      </w:r>
    </w:p>
    <w:p w14:paraId="4FFA7DE8" w14:textId="77777777" w:rsidR="00111709" w:rsidRPr="004C0F89" w:rsidRDefault="00111709" w:rsidP="00111709">
      <w:pPr>
        <w:jc w:val="both"/>
        <w:rPr>
          <w:rFonts w:ascii="Arial" w:eastAsiaTheme="minorEastAsia" w:hAnsi="Arial" w:cs="Arial"/>
          <w:sz w:val="16"/>
          <w:szCs w:val="20"/>
          <w:lang w:val="es-ES_tradnl"/>
        </w:rPr>
      </w:pPr>
      <w:r w:rsidRPr="004C0F89">
        <w:rPr>
          <w:rFonts w:ascii="Arial" w:eastAsiaTheme="minorEastAsia" w:hAnsi="Arial" w:cs="Arial"/>
          <w:sz w:val="16"/>
          <w:szCs w:val="20"/>
          <w:lang w:val="es-ES_tradnl"/>
        </w:rPr>
        <w:t>/1 Se refiere a acciones que implementará el centro gestor en 2022 para subsanar los problemas de ejecución que se presentaron al 31/12/2021.</w:t>
      </w:r>
    </w:p>
    <w:p w14:paraId="57BD1F79" w14:textId="77777777" w:rsidR="00111709" w:rsidRDefault="00111709" w:rsidP="00111709">
      <w:pPr>
        <w:ind w:left="118"/>
        <w:rPr>
          <w:rFonts w:ascii="Arial" w:hAnsi="Arial" w:cs="Arial"/>
          <w:sz w:val="20"/>
          <w:szCs w:val="20"/>
          <w:u w:val="single"/>
          <w:lang w:val="es-MX"/>
        </w:rPr>
      </w:pPr>
      <w:r w:rsidRPr="004C0F89">
        <w:rPr>
          <w:rFonts w:ascii="Arial" w:eastAsiaTheme="minorEastAsia" w:hAnsi="Arial" w:cs="Arial"/>
          <w:sz w:val="16"/>
          <w:szCs w:val="20"/>
          <w:lang w:val="es-ES_tradnl"/>
        </w:rPr>
        <w:t>/2 Se refiere a la fecha en que las acciones correctivas empezarán a ser implementadas por el centro gestor</w:t>
      </w:r>
    </w:p>
    <w:p w14:paraId="0D6D37E8" w14:textId="77777777" w:rsidR="00111709" w:rsidRDefault="00111709" w:rsidP="00111709">
      <w:pPr>
        <w:ind w:left="118"/>
        <w:rPr>
          <w:rFonts w:ascii="Arial" w:hAnsi="Arial" w:cs="Arial"/>
          <w:sz w:val="20"/>
          <w:szCs w:val="20"/>
          <w:u w:val="single"/>
          <w:lang w:val="es-MX"/>
        </w:rPr>
      </w:pPr>
    </w:p>
    <w:p w14:paraId="782CA2E6" w14:textId="77777777" w:rsidR="00F849E4" w:rsidRDefault="00F849E4" w:rsidP="00111709">
      <w:pPr>
        <w:ind w:left="118"/>
        <w:rPr>
          <w:rFonts w:ascii="Arial" w:hAnsi="Arial" w:cs="Arial"/>
          <w:sz w:val="20"/>
          <w:szCs w:val="20"/>
          <w:u w:val="single"/>
          <w:lang w:val="es-MX"/>
        </w:rPr>
      </w:pPr>
    </w:p>
    <w:p w14:paraId="34A3069F" w14:textId="77777777" w:rsidR="00F849E4" w:rsidRDefault="00F849E4" w:rsidP="00111709">
      <w:pPr>
        <w:ind w:left="118"/>
        <w:rPr>
          <w:rFonts w:ascii="Arial" w:hAnsi="Arial" w:cs="Arial"/>
          <w:sz w:val="20"/>
          <w:szCs w:val="20"/>
          <w:u w:val="single"/>
          <w:lang w:val="es-MX"/>
        </w:rPr>
      </w:pPr>
    </w:p>
    <w:p w14:paraId="6D7D432C" w14:textId="77777777" w:rsidR="00F849E4" w:rsidRDefault="00F849E4" w:rsidP="00111709">
      <w:pPr>
        <w:ind w:left="118"/>
        <w:rPr>
          <w:rFonts w:ascii="Arial" w:hAnsi="Arial" w:cs="Arial"/>
          <w:sz w:val="20"/>
          <w:szCs w:val="20"/>
          <w:u w:val="single"/>
          <w:lang w:val="es-MX"/>
        </w:rPr>
      </w:pPr>
    </w:p>
    <w:p w14:paraId="6FC561D9" w14:textId="77777777" w:rsidR="00F849E4" w:rsidRDefault="00F849E4" w:rsidP="00111709">
      <w:pPr>
        <w:ind w:left="118"/>
        <w:rPr>
          <w:rFonts w:ascii="Arial" w:hAnsi="Arial" w:cs="Arial"/>
          <w:sz w:val="20"/>
          <w:szCs w:val="20"/>
          <w:u w:val="single"/>
          <w:lang w:val="es-MX"/>
        </w:rPr>
      </w:pPr>
    </w:p>
    <w:p w14:paraId="533F104A" w14:textId="77777777" w:rsidR="00F849E4" w:rsidRDefault="00F849E4" w:rsidP="00111709">
      <w:pPr>
        <w:ind w:left="118"/>
        <w:rPr>
          <w:rFonts w:ascii="Arial" w:hAnsi="Arial" w:cs="Arial"/>
          <w:sz w:val="20"/>
          <w:szCs w:val="20"/>
          <w:u w:val="single"/>
          <w:lang w:val="es-MX"/>
        </w:rPr>
      </w:pPr>
    </w:p>
    <w:p w14:paraId="7E31CFA7" w14:textId="750D5330" w:rsidR="00014F1E" w:rsidRPr="0051237D" w:rsidRDefault="00014F1E" w:rsidP="00BE5AA1">
      <w:pPr>
        <w:pStyle w:val="Ttulo2"/>
        <w:keepLines/>
        <w:numPr>
          <w:ilvl w:val="1"/>
          <w:numId w:val="13"/>
        </w:numPr>
        <w:spacing w:before="360" w:line="259" w:lineRule="auto"/>
        <w:jc w:val="both"/>
        <w:rPr>
          <w:rFonts w:ascii="Arial" w:hAnsi="Arial" w:cs="Arial"/>
          <w:iCs/>
          <w:smallCaps/>
          <w:color w:val="002060"/>
          <w:spacing w:val="15"/>
          <w:sz w:val="22"/>
          <w:szCs w:val="22"/>
        </w:rPr>
      </w:pPr>
      <w:bookmarkStart w:id="65" w:name="_Toc93420491"/>
      <w:r w:rsidRPr="0051237D">
        <w:rPr>
          <w:rFonts w:ascii="Arial" w:hAnsi="Arial" w:cs="Arial"/>
          <w:iCs/>
          <w:color w:val="002060"/>
          <w:spacing w:val="15"/>
          <w:sz w:val="22"/>
          <w:szCs w:val="22"/>
        </w:rPr>
        <w:lastRenderedPageBreak/>
        <w:t xml:space="preserve">Análisis de </w:t>
      </w:r>
      <w:r w:rsidR="00C11F63" w:rsidRPr="0051237D">
        <w:rPr>
          <w:rFonts w:ascii="Arial" w:hAnsi="Arial" w:cs="Arial"/>
          <w:iCs/>
          <w:color w:val="002060"/>
          <w:spacing w:val="15"/>
          <w:sz w:val="22"/>
          <w:szCs w:val="22"/>
        </w:rPr>
        <w:t>indicadores</w:t>
      </w:r>
      <w:bookmarkEnd w:id="65"/>
    </w:p>
    <w:p w14:paraId="7207F39E" w14:textId="77777777" w:rsidR="003A02F6" w:rsidRPr="003A02F6" w:rsidRDefault="003A02F6" w:rsidP="003A02F6">
      <w:pPr>
        <w:spacing w:line="360" w:lineRule="auto"/>
        <w:jc w:val="both"/>
        <w:rPr>
          <w:rFonts w:ascii="Arial" w:hAnsi="Arial" w:cs="Arial"/>
          <w:sz w:val="20"/>
          <w:szCs w:val="20"/>
          <w:lang w:val="es-MX"/>
        </w:rPr>
      </w:pPr>
    </w:p>
    <w:p w14:paraId="3619EC36" w14:textId="17654548" w:rsidR="003A02F6" w:rsidRPr="003A02F6" w:rsidRDefault="003A02F6" w:rsidP="0077083C">
      <w:pPr>
        <w:jc w:val="center"/>
        <w:rPr>
          <w:rFonts w:ascii="Arial" w:hAnsi="Arial" w:cs="Arial"/>
          <w:b/>
          <w:bCs/>
          <w:color w:val="1F497D" w:themeColor="text2"/>
          <w:sz w:val="20"/>
          <w:szCs w:val="20"/>
          <w:lang w:val="es-MX"/>
        </w:rPr>
      </w:pPr>
      <w:r w:rsidRPr="003A02F6">
        <w:rPr>
          <w:rFonts w:ascii="Arial" w:hAnsi="Arial" w:cs="Arial"/>
          <w:b/>
          <w:bCs/>
          <w:color w:val="1F497D" w:themeColor="text2"/>
          <w:sz w:val="20"/>
          <w:szCs w:val="20"/>
          <w:lang w:val="es-MX"/>
        </w:rPr>
        <w:t xml:space="preserve">Programa 927 </w:t>
      </w:r>
      <w:r w:rsidR="00412EB8">
        <w:rPr>
          <w:rFonts w:ascii="Arial" w:hAnsi="Arial" w:cs="Arial"/>
          <w:b/>
          <w:bCs/>
          <w:color w:val="1F497D" w:themeColor="text2"/>
          <w:sz w:val="20"/>
          <w:szCs w:val="20"/>
          <w:lang w:val="es-MX"/>
        </w:rPr>
        <w:t>–</w:t>
      </w:r>
      <w:r w:rsidRPr="003A02F6">
        <w:rPr>
          <w:rFonts w:ascii="Arial" w:hAnsi="Arial" w:cs="Arial"/>
          <w:b/>
          <w:bCs/>
          <w:color w:val="1F497D" w:themeColor="text2"/>
          <w:sz w:val="20"/>
          <w:szCs w:val="20"/>
          <w:lang w:val="es-MX"/>
        </w:rPr>
        <w:t xml:space="preserve"> Servicio Jurisdiccional</w:t>
      </w:r>
    </w:p>
    <w:p w14:paraId="48E6A906" w14:textId="77777777" w:rsidR="00F849E4" w:rsidRDefault="00F849E4" w:rsidP="00F849E4">
      <w:pPr>
        <w:pStyle w:val="Descripcin"/>
        <w:jc w:val="center"/>
        <w:rPr>
          <w:rFonts w:ascii="Arial" w:eastAsiaTheme="minorEastAsia" w:hAnsi="Arial" w:cs="Arial"/>
          <w:b/>
          <w:sz w:val="20"/>
          <w:szCs w:val="20"/>
          <w:lang w:val="es-ES_tradnl"/>
        </w:rPr>
      </w:pPr>
    </w:p>
    <w:p w14:paraId="28BD8421" w14:textId="223AE818" w:rsidR="00F849E4" w:rsidRPr="00AE3D7B" w:rsidRDefault="00EC1899" w:rsidP="00F849E4">
      <w:pPr>
        <w:pStyle w:val="Descripcin"/>
        <w:jc w:val="center"/>
        <w:rPr>
          <w:rFonts w:ascii="Arial" w:hAnsi="Arial" w:cs="Arial"/>
          <w:b/>
          <w:bCs/>
          <w:i w:val="0"/>
          <w:iCs w:val="0"/>
          <w:color w:val="auto"/>
          <w:sz w:val="20"/>
          <w:szCs w:val="20"/>
          <w:lang w:val="es-ES_tradnl"/>
        </w:rPr>
      </w:pPr>
      <w:r w:rsidRPr="00EC1899">
        <w:rPr>
          <w:rFonts w:ascii="Arial" w:eastAsiaTheme="minorEastAsia" w:hAnsi="Arial" w:cs="Arial"/>
          <w:sz w:val="20"/>
          <w:szCs w:val="20"/>
          <w:lang w:val="es-ES_tradnl"/>
        </w:rPr>
        <w:t xml:space="preserve"> </w:t>
      </w:r>
      <w:r w:rsidR="00F849E4" w:rsidRPr="00AE3D7B">
        <w:rPr>
          <w:rFonts w:ascii="Arial" w:hAnsi="Arial" w:cs="Arial"/>
          <w:b/>
          <w:bCs/>
          <w:i w:val="0"/>
          <w:iCs w:val="0"/>
          <w:color w:val="auto"/>
          <w:sz w:val="20"/>
          <w:szCs w:val="20"/>
        </w:rPr>
        <w:t xml:space="preserve">Cuadro  </w:t>
      </w:r>
      <w:r w:rsidR="00F849E4" w:rsidRPr="00AE3D7B">
        <w:rPr>
          <w:rFonts w:ascii="Arial" w:hAnsi="Arial" w:cs="Arial"/>
          <w:b/>
          <w:bCs/>
          <w:i w:val="0"/>
          <w:iCs w:val="0"/>
          <w:color w:val="auto"/>
          <w:sz w:val="20"/>
          <w:szCs w:val="20"/>
        </w:rPr>
        <w:fldChar w:fldCharType="begin"/>
      </w:r>
      <w:r w:rsidR="00F849E4" w:rsidRPr="00AE3D7B">
        <w:rPr>
          <w:rFonts w:ascii="Arial" w:hAnsi="Arial" w:cs="Arial"/>
          <w:b/>
          <w:bCs/>
          <w:i w:val="0"/>
          <w:iCs w:val="0"/>
          <w:color w:val="auto"/>
          <w:sz w:val="20"/>
          <w:szCs w:val="20"/>
        </w:rPr>
        <w:instrText xml:space="preserve"> SEQ cuadro_ \* ARABIC </w:instrText>
      </w:r>
      <w:r w:rsidR="00F849E4" w:rsidRPr="00AE3D7B">
        <w:rPr>
          <w:rFonts w:ascii="Arial" w:hAnsi="Arial" w:cs="Arial"/>
          <w:b/>
          <w:bCs/>
          <w:i w:val="0"/>
          <w:iCs w:val="0"/>
          <w:color w:val="auto"/>
          <w:sz w:val="20"/>
          <w:szCs w:val="20"/>
        </w:rPr>
        <w:fldChar w:fldCharType="separate"/>
      </w:r>
      <w:r w:rsidR="00F849E4">
        <w:rPr>
          <w:rFonts w:ascii="Arial" w:hAnsi="Arial" w:cs="Arial"/>
          <w:b/>
          <w:bCs/>
          <w:i w:val="0"/>
          <w:iCs w:val="0"/>
          <w:noProof/>
          <w:color w:val="auto"/>
          <w:sz w:val="20"/>
          <w:szCs w:val="20"/>
        </w:rPr>
        <w:t>37</w:t>
      </w:r>
      <w:r w:rsidR="00F849E4" w:rsidRPr="00AE3D7B">
        <w:rPr>
          <w:rFonts w:ascii="Arial" w:hAnsi="Arial" w:cs="Arial"/>
          <w:b/>
          <w:bCs/>
          <w:i w:val="0"/>
          <w:iCs w:val="0"/>
          <w:color w:val="auto"/>
          <w:sz w:val="20"/>
          <w:szCs w:val="20"/>
        </w:rPr>
        <w:fldChar w:fldCharType="end"/>
      </w:r>
    </w:p>
    <w:p w14:paraId="24C79F35" w14:textId="0982BC76" w:rsidR="00EC1899" w:rsidRPr="00EC1899" w:rsidRDefault="00EC1899" w:rsidP="00EC1899">
      <w:pPr>
        <w:spacing w:before="240" w:line="360" w:lineRule="auto"/>
        <w:jc w:val="center"/>
        <w:rPr>
          <w:rFonts w:ascii="Arial" w:eastAsiaTheme="minorEastAsia" w:hAnsi="Arial" w:cs="Arial"/>
          <w:sz w:val="20"/>
          <w:szCs w:val="20"/>
          <w:lang w:val="es-ES_tradnl"/>
        </w:rPr>
      </w:pPr>
      <w:r w:rsidRPr="00EC1899">
        <w:rPr>
          <w:rFonts w:ascii="Arial" w:eastAsiaTheme="minorEastAsia" w:hAnsi="Arial" w:cs="Arial"/>
          <w:b/>
          <w:sz w:val="20"/>
          <w:szCs w:val="20"/>
          <w:lang w:val="es-ES_tradnl"/>
        </w:rPr>
        <w:t xml:space="preserve">Cumplimiento de indicadores </w:t>
      </w:r>
    </w:p>
    <w:p w14:paraId="19338853" w14:textId="112FF59F" w:rsidR="00EC1899" w:rsidRPr="00EC1899" w:rsidRDefault="00EC1899" w:rsidP="00EC1899">
      <w:pPr>
        <w:spacing w:line="360" w:lineRule="auto"/>
        <w:jc w:val="center"/>
        <w:rPr>
          <w:rFonts w:ascii="Arial" w:eastAsiaTheme="minorEastAsia" w:hAnsi="Arial" w:cs="Arial"/>
          <w:sz w:val="20"/>
          <w:szCs w:val="20"/>
          <w:lang w:val="es-ES_tradnl"/>
        </w:rPr>
      </w:pPr>
      <w:r w:rsidRPr="00EC1899">
        <w:rPr>
          <w:rFonts w:ascii="Arial" w:eastAsiaTheme="minorEastAsia" w:hAnsi="Arial" w:cs="Arial"/>
          <w:sz w:val="20"/>
          <w:szCs w:val="20"/>
          <w:lang w:val="es-ES_tradnl"/>
        </w:rPr>
        <w:t>Programa 927</w:t>
      </w:r>
      <w:r w:rsidR="000D736C">
        <w:rPr>
          <w:rFonts w:ascii="Arial" w:eastAsiaTheme="minorEastAsia" w:hAnsi="Arial" w:cs="Arial"/>
          <w:sz w:val="20"/>
          <w:szCs w:val="20"/>
          <w:lang w:val="es-ES_tradnl"/>
        </w:rPr>
        <w:t xml:space="preserve"> Servicio Jurisdiccional </w:t>
      </w:r>
    </w:p>
    <w:p w14:paraId="6901AA59" w14:textId="77777777" w:rsidR="00EC1899" w:rsidRPr="00EC1899" w:rsidRDefault="00EC1899" w:rsidP="00EC1899">
      <w:pPr>
        <w:spacing w:line="360" w:lineRule="auto"/>
        <w:jc w:val="center"/>
        <w:rPr>
          <w:rFonts w:ascii="Arial" w:eastAsiaTheme="minorEastAsia" w:hAnsi="Arial" w:cs="Arial"/>
          <w:sz w:val="20"/>
          <w:szCs w:val="20"/>
          <w:lang w:val="es-ES_tradnl"/>
        </w:rPr>
      </w:pPr>
      <w:r w:rsidRPr="00EC1899">
        <w:rPr>
          <w:rFonts w:ascii="Arial" w:eastAsiaTheme="minorEastAsia" w:hAnsi="Arial" w:cs="Arial"/>
          <w:sz w:val="20"/>
          <w:szCs w:val="20"/>
          <w:lang w:val="es-ES_tradnl"/>
        </w:rPr>
        <w:t>al 31 de diciembre 2021</w:t>
      </w:r>
    </w:p>
    <w:tbl>
      <w:tblPr>
        <w:tblStyle w:val="Listaclara-nfasis120"/>
        <w:tblW w:w="5000" w:type="pct"/>
        <w:tblLook w:val="00A0" w:firstRow="1" w:lastRow="0" w:firstColumn="1" w:lastColumn="0" w:noHBand="0" w:noVBand="0"/>
      </w:tblPr>
      <w:tblGrid>
        <w:gridCol w:w="1195"/>
        <w:gridCol w:w="1396"/>
        <w:gridCol w:w="1286"/>
        <w:gridCol w:w="1124"/>
        <w:gridCol w:w="1124"/>
        <w:gridCol w:w="1124"/>
        <w:gridCol w:w="1235"/>
      </w:tblGrid>
      <w:tr w:rsidR="00EC1899" w:rsidRPr="00EC1899" w14:paraId="5B6BB520" w14:textId="77777777" w:rsidTr="00465D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7" w:type="pct"/>
            <w:vAlign w:val="center"/>
          </w:tcPr>
          <w:p w14:paraId="7FF0FC22" w14:textId="77777777" w:rsidR="00EC1899" w:rsidRPr="00EC1899" w:rsidRDefault="00EC1899" w:rsidP="00EC1899">
            <w:pPr>
              <w:spacing w:line="360" w:lineRule="auto"/>
              <w:jc w:val="center"/>
              <w:rPr>
                <w:rFonts w:ascii="Arial" w:hAnsi="Arial" w:cs="Arial"/>
                <w:b w:val="0"/>
                <w:sz w:val="20"/>
                <w:szCs w:val="20"/>
              </w:rPr>
            </w:pPr>
            <w:r w:rsidRPr="00EC1899">
              <w:rPr>
                <w:rFonts w:ascii="Arial" w:hAnsi="Arial" w:cs="Arial"/>
                <w:sz w:val="20"/>
                <w:szCs w:val="20"/>
              </w:rPr>
              <w:t>Nombre del producto</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5B05A274" w14:textId="77777777" w:rsidR="00EC1899" w:rsidRPr="00EC1899" w:rsidRDefault="00EC1899" w:rsidP="00EC1899">
            <w:pPr>
              <w:spacing w:line="360" w:lineRule="auto"/>
              <w:jc w:val="center"/>
              <w:rPr>
                <w:rFonts w:ascii="Arial" w:hAnsi="Arial" w:cs="Arial"/>
                <w:b w:val="0"/>
                <w:sz w:val="20"/>
                <w:szCs w:val="20"/>
              </w:rPr>
            </w:pPr>
            <w:r w:rsidRPr="00EC1899">
              <w:rPr>
                <w:rFonts w:ascii="Arial" w:hAnsi="Arial" w:cs="Arial"/>
                <w:sz w:val="20"/>
                <w:szCs w:val="20"/>
              </w:rPr>
              <w:t>Nombre del indicador</w:t>
            </w:r>
          </w:p>
        </w:tc>
        <w:tc>
          <w:tcPr>
            <w:tcW w:w="683" w:type="pct"/>
            <w:vAlign w:val="center"/>
          </w:tcPr>
          <w:p w14:paraId="023630F5" w14:textId="77777777" w:rsidR="00EC1899" w:rsidRPr="00EC1899" w:rsidRDefault="00EC1899" w:rsidP="00EC189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C1899">
              <w:rPr>
                <w:rFonts w:ascii="Arial" w:hAnsi="Arial" w:cs="Arial"/>
                <w:sz w:val="20"/>
                <w:szCs w:val="20"/>
              </w:rPr>
              <w:t>Programado</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7400E14C" w14:textId="77777777" w:rsidR="00EC1899" w:rsidRPr="00EC1899" w:rsidRDefault="00EC1899" w:rsidP="00EC1899">
            <w:pPr>
              <w:spacing w:line="360" w:lineRule="auto"/>
              <w:jc w:val="center"/>
              <w:rPr>
                <w:rFonts w:ascii="Arial" w:hAnsi="Arial" w:cs="Arial"/>
                <w:b w:val="0"/>
                <w:sz w:val="20"/>
                <w:szCs w:val="20"/>
              </w:rPr>
            </w:pPr>
            <w:r w:rsidRPr="00EC1899">
              <w:rPr>
                <w:rFonts w:ascii="Arial" w:hAnsi="Arial" w:cs="Arial"/>
                <w:sz w:val="20"/>
                <w:szCs w:val="20"/>
              </w:rPr>
              <w:t>Alcanzado</w:t>
            </w:r>
          </w:p>
        </w:tc>
        <w:tc>
          <w:tcPr>
            <w:tcW w:w="634" w:type="pct"/>
            <w:vAlign w:val="center"/>
          </w:tcPr>
          <w:p w14:paraId="60D00696" w14:textId="77777777" w:rsidR="00EC1899" w:rsidRPr="00EC1899" w:rsidRDefault="00EC1899" w:rsidP="00EC189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C1899">
              <w:rPr>
                <w:rFonts w:ascii="Arial" w:hAnsi="Arial" w:cs="Arial"/>
                <w:sz w:val="20"/>
                <w:szCs w:val="20"/>
              </w:rPr>
              <w:t xml:space="preserve">Nivel alcanzado al 30/06/2021 </w:t>
            </w:r>
            <w:r w:rsidRPr="00EC1899">
              <w:rPr>
                <w:rFonts w:ascii="Arial" w:hAnsi="Arial" w:cs="Arial"/>
                <w:b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2799A181" w14:textId="77777777" w:rsidR="00EC1899" w:rsidRPr="00EC1899" w:rsidRDefault="00EC1899" w:rsidP="00EC1899">
            <w:pPr>
              <w:spacing w:line="360" w:lineRule="auto"/>
              <w:jc w:val="center"/>
              <w:rPr>
                <w:rFonts w:ascii="Arial" w:hAnsi="Arial" w:cs="Arial"/>
                <w:b w:val="0"/>
                <w:color w:val="0070C0"/>
                <w:sz w:val="20"/>
                <w:szCs w:val="20"/>
                <w:highlight w:val="yellow"/>
              </w:rPr>
            </w:pPr>
            <w:r w:rsidRPr="00EC1899">
              <w:rPr>
                <w:rFonts w:ascii="Arial" w:hAnsi="Arial" w:cs="Arial"/>
                <w:sz w:val="20"/>
                <w:szCs w:val="20"/>
              </w:rPr>
              <w:t xml:space="preserve">Nivel alcanzado al 31/12/2021 </w:t>
            </w:r>
          </w:p>
        </w:tc>
        <w:tc>
          <w:tcPr>
            <w:tcW w:w="929" w:type="pct"/>
            <w:vAlign w:val="center"/>
          </w:tcPr>
          <w:p w14:paraId="4BD592C0" w14:textId="77777777" w:rsidR="00EC1899" w:rsidRPr="00EC1899" w:rsidRDefault="00EC1899" w:rsidP="00EC189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C1899">
              <w:rPr>
                <w:rFonts w:ascii="Arial" w:hAnsi="Arial" w:cs="Arial"/>
                <w:sz w:val="20"/>
                <w:szCs w:val="20"/>
              </w:rPr>
              <w:t xml:space="preserve">Fuente de datos </w:t>
            </w:r>
            <w:r w:rsidRPr="00EC1899">
              <w:rPr>
                <w:rFonts w:ascii="Arial" w:hAnsi="Arial" w:cs="Arial"/>
                <w:sz w:val="20"/>
                <w:szCs w:val="20"/>
                <w:vertAlign w:val="superscript"/>
              </w:rPr>
              <w:t>/2</w:t>
            </w:r>
          </w:p>
        </w:tc>
      </w:tr>
      <w:tr w:rsidR="00EC1899" w:rsidRPr="00EC1899" w14:paraId="2A391142"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Align w:val="center"/>
          </w:tcPr>
          <w:p w14:paraId="4E10839C" w14:textId="77777777" w:rsidR="00EC1899" w:rsidRPr="00EC1899" w:rsidRDefault="00EC1899" w:rsidP="00EC1899">
            <w:pPr>
              <w:spacing w:line="360" w:lineRule="auto"/>
              <w:jc w:val="center"/>
              <w:rPr>
                <w:rFonts w:ascii="Arial" w:hAnsi="Arial" w:cs="Arial"/>
                <w:color w:val="000000"/>
                <w:sz w:val="20"/>
                <w:szCs w:val="20"/>
                <w:lang w:val="es-CR" w:eastAsia="es-CR"/>
              </w:rPr>
            </w:pPr>
            <w:r w:rsidRPr="00EC1899">
              <w:rPr>
                <w:rFonts w:ascii="Arial" w:hAnsi="Arial" w:cs="Arial"/>
                <w:color w:val="000000"/>
                <w:sz w:val="20"/>
                <w:szCs w:val="20"/>
                <w:lang w:val="es-CR" w:eastAsia="es-CR"/>
              </w:rPr>
              <w:t>Casos judiciales terminados</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6A95E298" w14:textId="77777777" w:rsidR="00EC1899" w:rsidRPr="00EC1899" w:rsidRDefault="00EC1899" w:rsidP="00EC1899">
            <w:pPr>
              <w:spacing w:line="360" w:lineRule="auto"/>
              <w:jc w:val="center"/>
              <w:rPr>
                <w:rFonts w:ascii="Arial" w:hAnsi="Arial" w:cs="Arial"/>
                <w:color w:val="C00000"/>
                <w:sz w:val="20"/>
                <w:szCs w:val="20"/>
                <w:lang w:val="es-ES_tradnl"/>
              </w:rPr>
            </w:pPr>
            <w:r w:rsidRPr="00EC1899">
              <w:rPr>
                <w:rFonts w:ascii="Arial" w:hAnsi="Arial" w:cs="Arial"/>
                <w:color w:val="000000"/>
                <w:sz w:val="20"/>
                <w:szCs w:val="20"/>
                <w:lang w:val="es-CR" w:eastAsia="es-CR"/>
              </w:rPr>
              <w:t>P.01.01 Porcentaje de expedientes judiciales finalizados respecto al total de asuntos ingresados al Programa de Justicia Restaurativa.</w:t>
            </w:r>
          </w:p>
        </w:tc>
        <w:tc>
          <w:tcPr>
            <w:tcW w:w="683" w:type="pct"/>
            <w:vAlign w:val="center"/>
          </w:tcPr>
          <w:p w14:paraId="1322C2C7"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highlight w:val="yellow"/>
                <w:lang w:val="es-ES_tradnl"/>
              </w:rPr>
            </w:pPr>
            <w:r w:rsidRPr="00EC1899">
              <w:rPr>
                <w:rFonts w:ascii="Arial" w:hAnsi="Arial" w:cs="Arial"/>
                <w:color w:val="000000" w:themeColor="text1"/>
                <w:sz w:val="20"/>
                <w:szCs w:val="20"/>
                <w:lang w:val="es-MX"/>
              </w:rPr>
              <w:t>91,50%</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379712CD" w14:textId="77777777" w:rsidR="00EC1899" w:rsidRPr="00EC1899" w:rsidRDefault="00EC1899" w:rsidP="00EC1899">
            <w:pPr>
              <w:spacing w:line="360" w:lineRule="auto"/>
              <w:jc w:val="center"/>
              <w:rPr>
                <w:rFonts w:ascii="Arial" w:hAnsi="Arial" w:cs="Arial"/>
                <w:color w:val="000000" w:themeColor="text1"/>
                <w:sz w:val="20"/>
                <w:szCs w:val="20"/>
                <w:lang w:val="es-MX"/>
              </w:rPr>
            </w:pPr>
            <w:r w:rsidRPr="00EC1899">
              <w:rPr>
                <w:rFonts w:ascii="Arial" w:hAnsi="Arial" w:cs="Arial"/>
                <w:color w:val="000000" w:themeColor="text1"/>
                <w:sz w:val="20"/>
                <w:szCs w:val="20"/>
                <w:lang w:val="es-MX"/>
              </w:rPr>
              <w:t>103,56%</w:t>
            </w:r>
          </w:p>
        </w:tc>
        <w:tc>
          <w:tcPr>
            <w:tcW w:w="634" w:type="pct"/>
            <w:vAlign w:val="center"/>
          </w:tcPr>
          <w:p w14:paraId="39B91964"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EC1899">
              <w:rPr>
                <w:rFonts w:ascii="Arial" w:hAnsi="Arial" w:cs="Arial"/>
                <w:color w:val="000000" w:themeColor="text1"/>
                <w:sz w:val="20"/>
                <w:szCs w:val="20"/>
                <w:lang w:val="es-MX"/>
              </w:rPr>
              <w:t>117,06%</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0D0FDFC8" w14:textId="77777777" w:rsidR="00EC1899" w:rsidRPr="00EC1899" w:rsidRDefault="00EC1899" w:rsidP="00EC1899">
            <w:pPr>
              <w:spacing w:line="360" w:lineRule="auto"/>
              <w:jc w:val="center"/>
              <w:rPr>
                <w:rFonts w:ascii="Arial" w:hAnsi="Arial" w:cs="Arial"/>
                <w:color w:val="000000" w:themeColor="text1"/>
                <w:sz w:val="20"/>
                <w:szCs w:val="20"/>
                <w:lang w:val="es-MX"/>
              </w:rPr>
            </w:pPr>
            <w:r w:rsidRPr="00EC1899">
              <w:rPr>
                <w:rFonts w:ascii="Arial" w:hAnsi="Arial" w:cs="Arial"/>
                <w:color w:val="000000" w:themeColor="text1"/>
                <w:sz w:val="20"/>
                <w:szCs w:val="20"/>
                <w:lang w:val="es-MX"/>
              </w:rPr>
              <w:t>113,18%</w:t>
            </w:r>
          </w:p>
        </w:tc>
        <w:tc>
          <w:tcPr>
            <w:tcW w:w="929" w:type="pct"/>
            <w:vAlign w:val="center"/>
          </w:tcPr>
          <w:p w14:paraId="3508B5F4"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es-ES_tradnl"/>
              </w:rPr>
            </w:pPr>
            <w:r w:rsidRPr="00EC1899">
              <w:rPr>
                <w:rFonts w:ascii="Arial" w:hAnsi="Arial" w:cs="Arial"/>
                <w:sz w:val="20"/>
                <w:szCs w:val="20"/>
                <w:lang w:val="es-ES_tradnl"/>
              </w:rPr>
              <w:t>Subproceso de Estadística, Dirección de Planificación</w:t>
            </w:r>
          </w:p>
        </w:tc>
      </w:tr>
      <w:tr w:rsidR="00EC1899" w:rsidRPr="00EC1899" w14:paraId="6FBC07BD" w14:textId="77777777" w:rsidTr="00465D52">
        <w:tc>
          <w:tcPr>
            <w:cnfStyle w:val="001000000000" w:firstRow="0" w:lastRow="0" w:firstColumn="1" w:lastColumn="0" w:oddVBand="0" w:evenVBand="0" w:oddHBand="0" w:evenHBand="0" w:firstRowFirstColumn="0" w:firstRowLastColumn="0" w:lastRowFirstColumn="0" w:lastRowLastColumn="0"/>
            <w:tcW w:w="677" w:type="pct"/>
            <w:vAlign w:val="center"/>
          </w:tcPr>
          <w:p w14:paraId="6A57CC9E"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Casos judiciales terminados</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4551B9B7"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 xml:space="preserve">P.01.02 Porcentaje de expedientes judiciales resueltos mediante </w:t>
            </w:r>
            <w:r w:rsidRPr="00EC1899">
              <w:rPr>
                <w:rFonts w:ascii="Arial" w:hAnsi="Arial" w:cs="Arial"/>
                <w:color w:val="000000"/>
                <w:sz w:val="20"/>
                <w:szCs w:val="20"/>
                <w:lang w:val="es-CR" w:eastAsia="es-CR"/>
              </w:rPr>
              <w:lastRenderedPageBreak/>
              <w:t>medida alterna, respecto al total de asuntos ingresados al Programa de Justicia Restaurativa.</w:t>
            </w:r>
          </w:p>
        </w:tc>
        <w:tc>
          <w:tcPr>
            <w:tcW w:w="683" w:type="pct"/>
            <w:vAlign w:val="center"/>
          </w:tcPr>
          <w:p w14:paraId="6B4E8608"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ES_tradnl"/>
              </w:rPr>
            </w:pPr>
            <w:r w:rsidRPr="00EC1899">
              <w:rPr>
                <w:rFonts w:ascii="Arial" w:hAnsi="Arial" w:cs="Arial"/>
                <w:color w:val="000000" w:themeColor="text1"/>
                <w:sz w:val="20"/>
                <w:szCs w:val="20"/>
                <w:lang w:val="es-MX"/>
              </w:rPr>
              <w:lastRenderedPageBreak/>
              <w:t>48,70%</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3E78D7F8" w14:textId="77777777" w:rsidR="00EC1899" w:rsidRPr="00EC1899" w:rsidRDefault="00EC1899" w:rsidP="00EC1899">
            <w:pPr>
              <w:spacing w:line="360" w:lineRule="auto"/>
              <w:jc w:val="center"/>
              <w:rPr>
                <w:rFonts w:ascii="Arial" w:hAnsi="Arial" w:cs="Arial"/>
                <w:color w:val="000000" w:themeColor="text1"/>
                <w:sz w:val="20"/>
                <w:szCs w:val="20"/>
                <w:lang w:val="es-MX"/>
              </w:rPr>
            </w:pPr>
            <w:r w:rsidRPr="00EC1899">
              <w:rPr>
                <w:rFonts w:ascii="Arial" w:hAnsi="Arial" w:cs="Arial"/>
                <w:color w:val="000000" w:themeColor="text1"/>
                <w:sz w:val="20"/>
                <w:szCs w:val="20"/>
                <w:lang w:val="es-MX"/>
              </w:rPr>
              <w:t>53,63%</w:t>
            </w:r>
          </w:p>
        </w:tc>
        <w:tc>
          <w:tcPr>
            <w:tcW w:w="634" w:type="pct"/>
            <w:vAlign w:val="center"/>
          </w:tcPr>
          <w:p w14:paraId="3D0210B2"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color w:val="000000" w:themeColor="text1"/>
                <w:sz w:val="20"/>
                <w:szCs w:val="20"/>
                <w:lang w:val="es-MX"/>
              </w:rPr>
              <w:t>114,80%</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13476112"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themeColor="text1"/>
                <w:sz w:val="20"/>
                <w:szCs w:val="20"/>
                <w:lang w:val="es-MX"/>
              </w:rPr>
              <w:t>110,12%</w:t>
            </w:r>
          </w:p>
        </w:tc>
        <w:tc>
          <w:tcPr>
            <w:tcW w:w="929" w:type="pct"/>
            <w:vAlign w:val="center"/>
          </w:tcPr>
          <w:p w14:paraId="3463B24D"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Subproceso de Estadística, Dirección de Planificación</w:t>
            </w:r>
          </w:p>
        </w:tc>
      </w:tr>
      <w:tr w:rsidR="00EC1899" w:rsidRPr="00EC1899" w14:paraId="7E83D28C"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Align w:val="center"/>
          </w:tcPr>
          <w:p w14:paraId="1B81E0B6"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Casos judiciales terminados</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6096741E"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P.01.03 Tasa de resolución.</w:t>
            </w:r>
          </w:p>
        </w:tc>
        <w:tc>
          <w:tcPr>
            <w:tcW w:w="683" w:type="pct"/>
            <w:vAlign w:val="center"/>
          </w:tcPr>
          <w:p w14:paraId="06F1801D"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EC1899">
              <w:rPr>
                <w:rFonts w:ascii="Arial" w:hAnsi="Arial" w:cs="Arial"/>
                <w:color w:val="000000" w:themeColor="text1"/>
                <w:sz w:val="20"/>
                <w:szCs w:val="20"/>
                <w:lang w:val="es-MX"/>
              </w:rPr>
              <w:t>35,09%</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79CC8A82" w14:textId="77777777" w:rsidR="00EC1899" w:rsidRPr="00EC1899" w:rsidRDefault="00EC1899" w:rsidP="00EC1899">
            <w:pPr>
              <w:spacing w:line="360" w:lineRule="auto"/>
              <w:jc w:val="center"/>
              <w:rPr>
                <w:rFonts w:ascii="Arial" w:hAnsi="Arial" w:cs="Arial"/>
                <w:sz w:val="20"/>
                <w:szCs w:val="20"/>
              </w:rPr>
            </w:pPr>
            <w:r w:rsidRPr="00EC1899">
              <w:rPr>
                <w:rFonts w:ascii="Arial" w:hAnsi="Arial" w:cs="Arial"/>
                <w:sz w:val="20"/>
                <w:szCs w:val="20"/>
              </w:rPr>
              <w:t>35,86%</w:t>
            </w:r>
          </w:p>
        </w:tc>
        <w:tc>
          <w:tcPr>
            <w:tcW w:w="634" w:type="pct"/>
            <w:vAlign w:val="center"/>
          </w:tcPr>
          <w:p w14:paraId="36EAA359"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68,88%</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62896C90"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sz w:val="20"/>
                <w:szCs w:val="20"/>
                <w:lang w:val="es-ES_tradnl"/>
              </w:rPr>
              <w:t>102,19%</w:t>
            </w:r>
          </w:p>
        </w:tc>
        <w:tc>
          <w:tcPr>
            <w:tcW w:w="929" w:type="pct"/>
            <w:vAlign w:val="center"/>
          </w:tcPr>
          <w:p w14:paraId="4D16CB58"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Subproceso de Estadística, Dirección de Planificación</w:t>
            </w:r>
          </w:p>
        </w:tc>
      </w:tr>
      <w:tr w:rsidR="00EC1899" w:rsidRPr="00EC1899" w14:paraId="707E6853" w14:textId="77777777" w:rsidTr="00465D52">
        <w:tc>
          <w:tcPr>
            <w:cnfStyle w:val="001000000000" w:firstRow="0" w:lastRow="0" w:firstColumn="1" w:lastColumn="0" w:oddVBand="0" w:evenVBand="0" w:oddHBand="0" w:evenHBand="0" w:firstRowFirstColumn="0" w:firstRowLastColumn="0" w:lastRowFirstColumn="0" w:lastRowLastColumn="0"/>
            <w:tcW w:w="677" w:type="pct"/>
            <w:vAlign w:val="center"/>
          </w:tcPr>
          <w:p w14:paraId="22312E10"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Casos judiciales terminados</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53C0D030" w14:textId="77777777" w:rsidR="00EC1899" w:rsidRPr="00EC1899" w:rsidRDefault="00EC1899" w:rsidP="00EC1899">
            <w:pPr>
              <w:spacing w:line="360" w:lineRule="auto"/>
              <w:jc w:val="center"/>
              <w:rPr>
                <w:rFonts w:ascii="Arial" w:hAnsi="Arial" w:cs="Arial"/>
                <w:sz w:val="20"/>
                <w:szCs w:val="20"/>
              </w:rPr>
            </w:pPr>
            <w:r w:rsidRPr="00EC1899">
              <w:rPr>
                <w:rFonts w:ascii="Arial" w:hAnsi="Arial" w:cs="Arial"/>
                <w:color w:val="000000" w:themeColor="text1"/>
                <w:sz w:val="20"/>
                <w:szCs w:val="20"/>
                <w:lang w:val="es-CR" w:eastAsia="es-CR"/>
              </w:rPr>
              <w:t>P.01.04 Tasa de pendencia.</w:t>
            </w:r>
          </w:p>
        </w:tc>
        <w:tc>
          <w:tcPr>
            <w:tcW w:w="683" w:type="pct"/>
            <w:vAlign w:val="center"/>
          </w:tcPr>
          <w:p w14:paraId="26FF9A01"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color w:val="000000" w:themeColor="text1"/>
                <w:sz w:val="20"/>
                <w:szCs w:val="20"/>
                <w:lang w:val="es-MX"/>
              </w:rPr>
              <w:t>46,28%</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36C3E6AA"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sz w:val="20"/>
                <w:szCs w:val="20"/>
                <w:lang w:val="es-ES_tradnl"/>
              </w:rPr>
              <w:t>51,32%</w:t>
            </w:r>
          </w:p>
        </w:tc>
        <w:tc>
          <w:tcPr>
            <w:tcW w:w="634" w:type="pct"/>
            <w:vAlign w:val="center"/>
          </w:tcPr>
          <w:p w14:paraId="1474DA7B"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70,12%</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61EE688A"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sz w:val="20"/>
                <w:szCs w:val="20"/>
                <w:lang w:val="es-ES_tradnl"/>
              </w:rPr>
              <w:t>90,18%</w:t>
            </w:r>
          </w:p>
        </w:tc>
        <w:tc>
          <w:tcPr>
            <w:tcW w:w="929" w:type="pct"/>
            <w:vAlign w:val="center"/>
          </w:tcPr>
          <w:p w14:paraId="122D5765"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Subproceso de Estadística, Dirección de Planificación</w:t>
            </w:r>
          </w:p>
        </w:tc>
      </w:tr>
      <w:tr w:rsidR="00EC1899" w:rsidRPr="00EC1899" w14:paraId="3C6EFB10"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vAlign w:val="center"/>
          </w:tcPr>
          <w:p w14:paraId="3C751F8E"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Casos judiciales terminados</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74485789"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t xml:space="preserve">P.01.05 Cantidad de asuntos resueltos por </w:t>
            </w:r>
            <w:r w:rsidRPr="00EC1899">
              <w:rPr>
                <w:rFonts w:ascii="Arial" w:hAnsi="Arial" w:cs="Arial"/>
                <w:color w:val="000000"/>
                <w:sz w:val="20"/>
                <w:szCs w:val="20"/>
                <w:lang w:val="es-CR" w:eastAsia="es-CR"/>
              </w:rPr>
              <w:lastRenderedPageBreak/>
              <w:t>conciliaciones.</w:t>
            </w:r>
          </w:p>
        </w:tc>
        <w:tc>
          <w:tcPr>
            <w:tcW w:w="683" w:type="pct"/>
            <w:vAlign w:val="center"/>
          </w:tcPr>
          <w:p w14:paraId="16531184"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EC1899">
              <w:rPr>
                <w:rFonts w:ascii="Arial" w:hAnsi="Arial" w:cs="Arial"/>
                <w:color w:val="000000" w:themeColor="text1"/>
                <w:sz w:val="20"/>
                <w:szCs w:val="20"/>
                <w:lang w:val="es-MX"/>
              </w:rPr>
              <w:lastRenderedPageBreak/>
              <w:t>32.414,00</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0BD3BA6A" w14:textId="77777777" w:rsidR="00EC1899" w:rsidRPr="00EC1899" w:rsidRDefault="00EC1899" w:rsidP="00EC1899">
            <w:pPr>
              <w:spacing w:line="360" w:lineRule="auto"/>
              <w:jc w:val="center"/>
              <w:rPr>
                <w:rFonts w:ascii="Arial" w:hAnsi="Arial" w:cs="Arial"/>
                <w:color w:val="000000" w:themeColor="text1"/>
                <w:sz w:val="20"/>
                <w:szCs w:val="20"/>
                <w:lang w:val="es-MX"/>
              </w:rPr>
            </w:pPr>
            <w:r w:rsidRPr="00EC1899">
              <w:rPr>
                <w:rFonts w:ascii="Arial" w:hAnsi="Arial" w:cs="Arial"/>
                <w:color w:val="000000" w:themeColor="text1"/>
                <w:sz w:val="20"/>
                <w:szCs w:val="20"/>
                <w:lang w:val="es-MX"/>
              </w:rPr>
              <w:t>38.502,00</w:t>
            </w:r>
          </w:p>
        </w:tc>
        <w:tc>
          <w:tcPr>
            <w:tcW w:w="634" w:type="pct"/>
            <w:vAlign w:val="center"/>
          </w:tcPr>
          <w:p w14:paraId="54A33698"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EC1899">
              <w:rPr>
                <w:rFonts w:ascii="Arial" w:hAnsi="Arial" w:cs="Arial"/>
                <w:color w:val="000000" w:themeColor="text1"/>
                <w:sz w:val="20"/>
                <w:szCs w:val="20"/>
                <w:lang w:val="es-MX"/>
              </w:rPr>
              <w:t>67,54%</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14724701" w14:textId="77777777" w:rsidR="00EC1899" w:rsidRPr="00EC1899" w:rsidRDefault="00EC1899" w:rsidP="00EC1899">
            <w:pPr>
              <w:spacing w:line="360" w:lineRule="auto"/>
              <w:jc w:val="center"/>
              <w:rPr>
                <w:rFonts w:ascii="Arial" w:hAnsi="Arial" w:cs="Arial"/>
                <w:color w:val="000000" w:themeColor="text1"/>
                <w:sz w:val="20"/>
                <w:szCs w:val="20"/>
                <w:lang w:val="es-MX"/>
              </w:rPr>
            </w:pPr>
            <w:r w:rsidRPr="00EC1899">
              <w:rPr>
                <w:rFonts w:ascii="Arial" w:hAnsi="Arial" w:cs="Arial"/>
                <w:color w:val="000000" w:themeColor="text1"/>
                <w:sz w:val="20"/>
                <w:szCs w:val="20"/>
                <w:lang w:val="es-MX"/>
              </w:rPr>
              <w:t>118,78%</w:t>
            </w:r>
          </w:p>
        </w:tc>
        <w:tc>
          <w:tcPr>
            <w:tcW w:w="929" w:type="pct"/>
            <w:vAlign w:val="center"/>
          </w:tcPr>
          <w:p w14:paraId="7F1AA669" w14:textId="77777777" w:rsidR="00EC1899" w:rsidRPr="00EC1899" w:rsidRDefault="00EC1899" w:rsidP="00EC18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 xml:space="preserve">Subproceso de Estadística, Dirección </w:t>
            </w:r>
            <w:r w:rsidRPr="00EC1899">
              <w:rPr>
                <w:rFonts w:ascii="Arial" w:hAnsi="Arial" w:cs="Arial"/>
                <w:sz w:val="20"/>
                <w:szCs w:val="20"/>
                <w:lang w:val="es-ES_tradnl"/>
              </w:rPr>
              <w:lastRenderedPageBreak/>
              <w:t>de Planificación</w:t>
            </w:r>
          </w:p>
        </w:tc>
      </w:tr>
      <w:tr w:rsidR="00EC1899" w:rsidRPr="00EC1899" w14:paraId="6194EC90" w14:textId="77777777" w:rsidTr="00465D52">
        <w:tc>
          <w:tcPr>
            <w:cnfStyle w:val="001000000000" w:firstRow="0" w:lastRow="0" w:firstColumn="1" w:lastColumn="0" w:oddVBand="0" w:evenVBand="0" w:oddHBand="0" w:evenHBand="0" w:firstRowFirstColumn="0" w:firstRowLastColumn="0" w:lastRowFirstColumn="0" w:lastRowLastColumn="0"/>
            <w:tcW w:w="677" w:type="pct"/>
            <w:vAlign w:val="center"/>
          </w:tcPr>
          <w:p w14:paraId="08A26477"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color w:val="000000"/>
                <w:sz w:val="20"/>
                <w:szCs w:val="20"/>
                <w:lang w:val="es-CR" w:eastAsia="es-CR"/>
              </w:rPr>
              <w:lastRenderedPageBreak/>
              <w:t>Casos judiciales terminados</w:t>
            </w:r>
          </w:p>
        </w:tc>
        <w:tc>
          <w:tcPr>
            <w:cnfStyle w:val="000010000000" w:firstRow="0" w:lastRow="0" w:firstColumn="0" w:lastColumn="0" w:oddVBand="1" w:evenVBand="0" w:oddHBand="0" w:evenHBand="0" w:firstRowFirstColumn="0" w:firstRowLastColumn="0" w:lastRowFirstColumn="0" w:lastRowLastColumn="0"/>
            <w:tcW w:w="819" w:type="pct"/>
            <w:vAlign w:val="center"/>
          </w:tcPr>
          <w:p w14:paraId="58F4DFED" w14:textId="77777777" w:rsidR="00EC1899" w:rsidRPr="00EC1899" w:rsidRDefault="00EC1899" w:rsidP="00EC1899">
            <w:pPr>
              <w:spacing w:line="360" w:lineRule="auto"/>
              <w:jc w:val="center"/>
              <w:rPr>
                <w:rFonts w:ascii="Arial" w:hAnsi="Arial" w:cs="Arial"/>
                <w:color w:val="000000"/>
                <w:sz w:val="20"/>
                <w:szCs w:val="20"/>
                <w:lang w:val="es-CR" w:eastAsia="es-CR"/>
              </w:rPr>
            </w:pPr>
            <w:r w:rsidRPr="00EC1899">
              <w:rPr>
                <w:rFonts w:ascii="Arial" w:hAnsi="Arial" w:cs="Arial"/>
                <w:color w:val="000000"/>
                <w:sz w:val="20"/>
                <w:szCs w:val="20"/>
                <w:lang w:val="es-CR" w:eastAsia="es-CR"/>
              </w:rPr>
              <w:t>P.01.06 Porcentaje de asuntos judiciales de la materia Penal resueltos por el procedimiento de Flagrancias.</w:t>
            </w:r>
          </w:p>
        </w:tc>
        <w:tc>
          <w:tcPr>
            <w:tcW w:w="683" w:type="pct"/>
            <w:vAlign w:val="center"/>
          </w:tcPr>
          <w:p w14:paraId="453F77DD"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color w:val="000000" w:themeColor="text1"/>
                <w:sz w:val="20"/>
                <w:szCs w:val="20"/>
                <w:lang w:val="es-MX"/>
              </w:rPr>
              <w:t>47,40%</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2EE64149" w14:textId="24FE5C39"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sz w:val="20"/>
                <w:szCs w:val="20"/>
                <w:lang w:val="es-ES_tradnl"/>
              </w:rPr>
              <w:t>41,03</w:t>
            </w:r>
            <w:r w:rsidR="0001560E">
              <w:rPr>
                <w:rFonts w:ascii="Arial" w:hAnsi="Arial" w:cs="Arial"/>
                <w:sz w:val="20"/>
                <w:szCs w:val="20"/>
                <w:lang w:val="es-ES_tradnl"/>
              </w:rPr>
              <w:t>%</w:t>
            </w:r>
          </w:p>
        </w:tc>
        <w:tc>
          <w:tcPr>
            <w:tcW w:w="634" w:type="pct"/>
            <w:vAlign w:val="center"/>
          </w:tcPr>
          <w:p w14:paraId="52636BDA"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88,65%</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4B2D7E55" w14:textId="77777777" w:rsidR="00EC1899" w:rsidRPr="00EC1899" w:rsidRDefault="00EC1899" w:rsidP="00EC1899">
            <w:pPr>
              <w:spacing w:line="360" w:lineRule="auto"/>
              <w:jc w:val="center"/>
              <w:rPr>
                <w:rFonts w:ascii="Arial" w:hAnsi="Arial" w:cs="Arial"/>
                <w:sz w:val="20"/>
                <w:szCs w:val="20"/>
                <w:lang w:val="es-ES_tradnl"/>
              </w:rPr>
            </w:pPr>
            <w:r w:rsidRPr="00EC1899">
              <w:rPr>
                <w:rFonts w:ascii="Arial" w:hAnsi="Arial" w:cs="Arial"/>
                <w:sz w:val="20"/>
                <w:szCs w:val="20"/>
                <w:lang w:val="es-ES_tradnl"/>
              </w:rPr>
              <w:t>86,56%</w:t>
            </w:r>
          </w:p>
        </w:tc>
        <w:tc>
          <w:tcPr>
            <w:tcW w:w="929" w:type="pct"/>
            <w:vAlign w:val="center"/>
          </w:tcPr>
          <w:p w14:paraId="2B54718D" w14:textId="77777777" w:rsidR="00EC1899" w:rsidRPr="00EC1899" w:rsidRDefault="00EC1899" w:rsidP="00EC18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EC1899">
              <w:rPr>
                <w:rFonts w:ascii="Arial" w:hAnsi="Arial" w:cs="Arial"/>
                <w:sz w:val="20"/>
                <w:szCs w:val="20"/>
                <w:lang w:val="es-ES_tradnl"/>
              </w:rPr>
              <w:t>Subproceso de Estadística, Dirección de Planificación</w:t>
            </w:r>
          </w:p>
        </w:tc>
      </w:tr>
    </w:tbl>
    <w:p w14:paraId="29442EF3" w14:textId="77777777" w:rsidR="00EC1899" w:rsidRPr="00EC1899" w:rsidRDefault="00EC1899" w:rsidP="00EC1899">
      <w:pPr>
        <w:spacing w:after="160" w:line="360" w:lineRule="auto"/>
        <w:contextualSpacing/>
        <w:jc w:val="both"/>
        <w:rPr>
          <w:rFonts w:ascii="Arial" w:eastAsiaTheme="minorEastAsia" w:hAnsi="Arial" w:cs="Arial"/>
          <w:color w:val="C00000"/>
          <w:sz w:val="16"/>
          <w:szCs w:val="16"/>
          <w:lang w:val="es-ES_tradnl"/>
        </w:rPr>
      </w:pPr>
      <w:r w:rsidRPr="00EC1899">
        <w:rPr>
          <w:rFonts w:ascii="Arial" w:eastAsiaTheme="minorEastAsia" w:hAnsi="Arial" w:cs="Arial"/>
          <w:b/>
          <w:sz w:val="16"/>
          <w:szCs w:val="16"/>
          <w:lang w:val="es-ES_tradnl"/>
        </w:rPr>
        <w:t>Fuente</w:t>
      </w:r>
      <w:r w:rsidRPr="00EC1899">
        <w:rPr>
          <w:rFonts w:ascii="Arial" w:eastAsiaTheme="minorEastAsia" w:hAnsi="Arial" w:cs="Arial"/>
          <w:sz w:val="16"/>
          <w:szCs w:val="16"/>
          <w:lang w:val="es-ES_tradnl"/>
        </w:rPr>
        <w:t>: Subproceso Estadística, Dirección de Planificación</w:t>
      </w:r>
    </w:p>
    <w:p w14:paraId="37C9E390" w14:textId="77777777" w:rsidR="00EC1899" w:rsidRPr="00EC1899" w:rsidRDefault="00EC1899" w:rsidP="00EC1899">
      <w:pPr>
        <w:spacing w:after="160" w:line="360" w:lineRule="auto"/>
        <w:contextualSpacing/>
        <w:jc w:val="both"/>
        <w:rPr>
          <w:rFonts w:ascii="Arial" w:eastAsiaTheme="minorEastAsia" w:hAnsi="Arial" w:cs="Arial"/>
          <w:sz w:val="16"/>
          <w:szCs w:val="16"/>
          <w:lang w:val="es-ES_tradnl"/>
        </w:rPr>
      </w:pPr>
      <w:r w:rsidRPr="00EC1899">
        <w:rPr>
          <w:rFonts w:ascii="Arial" w:eastAsiaTheme="minorEastAsia" w:hAnsi="Arial" w:cs="Arial"/>
          <w:sz w:val="16"/>
          <w:szCs w:val="16"/>
          <w:lang w:val="es-ES_tradnl"/>
        </w:rPr>
        <w:t>/1 Esta información se obtiene del informe semestral.</w:t>
      </w:r>
    </w:p>
    <w:p w14:paraId="572BE97F" w14:textId="77777777" w:rsidR="00EC1899" w:rsidRPr="00EC1899" w:rsidRDefault="00EC1899" w:rsidP="00EC1899">
      <w:pPr>
        <w:spacing w:after="160" w:line="360" w:lineRule="auto"/>
        <w:contextualSpacing/>
        <w:jc w:val="both"/>
        <w:rPr>
          <w:rFonts w:ascii="Arial" w:eastAsiaTheme="minorEastAsia" w:hAnsi="Arial" w:cs="Arial"/>
          <w:sz w:val="16"/>
          <w:szCs w:val="16"/>
          <w:lang w:val="es-ES_tradnl"/>
        </w:rPr>
      </w:pPr>
      <w:r w:rsidRPr="00EC1899">
        <w:rPr>
          <w:rFonts w:ascii="Arial" w:eastAsiaTheme="minorEastAsia" w:hAnsi="Arial" w:cs="Arial"/>
          <w:sz w:val="16"/>
          <w:szCs w:val="16"/>
          <w:lang w:val="es-ES_tradnl"/>
        </w:rPr>
        <w:t>/2 Acorde a lo establecido en la ley de presupuesto 2021 y sus reformas.</w:t>
      </w:r>
    </w:p>
    <w:p w14:paraId="0349CEA6" w14:textId="77777777" w:rsidR="001C113D" w:rsidRPr="00EC1899" w:rsidRDefault="001C113D" w:rsidP="003F3762">
      <w:pPr>
        <w:spacing w:after="160" w:line="360" w:lineRule="auto"/>
        <w:rPr>
          <w:rFonts w:ascii="Arial" w:eastAsiaTheme="minorEastAsia" w:hAnsi="Arial" w:cs="Arial"/>
          <w:sz w:val="20"/>
          <w:szCs w:val="20"/>
          <w:u w:val="single"/>
          <w:lang w:val="es-MX"/>
        </w:rPr>
      </w:pPr>
    </w:p>
    <w:p w14:paraId="552DDFF0" w14:textId="77777777" w:rsidR="00EC1899" w:rsidRPr="00EC1899" w:rsidRDefault="00EC1899" w:rsidP="00EC1899">
      <w:pPr>
        <w:spacing w:after="160" w:line="360" w:lineRule="auto"/>
        <w:jc w:val="both"/>
        <w:rPr>
          <w:rFonts w:ascii="Arial" w:eastAsiaTheme="minorEastAsia" w:hAnsi="Arial" w:cs="Arial"/>
          <w:b/>
          <w:bCs/>
          <w:sz w:val="20"/>
          <w:szCs w:val="20"/>
          <w:u w:val="single"/>
        </w:rPr>
      </w:pPr>
      <w:r w:rsidRPr="00EC1899">
        <w:rPr>
          <w:rFonts w:ascii="Arial" w:eastAsiaTheme="minorEastAsia" w:hAnsi="Arial" w:cs="Arial"/>
          <w:b/>
          <w:bCs/>
          <w:sz w:val="20"/>
          <w:szCs w:val="20"/>
          <w:u w:val="single"/>
        </w:rPr>
        <w:t>Indicadores con un cumplimiento alto (mayor o igual a 90,00%).</w:t>
      </w:r>
    </w:p>
    <w:p w14:paraId="5BF4E6AF" w14:textId="77777777" w:rsidR="00EC1899" w:rsidRPr="00EC1899" w:rsidRDefault="00EC1899" w:rsidP="00EC1899">
      <w:pPr>
        <w:spacing w:after="160" w:line="360" w:lineRule="auto"/>
        <w:ind w:left="720"/>
        <w:contextualSpacing/>
        <w:jc w:val="both"/>
        <w:rPr>
          <w:rFonts w:ascii="Arial" w:eastAsiaTheme="minorEastAsia" w:hAnsi="Arial" w:cs="Arial"/>
          <w:b/>
          <w:bCs/>
          <w:sz w:val="20"/>
          <w:szCs w:val="20"/>
        </w:rPr>
      </w:pPr>
    </w:p>
    <w:p w14:paraId="5D42A203" w14:textId="6799E0AD" w:rsidR="00EC1899" w:rsidRDefault="00EC1899" w:rsidP="00BE5AA1">
      <w:pPr>
        <w:numPr>
          <w:ilvl w:val="0"/>
          <w:numId w:val="23"/>
        </w:numPr>
        <w:spacing w:after="160" w:line="360" w:lineRule="auto"/>
        <w:contextualSpacing/>
        <w:jc w:val="both"/>
        <w:rPr>
          <w:rFonts w:ascii="Arial" w:eastAsiaTheme="minorEastAsia" w:hAnsi="Arial" w:cs="Arial"/>
          <w:b/>
          <w:bCs/>
          <w:sz w:val="20"/>
          <w:szCs w:val="20"/>
        </w:rPr>
      </w:pPr>
      <w:r w:rsidRPr="00EC1899">
        <w:rPr>
          <w:rFonts w:ascii="Arial" w:eastAsiaTheme="minorEastAsia" w:hAnsi="Arial" w:cs="Arial"/>
          <w:b/>
          <w:bCs/>
          <w:sz w:val="20"/>
          <w:szCs w:val="20"/>
        </w:rPr>
        <w:t>P.01.01 Porcentaje de expedientes judiciales</w:t>
      </w:r>
      <w:r w:rsidRPr="00EC1899">
        <w:rPr>
          <w:rFonts w:ascii="Arial" w:eastAsiaTheme="minorEastAsia" w:hAnsi="Arial" w:cs="Arial"/>
          <w:sz w:val="20"/>
          <w:szCs w:val="20"/>
        </w:rPr>
        <w:t xml:space="preserve"> </w:t>
      </w:r>
      <w:r w:rsidRPr="00EC1899">
        <w:rPr>
          <w:rFonts w:ascii="Arial" w:eastAsiaTheme="minorEastAsia" w:hAnsi="Arial" w:cs="Arial"/>
          <w:b/>
          <w:bCs/>
          <w:sz w:val="20"/>
          <w:szCs w:val="20"/>
        </w:rPr>
        <w:t>finalizados respecto al total de asuntos ingresados al Programa de Justicia Restaurativa (113,18%).</w:t>
      </w:r>
    </w:p>
    <w:p w14:paraId="154D3F57" w14:textId="77777777" w:rsidR="008E0FB6" w:rsidRPr="00EC1899" w:rsidRDefault="008E0FB6" w:rsidP="008E0FB6">
      <w:pPr>
        <w:spacing w:after="160" w:line="360" w:lineRule="auto"/>
        <w:ind w:left="720"/>
        <w:contextualSpacing/>
        <w:jc w:val="both"/>
        <w:rPr>
          <w:rFonts w:ascii="Arial" w:eastAsiaTheme="minorEastAsia" w:hAnsi="Arial" w:cs="Arial"/>
          <w:b/>
          <w:bCs/>
          <w:sz w:val="20"/>
          <w:szCs w:val="20"/>
        </w:rPr>
      </w:pPr>
    </w:p>
    <w:p w14:paraId="604E3025" w14:textId="77777777" w:rsidR="00EC1899" w:rsidRPr="00EC1899" w:rsidRDefault="00EC1899" w:rsidP="00EC1899">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El porcentaje alcanzado en los expedientes judiciales finalizados fue superior al proyectado, ya que se alcanzó un 103,56% del 91,50% programado, lo que representó un cumplimiento alto del 113,18%; generando con ello un mejor servicio a la persona usuaria a pesar del impacto de la pandemia por COVID-19, ya que una mayor cantidad de asuntos que ingresaron al Programa de Justicia Restaurativa fueron finalizados.</w:t>
      </w:r>
    </w:p>
    <w:p w14:paraId="5355B44B" w14:textId="77777777" w:rsidR="00EC1899" w:rsidRPr="00EC1899" w:rsidRDefault="00EC1899" w:rsidP="00EC1899">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lastRenderedPageBreak/>
        <w:t>Con respecto a los beneficios brindados a la población objetivo a través del programa citado, se identifican los siguientes:</w:t>
      </w:r>
    </w:p>
    <w:p w14:paraId="19F27731" w14:textId="77777777" w:rsidR="00EC1899" w:rsidRPr="00EC1899" w:rsidRDefault="00EC1899" w:rsidP="00EC1899">
      <w:pPr>
        <w:spacing w:line="360" w:lineRule="auto"/>
        <w:jc w:val="both"/>
        <w:rPr>
          <w:rFonts w:ascii="Arial" w:eastAsiaTheme="minorEastAsia" w:hAnsi="Arial" w:cs="Arial"/>
          <w:color w:val="4F81BD" w:themeColor="accent1"/>
          <w:sz w:val="20"/>
          <w:szCs w:val="20"/>
        </w:rPr>
      </w:pPr>
    </w:p>
    <w:p w14:paraId="05D35365"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La Justicia Restaurativa es un 86% más económica que el proceso penal ordinario. Lo anterior, se fundamenta en el informe N°2052-PLA-PP-2020, del 17 de diciembre de 2020, realizado por la Dirección de Planificación, sobre el costo que representa resolver un asunto vía Justicia Restaurativa versus su resolución por la vía ordinaria. Este informe fue aprobado por el Consejo Superior en sesión N°03-2021, celebrada el 12 de enero de 2021, artículo XL.</w:t>
      </w:r>
    </w:p>
    <w:p w14:paraId="1732ECD6"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Mediante este programa se promueven prácticas restaurativas para la resolución de conflictos, desacuerdos o diferencias interpersonales, restaurando los daños ocasionados a la víctima, concientizando además a la persona ofensora, lo cual conduce a soluciones integrales y contribuye con la paz social.</w:t>
      </w:r>
    </w:p>
    <w:p w14:paraId="17B4887D"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 xml:space="preserve">Se aplica el </w:t>
      </w:r>
      <w:r w:rsidRPr="00EC1899">
        <w:rPr>
          <w:rFonts w:ascii="Arial" w:eastAsiaTheme="minorEastAsia" w:hAnsi="Arial" w:cs="Arial"/>
          <w:i/>
          <w:iCs/>
          <w:color w:val="000000" w:themeColor="text1"/>
          <w:sz w:val="20"/>
          <w:szCs w:val="20"/>
        </w:rPr>
        <w:t>“Procedimiento de Tratamiento de Drogas bajo Supervisión Judicial Restaurativa”</w:t>
      </w:r>
      <w:r w:rsidRPr="00EC1899">
        <w:rPr>
          <w:rFonts w:ascii="Arial" w:eastAsiaTheme="minorEastAsia" w:hAnsi="Arial" w:cs="Arial"/>
          <w:color w:val="000000" w:themeColor="text1"/>
          <w:sz w:val="20"/>
          <w:szCs w:val="20"/>
        </w:rPr>
        <w:t>, contemplado en la Ley 9582. Este mecanismo corresponde a una alternativa al encarcelamiento, tanto para resolver el conflicto judicial como para que la persona ofensora pueda atender su problema de consumo de drogas.</w:t>
      </w:r>
    </w:p>
    <w:p w14:paraId="03E4E67A"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Se coloca a las personas como centro del proceso judicial, por ende se respeta la dignidad e igualdad de todas las personas.</w:t>
      </w:r>
    </w:p>
    <w:p w14:paraId="7F6A793C"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Contribuye a la reducción del hacinamiento carcelario.</w:t>
      </w:r>
    </w:p>
    <w:p w14:paraId="32B9E55D"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A partir de la pandemia por COVID-19, los equipos interdisciplinarios se organizaron de conformidad con la alerta en que se encontraba el respetivo circuito judicial, combinando las modalidades de trabajo presencial y teletrabajo, acatando todos los lineamientos del Poder Judicial y el Ministerio de Salud para evitar el contagio del virus en la medida de lo posible.</w:t>
      </w:r>
    </w:p>
    <w:p w14:paraId="20A0F049"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Se ha extendido el Programa de Justicia Restaurativa a las materias de flagrancia y contravenciones.</w:t>
      </w:r>
    </w:p>
    <w:p w14:paraId="592EEFA5" w14:textId="77777777" w:rsidR="00EC1899" w:rsidRPr="00EC1899" w:rsidRDefault="00EC1899" w:rsidP="00BE5AA1">
      <w:pPr>
        <w:numPr>
          <w:ilvl w:val="0"/>
          <w:numId w:val="24"/>
        </w:numPr>
        <w:spacing w:after="160" w:line="360" w:lineRule="auto"/>
        <w:contextualSpacing/>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A pesar de la limitación de recursos, se realizó un esfuerzo por ampliar la cobertura a las siguientes localidades: Osa, Sarapiquí, San Carlos, Upala, Liberia, Corredores.</w:t>
      </w:r>
    </w:p>
    <w:p w14:paraId="38A03A36" w14:textId="77777777" w:rsidR="003F3762" w:rsidRDefault="003F3762" w:rsidP="00EC1899">
      <w:pPr>
        <w:spacing w:line="360" w:lineRule="auto"/>
        <w:jc w:val="both"/>
        <w:rPr>
          <w:rFonts w:ascii="Arial" w:eastAsiaTheme="minorEastAsia" w:hAnsi="Arial" w:cs="Arial"/>
          <w:color w:val="000000" w:themeColor="text1"/>
          <w:sz w:val="20"/>
          <w:szCs w:val="20"/>
        </w:rPr>
      </w:pPr>
    </w:p>
    <w:p w14:paraId="07DBE4BF" w14:textId="150C9516" w:rsidR="00EC1899" w:rsidRPr="008E0FB6" w:rsidRDefault="00EC1899" w:rsidP="008E0FB6">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Una las razones que generó un cumplimiento superior al esperado fue la implementación de la virtualidad en las reuniones, lo que permitió realizar un trabajo ininterrumpido a pesar de la pandemia por COVID-19; otras, con la anuencia de las partes en participar en el programa, ya que mucho depende de su voluntad.</w:t>
      </w:r>
    </w:p>
    <w:p w14:paraId="19E3328E" w14:textId="4BC16C3B" w:rsidR="00EC1899" w:rsidRDefault="00EC1899" w:rsidP="00BE5AA1">
      <w:pPr>
        <w:numPr>
          <w:ilvl w:val="0"/>
          <w:numId w:val="23"/>
        </w:numPr>
        <w:spacing w:after="160" w:line="360" w:lineRule="auto"/>
        <w:contextualSpacing/>
        <w:jc w:val="both"/>
        <w:rPr>
          <w:rFonts w:ascii="Arial" w:eastAsiaTheme="minorEastAsia" w:hAnsi="Arial" w:cs="Arial"/>
          <w:b/>
          <w:bCs/>
          <w:sz w:val="20"/>
          <w:szCs w:val="20"/>
        </w:rPr>
      </w:pPr>
      <w:r w:rsidRPr="00EC1899">
        <w:rPr>
          <w:rFonts w:ascii="Arial" w:eastAsiaTheme="minorEastAsia" w:hAnsi="Arial" w:cs="Arial"/>
          <w:b/>
          <w:bCs/>
          <w:sz w:val="20"/>
          <w:szCs w:val="20"/>
        </w:rPr>
        <w:lastRenderedPageBreak/>
        <w:t>P.01.02 Porcentaje de expedientes judiciales resueltos mediante medida alterna, respecto al total de asuntos ingresados al Programa de Justicia Restaurativa (110,12%)</w:t>
      </w:r>
    </w:p>
    <w:p w14:paraId="5661F238" w14:textId="77777777" w:rsidR="008E0FB6" w:rsidRPr="00EC1899" w:rsidRDefault="008E0FB6" w:rsidP="008E0FB6">
      <w:pPr>
        <w:spacing w:after="160" w:line="360" w:lineRule="auto"/>
        <w:ind w:left="720"/>
        <w:contextualSpacing/>
        <w:jc w:val="both"/>
        <w:rPr>
          <w:rFonts w:ascii="Arial" w:eastAsiaTheme="minorEastAsia" w:hAnsi="Arial" w:cs="Arial"/>
          <w:b/>
          <w:bCs/>
          <w:sz w:val="20"/>
          <w:szCs w:val="20"/>
        </w:rPr>
      </w:pPr>
    </w:p>
    <w:p w14:paraId="3C1729C8" w14:textId="77777777" w:rsidR="00EC1899" w:rsidRPr="00EC1899" w:rsidRDefault="00EC1899" w:rsidP="00EC1899">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 xml:space="preserve">Los asuntos resueltos a través de medidas alternas reflejaron un nivel de cumplimiento alto del 110,12% con respecto a lo proyectado, dado que se alcanzó un 53,63% del 48,70% programado, lo que significa que 53 de cada 100 asuntos ingresaron al Programa de Justicia Restaurativa y a su vez lograron finalizar satisfactoriamente con una medida alterna que puso fin al conflicto de una manera reparadora e integral. </w:t>
      </w:r>
    </w:p>
    <w:p w14:paraId="5FAAC056" w14:textId="77777777" w:rsidR="00EC1899" w:rsidRPr="00EC1899" w:rsidRDefault="00EC1899" w:rsidP="00EC1899">
      <w:pPr>
        <w:spacing w:line="360" w:lineRule="auto"/>
        <w:jc w:val="both"/>
        <w:rPr>
          <w:rFonts w:ascii="Arial" w:eastAsiaTheme="minorEastAsia" w:hAnsi="Arial" w:cs="Arial"/>
          <w:color w:val="000000" w:themeColor="text1"/>
          <w:sz w:val="20"/>
          <w:szCs w:val="20"/>
        </w:rPr>
      </w:pPr>
    </w:p>
    <w:p w14:paraId="34A1858D" w14:textId="77777777" w:rsidR="00EC1899" w:rsidRPr="00EC1899" w:rsidRDefault="00EC1899" w:rsidP="00EC1899">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 xml:space="preserve">El nivel alcanzado resulta positivo, especialmente en términos de satisfacción de las partes así como económicos para la institución, tal como se indicó para el indicador </w:t>
      </w:r>
      <w:r w:rsidRPr="00EC1899">
        <w:rPr>
          <w:rFonts w:ascii="Arial" w:eastAsiaTheme="minorEastAsia" w:hAnsi="Arial" w:cs="Arial"/>
          <w:b/>
          <w:bCs/>
          <w:sz w:val="20"/>
          <w:szCs w:val="20"/>
        </w:rPr>
        <w:t>P.01.01</w:t>
      </w:r>
      <w:r w:rsidRPr="00EC1899">
        <w:rPr>
          <w:rFonts w:ascii="Arial" w:eastAsiaTheme="minorEastAsia" w:hAnsi="Arial" w:cs="Arial"/>
          <w:color w:val="000000" w:themeColor="text1"/>
          <w:sz w:val="20"/>
          <w:szCs w:val="20"/>
        </w:rPr>
        <w:t xml:space="preserve"> y obedece principalmente a la anuencia de las partes en que se aplicara una medida alterna como respuesta a la solución del conflicto planteado en instancias judiciales.</w:t>
      </w:r>
    </w:p>
    <w:p w14:paraId="338D31B0" w14:textId="77777777" w:rsidR="00EC1899" w:rsidRPr="00EC1899" w:rsidRDefault="00EC1899" w:rsidP="00EC1899">
      <w:pPr>
        <w:spacing w:after="160" w:line="360" w:lineRule="auto"/>
        <w:ind w:left="720"/>
        <w:contextualSpacing/>
        <w:jc w:val="both"/>
        <w:rPr>
          <w:rFonts w:ascii="Arial" w:eastAsiaTheme="minorEastAsia" w:hAnsi="Arial" w:cs="Arial"/>
          <w:b/>
          <w:bCs/>
          <w:color w:val="000000" w:themeColor="text1"/>
          <w:sz w:val="20"/>
          <w:szCs w:val="20"/>
        </w:rPr>
      </w:pPr>
    </w:p>
    <w:p w14:paraId="4AB80102" w14:textId="77777777" w:rsidR="00EC1899" w:rsidRPr="00EC1899" w:rsidRDefault="00EC1899" w:rsidP="00BE5AA1">
      <w:pPr>
        <w:numPr>
          <w:ilvl w:val="0"/>
          <w:numId w:val="23"/>
        </w:numPr>
        <w:spacing w:after="160" w:line="360" w:lineRule="auto"/>
        <w:contextualSpacing/>
        <w:jc w:val="both"/>
        <w:rPr>
          <w:rFonts w:ascii="Arial" w:eastAsiaTheme="minorEastAsia" w:hAnsi="Arial" w:cs="Arial"/>
          <w:b/>
          <w:bCs/>
          <w:sz w:val="20"/>
          <w:szCs w:val="20"/>
        </w:rPr>
      </w:pPr>
      <w:r w:rsidRPr="00EC1899">
        <w:rPr>
          <w:rFonts w:ascii="Arial" w:eastAsiaTheme="minorEastAsia" w:hAnsi="Arial" w:cs="Arial"/>
          <w:b/>
          <w:bCs/>
          <w:sz w:val="20"/>
          <w:szCs w:val="20"/>
        </w:rPr>
        <w:t>P.01.03 Tasa de resolución (102,19%).</w:t>
      </w:r>
    </w:p>
    <w:p w14:paraId="100B7BED" w14:textId="2D1EE2E4" w:rsidR="00EC1899" w:rsidRDefault="00EC1899" w:rsidP="00EC1899">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Al cierre del 2021 la tasa de resolución alcanzó un nivel a de cumplimiento alto del 102.19%, ya que registró un 35,86% con respecto al 35,09% proyectado.</w:t>
      </w:r>
    </w:p>
    <w:p w14:paraId="14F30100" w14:textId="77777777" w:rsidR="008E0FB6" w:rsidRPr="00EC1899" w:rsidRDefault="008E0FB6" w:rsidP="00EC1899">
      <w:pPr>
        <w:spacing w:line="360" w:lineRule="auto"/>
        <w:jc w:val="both"/>
        <w:rPr>
          <w:rFonts w:ascii="Arial" w:eastAsiaTheme="minorEastAsia" w:hAnsi="Arial" w:cs="Arial"/>
          <w:color w:val="000000" w:themeColor="text1"/>
          <w:sz w:val="20"/>
          <w:szCs w:val="20"/>
        </w:rPr>
      </w:pPr>
    </w:p>
    <w:p w14:paraId="239DF08A" w14:textId="7090AD2F" w:rsidR="00EC1899" w:rsidRDefault="00EC1899" w:rsidP="00EC1899">
      <w:pPr>
        <w:spacing w:line="360" w:lineRule="auto"/>
        <w:jc w:val="both"/>
        <w:rPr>
          <w:rFonts w:ascii="Arial" w:eastAsiaTheme="minorEastAsia" w:hAnsi="Arial" w:cs="Arial"/>
          <w:color w:val="000000" w:themeColor="text1"/>
          <w:sz w:val="20"/>
          <w:szCs w:val="20"/>
        </w:rPr>
      </w:pPr>
      <w:r w:rsidRPr="00EC1899">
        <w:rPr>
          <w:rFonts w:ascii="Arial" w:eastAsiaTheme="minorEastAsia" w:hAnsi="Arial" w:cs="Arial"/>
          <w:color w:val="000000" w:themeColor="text1"/>
          <w:sz w:val="20"/>
          <w:szCs w:val="20"/>
        </w:rPr>
        <w:t>Estos resultados impactan de manera positiva para las personas usuarias del servicio de administración de justicia que brinda el Poder Judicial, ya que representa una mayor cantidad de asuntos terminados respecto a lo esperado o programado, a pesar de la pandemia por COVID-19.</w:t>
      </w:r>
    </w:p>
    <w:p w14:paraId="7950D596" w14:textId="77777777" w:rsidR="008E0FB6" w:rsidRPr="00EC1899" w:rsidRDefault="008E0FB6" w:rsidP="00EC1899">
      <w:pPr>
        <w:spacing w:line="360" w:lineRule="auto"/>
        <w:jc w:val="both"/>
        <w:rPr>
          <w:rFonts w:ascii="Arial" w:eastAsiaTheme="minorEastAsia" w:hAnsi="Arial" w:cs="Arial"/>
          <w:color w:val="000000" w:themeColor="text1"/>
          <w:sz w:val="20"/>
          <w:szCs w:val="20"/>
        </w:rPr>
      </w:pPr>
    </w:p>
    <w:p w14:paraId="7D21B5DF" w14:textId="0C48332F"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Una de las razones que incidió en el cumplimiento alto del indicador fue el esfuerzo y compromiso del personal que labora para la institución, así como con la implementación de proyectos institucionales que contribuyeron al aumento de los asuntos finalizados, tales como como el Programa de Justicia Restaurativa, la intervención de los Centro de Conciliación y el Programa de Reducción del Circulante, así como el uso de los protocolos para la realización de audiencias a través de medios</w:t>
      </w:r>
      <w:r w:rsidR="00412EB8" w:rsidRPr="00EC1899">
        <w:rPr>
          <w:rFonts w:ascii="Arial" w:eastAsiaTheme="minorEastAsia" w:hAnsi="Arial" w:cs="Arial"/>
          <w:sz w:val="20"/>
          <w:szCs w:val="20"/>
        </w:rPr>
        <w:t xml:space="preserve"> </w:t>
      </w:r>
      <w:r w:rsidRPr="00EC1899">
        <w:rPr>
          <w:rFonts w:ascii="Arial" w:eastAsiaTheme="minorEastAsia" w:hAnsi="Arial" w:cs="Arial"/>
          <w:sz w:val="20"/>
          <w:szCs w:val="20"/>
        </w:rPr>
        <w:t>electrónicos para las diversas materias a raíz de la pandemia por COVID-19.</w:t>
      </w:r>
    </w:p>
    <w:p w14:paraId="114B20C1" w14:textId="77777777" w:rsidR="00EC1899" w:rsidRPr="00EC1899" w:rsidRDefault="00EC1899" w:rsidP="00EC1899">
      <w:pPr>
        <w:spacing w:after="160" w:line="360" w:lineRule="auto"/>
        <w:jc w:val="both"/>
        <w:rPr>
          <w:rFonts w:ascii="Arial" w:eastAsiaTheme="minorEastAsia" w:hAnsi="Arial" w:cs="Arial"/>
          <w:sz w:val="20"/>
          <w:szCs w:val="20"/>
        </w:rPr>
      </w:pPr>
      <w:r w:rsidRPr="00EC1899">
        <w:rPr>
          <w:rFonts w:ascii="Arial" w:eastAsiaTheme="minorEastAsia" w:hAnsi="Arial" w:cs="Arial"/>
          <w:sz w:val="20"/>
          <w:szCs w:val="20"/>
        </w:rPr>
        <w:t>Otros aspectos están relacionados con los planes de descongestionamiento aplicados producto de las diversas reformas implementadas a nivel institucional en materia laboral, civil y cobro así como planes de descongestionamiento ejecutados en los despachos judiciales previo a las reformas en materia agraria y de familia.</w:t>
      </w:r>
    </w:p>
    <w:p w14:paraId="7C216A47" w14:textId="77777777" w:rsidR="000D4976" w:rsidRPr="00EC1899" w:rsidRDefault="000D4976" w:rsidP="00EC1899">
      <w:pPr>
        <w:spacing w:after="160" w:line="360" w:lineRule="auto"/>
        <w:ind w:left="720"/>
        <w:contextualSpacing/>
        <w:jc w:val="both"/>
        <w:rPr>
          <w:rFonts w:ascii="Arial" w:eastAsiaTheme="minorEastAsia" w:hAnsi="Arial" w:cs="Arial"/>
          <w:b/>
          <w:bCs/>
          <w:sz w:val="20"/>
          <w:szCs w:val="20"/>
        </w:rPr>
      </w:pPr>
    </w:p>
    <w:p w14:paraId="11785588" w14:textId="77777777" w:rsidR="00EC1899" w:rsidRPr="00EC1899" w:rsidRDefault="00EC1899" w:rsidP="00BE5AA1">
      <w:pPr>
        <w:numPr>
          <w:ilvl w:val="0"/>
          <w:numId w:val="23"/>
        </w:numPr>
        <w:spacing w:after="160" w:line="360" w:lineRule="auto"/>
        <w:contextualSpacing/>
        <w:jc w:val="both"/>
        <w:rPr>
          <w:rFonts w:ascii="Arial" w:eastAsiaTheme="minorEastAsia" w:hAnsi="Arial" w:cs="Arial"/>
          <w:b/>
          <w:bCs/>
          <w:sz w:val="20"/>
          <w:szCs w:val="20"/>
        </w:rPr>
      </w:pPr>
      <w:r w:rsidRPr="00EC1899">
        <w:rPr>
          <w:rFonts w:ascii="Arial" w:eastAsiaTheme="minorEastAsia" w:hAnsi="Arial" w:cs="Arial"/>
          <w:b/>
          <w:bCs/>
          <w:sz w:val="20"/>
          <w:szCs w:val="20"/>
        </w:rPr>
        <w:t>P.01.04 Tasa de pendencia</w:t>
      </w:r>
    </w:p>
    <w:p w14:paraId="5075F56F"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Según información suministrada por la Dirección de Planificación, la tasa de pendencia permite establecer la cantidad de expedientes en los despachos de primera instancia en todas las materias, que están a la espera de ser tramitados, o bien que ya iniciaron su tramitación, pero aún no se dan por terminados.</w:t>
      </w:r>
    </w:p>
    <w:p w14:paraId="5855718C" w14:textId="77777777" w:rsidR="00EC1899" w:rsidRPr="00EC1899" w:rsidRDefault="00EC1899" w:rsidP="00EC1899">
      <w:pPr>
        <w:spacing w:line="360" w:lineRule="auto"/>
        <w:jc w:val="both"/>
        <w:rPr>
          <w:rFonts w:ascii="Arial" w:eastAsiaTheme="minorEastAsia" w:hAnsi="Arial" w:cs="Arial"/>
          <w:sz w:val="20"/>
          <w:szCs w:val="20"/>
        </w:rPr>
      </w:pPr>
    </w:p>
    <w:p w14:paraId="60F1F9F9"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Para el año 2021 se proyectó una tasa de pendencia del 46,28% y se obtuvo un 51,32% en este indicador, lo que significó un cumplimiento alto del 90.18%. La interpretación de este resultado se resume en que, por cada 100 expedientes que ingresaron a los despachos de primera instancia en todas las materias; 51,32 asuntos estaban en proceso o trámite.</w:t>
      </w:r>
    </w:p>
    <w:p w14:paraId="3E0FB7CC" w14:textId="77777777" w:rsidR="00EC1899" w:rsidRPr="00EC1899" w:rsidRDefault="00EC1899" w:rsidP="00EC1899">
      <w:pPr>
        <w:spacing w:line="360" w:lineRule="auto"/>
        <w:jc w:val="both"/>
        <w:rPr>
          <w:rFonts w:ascii="Arial" w:eastAsiaTheme="minorEastAsia" w:hAnsi="Arial" w:cs="Arial"/>
          <w:sz w:val="20"/>
          <w:szCs w:val="20"/>
        </w:rPr>
      </w:pPr>
    </w:p>
    <w:p w14:paraId="7C0AEDFD"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El principal beneficio para la población objetivo es que se los asuntos pendientes se mantuvieron cerca del parámetro esperado, a pesar de la pandemia por COVID-19.</w:t>
      </w:r>
    </w:p>
    <w:p w14:paraId="4A58FDCB" w14:textId="77777777" w:rsidR="00EC1899" w:rsidRPr="00EC1899" w:rsidRDefault="00EC1899" w:rsidP="00EC1899">
      <w:pPr>
        <w:spacing w:line="360" w:lineRule="auto"/>
        <w:jc w:val="both"/>
        <w:rPr>
          <w:rFonts w:ascii="Arial" w:eastAsiaTheme="minorEastAsia" w:hAnsi="Arial" w:cs="Arial"/>
          <w:sz w:val="20"/>
          <w:szCs w:val="20"/>
        </w:rPr>
      </w:pPr>
    </w:p>
    <w:p w14:paraId="530D2A63"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Las razones del cumplimiento alto están relacionadas con el esfuerzo realizado por los distintos despachos judiciales para que su conflicto sea resuelto, tomando las medidas necesarias en relación con la pandemia, tales como la aplicación de diversos protocolos, horarios alternos, la implementación de audiencias virtuales y la modalidad de teletrabajo.</w:t>
      </w:r>
    </w:p>
    <w:p w14:paraId="3B200968" w14:textId="77777777" w:rsidR="00EC1899" w:rsidRPr="00EC1899" w:rsidRDefault="00EC1899" w:rsidP="00EC1899">
      <w:pPr>
        <w:spacing w:line="360" w:lineRule="auto"/>
        <w:ind w:left="720"/>
        <w:contextualSpacing/>
        <w:jc w:val="both"/>
        <w:rPr>
          <w:rFonts w:ascii="Arial" w:eastAsiaTheme="minorEastAsia" w:hAnsi="Arial" w:cs="Arial"/>
          <w:b/>
          <w:bCs/>
          <w:sz w:val="20"/>
          <w:szCs w:val="20"/>
        </w:rPr>
      </w:pPr>
    </w:p>
    <w:p w14:paraId="5715B4C5" w14:textId="77777777" w:rsidR="00EC1899" w:rsidRPr="00EC1899" w:rsidRDefault="00EC1899" w:rsidP="00BE5AA1">
      <w:pPr>
        <w:numPr>
          <w:ilvl w:val="0"/>
          <w:numId w:val="23"/>
        </w:numPr>
        <w:spacing w:after="160" w:line="360" w:lineRule="auto"/>
        <w:contextualSpacing/>
        <w:jc w:val="both"/>
        <w:rPr>
          <w:rFonts w:ascii="Arial" w:eastAsiaTheme="minorEastAsia" w:hAnsi="Arial" w:cs="Arial"/>
          <w:b/>
          <w:bCs/>
          <w:sz w:val="20"/>
          <w:szCs w:val="20"/>
        </w:rPr>
      </w:pPr>
      <w:r w:rsidRPr="00EC1899">
        <w:rPr>
          <w:rFonts w:ascii="Arial" w:eastAsiaTheme="minorEastAsia" w:hAnsi="Arial" w:cs="Arial"/>
          <w:b/>
          <w:bCs/>
          <w:sz w:val="20"/>
          <w:szCs w:val="20"/>
        </w:rPr>
        <w:t>P.01.05 Cantidad de asuntos resueltos por conciliaciones (118,78%).</w:t>
      </w:r>
    </w:p>
    <w:p w14:paraId="76C4C92C"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 xml:space="preserve">En lo que respecta a la cantidad de asuntos resueltos por conciliación, para el 2021 se alcanzó un porcentaje de cumplimiento alto del 118,78%, en vista de que se logró por esta vía, la resolución de un total de 38.502 procesos con respecto a los 32.414 que se tenían previstos. </w:t>
      </w:r>
    </w:p>
    <w:p w14:paraId="7666947E"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Los asuntos resueltos por conciliación representan el 6,70% del total de casos terminados en sede judicial, es de decir, de los 575.028 casos judiciales terminados durante el 2021. En el año 2020, las conciliaciones representaron el 6% de los asuntos terminados.</w:t>
      </w:r>
    </w:p>
    <w:p w14:paraId="585B9B2F" w14:textId="77777777" w:rsidR="00EC1899" w:rsidRPr="00EC1899" w:rsidRDefault="00EC1899" w:rsidP="00EC1899">
      <w:pPr>
        <w:spacing w:line="360" w:lineRule="auto"/>
        <w:jc w:val="both"/>
        <w:rPr>
          <w:rFonts w:ascii="Arial" w:eastAsiaTheme="minorEastAsia" w:hAnsi="Arial" w:cs="Arial"/>
          <w:sz w:val="20"/>
          <w:szCs w:val="20"/>
        </w:rPr>
      </w:pPr>
    </w:p>
    <w:p w14:paraId="4D5D4C31"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 xml:space="preserve">Entre los beneficios a la población objetivo, se citan lo siguientes: </w:t>
      </w:r>
    </w:p>
    <w:p w14:paraId="0F40BFC8" w14:textId="77777777" w:rsidR="00EC1899" w:rsidRPr="00EC1899" w:rsidRDefault="00EC1899" w:rsidP="00EC1899">
      <w:pPr>
        <w:spacing w:line="360" w:lineRule="auto"/>
        <w:jc w:val="both"/>
        <w:rPr>
          <w:rFonts w:ascii="Arial" w:eastAsiaTheme="minorEastAsia" w:hAnsi="Arial" w:cs="Arial"/>
          <w:sz w:val="20"/>
          <w:szCs w:val="20"/>
        </w:rPr>
      </w:pPr>
    </w:p>
    <w:p w14:paraId="420A162D" w14:textId="77777777" w:rsidR="00EC1899" w:rsidRPr="00EC1899" w:rsidRDefault="00EC1899" w:rsidP="00BE5AA1">
      <w:pPr>
        <w:numPr>
          <w:ilvl w:val="0"/>
          <w:numId w:val="25"/>
        </w:numPr>
        <w:spacing w:after="160" w:line="360" w:lineRule="auto"/>
        <w:contextualSpacing/>
        <w:jc w:val="both"/>
        <w:rPr>
          <w:rFonts w:ascii="Arial" w:eastAsiaTheme="minorEastAsia" w:hAnsi="Arial" w:cs="Arial"/>
          <w:sz w:val="20"/>
          <w:szCs w:val="20"/>
        </w:rPr>
      </w:pPr>
      <w:r w:rsidRPr="00EC1899">
        <w:rPr>
          <w:rFonts w:ascii="Arial" w:eastAsiaTheme="minorEastAsia" w:hAnsi="Arial" w:cs="Arial"/>
          <w:sz w:val="20"/>
          <w:szCs w:val="20"/>
        </w:rPr>
        <w:t>Constituye un apoyo para la mitigación de los efectos del retardo judicial.</w:t>
      </w:r>
    </w:p>
    <w:p w14:paraId="180190DF" w14:textId="77777777" w:rsidR="00EC1899" w:rsidRPr="00EC1899" w:rsidRDefault="00EC1899" w:rsidP="00BE5AA1">
      <w:pPr>
        <w:numPr>
          <w:ilvl w:val="0"/>
          <w:numId w:val="25"/>
        </w:numPr>
        <w:spacing w:after="160" w:line="360" w:lineRule="auto"/>
        <w:contextualSpacing/>
        <w:jc w:val="both"/>
        <w:rPr>
          <w:rFonts w:ascii="Arial" w:eastAsiaTheme="minorEastAsia" w:hAnsi="Arial" w:cs="Arial"/>
          <w:sz w:val="20"/>
          <w:szCs w:val="20"/>
        </w:rPr>
      </w:pPr>
      <w:r w:rsidRPr="00EC1899">
        <w:rPr>
          <w:rFonts w:ascii="Arial" w:eastAsiaTheme="minorEastAsia" w:hAnsi="Arial" w:cs="Arial"/>
          <w:sz w:val="20"/>
          <w:szCs w:val="20"/>
        </w:rPr>
        <w:t>Se pone a disposición de la persona usuaria una justicia más humana, accesible y célere para la solución de sus conflictos.</w:t>
      </w:r>
    </w:p>
    <w:p w14:paraId="0F1F6A4B" w14:textId="77777777" w:rsidR="00EC1899" w:rsidRPr="00EC1899" w:rsidRDefault="00EC1899" w:rsidP="00BE5AA1">
      <w:pPr>
        <w:numPr>
          <w:ilvl w:val="0"/>
          <w:numId w:val="25"/>
        </w:numPr>
        <w:spacing w:after="160" w:line="360" w:lineRule="auto"/>
        <w:contextualSpacing/>
        <w:jc w:val="both"/>
        <w:rPr>
          <w:rFonts w:ascii="Arial" w:eastAsiaTheme="minorEastAsia" w:hAnsi="Arial" w:cs="Arial"/>
          <w:sz w:val="20"/>
          <w:szCs w:val="20"/>
        </w:rPr>
      </w:pPr>
      <w:r w:rsidRPr="00EC1899">
        <w:rPr>
          <w:rFonts w:ascii="Arial" w:eastAsiaTheme="minorEastAsia" w:hAnsi="Arial" w:cs="Arial"/>
          <w:sz w:val="20"/>
          <w:szCs w:val="20"/>
        </w:rPr>
        <w:t>Se promueve la paz social.</w:t>
      </w:r>
    </w:p>
    <w:p w14:paraId="433D8A53" w14:textId="77777777" w:rsidR="00EC1899" w:rsidRPr="00EC1899" w:rsidRDefault="00EC1899" w:rsidP="00EC1899">
      <w:pPr>
        <w:spacing w:after="160" w:line="360" w:lineRule="auto"/>
        <w:ind w:left="720"/>
        <w:contextualSpacing/>
        <w:jc w:val="both"/>
        <w:rPr>
          <w:rFonts w:ascii="Arial" w:eastAsiaTheme="minorEastAsia" w:hAnsi="Arial" w:cs="Arial"/>
          <w:sz w:val="20"/>
          <w:szCs w:val="20"/>
        </w:rPr>
      </w:pPr>
    </w:p>
    <w:p w14:paraId="2AF06C25"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El cumplimiento de la meta más allá de lo proyectado obedece al esfuerzo realizado por la institución en promover la aplicación de la Ley N°7727 (Resolución Alterna de Conflictos y Promoción de la Paz Social) en los despachos judiciales del país, como medida alterna de conflicto, aunado a la anuencia de las partes en lograr una solución en común acuerdo, sin la necesidad de una resolución impuesta.</w:t>
      </w:r>
    </w:p>
    <w:p w14:paraId="647180AF" w14:textId="77777777" w:rsidR="00EC1899" w:rsidRPr="00EC1899" w:rsidRDefault="00EC1899" w:rsidP="00EC1899">
      <w:pPr>
        <w:spacing w:line="360" w:lineRule="auto"/>
        <w:jc w:val="both"/>
        <w:rPr>
          <w:rFonts w:ascii="Arial" w:eastAsiaTheme="minorEastAsia" w:hAnsi="Arial" w:cs="Arial"/>
          <w:sz w:val="20"/>
          <w:szCs w:val="20"/>
        </w:rPr>
      </w:pPr>
    </w:p>
    <w:p w14:paraId="7162B115"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 xml:space="preserve">En línea con lo anterior, el Centro de Conciliación del Poder Judicial tiene a disposición de las personas usuarias, un total de 10 sedes distribuidas en distintos circuitos judiciales del país. </w:t>
      </w:r>
    </w:p>
    <w:p w14:paraId="723067F7"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 xml:space="preserve">Al igual que en el periodo anterior, la materia en la que finalizaron la mayor cantidad de procesos </w:t>
      </w:r>
    </w:p>
    <w:p w14:paraId="461159F4"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por medio de conciliación durante el año 2021 corresponde a tránsito con 9.801 casos terminados por esta medida alterna, lo cual representó el 25,46% del total de casos concluidos por conciliación.</w:t>
      </w:r>
    </w:p>
    <w:p w14:paraId="22B4BCC9" w14:textId="77777777" w:rsidR="00EC1899" w:rsidRPr="00EC1899" w:rsidRDefault="00EC1899" w:rsidP="00EC1899">
      <w:pPr>
        <w:spacing w:before="240" w:after="160" w:line="360" w:lineRule="auto"/>
        <w:jc w:val="both"/>
        <w:rPr>
          <w:rFonts w:ascii="Arial" w:eastAsiaTheme="minorEastAsia" w:hAnsi="Arial" w:cs="Arial"/>
          <w:b/>
          <w:bCs/>
          <w:sz w:val="20"/>
          <w:szCs w:val="20"/>
          <w:u w:val="single"/>
        </w:rPr>
      </w:pPr>
      <w:r w:rsidRPr="00EC1899">
        <w:rPr>
          <w:rFonts w:ascii="Arial" w:eastAsiaTheme="minorEastAsia" w:hAnsi="Arial" w:cs="Arial"/>
          <w:b/>
          <w:bCs/>
          <w:sz w:val="20"/>
          <w:szCs w:val="20"/>
          <w:u w:val="single"/>
        </w:rPr>
        <w:t>Indicadores con un cumplimiento medio y bajo (menor o igual a 89,99%).</w:t>
      </w:r>
    </w:p>
    <w:p w14:paraId="0ABB2804" w14:textId="77777777" w:rsidR="00EC1899" w:rsidRPr="00EC1899" w:rsidRDefault="00EC1899" w:rsidP="00EC1899">
      <w:pPr>
        <w:spacing w:before="240" w:after="160" w:line="360" w:lineRule="auto"/>
        <w:jc w:val="both"/>
        <w:rPr>
          <w:rFonts w:ascii="Arial" w:eastAsiaTheme="minorEastAsia" w:hAnsi="Arial" w:cs="Arial"/>
          <w:b/>
          <w:bCs/>
          <w:sz w:val="20"/>
          <w:szCs w:val="20"/>
          <w:u w:val="single"/>
        </w:rPr>
      </w:pPr>
    </w:p>
    <w:p w14:paraId="48FACF62" w14:textId="77777777" w:rsidR="00EC1899" w:rsidRPr="00EC1899" w:rsidRDefault="00EC1899" w:rsidP="00BE5AA1">
      <w:pPr>
        <w:numPr>
          <w:ilvl w:val="0"/>
          <w:numId w:val="23"/>
        </w:numPr>
        <w:spacing w:after="160" w:line="360" w:lineRule="auto"/>
        <w:contextualSpacing/>
        <w:jc w:val="both"/>
        <w:rPr>
          <w:rFonts w:ascii="Arial" w:eastAsiaTheme="minorEastAsia" w:hAnsi="Arial" w:cs="Arial"/>
          <w:b/>
          <w:bCs/>
          <w:sz w:val="20"/>
          <w:szCs w:val="20"/>
        </w:rPr>
      </w:pPr>
      <w:r w:rsidRPr="00EC1899">
        <w:rPr>
          <w:rFonts w:ascii="Arial" w:eastAsiaTheme="minorEastAsia" w:hAnsi="Arial" w:cs="Arial"/>
          <w:b/>
          <w:bCs/>
          <w:sz w:val="20"/>
          <w:szCs w:val="20"/>
        </w:rPr>
        <w:t>P.01.06 Porcentaje de asuntos judiciales de la materia Penal resueltos por el procedimiento de Flagrancias.</w:t>
      </w:r>
    </w:p>
    <w:p w14:paraId="58F2C9B4" w14:textId="77777777" w:rsidR="00EC1899" w:rsidRPr="00EC1899" w:rsidRDefault="00EC1899" w:rsidP="00EC1899">
      <w:pPr>
        <w:spacing w:line="360" w:lineRule="auto"/>
        <w:jc w:val="both"/>
        <w:rPr>
          <w:rFonts w:ascii="Arial" w:eastAsiaTheme="minorEastAsia" w:hAnsi="Arial" w:cs="Arial"/>
          <w:i/>
          <w:iCs/>
          <w:sz w:val="20"/>
          <w:szCs w:val="20"/>
        </w:rPr>
      </w:pPr>
      <w:r w:rsidRPr="00EC1899">
        <w:rPr>
          <w:rFonts w:ascii="Arial" w:eastAsiaTheme="minorEastAsia" w:hAnsi="Arial" w:cs="Arial"/>
          <w:sz w:val="20"/>
          <w:szCs w:val="20"/>
        </w:rPr>
        <w:t xml:space="preserve">En lo que respecta a la cantidad de asuntos judiciales de la materia penal resueltos por el procedimiento de Flagrancias, para el 2021 se alcanzó un porcentaje de cumplimiento medio del 86,56%, en vista de que se logró por esta vía el 41,03% del 47,40% esperado. Según criterio externado por la jefatura del Subproceso de Modernización Institucional, el principal motivo por el que no se alcanzó lo proyectado obedece a la </w:t>
      </w:r>
      <w:r w:rsidRPr="00EC1899">
        <w:rPr>
          <w:rFonts w:ascii="Arial" w:eastAsiaTheme="minorEastAsia" w:hAnsi="Arial" w:cs="Arial"/>
          <w:i/>
          <w:iCs/>
          <w:sz w:val="20"/>
          <w:szCs w:val="20"/>
        </w:rPr>
        <w:t>“Baja carga de asuntos entrados por la vía de Flagrancia lo que provoca que el recurso brinde apoyo a los Tribunales Ordinarios para compensar las cuotas de tramitación”.</w:t>
      </w:r>
    </w:p>
    <w:p w14:paraId="7530D5D4" w14:textId="77777777" w:rsidR="00EC1899" w:rsidRPr="00EC1899" w:rsidRDefault="00EC1899" w:rsidP="00EC1899">
      <w:pPr>
        <w:spacing w:line="360" w:lineRule="auto"/>
        <w:jc w:val="both"/>
        <w:rPr>
          <w:rFonts w:ascii="Arial" w:eastAsiaTheme="minorEastAsia" w:hAnsi="Arial" w:cs="Arial"/>
          <w:i/>
          <w:iCs/>
          <w:sz w:val="20"/>
          <w:szCs w:val="20"/>
        </w:rPr>
      </w:pPr>
    </w:p>
    <w:p w14:paraId="6D88253E" w14:textId="34AAFBD0"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 xml:space="preserve">En línea con lo anterior, a </w:t>
      </w:r>
      <w:r w:rsidR="007E4EE5" w:rsidRPr="00EC1899">
        <w:rPr>
          <w:rFonts w:ascii="Arial" w:eastAsiaTheme="minorEastAsia" w:hAnsi="Arial" w:cs="Arial"/>
          <w:sz w:val="20"/>
          <w:szCs w:val="20"/>
        </w:rPr>
        <w:t>continuación,</w:t>
      </w:r>
      <w:r w:rsidRPr="00EC1899">
        <w:rPr>
          <w:rFonts w:ascii="Arial" w:eastAsiaTheme="minorEastAsia" w:hAnsi="Arial" w:cs="Arial"/>
          <w:sz w:val="20"/>
          <w:szCs w:val="20"/>
        </w:rPr>
        <w:t xml:space="preserve"> se detallan las acciones correctivas y fecha de implementación para ajustar el indicador al comportamiento real en la entrada de asuntos así como dar continuidad al proceso implementado para apoyar a los tribunales ordinarios.</w:t>
      </w:r>
    </w:p>
    <w:p w14:paraId="1B09A5D9" w14:textId="77777777" w:rsidR="00EC1899" w:rsidRPr="00EC1899" w:rsidRDefault="00EC1899" w:rsidP="00EC1899">
      <w:pPr>
        <w:spacing w:after="160" w:line="360" w:lineRule="auto"/>
        <w:jc w:val="both"/>
        <w:rPr>
          <w:rFonts w:ascii="Arial" w:eastAsiaTheme="minorEastAsia" w:hAnsi="Arial" w:cs="Arial"/>
          <w:sz w:val="20"/>
          <w:szCs w:val="20"/>
        </w:rPr>
      </w:pPr>
    </w:p>
    <w:p w14:paraId="5C2C4614" w14:textId="77777777" w:rsidR="00EC1899" w:rsidRPr="00EC1899" w:rsidRDefault="00EC1899" w:rsidP="00EC1899">
      <w:pPr>
        <w:spacing w:after="160" w:line="360" w:lineRule="auto"/>
        <w:jc w:val="both"/>
        <w:rPr>
          <w:rFonts w:ascii="Arial" w:eastAsiaTheme="minorEastAsia" w:hAnsi="Arial" w:cs="Arial"/>
          <w:sz w:val="20"/>
          <w:szCs w:val="20"/>
        </w:rPr>
      </w:pPr>
    </w:p>
    <w:p w14:paraId="52B657FE" w14:textId="77777777" w:rsidR="003C7103" w:rsidRDefault="003C7103" w:rsidP="00F849E4">
      <w:pPr>
        <w:pStyle w:val="Descripcin"/>
        <w:jc w:val="center"/>
        <w:rPr>
          <w:rFonts w:ascii="Arial" w:eastAsiaTheme="minorEastAsia" w:hAnsi="Arial" w:cs="Arial"/>
          <w:color w:val="000000" w:themeColor="text1"/>
          <w:sz w:val="20"/>
          <w:szCs w:val="20"/>
          <w:lang w:val="es-CR" w:eastAsia="es-CR"/>
        </w:rPr>
      </w:pPr>
    </w:p>
    <w:p w14:paraId="019A26B1" w14:textId="424D4F81" w:rsidR="00F849E4" w:rsidRPr="00AE3D7B" w:rsidRDefault="00EC1899" w:rsidP="00F849E4">
      <w:pPr>
        <w:pStyle w:val="Descripcin"/>
        <w:jc w:val="center"/>
        <w:rPr>
          <w:rFonts w:ascii="Arial" w:hAnsi="Arial" w:cs="Arial"/>
          <w:b/>
          <w:bCs/>
          <w:i w:val="0"/>
          <w:iCs w:val="0"/>
          <w:color w:val="auto"/>
          <w:sz w:val="20"/>
          <w:szCs w:val="20"/>
          <w:lang w:val="es-ES_tradnl"/>
        </w:rPr>
      </w:pPr>
      <w:r w:rsidRPr="00EC1899">
        <w:rPr>
          <w:rFonts w:ascii="Arial" w:eastAsiaTheme="minorEastAsia" w:hAnsi="Arial" w:cs="Arial"/>
          <w:color w:val="000000" w:themeColor="text1"/>
          <w:sz w:val="20"/>
          <w:szCs w:val="20"/>
          <w:lang w:val="es-CR" w:eastAsia="es-CR"/>
        </w:rPr>
        <w:lastRenderedPageBreak/>
        <w:t xml:space="preserve"> </w:t>
      </w:r>
      <w:r w:rsidR="00F849E4" w:rsidRPr="00AE3D7B">
        <w:rPr>
          <w:rFonts w:ascii="Arial" w:hAnsi="Arial" w:cs="Arial"/>
          <w:b/>
          <w:bCs/>
          <w:i w:val="0"/>
          <w:iCs w:val="0"/>
          <w:color w:val="auto"/>
          <w:sz w:val="20"/>
          <w:szCs w:val="20"/>
        </w:rPr>
        <w:t xml:space="preserve">Cuadro  </w:t>
      </w:r>
      <w:r w:rsidR="00F849E4" w:rsidRPr="00AE3D7B">
        <w:rPr>
          <w:rFonts w:ascii="Arial" w:hAnsi="Arial" w:cs="Arial"/>
          <w:b/>
          <w:bCs/>
          <w:i w:val="0"/>
          <w:iCs w:val="0"/>
          <w:color w:val="auto"/>
          <w:sz w:val="20"/>
          <w:szCs w:val="20"/>
        </w:rPr>
        <w:fldChar w:fldCharType="begin"/>
      </w:r>
      <w:r w:rsidR="00F849E4" w:rsidRPr="00AE3D7B">
        <w:rPr>
          <w:rFonts w:ascii="Arial" w:hAnsi="Arial" w:cs="Arial"/>
          <w:b/>
          <w:bCs/>
          <w:i w:val="0"/>
          <w:iCs w:val="0"/>
          <w:color w:val="auto"/>
          <w:sz w:val="20"/>
          <w:szCs w:val="20"/>
        </w:rPr>
        <w:instrText xml:space="preserve"> SEQ cuadro_ \* ARABIC </w:instrText>
      </w:r>
      <w:r w:rsidR="00F849E4" w:rsidRPr="00AE3D7B">
        <w:rPr>
          <w:rFonts w:ascii="Arial" w:hAnsi="Arial" w:cs="Arial"/>
          <w:b/>
          <w:bCs/>
          <w:i w:val="0"/>
          <w:iCs w:val="0"/>
          <w:color w:val="auto"/>
          <w:sz w:val="20"/>
          <w:szCs w:val="20"/>
        </w:rPr>
        <w:fldChar w:fldCharType="separate"/>
      </w:r>
      <w:r w:rsidR="00F849E4">
        <w:rPr>
          <w:rFonts w:ascii="Arial" w:hAnsi="Arial" w:cs="Arial"/>
          <w:b/>
          <w:bCs/>
          <w:i w:val="0"/>
          <w:iCs w:val="0"/>
          <w:noProof/>
          <w:color w:val="auto"/>
          <w:sz w:val="20"/>
          <w:szCs w:val="20"/>
        </w:rPr>
        <w:t>38</w:t>
      </w:r>
      <w:r w:rsidR="00F849E4" w:rsidRPr="00AE3D7B">
        <w:rPr>
          <w:rFonts w:ascii="Arial" w:hAnsi="Arial" w:cs="Arial"/>
          <w:b/>
          <w:bCs/>
          <w:i w:val="0"/>
          <w:iCs w:val="0"/>
          <w:color w:val="auto"/>
          <w:sz w:val="20"/>
          <w:szCs w:val="20"/>
        </w:rPr>
        <w:fldChar w:fldCharType="end"/>
      </w:r>
    </w:p>
    <w:p w14:paraId="29895BB6" w14:textId="11CB10B2" w:rsidR="00EC1899" w:rsidRPr="00EC1899" w:rsidRDefault="00EC1899" w:rsidP="00EC1899">
      <w:pPr>
        <w:spacing w:line="360" w:lineRule="auto"/>
        <w:ind w:left="720"/>
        <w:jc w:val="center"/>
        <w:rPr>
          <w:rFonts w:ascii="Arial" w:eastAsiaTheme="minorEastAsia" w:hAnsi="Arial" w:cs="Arial"/>
          <w:b/>
          <w:bCs/>
          <w:color w:val="000000"/>
          <w:sz w:val="20"/>
          <w:szCs w:val="20"/>
          <w:lang w:val="es-CR" w:eastAsia="es-CR"/>
        </w:rPr>
      </w:pPr>
      <w:r w:rsidRPr="00EC1899">
        <w:rPr>
          <w:rFonts w:ascii="Arial" w:eastAsiaTheme="minorEastAsia" w:hAnsi="Arial" w:cs="Arial"/>
          <w:b/>
          <w:color w:val="000000" w:themeColor="text1"/>
          <w:sz w:val="20"/>
          <w:szCs w:val="20"/>
          <w:lang w:val="es-CR" w:eastAsia="es-CR"/>
        </w:rPr>
        <w:t>Indicadores.</w:t>
      </w:r>
      <w:r w:rsidRPr="00EC1899">
        <w:rPr>
          <w:rFonts w:ascii="Arial" w:eastAsiaTheme="minorEastAsia" w:hAnsi="Arial" w:cs="Arial"/>
          <w:color w:val="000000" w:themeColor="text1"/>
          <w:sz w:val="20"/>
          <w:szCs w:val="20"/>
          <w:lang w:val="es-CR" w:eastAsia="es-CR"/>
        </w:rPr>
        <w:t xml:space="preserve"> </w:t>
      </w:r>
      <w:r w:rsidRPr="00EC1899">
        <w:rPr>
          <w:rFonts w:ascii="Arial" w:eastAsiaTheme="minorEastAsia" w:hAnsi="Arial" w:cs="Arial"/>
          <w:b/>
          <w:sz w:val="20"/>
          <w:szCs w:val="20"/>
          <w:lang w:val="es-CR" w:eastAsia="es-CR"/>
        </w:rPr>
        <w:t xml:space="preserve">Acciones correctivas y fechas de implementación </w:t>
      </w:r>
    </w:p>
    <w:p w14:paraId="159024EB" w14:textId="445AE2FE" w:rsidR="00EC1899" w:rsidRPr="00EC1899" w:rsidRDefault="00EC1899" w:rsidP="00EC1899">
      <w:pPr>
        <w:spacing w:line="360" w:lineRule="auto"/>
        <w:jc w:val="center"/>
        <w:rPr>
          <w:rFonts w:ascii="Arial" w:eastAsiaTheme="minorEastAsia" w:hAnsi="Arial" w:cs="Arial"/>
          <w:sz w:val="20"/>
          <w:szCs w:val="20"/>
          <w:lang w:val="es-ES_tradnl"/>
        </w:rPr>
      </w:pPr>
      <w:r w:rsidRPr="00EC1899">
        <w:rPr>
          <w:rFonts w:ascii="Arial" w:eastAsiaTheme="minorEastAsia" w:hAnsi="Arial" w:cs="Arial"/>
          <w:sz w:val="20"/>
          <w:szCs w:val="20"/>
          <w:lang w:val="es-ES_tradnl"/>
        </w:rPr>
        <w:t>Programa 927</w:t>
      </w:r>
      <w:r w:rsidR="00B40A47">
        <w:rPr>
          <w:rFonts w:ascii="Arial" w:eastAsiaTheme="minorEastAsia" w:hAnsi="Arial" w:cs="Arial"/>
          <w:sz w:val="20"/>
          <w:szCs w:val="20"/>
          <w:lang w:val="es-ES_tradnl"/>
        </w:rPr>
        <w:t xml:space="preserve">Servicio Jurisdiccional </w:t>
      </w:r>
    </w:p>
    <w:p w14:paraId="55E51001" w14:textId="77777777" w:rsidR="00EC1899" w:rsidRPr="00EC1899" w:rsidRDefault="00EC1899" w:rsidP="00EC1899">
      <w:pPr>
        <w:spacing w:line="360" w:lineRule="auto"/>
        <w:jc w:val="center"/>
        <w:rPr>
          <w:rFonts w:ascii="Arial" w:eastAsiaTheme="minorEastAsia" w:hAnsi="Arial" w:cs="Arial"/>
          <w:color w:val="000000"/>
          <w:sz w:val="20"/>
          <w:szCs w:val="20"/>
          <w:lang w:val="es-CR" w:eastAsia="es-CR"/>
        </w:rPr>
      </w:pPr>
      <w:r w:rsidRPr="00EC1899">
        <w:rPr>
          <w:rFonts w:ascii="Arial" w:eastAsiaTheme="minorEastAsia" w:hAnsi="Arial" w:cs="Arial"/>
          <w:color w:val="000000"/>
          <w:sz w:val="20"/>
          <w:szCs w:val="20"/>
          <w:lang w:val="es-CR" w:eastAsia="es-CR"/>
        </w:rPr>
        <w:t>Cumplimiento menor al 90,00%</w:t>
      </w:r>
    </w:p>
    <w:p w14:paraId="4FA3DEE3" w14:textId="77777777" w:rsidR="00EC1899" w:rsidRPr="00EC1899" w:rsidRDefault="00EC1899" w:rsidP="00EC1899">
      <w:pPr>
        <w:spacing w:line="360" w:lineRule="auto"/>
        <w:jc w:val="center"/>
        <w:rPr>
          <w:rFonts w:ascii="Arial" w:eastAsiaTheme="minorEastAsia" w:hAnsi="Arial" w:cs="Arial"/>
          <w:color w:val="000000"/>
          <w:sz w:val="20"/>
          <w:szCs w:val="20"/>
          <w:lang w:val="es-CR" w:eastAsia="es-CR"/>
        </w:rPr>
      </w:pPr>
      <w:r w:rsidRPr="00EC1899">
        <w:rPr>
          <w:rFonts w:ascii="Arial" w:eastAsiaTheme="minorEastAsia" w:hAnsi="Arial" w:cs="Arial"/>
          <w:color w:val="000000"/>
          <w:sz w:val="20"/>
          <w:szCs w:val="20"/>
          <w:lang w:val="es-CR" w:eastAsia="es-CR"/>
        </w:rPr>
        <w:t>al 31 de diciembre 2021</w:t>
      </w:r>
    </w:p>
    <w:tbl>
      <w:tblPr>
        <w:tblStyle w:val="Listaclara-nfasis120"/>
        <w:tblW w:w="5441" w:type="pct"/>
        <w:tblLook w:val="00A0" w:firstRow="1" w:lastRow="0" w:firstColumn="1" w:lastColumn="0" w:noHBand="0" w:noVBand="0"/>
      </w:tblPr>
      <w:tblGrid>
        <w:gridCol w:w="1473"/>
        <w:gridCol w:w="1517"/>
        <w:gridCol w:w="1517"/>
        <w:gridCol w:w="2155"/>
        <w:gridCol w:w="1395"/>
        <w:gridCol w:w="1739"/>
      </w:tblGrid>
      <w:tr w:rsidR="00EC1899" w:rsidRPr="00EC1899" w14:paraId="43E71C7E"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30" w:type="pct"/>
            <w:vAlign w:val="center"/>
          </w:tcPr>
          <w:p w14:paraId="5CAA9337" w14:textId="77777777" w:rsidR="00EC1899" w:rsidRPr="00EC1899" w:rsidRDefault="00EC1899" w:rsidP="00EC1899">
            <w:pPr>
              <w:spacing w:line="360" w:lineRule="auto"/>
              <w:contextualSpacing/>
              <w:jc w:val="center"/>
              <w:rPr>
                <w:rFonts w:ascii="Arial" w:hAnsi="Arial" w:cs="Arial"/>
                <w:bCs w:val="0"/>
                <w:sz w:val="20"/>
                <w:szCs w:val="20"/>
                <w:lang w:val="es-CR"/>
              </w:rPr>
            </w:pPr>
            <w:r w:rsidRPr="00EC1899">
              <w:rPr>
                <w:rFonts w:ascii="Arial" w:hAnsi="Arial" w:cs="Arial"/>
                <w:sz w:val="20"/>
                <w:szCs w:val="20"/>
                <w:lang w:val="es-CR"/>
              </w:rPr>
              <w:t>Nombre del Indicador</w:t>
            </w:r>
          </w:p>
        </w:tc>
        <w:tc>
          <w:tcPr>
            <w:cnfStyle w:val="000010000000" w:firstRow="0" w:lastRow="0" w:firstColumn="0" w:lastColumn="0" w:oddVBand="1" w:evenVBand="0" w:oddHBand="0" w:evenHBand="0" w:firstRowFirstColumn="0" w:firstRowLastColumn="0" w:lastRowFirstColumn="0" w:lastRowLastColumn="0"/>
            <w:tcW w:w="751" w:type="pct"/>
            <w:vAlign w:val="center"/>
          </w:tcPr>
          <w:p w14:paraId="16DE7C46" w14:textId="77777777" w:rsidR="00EC1899" w:rsidRPr="00EC1899" w:rsidRDefault="00EC1899" w:rsidP="00EC1899">
            <w:pPr>
              <w:spacing w:line="360" w:lineRule="auto"/>
              <w:contextualSpacing/>
              <w:jc w:val="center"/>
              <w:rPr>
                <w:rFonts w:ascii="Arial" w:hAnsi="Arial" w:cs="Arial"/>
                <w:sz w:val="20"/>
                <w:szCs w:val="20"/>
                <w:lang w:val="es-CR"/>
              </w:rPr>
            </w:pPr>
            <w:r w:rsidRPr="00EC1899">
              <w:rPr>
                <w:rFonts w:ascii="Arial" w:hAnsi="Arial" w:cs="Arial"/>
                <w:sz w:val="20"/>
                <w:szCs w:val="20"/>
                <w:lang w:val="es-CR"/>
              </w:rPr>
              <w:t>Nivel de cumplimiento</w:t>
            </w:r>
          </w:p>
        </w:tc>
        <w:tc>
          <w:tcPr>
            <w:tcW w:w="751" w:type="pct"/>
            <w:vAlign w:val="center"/>
          </w:tcPr>
          <w:p w14:paraId="7052545B" w14:textId="77777777" w:rsidR="00EC1899" w:rsidRPr="00EC1899" w:rsidRDefault="00EC1899" w:rsidP="00EC189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EC1899">
              <w:rPr>
                <w:rFonts w:ascii="Arial" w:hAnsi="Arial" w:cs="Arial"/>
                <w:sz w:val="20"/>
                <w:szCs w:val="20"/>
                <w:lang w:val="es-CR"/>
              </w:rPr>
              <w:t>Factores que inciden en el cumplimiento</w:t>
            </w:r>
          </w:p>
        </w:tc>
        <w:tc>
          <w:tcPr>
            <w:cnfStyle w:val="000010000000" w:firstRow="0" w:lastRow="0" w:firstColumn="0" w:lastColumn="0" w:oddVBand="1" w:evenVBand="0" w:oddHBand="0" w:evenHBand="0" w:firstRowFirstColumn="0" w:firstRowLastColumn="0" w:lastRowFirstColumn="0" w:lastRowLastColumn="0"/>
            <w:tcW w:w="1217" w:type="pct"/>
            <w:vAlign w:val="center"/>
          </w:tcPr>
          <w:p w14:paraId="217B197A" w14:textId="77777777" w:rsidR="00EC1899" w:rsidRPr="00EC1899" w:rsidRDefault="00EC1899" w:rsidP="00EC1899">
            <w:pPr>
              <w:spacing w:line="360" w:lineRule="auto"/>
              <w:contextualSpacing/>
              <w:jc w:val="center"/>
              <w:rPr>
                <w:rFonts w:ascii="Arial" w:hAnsi="Arial" w:cs="Arial"/>
                <w:sz w:val="20"/>
                <w:szCs w:val="20"/>
                <w:lang w:val="es-CR"/>
              </w:rPr>
            </w:pPr>
            <w:r w:rsidRPr="00EC1899">
              <w:rPr>
                <w:rFonts w:ascii="Arial" w:hAnsi="Arial" w:cs="Arial"/>
                <w:sz w:val="20"/>
                <w:szCs w:val="20"/>
                <w:lang w:val="es-CR"/>
              </w:rPr>
              <w:t xml:space="preserve">Acciones correctivas </w:t>
            </w:r>
            <w:r w:rsidRPr="00EC1899">
              <w:rPr>
                <w:rFonts w:ascii="Arial" w:hAnsi="Arial" w:cs="Arial"/>
                <w:sz w:val="20"/>
                <w:szCs w:val="20"/>
                <w:vertAlign w:val="superscript"/>
                <w:lang w:val="es-CR"/>
              </w:rPr>
              <w:t>/1</w:t>
            </w:r>
          </w:p>
        </w:tc>
        <w:tc>
          <w:tcPr>
            <w:tcW w:w="769" w:type="pct"/>
            <w:vAlign w:val="center"/>
          </w:tcPr>
          <w:p w14:paraId="0A8D1EE3" w14:textId="77777777" w:rsidR="00EC1899" w:rsidRPr="00EC1899" w:rsidRDefault="00EC1899" w:rsidP="00EC189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EC1899">
              <w:rPr>
                <w:rFonts w:ascii="Arial" w:hAnsi="Arial" w:cs="Arial"/>
                <w:sz w:val="20"/>
                <w:szCs w:val="20"/>
                <w:lang w:val="es-CR"/>
              </w:rPr>
              <w:t xml:space="preserve">Persona responsable de brindar la información </w:t>
            </w:r>
          </w:p>
        </w:tc>
        <w:tc>
          <w:tcPr>
            <w:cnfStyle w:val="000010000000" w:firstRow="0" w:lastRow="0" w:firstColumn="0" w:lastColumn="0" w:oddVBand="1" w:evenVBand="0" w:oddHBand="0" w:evenHBand="0" w:firstRowFirstColumn="0" w:firstRowLastColumn="0" w:lastRowFirstColumn="0" w:lastRowLastColumn="0"/>
            <w:tcW w:w="783" w:type="pct"/>
            <w:vAlign w:val="center"/>
          </w:tcPr>
          <w:p w14:paraId="62E69B77" w14:textId="77777777" w:rsidR="00EC1899" w:rsidRPr="00EC1899" w:rsidRDefault="00EC1899" w:rsidP="00EC1899">
            <w:pPr>
              <w:spacing w:line="360" w:lineRule="auto"/>
              <w:contextualSpacing/>
              <w:jc w:val="center"/>
              <w:rPr>
                <w:rFonts w:ascii="Arial" w:hAnsi="Arial" w:cs="Arial"/>
                <w:bCs w:val="0"/>
                <w:sz w:val="20"/>
                <w:szCs w:val="20"/>
                <w:lang w:val="es-CR"/>
              </w:rPr>
            </w:pPr>
            <w:r w:rsidRPr="00EC1899">
              <w:rPr>
                <w:rFonts w:ascii="Arial" w:hAnsi="Arial" w:cs="Arial"/>
                <w:sz w:val="20"/>
                <w:szCs w:val="20"/>
                <w:lang w:val="es-CR"/>
              </w:rPr>
              <w:t xml:space="preserve">Fecha de implementación </w:t>
            </w:r>
            <w:r w:rsidRPr="00EC1899">
              <w:rPr>
                <w:rFonts w:ascii="Arial" w:hAnsi="Arial" w:cs="Arial"/>
                <w:sz w:val="20"/>
                <w:szCs w:val="20"/>
                <w:vertAlign w:val="superscript"/>
                <w:lang w:val="es-CR"/>
              </w:rPr>
              <w:t>/2</w:t>
            </w:r>
          </w:p>
        </w:tc>
      </w:tr>
      <w:tr w:rsidR="00EC1899" w:rsidRPr="00EC1899" w14:paraId="017F4E22"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30" w:type="pct"/>
            <w:vAlign w:val="center"/>
          </w:tcPr>
          <w:p w14:paraId="143CD5B5" w14:textId="77777777" w:rsidR="00EC1899" w:rsidRPr="00EC1899" w:rsidRDefault="00EC1899" w:rsidP="00EC1899">
            <w:pPr>
              <w:spacing w:line="360" w:lineRule="auto"/>
              <w:contextualSpacing/>
              <w:jc w:val="both"/>
              <w:rPr>
                <w:rFonts w:ascii="Arial" w:hAnsi="Arial" w:cs="Arial"/>
                <w:b w:val="0"/>
                <w:bCs w:val="0"/>
                <w:color w:val="C00000"/>
                <w:sz w:val="20"/>
                <w:szCs w:val="20"/>
                <w:lang w:val="es-CR"/>
              </w:rPr>
            </w:pPr>
            <w:r w:rsidRPr="00EC1899">
              <w:rPr>
                <w:rFonts w:ascii="Arial" w:hAnsi="Arial" w:cs="Arial"/>
                <w:b w:val="0"/>
                <w:bCs w:val="0"/>
                <w:sz w:val="20"/>
                <w:szCs w:val="20"/>
              </w:rPr>
              <w:t>P.01.06 Porcentaje de asuntos judiciales de la materia Penal resueltos por el procedimiento de Flagrancias</w:t>
            </w:r>
          </w:p>
        </w:tc>
        <w:tc>
          <w:tcPr>
            <w:cnfStyle w:val="000010000000" w:firstRow="0" w:lastRow="0" w:firstColumn="0" w:lastColumn="0" w:oddVBand="1" w:evenVBand="0" w:oddHBand="0" w:evenHBand="0" w:firstRowFirstColumn="0" w:firstRowLastColumn="0" w:lastRowFirstColumn="0" w:lastRowLastColumn="0"/>
            <w:tcW w:w="751" w:type="pct"/>
            <w:vAlign w:val="center"/>
          </w:tcPr>
          <w:p w14:paraId="7CDF429D" w14:textId="77777777" w:rsidR="00EC1899" w:rsidRPr="00EC1899" w:rsidRDefault="00EC1899" w:rsidP="00EC1899">
            <w:pPr>
              <w:spacing w:line="360" w:lineRule="auto"/>
              <w:jc w:val="center"/>
              <w:rPr>
                <w:rFonts w:ascii="Arial" w:hAnsi="Arial" w:cs="Arial"/>
                <w:bCs/>
                <w:sz w:val="20"/>
                <w:szCs w:val="20"/>
                <w:lang w:val="es-CR"/>
              </w:rPr>
            </w:pPr>
            <w:r w:rsidRPr="00EC1899">
              <w:rPr>
                <w:rFonts w:ascii="Arial" w:hAnsi="Arial" w:cs="Arial"/>
                <w:bCs/>
                <w:sz w:val="20"/>
                <w:szCs w:val="20"/>
                <w:lang w:val="es-CR"/>
              </w:rPr>
              <w:t>47,40%</w:t>
            </w:r>
          </w:p>
        </w:tc>
        <w:tc>
          <w:tcPr>
            <w:tcW w:w="751" w:type="pct"/>
            <w:vAlign w:val="center"/>
          </w:tcPr>
          <w:p w14:paraId="1C0B7447" w14:textId="77777777" w:rsidR="00EC1899" w:rsidRPr="00EC1899" w:rsidRDefault="00EC1899" w:rsidP="00EC189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EC1899">
              <w:rPr>
                <w:rFonts w:ascii="Arial" w:hAnsi="Arial" w:cs="Arial"/>
                <w:sz w:val="20"/>
                <w:szCs w:val="20"/>
                <w:bdr w:val="none" w:sz="0" w:space="0" w:color="auto" w:frame="1"/>
              </w:rPr>
              <w:t>10) Otro: Baja carga de asuntos entrados por la vía de Flagrancia lo que provoca que el recurso brinde apoyo a los Tribunales Ordinarios para compensar las cuotas de tramitación.</w:t>
            </w:r>
          </w:p>
        </w:tc>
        <w:tc>
          <w:tcPr>
            <w:cnfStyle w:val="000010000000" w:firstRow="0" w:lastRow="0" w:firstColumn="0" w:lastColumn="0" w:oddVBand="1" w:evenVBand="0" w:oddHBand="0" w:evenHBand="0" w:firstRowFirstColumn="0" w:firstRowLastColumn="0" w:lastRowFirstColumn="0" w:lastRowLastColumn="0"/>
            <w:tcW w:w="1217" w:type="pct"/>
            <w:vAlign w:val="center"/>
          </w:tcPr>
          <w:p w14:paraId="7E78895A" w14:textId="77777777" w:rsidR="00EC1899" w:rsidRPr="00EC1899" w:rsidRDefault="00EC1899" w:rsidP="00BE5AA1">
            <w:pPr>
              <w:numPr>
                <w:ilvl w:val="0"/>
                <w:numId w:val="26"/>
              </w:numPr>
              <w:spacing w:line="360" w:lineRule="auto"/>
              <w:contextualSpacing/>
              <w:jc w:val="both"/>
              <w:rPr>
                <w:rFonts w:ascii="Arial" w:hAnsi="Arial" w:cs="Arial"/>
                <w:sz w:val="20"/>
                <w:szCs w:val="20"/>
                <w:lang w:eastAsia="es-CR"/>
              </w:rPr>
            </w:pPr>
            <w:r w:rsidRPr="00EC1899">
              <w:rPr>
                <w:rFonts w:ascii="Arial" w:hAnsi="Arial" w:cs="Arial"/>
                <w:sz w:val="20"/>
                <w:szCs w:val="20"/>
                <w:lang w:eastAsia="es-CR"/>
              </w:rPr>
              <w:t xml:space="preserve">Corregir el porcentaje para que sea en función del promedio de terminados de los últimos años. Para los efectos se realizó el cálculo de los últimos 5 años y el porcentaje promedio de los asuntos judiciales de la materia Penal resueltos por el procedimiento de Flagrancia que es del 35%. </w:t>
            </w:r>
          </w:p>
          <w:p w14:paraId="713A3F6C" w14:textId="77777777" w:rsidR="00EC1899" w:rsidRPr="00EC1899" w:rsidRDefault="00EC1899" w:rsidP="00EC1899">
            <w:pPr>
              <w:spacing w:line="360" w:lineRule="auto"/>
              <w:ind w:left="360"/>
              <w:contextualSpacing/>
              <w:jc w:val="both"/>
              <w:rPr>
                <w:rFonts w:ascii="Arial" w:hAnsi="Arial" w:cs="Arial"/>
                <w:sz w:val="20"/>
                <w:szCs w:val="20"/>
                <w:lang w:eastAsia="es-CR"/>
              </w:rPr>
            </w:pPr>
          </w:p>
          <w:p w14:paraId="62A00AA4" w14:textId="77777777" w:rsidR="00EC1899" w:rsidRPr="00EC1899" w:rsidRDefault="00EC1899" w:rsidP="00BE5AA1">
            <w:pPr>
              <w:numPr>
                <w:ilvl w:val="0"/>
                <w:numId w:val="26"/>
              </w:numPr>
              <w:spacing w:line="360" w:lineRule="auto"/>
              <w:contextualSpacing/>
              <w:jc w:val="both"/>
              <w:rPr>
                <w:rFonts w:ascii="Arial" w:hAnsi="Arial" w:cs="Arial"/>
                <w:i/>
                <w:iCs/>
                <w:sz w:val="20"/>
                <w:szCs w:val="20"/>
                <w:lang w:eastAsia="es-CR"/>
              </w:rPr>
            </w:pPr>
            <w:r w:rsidRPr="00EC1899">
              <w:rPr>
                <w:rFonts w:ascii="Arial" w:hAnsi="Arial" w:cs="Arial"/>
                <w:sz w:val="20"/>
                <w:szCs w:val="20"/>
                <w:lang w:eastAsia="es-CR"/>
              </w:rPr>
              <w:t xml:space="preserve">La Dirección de Planificación ha realizado planes </w:t>
            </w:r>
            <w:r w:rsidRPr="00EC1899">
              <w:rPr>
                <w:rFonts w:ascii="Arial" w:hAnsi="Arial" w:cs="Arial"/>
                <w:sz w:val="20"/>
                <w:szCs w:val="20"/>
                <w:lang w:eastAsia="es-CR"/>
              </w:rPr>
              <w:lastRenderedPageBreak/>
              <w:t xml:space="preserve">de trabajo con personal de flagrancia para poder maximizar la capacidad que tienen ese personal y dar soporte a las estructuras ordinarias, en ese sentido, la Corte Plena en sesión N° 27-2021 celebrada el 30 de junio de 2021 artículo II, conoció el informe 706-PLA-MI-2021  relacionado con los resultados del seguimiento mensual de la materia penal, durante la atención de la emergencia COVID-19, de febrero  a abril </w:t>
            </w:r>
            <w:r w:rsidRPr="00EC1899">
              <w:rPr>
                <w:rFonts w:ascii="Arial" w:hAnsi="Arial" w:cs="Arial"/>
                <w:sz w:val="20"/>
                <w:szCs w:val="20"/>
                <w:lang w:eastAsia="es-CR"/>
              </w:rPr>
              <w:lastRenderedPageBreak/>
              <w:t>2021 y aprobó las recomendaciones ahí plasmadas, para el caso que nos ocupa:</w:t>
            </w:r>
          </w:p>
          <w:p w14:paraId="30C531E3" w14:textId="77777777" w:rsidR="00EC1899" w:rsidRPr="00EC1899" w:rsidRDefault="00EC1899" w:rsidP="00EC1899">
            <w:pPr>
              <w:ind w:left="720"/>
              <w:contextualSpacing/>
              <w:rPr>
                <w:rFonts w:ascii="Arial" w:hAnsi="Arial" w:cs="Arial"/>
                <w:sz w:val="20"/>
                <w:szCs w:val="20"/>
                <w:lang w:eastAsia="es-CR"/>
              </w:rPr>
            </w:pPr>
          </w:p>
          <w:p w14:paraId="1817920E" w14:textId="77777777" w:rsidR="00EC1899" w:rsidRPr="00EC1899" w:rsidRDefault="00EC1899" w:rsidP="00EC1899">
            <w:pPr>
              <w:spacing w:line="360" w:lineRule="auto"/>
              <w:ind w:left="360"/>
              <w:contextualSpacing/>
              <w:jc w:val="both"/>
              <w:rPr>
                <w:rFonts w:ascii="Arial" w:hAnsi="Arial" w:cs="Arial"/>
                <w:i/>
                <w:iCs/>
                <w:sz w:val="20"/>
                <w:szCs w:val="20"/>
                <w:lang w:eastAsia="es-CR"/>
              </w:rPr>
            </w:pPr>
            <w:r w:rsidRPr="00EC1899">
              <w:rPr>
                <w:rFonts w:ascii="Arial" w:hAnsi="Arial" w:cs="Arial"/>
                <w:sz w:val="20"/>
                <w:szCs w:val="20"/>
                <w:lang w:eastAsia="es-CR"/>
              </w:rPr>
              <w:t>“</w:t>
            </w:r>
            <w:r w:rsidRPr="00EC1899">
              <w:rPr>
                <w:rFonts w:ascii="Arial" w:hAnsi="Arial" w:cs="Arial"/>
                <w:i/>
                <w:iCs/>
                <w:sz w:val="20"/>
                <w:szCs w:val="20"/>
                <w:lang w:eastAsia="es-CR"/>
              </w:rPr>
              <w:t xml:space="preserve">En vista de que las Secciones de Flagrancia de los Tribunales Penales según el cumplimiento de los parámetros de producción no tienen con su carga de trabajo actual la posibilidad de estar exclusivamente atendiendo temas de flagrancia, deberán dar soporte a los Tribunales Penales Ordinarios en cualquier tipo de delito, sean </w:t>
            </w:r>
            <w:r w:rsidRPr="00EC1899">
              <w:rPr>
                <w:rFonts w:ascii="Arial" w:hAnsi="Arial" w:cs="Arial"/>
                <w:i/>
                <w:iCs/>
                <w:sz w:val="20"/>
                <w:szCs w:val="20"/>
                <w:lang w:eastAsia="es-CR"/>
              </w:rPr>
              <w:lastRenderedPageBreak/>
              <w:t xml:space="preserve">juicios colegiados o unipersonales porque son parte de un único Tribunal y pueden desarrollar cualquier tipo de juicio, bajo la coordinación de la persona juzgadora que coordina el Tribunal Ordinario, siempre y cuando no se afecte el servicio público de flagrancia, respetando los análisis de capacidad instalada de cada zona geográfico según las cuotas de producción. En base a este nuevo criterio se modificarían los parámetros </w:t>
            </w:r>
            <w:r w:rsidRPr="00EC1899">
              <w:rPr>
                <w:rFonts w:ascii="Arial" w:hAnsi="Arial" w:cs="Arial"/>
                <w:i/>
                <w:iCs/>
                <w:sz w:val="20"/>
                <w:szCs w:val="20"/>
                <w:lang w:eastAsia="es-CR"/>
              </w:rPr>
              <w:lastRenderedPageBreak/>
              <w:t xml:space="preserve">establecidos previamente por la Dirección de Planificación en los informes técnicos 330 y 749 PLA-OI-2019, los cuales limitaban a expedientes muy específicos el soporte de flagrancia.” </w:t>
            </w:r>
          </w:p>
          <w:p w14:paraId="5B4AEC97" w14:textId="77777777" w:rsidR="00EC1899" w:rsidRPr="00EC1899" w:rsidRDefault="00EC1899" w:rsidP="00EC1899">
            <w:pPr>
              <w:spacing w:line="360" w:lineRule="auto"/>
              <w:ind w:left="360"/>
              <w:contextualSpacing/>
              <w:jc w:val="both"/>
              <w:rPr>
                <w:rFonts w:ascii="Arial" w:hAnsi="Arial" w:cs="Arial"/>
                <w:sz w:val="20"/>
                <w:szCs w:val="20"/>
                <w:lang w:eastAsia="es-CR"/>
              </w:rPr>
            </w:pPr>
          </w:p>
          <w:p w14:paraId="64633DF6" w14:textId="77777777" w:rsidR="00EC1899" w:rsidRPr="00EC1899" w:rsidRDefault="00EC1899" w:rsidP="00EC1899">
            <w:pPr>
              <w:spacing w:line="360" w:lineRule="auto"/>
              <w:contextualSpacing/>
              <w:jc w:val="both"/>
              <w:rPr>
                <w:rFonts w:ascii="Arial" w:hAnsi="Arial" w:cs="Arial"/>
                <w:sz w:val="20"/>
                <w:szCs w:val="20"/>
                <w:lang w:eastAsia="es-CR"/>
              </w:rPr>
            </w:pPr>
            <w:r w:rsidRPr="00EC1899">
              <w:rPr>
                <w:rFonts w:ascii="Arial" w:hAnsi="Arial" w:cs="Arial"/>
                <w:sz w:val="20"/>
                <w:szCs w:val="20"/>
                <w:lang w:eastAsia="es-CR"/>
              </w:rPr>
              <w:t xml:space="preserve">Con lo anterior, se apertura la posibilidad de que las colaboraciones del Flagrancia al ordinario se den para cualquier tipo de expediente, sea colegiado o unipersonal. </w:t>
            </w:r>
          </w:p>
          <w:p w14:paraId="4E4CEFCA" w14:textId="77777777" w:rsidR="00EC1899" w:rsidRPr="00EC1899" w:rsidRDefault="00EC1899" w:rsidP="00EC1899">
            <w:pPr>
              <w:spacing w:line="360" w:lineRule="auto"/>
              <w:ind w:left="360"/>
              <w:contextualSpacing/>
              <w:jc w:val="both"/>
              <w:rPr>
                <w:rFonts w:ascii="Arial" w:hAnsi="Arial" w:cs="Arial"/>
                <w:sz w:val="20"/>
                <w:szCs w:val="20"/>
                <w:lang w:eastAsia="es-CR"/>
              </w:rPr>
            </w:pPr>
          </w:p>
          <w:p w14:paraId="78980806" w14:textId="77777777" w:rsidR="00EC1899" w:rsidRPr="00EC1899" w:rsidRDefault="00EC1899" w:rsidP="00BE5AA1">
            <w:pPr>
              <w:numPr>
                <w:ilvl w:val="0"/>
                <w:numId w:val="26"/>
              </w:numPr>
              <w:spacing w:line="360" w:lineRule="auto"/>
              <w:contextualSpacing/>
              <w:jc w:val="both"/>
              <w:rPr>
                <w:rFonts w:ascii="Arial" w:hAnsi="Arial" w:cs="Arial"/>
                <w:sz w:val="20"/>
                <w:szCs w:val="20"/>
                <w:lang w:eastAsia="es-CR"/>
              </w:rPr>
            </w:pPr>
            <w:r w:rsidRPr="00EC1899">
              <w:rPr>
                <w:rFonts w:ascii="Arial" w:hAnsi="Arial" w:cs="Arial"/>
                <w:sz w:val="20"/>
                <w:szCs w:val="20"/>
                <w:lang w:eastAsia="es-CR"/>
              </w:rPr>
              <w:t xml:space="preserve">Seguimiento a la Circular 25-ADM-2019 de la fiscalía general de la </w:t>
            </w:r>
            <w:r w:rsidRPr="00EC1899">
              <w:rPr>
                <w:rFonts w:ascii="Arial" w:hAnsi="Arial" w:cs="Arial"/>
                <w:sz w:val="20"/>
                <w:szCs w:val="20"/>
                <w:lang w:eastAsia="es-CR"/>
              </w:rPr>
              <w:lastRenderedPageBreak/>
              <w:t>República. Con el objetivo de aumentar las cargas de trabajo en los Tribunales y Secciones de Flagrancia, se ha dado seguimiento a la circular 25-ADM-2019 de la fiscalía general de la República, donde se establece que, los delitos de Conducción Temeraria, Incumplimiento de Medidas de Protección, Desobediencia, y Portación y Tenencia Ilícita de Arma.</w:t>
            </w:r>
          </w:p>
          <w:p w14:paraId="7B78C0BE" w14:textId="77777777" w:rsidR="00EC1899" w:rsidRPr="00EC1899" w:rsidRDefault="00EC1899" w:rsidP="00EC1899">
            <w:pPr>
              <w:spacing w:line="360" w:lineRule="auto"/>
              <w:ind w:left="360"/>
              <w:contextualSpacing/>
              <w:jc w:val="both"/>
              <w:rPr>
                <w:rFonts w:ascii="Arial" w:hAnsi="Arial" w:cs="Arial"/>
                <w:sz w:val="20"/>
                <w:szCs w:val="20"/>
                <w:lang w:eastAsia="es-CR"/>
              </w:rPr>
            </w:pPr>
          </w:p>
          <w:p w14:paraId="62872EE2" w14:textId="77777777" w:rsidR="00EC1899" w:rsidRPr="00EC1899" w:rsidRDefault="00EC1899" w:rsidP="00BE5AA1">
            <w:pPr>
              <w:numPr>
                <w:ilvl w:val="0"/>
                <w:numId w:val="26"/>
              </w:numPr>
              <w:spacing w:line="360" w:lineRule="auto"/>
              <w:contextualSpacing/>
              <w:jc w:val="both"/>
              <w:rPr>
                <w:rFonts w:ascii="Arial" w:hAnsi="Arial" w:cs="Arial"/>
                <w:sz w:val="20"/>
                <w:szCs w:val="20"/>
                <w:lang w:eastAsia="es-CR"/>
              </w:rPr>
            </w:pPr>
            <w:r w:rsidRPr="00EC1899">
              <w:rPr>
                <w:rFonts w:ascii="Arial" w:hAnsi="Arial" w:cs="Arial"/>
                <w:sz w:val="20"/>
                <w:szCs w:val="20"/>
                <w:lang w:eastAsia="es-CR"/>
              </w:rPr>
              <w:t xml:space="preserve">Implementación de Matriz de Indicadores en los 14 despachos </w:t>
            </w:r>
            <w:r w:rsidRPr="00EC1899">
              <w:rPr>
                <w:rFonts w:ascii="Arial" w:hAnsi="Arial" w:cs="Arial"/>
                <w:sz w:val="20"/>
                <w:szCs w:val="20"/>
                <w:lang w:eastAsia="es-CR"/>
              </w:rPr>
              <w:lastRenderedPageBreak/>
              <w:t>de flagrancia, lo que permite dar un mayor seguimiento a las cargas de trabajo y a los cumplimientos de cuotas.</w:t>
            </w:r>
          </w:p>
          <w:p w14:paraId="771E89A9" w14:textId="77777777" w:rsidR="00EC1899" w:rsidRPr="00EC1899" w:rsidRDefault="00EC1899" w:rsidP="00EC1899">
            <w:pPr>
              <w:ind w:left="720"/>
              <w:contextualSpacing/>
              <w:rPr>
                <w:rFonts w:ascii="Arial" w:hAnsi="Arial" w:cs="Arial"/>
                <w:sz w:val="20"/>
                <w:szCs w:val="20"/>
                <w:lang w:eastAsia="es-CR"/>
              </w:rPr>
            </w:pPr>
          </w:p>
          <w:p w14:paraId="6994185F" w14:textId="77777777" w:rsidR="00EC1899" w:rsidRPr="00EC1899" w:rsidRDefault="00EC1899" w:rsidP="00BE5AA1">
            <w:pPr>
              <w:numPr>
                <w:ilvl w:val="0"/>
                <w:numId w:val="26"/>
              </w:numPr>
              <w:spacing w:line="360" w:lineRule="auto"/>
              <w:contextualSpacing/>
              <w:jc w:val="both"/>
              <w:rPr>
                <w:rFonts w:ascii="Arial" w:hAnsi="Arial" w:cs="Arial"/>
                <w:sz w:val="20"/>
                <w:szCs w:val="20"/>
                <w:lang w:eastAsia="es-CR"/>
              </w:rPr>
            </w:pPr>
            <w:r w:rsidRPr="00EC1899">
              <w:rPr>
                <w:rFonts w:ascii="Arial" w:hAnsi="Arial" w:cs="Arial"/>
                <w:sz w:val="20"/>
                <w:szCs w:val="20"/>
                <w:lang w:eastAsia="es-CR"/>
              </w:rPr>
              <w:t xml:space="preserve">Ampliación de la Franja Horaria y/o modificación de jornadas laborales, lo que permite la captación de una mayor cantidad de asuntos para ser tramitados por el proceso expedito de Flagrancia. </w:t>
            </w:r>
          </w:p>
        </w:tc>
        <w:tc>
          <w:tcPr>
            <w:tcW w:w="769" w:type="pct"/>
            <w:vAlign w:val="center"/>
          </w:tcPr>
          <w:p w14:paraId="7177D7A4" w14:textId="77777777" w:rsidR="00EC1899" w:rsidRPr="00EC1899" w:rsidRDefault="00EC1899" w:rsidP="00EC189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EC1899">
              <w:rPr>
                <w:rFonts w:ascii="Arial" w:hAnsi="Arial" w:cs="Arial"/>
                <w:bCs/>
                <w:sz w:val="20"/>
                <w:szCs w:val="20"/>
                <w:lang w:val="es-CR"/>
              </w:rPr>
              <w:lastRenderedPageBreak/>
              <w:t>Jorge Fernando Rodríguez Salazar</w:t>
            </w:r>
          </w:p>
        </w:tc>
        <w:tc>
          <w:tcPr>
            <w:cnfStyle w:val="000010000000" w:firstRow="0" w:lastRow="0" w:firstColumn="0" w:lastColumn="0" w:oddVBand="1" w:evenVBand="0" w:oddHBand="0" w:evenHBand="0" w:firstRowFirstColumn="0" w:firstRowLastColumn="0" w:lastRowFirstColumn="0" w:lastRowLastColumn="0"/>
            <w:tcW w:w="783" w:type="pct"/>
            <w:vAlign w:val="center"/>
          </w:tcPr>
          <w:p w14:paraId="1D989455" w14:textId="77777777" w:rsidR="00EC1899" w:rsidRPr="00EC1899" w:rsidRDefault="00EC1899" w:rsidP="00EC1899">
            <w:pPr>
              <w:spacing w:line="360" w:lineRule="auto"/>
              <w:contextualSpacing/>
              <w:jc w:val="center"/>
              <w:rPr>
                <w:rFonts w:ascii="Arial" w:hAnsi="Arial" w:cs="Arial"/>
                <w:bCs/>
                <w:sz w:val="20"/>
                <w:szCs w:val="20"/>
                <w:lang w:val="es-CR"/>
              </w:rPr>
            </w:pPr>
            <w:r w:rsidRPr="00EC1899">
              <w:rPr>
                <w:rFonts w:ascii="Arial" w:hAnsi="Arial" w:cs="Arial"/>
                <w:bCs/>
                <w:sz w:val="20"/>
                <w:szCs w:val="20"/>
                <w:lang w:val="es-CR"/>
              </w:rPr>
              <w:t>03/01/22 *</w:t>
            </w:r>
          </w:p>
        </w:tc>
      </w:tr>
    </w:tbl>
    <w:p w14:paraId="0BE52C3F" w14:textId="77777777" w:rsidR="00EC1899" w:rsidRPr="00EC1899" w:rsidRDefault="00EC1899" w:rsidP="00EC1899">
      <w:pPr>
        <w:jc w:val="both"/>
        <w:rPr>
          <w:rFonts w:ascii="Arial" w:eastAsiaTheme="minorEastAsia" w:hAnsi="Arial" w:cs="Arial"/>
          <w:b/>
          <w:sz w:val="16"/>
          <w:szCs w:val="16"/>
          <w:lang w:val="es-CR"/>
        </w:rPr>
      </w:pPr>
      <w:r w:rsidRPr="00EC1899">
        <w:rPr>
          <w:rFonts w:ascii="Arial" w:eastAsiaTheme="minorEastAsia" w:hAnsi="Arial" w:cs="Arial"/>
          <w:b/>
          <w:sz w:val="16"/>
          <w:szCs w:val="16"/>
          <w:lang w:val="es-CR"/>
        </w:rPr>
        <w:lastRenderedPageBreak/>
        <w:t xml:space="preserve">Fuente: </w:t>
      </w:r>
      <w:r w:rsidRPr="00EC1899">
        <w:rPr>
          <w:rFonts w:ascii="Arial" w:eastAsiaTheme="minorEastAsia" w:hAnsi="Arial" w:cs="Arial"/>
          <w:sz w:val="16"/>
          <w:szCs w:val="16"/>
          <w:lang w:val="es-CR"/>
        </w:rPr>
        <w:t>Subproceso de Modernización Institucional de la Dirección de Planificación.</w:t>
      </w:r>
    </w:p>
    <w:p w14:paraId="71DF21B6" w14:textId="77777777" w:rsidR="00EC1899" w:rsidRPr="00EC1899" w:rsidRDefault="00EC1899" w:rsidP="00EC1899">
      <w:pPr>
        <w:jc w:val="both"/>
        <w:rPr>
          <w:rFonts w:ascii="Arial" w:eastAsiaTheme="minorEastAsia" w:hAnsi="Arial" w:cs="Arial"/>
          <w:sz w:val="16"/>
          <w:szCs w:val="16"/>
          <w:lang w:val="es-ES_tradnl"/>
        </w:rPr>
      </w:pPr>
      <w:r w:rsidRPr="00EC1899">
        <w:rPr>
          <w:rFonts w:ascii="Arial" w:eastAsiaTheme="minorEastAsia" w:hAnsi="Arial" w:cs="Arial"/>
          <w:sz w:val="16"/>
          <w:szCs w:val="16"/>
          <w:lang w:val="es-ES_tradnl"/>
        </w:rPr>
        <w:t>/1 Se refiere a acciones que implementará el centro gestor en 2022 para subsanar los problemas de ejecución que se presentaron al 31/12/2021.</w:t>
      </w:r>
    </w:p>
    <w:p w14:paraId="181D2AA2" w14:textId="77777777" w:rsidR="00EC1899" w:rsidRPr="00EC1899" w:rsidRDefault="00EC1899" w:rsidP="00EC1899">
      <w:pPr>
        <w:jc w:val="both"/>
        <w:rPr>
          <w:rFonts w:ascii="Arial" w:eastAsiaTheme="minorEastAsia" w:hAnsi="Arial" w:cs="Arial"/>
          <w:sz w:val="16"/>
          <w:szCs w:val="16"/>
          <w:lang w:val="es-ES_tradnl"/>
        </w:rPr>
      </w:pPr>
      <w:r w:rsidRPr="00EC1899">
        <w:rPr>
          <w:rFonts w:ascii="Arial" w:eastAsiaTheme="minorEastAsia" w:hAnsi="Arial" w:cs="Arial"/>
          <w:sz w:val="16"/>
          <w:szCs w:val="16"/>
          <w:lang w:val="es-ES_tradnl"/>
        </w:rPr>
        <w:t>/2 Se refiere a la fecha en que las acciones correctivas empezarán a ser implementadas por el centro gestor.</w:t>
      </w:r>
    </w:p>
    <w:p w14:paraId="31F94D1D" w14:textId="77777777" w:rsidR="00EC1899" w:rsidRPr="00EC1899" w:rsidRDefault="00EC1899" w:rsidP="00EC1899">
      <w:pPr>
        <w:jc w:val="both"/>
        <w:rPr>
          <w:rFonts w:ascii="Arial" w:eastAsiaTheme="minorEastAsia" w:hAnsi="Arial" w:cs="Arial"/>
          <w:sz w:val="16"/>
          <w:szCs w:val="16"/>
          <w:lang w:val="es-ES_tradnl"/>
        </w:rPr>
      </w:pPr>
      <w:r w:rsidRPr="00EC1899">
        <w:rPr>
          <w:rFonts w:ascii="Arial" w:eastAsiaTheme="minorEastAsia" w:hAnsi="Arial" w:cs="Arial"/>
          <w:sz w:val="16"/>
          <w:szCs w:val="16"/>
          <w:lang w:val="es-ES_tradnl"/>
        </w:rPr>
        <w:t>*La Dirección de Planificación ha venido implementando acciones, las cuales se continuarán realizando durante el 2022.</w:t>
      </w:r>
    </w:p>
    <w:p w14:paraId="44101738" w14:textId="497A0B01" w:rsidR="00EC1899" w:rsidRDefault="00EC1899" w:rsidP="00EC1899">
      <w:pPr>
        <w:spacing w:after="160" w:line="360" w:lineRule="auto"/>
        <w:jc w:val="both"/>
        <w:rPr>
          <w:rFonts w:ascii="Arial" w:eastAsiaTheme="minorEastAsia" w:hAnsi="Arial" w:cs="Arial"/>
          <w:sz w:val="20"/>
          <w:szCs w:val="20"/>
        </w:rPr>
      </w:pPr>
    </w:p>
    <w:p w14:paraId="6A05136E" w14:textId="5FC75CA5" w:rsidR="008E0FB6" w:rsidRDefault="008E0FB6" w:rsidP="00EC1899">
      <w:pPr>
        <w:spacing w:after="160" w:line="360" w:lineRule="auto"/>
        <w:jc w:val="both"/>
        <w:rPr>
          <w:rFonts w:ascii="Arial" w:eastAsiaTheme="minorEastAsia" w:hAnsi="Arial" w:cs="Arial"/>
          <w:sz w:val="20"/>
          <w:szCs w:val="20"/>
        </w:rPr>
      </w:pPr>
    </w:p>
    <w:p w14:paraId="7E39FF2D" w14:textId="77777777" w:rsidR="008E0FB6" w:rsidRPr="00EC1899" w:rsidRDefault="008E0FB6" w:rsidP="00EC1899">
      <w:pPr>
        <w:spacing w:after="160" w:line="360" w:lineRule="auto"/>
        <w:jc w:val="both"/>
        <w:rPr>
          <w:rFonts w:ascii="Arial" w:eastAsiaTheme="minorEastAsia" w:hAnsi="Arial" w:cs="Arial"/>
          <w:sz w:val="20"/>
          <w:szCs w:val="20"/>
        </w:rPr>
      </w:pPr>
    </w:p>
    <w:p w14:paraId="1550CDEF" w14:textId="77777777" w:rsidR="00EC1899" w:rsidRPr="00EC1899" w:rsidRDefault="00EC1899" w:rsidP="00EC1899">
      <w:pPr>
        <w:spacing w:line="360" w:lineRule="auto"/>
        <w:jc w:val="both"/>
        <w:rPr>
          <w:rFonts w:ascii="Arial" w:eastAsiaTheme="minorEastAsia" w:hAnsi="Arial" w:cs="Arial"/>
          <w:b/>
          <w:bCs/>
          <w:sz w:val="20"/>
          <w:szCs w:val="20"/>
        </w:rPr>
      </w:pPr>
    </w:p>
    <w:p w14:paraId="57F909D0" w14:textId="77777777" w:rsidR="00EC1899" w:rsidRPr="00EC1899" w:rsidRDefault="00EC1899" w:rsidP="00EC1899">
      <w:pPr>
        <w:spacing w:line="360" w:lineRule="auto"/>
        <w:jc w:val="both"/>
        <w:rPr>
          <w:rFonts w:ascii="Arial" w:eastAsiaTheme="minorEastAsia" w:hAnsi="Arial" w:cs="Arial"/>
          <w:b/>
          <w:bCs/>
          <w:sz w:val="20"/>
          <w:szCs w:val="20"/>
        </w:rPr>
      </w:pPr>
      <w:r w:rsidRPr="00EC1899">
        <w:rPr>
          <w:rFonts w:ascii="Arial" w:eastAsiaTheme="minorEastAsia" w:hAnsi="Arial" w:cs="Arial"/>
          <w:b/>
          <w:bCs/>
          <w:sz w:val="20"/>
          <w:szCs w:val="20"/>
          <w:u w:val="single"/>
        </w:rPr>
        <w:t>Logros obtenidos de la gestión institucional en relación con el presupuesto ejecutado</w:t>
      </w:r>
      <w:r w:rsidRPr="00EC1899">
        <w:rPr>
          <w:rFonts w:ascii="Arial" w:eastAsiaTheme="minorEastAsia" w:hAnsi="Arial" w:cs="Arial"/>
          <w:b/>
          <w:bCs/>
          <w:sz w:val="20"/>
          <w:szCs w:val="20"/>
        </w:rPr>
        <w:t>.</w:t>
      </w:r>
    </w:p>
    <w:p w14:paraId="07FA4F0D" w14:textId="77777777" w:rsidR="00EC1899" w:rsidRPr="00EC1899" w:rsidRDefault="00EC1899" w:rsidP="00EC1899">
      <w:pPr>
        <w:spacing w:after="160" w:line="360" w:lineRule="auto"/>
        <w:jc w:val="both"/>
        <w:rPr>
          <w:rFonts w:ascii="Arial" w:eastAsiaTheme="minorEastAsia" w:hAnsi="Arial" w:cs="Arial"/>
          <w:sz w:val="20"/>
          <w:szCs w:val="20"/>
        </w:rPr>
      </w:pPr>
    </w:p>
    <w:p w14:paraId="28B75B13"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Para la ejecución de las funciones que desempeña el Programa 927 (Servicio Jurisdiccional), para el año 2021 se presupuestó la suma de ¢165.112.367.358,00, de los cuales se devengó un total de ¢163.764.380.064,28; logrando con ello la ejecución del 99,18% del presupuesto inicial, lo cual representó un cumplimiento alto. El Poder Judicial, trató de dar continuidad al servicio de administración de justicia que se brinda a las personas usuarias, desde los distintos despachos judiciales del país en tiempos de pandemia, aplicándose medidas como: los protocolos para la atención de audiencias virtuales, el distanciamiento social en el entorno de trabajo y áreas de espera, el teletrabajo, entre otras.</w:t>
      </w:r>
    </w:p>
    <w:p w14:paraId="1D2DA7F8" w14:textId="77777777" w:rsidR="00EC1899" w:rsidRPr="00EC1899" w:rsidRDefault="00EC1899" w:rsidP="00EC1899">
      <w:pPr>
        <w:spacing w:line="360" w:lineRule="auto"/>
        <w:jc w:val="both"/>
        <w:rPr>
          <w:rFonts w:ascii="Arial" w:eastAsiaTheme="minorEastAsia" w:hAnsi="Arial" w:cs="Arial"/>
          <w:sz w:val="20"/>
          <w:szCs w:val="20"/>
        </w:rPr>
      </w:pPr>
    </w:p>
    <w:p w14:paraId="7B91942E" w14:textId="77777777" w:rsidR="00EC1899" w:rsidRPr="00EC1899" w:rsidRDefault="00EC1899" w:rsidP="00EC1899">
      <w:pPr>
        <w:spacing w:line="360" w:lineRule="auto"/>
        <w:jc w:val="both"/>
        <w:rPr>
          <w:rFonts w:ascii="Arial" w:eastAsiaTheme="minorEastAsia" w:hAnsi="Arial" w:cs="Arial"/>
          <w:sz w:val="20"/>
          <w:szCs w:val="20"/>
        </w:rPr>
      </w:pPr>
      <w:r w:rsidRPr="00EC1899">
        <w:rPr>
          <w:rFonts w:ascii="Arial" w:eastAsiaTheme="minorEastAsia" w:hAnsi="Arial" w:cs="Arial"/>
          <w:sz w:val="20"/>
          <w:szCs w:val="20"/>
        </w:rPr>
        <w:t>La aplicación de las medidas citadas impactó positivamente en la cantidad de asuntos terminados durante el 2021, finalizándose 31.308,00 asuntos más que el año anterior, a pesar de la disminución presupuestaria con respecto al 2020 en ¢ 680.963.642,00; lo cual reflejó la maximización del recurso asignado a la institución.</w:t>
      </w:r>
    </w:p>
    <w:p w14:paraId="1B87982E" w14:textId="77777777" w:rsidR="003A02F6" w:rsidRPr="003A02F6" w:rsidRDefault="003A02F6" w:rsidP="0077083C">
      <w:pPr>
        <w:jc w:val="center"/>
        <w:rPr>
          <w:rFonts w:ascii="Arial" w:hAnsi="Arial" w:cs="Arial"/>
          <w:b/>
          <w:bCs/>
          <w:sz w:val="20"/>
          <w:szCs w:val="20"/>
          <w:lang w:val="es-MX"/>
        </w:rPr>
      </w:pPr>
    </w:p>
    <w:p w14:paraId="3BE5D7E8" w14:textId="11FF6E5E" w:rsidR="003A02F6" w:rsidRDefault="003A02F6" w:rsidP="0077083C">
      <w:pPr>
        <w:jc w:val="center"/>
        <w:rPr>
          <w:rFonts w:ascii="Arial" w:hAnsi="Arial" w:cs="Arial"/>
          <w:b/>
          <w:bCs/>
          <w:sz w:val="20"/>
          <w:szCs w:val="20"/>
          <w:lang w:val="es-MX"/>
        </w:rPr>
      </w:pPr>
    </w:p>
    <w:p w14:paraId="0F39B9EF" w14:textId="349EB8A0" w:rsidR="008E0FB6" w:rsidRDefault="008E0FB6" w:rsidP="0077083C">
      <w:pPr>
        <w:jc w:val="center"/>
        <w:rPr>
          <w:rFonts w:ascii="Arial" w:hAnsi="Arial" w:cs="Arial"/>
          <w:b/>
          <w:bCs/>
          <w:sz w:val="20"/>
          <w:szCs w:val="20"/>
          <w:lang w:val="es-MX"/>
        </w:rPr>
      </w:pPr>
    </w:p>
    <w:p w14:paraId="481DB1CF" w14:textId="363B2A51" w:rsidR="008E0FB6" w:rsidRDefault="008E0FB6" w:rsidP="0077083C">
      <w:pPr>
        <w:jc w:val="center"/>
        <w:rPr>
          <w:rFonts w:ascii="Arial" w:hAnsi="Arial" w:cs="Arial"/>
          <w:b/>
          <w:bCs/>
          <w:sz w:val="20"/>
          <w:szCs w:val="20"/>
          <w:lang w:val="es-MX"/>
        </w:rPr>
      </w:pPr>
    </w:p>
    <w:p w14:paraId="16D33048" w14:textId="3EEFFF3E" w:rsidR="008E0FB6" w:rsidRDefault="008E0FB6" w:rsidP="0077083C">
      <w:pPr>
        <w:jc w:val="center"/>
        <w:rPr>
          <w:rFonts w:ascii="Arial" w:hAnsi="Arial" w:cs="Arial"/>
          <w:b/>
          <w:bCs/>
          <w:sz w:val="20"/>
          <w:szCs w:val="20"/>
          <w:lang w:val="es-MX"/>
        </w:rPr>
      </w:pPr>
    </w:p>
    <w:p w14:paraId="181FB322" w14:textId="1327EF61" w:rsidR="008E0FB6" w:rsidRDefault="008E0FB6" w:rsidP="0077083C">
      <w:pPr>
        <w:jc w:val="center"/>
        <w:rPr>
          <w:rFonts w:ascii="Arial" w:hAnsi="Arial" w:cs="Arial"/>
          <w:b/>
          <w:bCs/>
          <w:sz w:val="20"/>
          <w:szCs w:val="20"/>
          <w:lang w:val="es-MX"/>
        </w:rPr>
      </w:pPr>
    </w:p>
    <w:p w14:paraId="7E170F69" w14:textId="55B731AB" w:rsidR="008E0FB6" w:rsidRDefault="008E0FB6" w:rsidP="0077083C">
      <w:pPr>
        <w:jc w:val="center"/>
        <w:rPr>
          <w:rFonts w:ascii="Arial" w:hAnsi="Arial" w:cs="Arial"/>
          <w:b/>
          <w:bCs/>
          <w:sz w:val="20"/>
          <w:szCs w:val="20"/>
          <w:lang w:val="es-MX"/>
        </w:rPr>
      </w:pPr>
    </w:p>
    <w:p w14:paraId="6FF95724" w14:textId="4B91011B" w:rsidR="008E0FB6" w:rsidRDefault="008E0FB6" w:rsidP="0077083C">
      <w:pPr>
        <w:jc w:val="center"/>
        <w:rPr>
          <w:rFonts w:ascii="Arial" w:hAnsi="Arial" w:cs="Arial"/>
          <w:b/>
          <w:bCs/>
          <w:sz w:val="20"/>
          <w:szCs w:val="20"/>
          <w:lang w:val="es-MX"/>
        </w:rPr>
      </w:pPr>
    </w:p>
    <w:p w14:paraId="14E43A8F" w14:textId="12A739F2" w:rsidR="008E0FB6" w:rsidRDefault="008E0FB6" w:rsidP="0077083C">
      <w:pPr>
        <w:jc w:val="center"/>
        <w:rPr>
          <w:rFonts w:ascii="Arial" w:hAnsi="Arial" w:cs="Arial"/>
          <w:b/>
          <w:bCs/>
          <w:sz w:val="20"/>
          <w:szCs w:val="20"/>
          <w:lang w:val="es-MX"/>
        </w:rPr>
      </w:pPr>
    </w:p>
    <w:p w14:paraId="3466C305" w14:textId="655462F1" w:rsidR="008E0FB6" w:rsidRDefault="008E0FB6" w:rsidP="0077083C">
      <w:pPr>
        <w:jc w:val="center"/>
        <w:rPr>
          <w:rFonts w:ascii="Arial" w:hAnsi="Arial" w:cs="Arial"/>
          <w:b/>
          <w:bCs/>
          <w:sz w:val="20"/>
          <w:szCs w:val="20"/>
          <w:lang w:val="es-MX"/>
        </w:rPr>
      </w:pPr>
    </w:p>
    <w:p w14:paraId="7164A65E" w14:textId="3D4F56CA" w:rsidR="008E0FB6" w:rsidRDefault="008E0FB6" w:rsidP="0077083C">
      <w:pPr>
        <w:jc w:val="center"/>
        <w:rPr>
          <w:rFonts w:ascii="Arial" w:hAnsi="Arial" w:cs="Arial"/>
          <w:b/>
          <w:bCs/>
          <w:sz w:val="20"/>
          <w:szCs w:val="20"/>
          <w:lang w:val="es-MX"/>
        </w:rPr>
      </w:pPr>
    </w:p>
    <w:p w14:paraId="27C159ED" w14:textId="3FA3AB12" w:rsidR="008E0FB6" w:rsidRDefault="008E0FB6" w:rsidP="0077083C">
      <w:pPr>
        <w:jc w:val="center"/>
        <w:rPr>
          <w:rFonts w:ascii="Arial" w:hAnsi="Arial" w:cs="Arial"/>
          <w:b/>
          <w:bCs/>
          <w:sz w:val="20"/>
          <w:szCs w:val="20"/>
          <w:lang w:val="es-MX"/>
        </w:rPr>
      </w:pPr>
    </w:p>
    <w:p w14:paraId="04E6A071" w14:textId="1EA5CCCB" w:rsidR="008E0FB6" w:rsidRDefault="008E0FB6" w:rsidP="0077083C">
      <w:pPr>
        <w:jc w:val="center"/>
        <w:rPr>
          <w:rFonts w:ascii="Arial" w:hAnsi="Arial" w:cs="Arial"/>
          <w:b/>
          <w:bCs/>
          <w:sz w:val="20"/>
          <w:szCs w:val="20"/>
          <w:lang w:val="es-MX"/>
        </w:rPr>
      </w:pPr>
    </w:p>
    <w:p w14:paraId="59AE54FF" w14:textId="0FFF9EE5" w:rsidR="008E0FB6" w:rsidRDefault="008E0FB6" w:rsidP="0077083C">
      <w:pPr>
        <w:jc w:val="center"/>
        <w:rPr>
          <w:rFonts w:ascii="Arial" w:hAnsi="Arial" w:cs="Arial"/>
          <w:b/>
          <w:bCs/>
          <w:sz w:val="20"/>
          <w:szCs w:val="20"/>
          <w:lang w:val="es-MX"/>
        </w:rPr>
      </w:pPr>
    </w:p>
    <w:p w14:paraId="5C7F6C04" w14:textId="1F5FB178" w:rsidR="008E0FB6" w:rsidRDefault="008E0FB6" w:rsidP="0077083C">
      <w:pPr>
        <w:jc w:val="center"/>
        <w:rPr>
          <w:rFonts w:ascii="Arial" w:hAnsi="Arial" w:cs="Arial"/>
          <w:b/>
          <w:bCs/>
          <w:sz w:val="20"/>
          <w:szCs w:val="20"/>
          <w:lang w:val="es-MX"/>
        </w:rPr>
      </w:pPr>
    </w:p>
    <w:p w14:paraId="3527FE2B" w14:textId="5A4E8C97" w:rsidR="008E0FB6" w:rsidRDefault="008E0FB6" w:rsidP="0077083C">
      <w:pPr>
        <w:jc w:val="center"/>
        <w:rPr>
          <w:rFonts w:ascii="Arial" w:hAnsi="Arial" w:cs="Arial"/>
          <w:b/>
          <w:bCs/>
          <w:sz w:val="20"/>
          <w:szCs w:val="20"/>
          <w:lang w:val="es-MX"/>
        </w:rPr>
      </w:pPr>
    </w:p>
    <w:p w14:paraId="127455F3" w14:textId="1411FDA2" w:rsidR="008E0FB6" w:rsidRDefault="008E0FB6" w:rsidP="0077083C">
      <w:pPr>
        <w:jc w:val="center"/>
        <w:rPr>
          <w:rFonts w:ascii="Arial" w:hAnsi="Arial" w:cs="Arial"/>
          <w:b/>
          <w:bCs/>
          <w:sz w:val="20"/>
          <w:szCs w:val="20"/>
          <w:lang w:val="es-MX"/>
        </w:rPr>
      </w:pPr>
    </w:p>
    <w:p w14:paraId="113BE5BA" w14:textId="41E8DB0D" w:rsidR="008E0FB6" w:rsidRDefault="008E0FB6" w:rsidP="0077083C">
      <w:pPr>
        <w:jc w:val="center"/>
        <w:rPr>
          <w:rFonts w:ascii="Arial" w:hAnsi="Arial" w:cs="Arial"/>
          <w:b/>
          <w:bCs/>
          <w:sz w:val="20"/>
          <w:szCs w:val="20"/>
          <w:lang w:val="es-MX"/>
        </w:rPr>
      </w:pPr>
    </w:p>
    <w:p w14:paraId="1D284A55" w14:textId="2DB852BB" w:rsidR="008E0FB6" w:rsidRDefault="008E0FB6" w:rsidP="0077083C">
      <w:pPr>
        <w:jc w:val="center"/>
        <w:rPr>
          <w:rFonts w:ascii="Arial" w:hAnsi="Arial" w:cs="Arial"/>
          <w:b/>
          <w:bCs/>
          <w:sz w:val="20"/>
          <w:szCs w:val="20"/>
          <w:lang w:val="es-MX"/>
        </w:rPr>
      </w:pPr>
    </w:p>
    <w:p w14:paraId="134A9E16" w14:textId="309F76C7" w:rsidR="008E0FB6" w:rsidRDefault="008E0FB6" w:rsidP="0077083C">
      <w:pPr>
        <w:jc w:val="center"/>
        <w:rPr>
          <w:rFonts w:ascii="Arial" w:hAnsi="Arial" w:cs="Arial"/>
          <w:b/>
          <w:bCs/>
          <w:sz w:val="20"/>
          <w:szCs w:val="20"/>
          <w:lang w:val="es-MX"/>
        </w:rPr>
      </w:pPr>
    </w:p>
    <w:p w14:paraId="709C8064" w14:textId="3EF65CD6" w:rsidR="008E0FB6" w:rsidRDefault="008E0FB6" w:rsidP="0077083C">
      <w:pPr>
        <w:jc w:val="center"/>
        <w:rPr>
          <w:rFonts w:ascii="Arial" w:hAnsi="Arial" w:cs="Arial"/>
          <w:b/>
          <w:bCs/>
          <w:sz w:val="20"/>
          <w:szCs w:val="20"/>
          <w:lang w:val="es-MX"/>
        </w:rPr>
      </w:pPr>
    </w:p>
    <w:p w14:paraId="0C5455C9" w14:textId="1A6BC3E8" w:rsidR="008E0FB6" w:rsidRDefault="008E0FB6" w:rsidP="0077083C">
      <w:pPr>
        <w:jc w:val="center"/>
        <w:rPr>
          <w:rFonts w:ascii="Arial" w:hAnsi="Arial" w:cs="Arial"/>
          <w:b/>
          <w:bCs/>
          <w:sz w:val="20"/>
          <w:szCs w:val="20"/>
          <w:lang w:val="es-MX"/>
        </w:rPr>
      </w:pPr>
    </w:p>
    <w:p w14:paraId="3347647D" w14:textId="54E6D4A5" w:rsidR="008E0FB6" w:rsidRDefault="008E0FB6" w:rsidP="0077083C">
      <w:pPr>
        <w:jc w:val="center"/>
        <w:rPr>
          <w:rFonts w:ascii="Arial" w:hAnsi="Arial" w:cs="Arial"/>
          <w:b/>
          <w:bCs/>
          <w:sz w:val="20"/>
          <w:szCs w:val="20"/>
          <w:lang w:val="es-MX"/>
        </w:rPr>
      </w:pPr>
    </w:p>
    <w:p w14:paraId="3678917D" w14:textId="4A723031" w:rsidR="008E0FB6" w:rsidRDefault="008E0FB6" w:rsidP="0077083C">
      <w:pPr>
        <w:jc w:val="center"/>
        <w:rPr>
          <w:rFonts w:ascii="Arial" w:hAnsi="Arial" w:cs="Arial"/>
          <w:b/>
          <w:bCs/>
          <w:sz w:val="20"/>
          <w:szCs w:val="20"/>
          <w:lang w:val="es-MX"/>
        </w:rPr>
      </w:pPr>
    </w:p>
    <w:p w14:paraId="19AFA218" w14:textId="77777777" w:rsidR="008E0FB6" w:rsidRPr="003A02F6" w:rsidRDefault="008E0FB6" w:rsidP="0077083C">
      <w:pPr>
        <w:jc w:val="center"/>
        <w:rPr>
          <w:rFonts w:ascii="Arial" w:hAnsi="Arial" w:cs="Arial"/>
          <w:b/>
          <w:bCs/>
          <w:sz w:val="20"/>
          <w:szCs w:val="20"/>
          <w:lang w:val="es-MX"/>
        </w:rPr>
      </w:pPr>
    </w:p>
    <w:p w14:paraId="7B98A5C9" w14:textId="77777777" w:rsidR="003A02F6" w:rsidRPr="003A02F6" w:rsidRDefault="003A02F6" w:rsidP="0077083C">
      <w:pPr>
        <w:jc w:val="center"/>
        <w:rPr>
          <w:rFonts w:ascii="Arial" w:hAnsi="Arial" w:cs="Arial"/>
          <w:b/>
          <w:bCs/>
          <w:sz w:val="20"/>
          <w:szCs w:val="20"/>
          <w:lang w:val="es-MX"/>
        </w:rPr>
      </w:pPr>
    </w:p>
    <w:p w14:paraId="2A1D0D4D" w14:textId="77777777" w:rsidR="003A02F6" w:rsidRPr="003A02F6" w:rsidRDefault="003A02F6" w:rsidP="0077083C">
      <w:pPr>
        <w:jc w:val="center"/>
        <w:rPr>
          <w:rFonts w:ascii="Arial" w:hAnsi="Arial" w:cs="Arial"/>
          <w:b/>
          <w:bCs/>
          <w:sz w:val="20"/>
          <w:szCs w:val="20"/>
          <w:lang w:val="es-MX"/>
        </w:rPr>
      </w:pPr>
    </w:p>
    <w:p w14:paraId="3794116C" w14:textId="77777777" w:rsidR="003A02F6" w:rsidRPr="003A02F6" w:rsidRDefault="003A02F6" w:rsidP="0077083C">
      <w:pPr>
        <w:jc w:val="center"/>
        <w:rPr>
          <w:rFonts w:ascii="Arial" w:hAnsi="Arial" w:cs="Arial"/>
          <w:b/>
          <w:bCs/>
          <w:color w:val="1F497D" w:themeColor="text2"/>
          <w:sz w:val="20"/>
          <w:szCs w:val="20"/>
          <w:lang w:val="es-MX"/>
        </w:rPr>
      </w:pPr>
      <w:r w:rsidRPr="003A02F6">
        <w:rPr>
          <w:rFonts w:ascii="Arial" w:hAnsi="Arial" w:cs="Arial"/>
          <w:b/>
          <w:bCs/>
          <w:color w:val="1F497D" w:themeColor="text2"/>
          <w:sz w:val="20"/>
          <w:szCs w:val="20"/>
          <w:lang w:val="es-MX"/>
        </w:rPr>
        <w:lastRenderedPageBreak/>
        <w:t>Programa 930 Servicio de Defensa Pública</w:t>
      </w:r>
    </w:p>
    <w:p w14:paraId="466D3CE4" w14:textId="77777777" w:rsidR="003A02F6" w:rsidRPr="003A02F6" w:rsidRDefault="003A02F6" w:rsidP="0077083C">
      <w:pPr>
        <w:jc w:val="center"/>
        <w:rPr>
          <w:rFonts w:ascii="Arial" w:hAnsi="Arial" w:cs="Arial"/>
          <w:b/>
          <w:bCs/>
          <w:sz w:val="20"/>
          <w:szCs w:val="20"/>
          <w:lang w:val="es-MX"/>
        </w:rPr>
      </w:pPr>
    </w:p>
    <w:p w14:paraId="67C5DCCE" w14:textId="77777777" w:rsidR="003A02F6" w:rsidRPr="003A02F6" w:rsidRDefault="003A02F6" w:rsidP="0077083C">
      <w:pPr>
        <w:jc w:val="center"/>
        <w:rPr>
          <w:rFonts w:ascii="Arial" w:hAnsi="Arial" w:cs="Arial"/>
          <w:b/>
          <w:bCs/>
          <w:sz w:val="20"/>
          <w:szCs w:val="20"/>
          <w:lang w:val="es-MX"/>
        </w:rPr>
      </w:pPr>
    </w:p>
    <w:p w14:paraId="3F5E0AF0" w14:textId="0DC8EABC"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39</w:t>
      </w:r>
      <w:r w:rsidRPr="00AE3D7B">
        <w:rPr>
          <w:rFonts w:ascii="Arial" w:hAnsi="Arial" w:cs="Arial"/>
          <w:b/>
          <w:bCs/>
          <w:i w:val="0"/>
          <w:iCs w:val="0"/>
          <w:color w:val="auto"/>
          <w:sz w:val="20"/>
          <w:szCs w:val="20"/>
        </w:rPr>
        <w:fldChar w:fldCharType="end"/>
      </w:r>
    </w:p>
    <w:p w14:paraId="6509E4B2" w14:textId="15D667B7" w:rsidR="001C113D" w:rsidRPr="001C113D" w:rsidRDefault="001C113D" w:rsidP="001C113D">
      <w:pPr>
        <w:spacing w:before="240" w:line="259" w:lineRule="auto"/>
        <w:jc w:val="center"/>
        <w:rPr>
          <w:rFonts w:ascii="Arial" w:eastAsiaTheme="minorEastAsia" w:hAnsi="Arial" w:cs="Arial"/>
          <w:sz w:val="20"/>
          <w:szCs w:val="20"/>
          <w:lang w:val="es-ES_tradnl"/>
        </w:rPr>
      </w:pPr>
      <w:r w:rsidRPr="001C113D">
        <w:rPr>
          <w:rFonts w:ascii="Arial" w:eastAsiaTheme="minorEastAsia" w:hAnsi="Arial" w:cs="Arial"/>
          <w:sz w:val="20"/>
          <w:szCs w:val="20"/>
          <w:lang w:val="es-ES_tradnl"/>
        </w:rPr>
        <w:t xml:space="preserve"> </w:t>
      </w:r>
      <w:r w:rsidRPr="001C113D">
        <w:rPr>
          <w:rFonts w:ascii="Arial" w:eastAsiaTheme="minorEastAsia" w:hAnsi="Arial" w:cs="Arial"/>
          <w:b/>
          <w:sz w:val="20"/>
          <w:szCs w:val="20"/>
          <w:lang w:val="es-ES_tradnl"/>
        </w:rPr>
        <w:t xml:space="preserve">Cumplimiento de indicadores </w:t>
      </w:r>
    </w:p>
    <w:p w14:paraId="47977DF2" w14:textId="77777777" w:rsidR="001C113D" w:rsidRPr="001C113D" w:rsidRDefault="001C113D" w:rsidP="001C113D">
      <w:pPr>
        <w:jc w:val="center"/>
        <w:rPr>
          <w:rFonts w:ascii="Arial" w:eastAsiaTheme="minorEastAsia" w:hAnsi="Arial" w:cs="Arial"/>
          <w:sz w:val="20"/>
          <w:szCs w:val="20"/>
          <w:lang w:val="es-ES_tradnl"/>
        </w:rPr>
      </w:pPr>
      <w:r w:rsidRPr="001C113D">
        <w:rPr>
          <w:rFonts w:ascii="Arial" w:eastAsiaTheme="minorEastAsia" w:hAnsi="Arial" w:cs="Arial"/>
          <w:sz w:val="20"/>
          <w:szCs w:val="20"/>
          <w:lang w:val="es-ES_tradnl"/>
        </w:rPr>
        <w:t>Programa 930, Defensa Pública</w:t>
      </w:r>
    </w:p>
    <w:p w14:paraId="19C77B5E" w14:textId="77777777" w:rsidR="001C113D" w:rsidRPr="001C113D" w:rsidRDefault="001C113D" w:rsidP="001C113D">
      <w:pPr>
        <w:spacing w:line="259" w:lineRule="auto"/>
        <w:jc w:val="center"/>
        <w:rPr>
          <w:rFonts w:ascii="Arial" w:eastAsiaTheme="minorEastAsia" w:hAnsi="Arial" w:cs="Arial"/>
          <w:sz w:val="20"/>
          <w:szCs w:val="20"/>
          <w:lang w:val="es-ES_tradnl"/>
        </w:rPr>
      </w:pPr>
      <w:r w:rsidRPr="001C113D">
        <w:rPr>
          <w:rFonts w:ascii="Arial" w:eastAsiaTheme="minorEastAsia" w:hAnsi="Arial" w:cs="Arial"/>
          <w:sz w:val="20"/>
          <w:szCs w:val="20"/>
          <w:lang w:val="es-ES_tradnl"/>
        </w:rPr>
        <w:t>al 31 de diciembre 2021</w:t>
      </w:r>
    </w:p>
    <w:tbl>
      <w:tblPr>
        <w:tblStyle w:val="Listaclara-nfasis123"/>
        <w:tblW w:w="5000" w:type="pct"/>
        <w:tblLook w:val="00A0" w:firstRow="1" w:lastRow="0" w:firstColumn="1" w:lastColumn="0" w:noHBand="0" w:noVBand="0"/>
      </w:tblPr>
      <w:tblGrid>
        <w:gridCol w:w="1110"/>
        <w:gridCol w:w="1240"/>
        <w:gridCol w:w="1371"/>
        <w:gridCol w:w="1196"/>
        <w:gridCol w:w="1196"/>
        <w:gridCol w:w="1196"/>
        <w:gridCol w:w="1175"/>
      </w:tblGrid>
      <w:tr w:rsidR="001C113D" w:rsidRPr="001C113D" w14:paraId="3F29EA89" w14:textId="77777777" w:rsidTr="00465D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pct"/>
            <w:vAlign w:val="center"/>
          </w:tcPr>
          <w:p w14:paraId="14D47F72" w14:textId="77777777" w:rsidR="001C113D" w:rsidRPr="001C113D" w:rsidRDefault="001C113D" w:rsidP="001C113D">
            <w:pPr>
              <w:jc w:val="center"/>
              <w:rPr>
                <w:rFonts w:ascii="Arial" w:hAnsi="Arial" w:cs="Arial"/>
                <w:b w:val="0"/>
                <w:sz w:val="20"/>
                <w:szCs w:val="20"/>
              </w:rPr>
            </w:pPr>
            <w:r w:rsidRPr="001C113D">
              <w:rPr>
                <w:rFonts w:ascii="Arial" w:hAnsi="Arial" w:cs="Arial"/>
                <w:sz w:val="20"/>
                <w:szCs w:val="20"/>
              </w:rPr>
              <w:t>Nombre del producto</w:t>
            </w:r>
          </w:p>
        </w:tc>
        <w:tc>
          <w:tcPr>
            <w:cnfStyle w:val="000010000000" w:firstRow="0" w:lastRow="0" w:firstColumn="0" w:lastColumn="0" w:oddVBand="1" w:evenVBand="0" w:oddHBand="0" w:evenHBand="0" w:firstRowFirstColumn="0" w:firstRowLastColumn="0" w:lastRowFirstColumn="0" w:lastRowLastColumn="0"/>
            <w:tcW w:w="665" w:type="pct"/>
            <w:vAlign w:val="center"/>
          </w:tcPr>
          <w:p w14:paraId="3729F807" w14:textId="77777777" w:rsidR="001C113D" w:rsidRPr="001C113D" w:rsidRDefault="001C113D" w:rsidP="001C113D">
            <w:pPr>
              <w:jc w:val="center"/>
              <w:rPr>
                <w:rFonts w:ascii="Arial" w:hAnsi="Arial" w:cs="Arial"/>
                <w:b w:val="0"/>
                <w:sz w:val="20"/>
                <w:szCs w:val="20"/>
              </w:rPr>
            </w:pPr>
            <w:r w:rsidRPr="001C113D">
              <w:rPr>
                <w:rFonts w:ascii="Arial" w:hAnsi="Arial" w:cs="Arial"/>
                <w:sz w:val="20"/>
                <w:szCs w:val="20"/>
              </w:rPr>
              <w:t>Nombre del indicador</w:t>
            </w:r>
          </w:p>
        </w:tc>
        <w:tc>
          <w:tcPr>
            <w:tcW w:w="683" w:type="pct"/>
            <w:vAlign w:val="center"/>
          </w:tcPr>
          <w:p w14:paraId="601D068C" w14:textId="77777777" w:rsidR="001C113D" w:rsidRPr="001C113D" w:rsidRDefault="001C113D" w:rsidP="001C113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113D">
              <w:rPr>
                <w:rFonts w:ascii="Arial" w:hAnsi="Arial" w:cs="Arial"/>
                <w:sz w:val="20"/>
                <w:szCs w:val="20"/>
              </w:rPr>
              <w:t>Programado</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5491192D" w14:textId="77777777" w:rsidR="001C113D" w:rsidRPr="001C113D" w:rsidRDefault="001C113D" w:rsidP="001C113D">
            <w:pPr>
              <w:jc w:val="center"/>
              <w:rPr>
                <w:rFonts w:ascii="Arial" w:hAnsi="Arial" w:cs="Arial"/>
                <w:b w:val="0"/>
                <w:sz w:val="20"/>
                <w:szCs w:val="20"/>
              </w:rPr>
            </w:pPr>
            <w:r w:rsidRPr="001C113D">
              <w:rPr>
                <w:rFonts w:ascii="Arial" w:hAnsi="Arial" w:cs="Arial"/>
                <w:sz w:val="20"/>
                <w:szCs w:val="20"/>
              </w:rPr>
              <w:t>Alcanzado</w:t>
            </w:r>
          </w:p>
        </w:tc>
        <w:tc>
          <w:tcPr>
            <w:tcW w:w="672" w:type="pct"/>
            <w:vAlign w:val="center"/>
          </w:tcPr>
          <w:p w14:paraId="5D7FB7E6" w14:textId="77777777" w:rsidR="001C113D" w:rsidRPr="001C113D" w:rsidRDefault="001C113D" w:rsidP="001C113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113D">
              <w:rPr>
                <w:rFonts w:ascii="Arial" w:hAnsi="Arial" w:cs="Arial"/>
                <w:sz w:val="20"/>
                <w:szCs w:val="20"/>
              </w:rPr>
              <w:t xml:space="preserve">Nivel alcanzado al 30/06/2021 </w:t>
            </w:r>
            <w:r w:rsidRPr="001C113D">
              <w:rPr>
                <w:rFonts w:ascii="Arial" w:hAnsi="Arial" w:cs="Arial"/>
                <w:b w:val="0"/>
                <w:sz w:val="20"/>
                <w:szCs w:val="20"/>
                <w:vertAlign w:val="superscript"/>
              </w:rPr>
              <w:t>/1</w:t>
            </w:r>
          </w:p>
        </w:tc>
        <w:tc>
          <w:tcPr>
            <w:cnfStyle w:val="000010000000" w:firstRow="0" w:lastRow="0" w:firstColumn="0" w:lastColumn="0" w:oddVBand="1" w:evenVBand="0" w:oddHBand="0" w:evenHBand="0" w:firstRowFirstColumn="0" w:firstRowLastColumn="0" w:lastRowFirstColumn="0" w:lastRowLastColumn="0"/>
            <w:tcW w:w="698" w:type="pct"/>
            <w:vAlign w:val="center"/>
          </w:tcPr>
          <w:p w14:paraId="07BEE99F" w14:textId="77777777" w:rsidR="001C113D" w:rsidRPr="001C113D" w:rsidRDefault="001C113D" w:rsidP="001C113D">
            <w:pPr>
              <w:jc w:val="center"/>
              <w:rPr>
                <w:rFonts w:ascii="Arial" w:hAnsi="Arial" w:cs="Arial"/>
                <w:b w:val="0"/>
                <w:color w:val="0070C0"/>
                <w:sz w:val="20"/>
                <w:szCs w:val="20"/>
                <w:highlight w:val="yellow"/>
              </w:rPr>
            </w:pPr>
            <w:r w:rsidRPr="001C113D">
              <w:rPr>
                <w:rFonts w:ascii="Arial" w:hAnsi="Arial" w:cs="Arial"/>
                <w:sz w:val="20"/>
                <w:szCs w:val="20"/>
              </w:rPr>
              <w:t xml:space="preserve">Nivel alcanzado al 31/12/2021 </w:t>
            </w:r>
          </w:p>
        </w:tc>
        <w:tc>
          <w:tcPr>
            <w:tcW w:w="967" w:type="pct"/>
            <w:vAlign w:val="center"/>
          </w:tcPr>
          <w:p w14:paraId="42151DED" w14:textId="77777777" w:rsidR="001C113D" w:rsidRPr="001C113D" w:rsidRDefault="001C113D" w:rsidP="001C113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113D">
              <w:rPr>
                <w:rFonts w:ascii="Arial" w:hAnsi="Arial" w:cs="Arial"/>
                <w:sz w:val="20"/>
                <w:szCs w:val="20"/>
              </w:rPr>
              <w:t xml:space="preserve">Fuente de datos </w:t>
            </w:r>
            <w:r w:rsidRPr="001C113D">
              <w:rPr>
                <w:rFonts w:ascii="Arial" w:hAnsi="Arial" w:cs="Arial"/>
                <w:sz w:val="20"/>
                <w:szCs w:val="20"/>
                <w:vertAlign w:val="superscript"/>
              </w:rPr>
              <w:t>/2</w:t>
            </w:r>
          </w:p>
        </w:tc>
      </w:tr>
      <w:tr w:rsidR="001C113D" w:rsidRPr="001C113D" w14:paraId="6D1A97A8"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vAlign w:val="center"/>
          </w:tcPr>
          <w:p w14:paraId="461750A7" w14:textId="77777777" w:rsidR="001C113D" w:rsidRPr="001C113D" w:rsidRDefault="001C113D" w:rsidP="001C113D">
            <w:pPr>
              <w:jc w:val="center"/>
              <w:rPr>
                <w:rFonts w:ascii="Arial" w:hAnsi="Arial" w:cs="Arial"/>
                <w:b w:val="0"/>
                <w:sz w:val="20"/>
                <w:szCs w:val="20"/>
                <w:lang w:val="es-ES_tradnl"/>
              </w:rPr>
            </w:pPr>
            <w:r w:rsidRPr="001C113D">
              <w:rPr>
                <w:rFonts w:ascii="Arial" w:hAnsi="Arial" w:cs="Arial"/>
                <w:b w:val="0"/>
                <w:sz w:val="20"/>
                <w:szCs w:val="20"/>
                <w:lang w:val="es-ES_tradnl"/>
              </w:rPr>
              <w:t>Asistencia legal en los procesos judiciales</w:t>
            </w:r>
          </w:p>
        </w:tc>
        <w:tc>
          <w:tcPr>
            <w:cnfStyle w:val="000010000000" w:firstRow="0" w:lastRow="0" w:firstColumn="0" w:lastColumn="0" w:oddVBand="1" w:evenVBand="0" w:oddHBand="0" w:evenHBand="0" w:firstRowFirstColumn="0" w:firstRowLastColumn="0" w:lastRowFirstColumn="0" w:lastRowLastColumn="0"/>
            <w:tcW w:w="665" w:type="pct"/>
            <w:vAlign w:val="center"/>
          </w:tcPr>
          <w:p w14:paraId="077DEA11" w14:textId="77777777" w:rsidR="001C113D" w:rsidRPr="001C113D" w:rsidRDefault="001C113D" w:rsidP="001C113D">
            <w:pPr>
              <w:jc w:val="center"/>
              <w:rPr>
                <w:rFonts w:ascii="Arial" w:hAnsi="Arial" w:cs="Arial"/>
                <w:sz w:val="20"/>
                <w:szCs w:val="20"/>
                <w:lang w:val="es-ES_tradnl"/>
              </w:rPr>
            </w:pPr>
            <w:r w:rsidRPr="001C113D">
              <w:rPr>
                <w:rFonts w:ascii="Arial" w:hAnsi="Arial" w:cs="Arial"/>
                <w:sz w:val="20"/>
                <w:szCs w:val="20"/>
                <w:lang w:val="es-ES_tradnl"/>
              </w:rPr>
              <w:t>Porcentaje de satisfacción de las personas usuarias que se encuentran en libertad respecto al tiempo que le dedica le Defensora o el Defensor Público.</w:t>
            </w:r>
          </w:p>
        </w:tc>
        <w:tc>
          <w:tcPr>
            <w:tcW w:w="683" w:type="pct"/>
            <w:vAlign w:val="center"/>
          </w:tcPr>
          <w:p w14:paraId="04894806" w14:textId="77777777" w:rsidR="001C113D" w:rsidRPr="001C113D" w:rsidRDefault="001C113D" w:rsidP="001C11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1C113D">
              <w:rPr>
                <w:rFonts w:ascii="Arial" w:hAnsi="Arial" w:cs="Arial"/>
                <w:sz w:val="20"/>
                <w:szCs w:val="20"/>
                <w:lang w:val="es-ES_tradnl"/>
              </w:rPr>
              <w:t>76,00%</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219CCA59" w14:textId="77777777" w:rsidR="001C113D" w:rsidRPr="001C113D" w:rsidRDefault="001C113D" w:rsidP="001C113D">
            <w:pPr>
              <w:jc w:val="center"/>
              <w:rPr>
                <w:rFonts w:ascii="Arial" w:hAnsi="Arial" w:cs="Arial"/>
                <w:sz w:val="20"/>
                <w:szCs w:val="20"/>
                <w:lang w:val="es-ES_tradnl"/>
              </w:rPr>
            </w:pPr>
            <w:r w:rsidRPr="001C113D">
              <w:rPr>
                <w:rFonts w:ascii="Arial" w:hAnsi="Arial" w:cs="Arial"/>
                <w:sz w:val="20"/>
                <w:szCs w:val="20"/>
                <w:lang w:val="es-ES_tradnl"/>
              </w:rPr>
              <w:t>77,62%</w:t>
            </w:r>
          </w:p>
        </w:tc>
        <w:tc>
          <w:tcPr>
            <w:tcW w:w="672" w:type="pct"/>
            <w:vAlign w:val="center"/>
          </w:tcPr>
          <w:p w14:paraId="170B8CB4" w14:textId="77777777" w:rsidR="001C113D" w:rsidRPr="001C113D" w:rsidRDefault="001C113D" w:rsidP="001C11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1C113D">
              <w:rPr>
                <w:rFonts w:ascii="Arial" w:hAnsi="Arial" w:cs="Arial"/>
                <w:sz w:val="20"/>
                <w:szCs w:val="20"/>
                <w:lang w:val="es-ES_tradnl"/>
              </w:rPr>
              <w:t>0,00%</w:t>
            </w:r>
          </w:p>
        </w:tc>
        <w:tc>
          <w:tcPr>
            <w:cnfStyle w:val="000010000000" w:firstRow="0" w:lastRow="0" w:firstColumn="0" w:lastColumn="0" w:oddVBand="1" w:evenVBand="0" w:oddHBand="0" w:evenHBand="0" w:firstRowFirstColumn="0" w:firstRowLastColumn="0" w:lastRowFirstColumn="0" w:lastRowLastColumn="0"/>
            <w:tcW w:w="698" w:type="pct"/>
            <w:vAlign w:val="center"/>
          </w:tcPr>
          <w:p w14:paraId="31219D19" w14:textId="77777777" w:rsidR="001C113D" w:rsidRPr="001C113D" w:rsidRDefault="001C113D" w:rsidP="001C113D">
            <w:pPr>
              <w:jc w:val="center"/>
              <w:rPr>
                <w:rFonts w:ascii="Arial" w:hAnsi="Arial" w:cs="Arial"/>
                <w:sz w:val="20"/>
                <w:szCs w:val="20"/>
                <w:lang w:val="es-ES_tradnl"/>
              </w:rPr>
            </w:pPr>
            <w:r w:rsidRPr="001C113D">
              <w:rPr>
                <w:rFonts w:ascii="Arial" w:hAnsi="Arial" w:cs="Arial"/>
                <w:sz w:val="20"/>
                <w:szCs w:val="20"/>
                <w:lang w:val="es-ES_tradnl"/>
              </w:rPr>
              <w:t>102,14%</w:t>
            </w:r>
          </w:p>
        </w:tc>
        <w:tc>
          <w:tcPr>
            <w:tcW w:w="967" w:type="pct"/>
            <w:vAlign w:val="center"/>
          </w:tcPr>
          <w:p w14:paraId="71949B66" w14:textId="77777777" w:rsidR="001C113D" w:rsidRPr="001C113D" w:rsidRDefault="001C113D" w:rsidP="001C11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1C113D">
              <w:rPr>
                <w:rFonts w:ascii="Arial" w:hAnsi="Arial" w:cs="Arial"/>
                <w:sz w:val="20"/>
                <w:szCs w:val="20"/>
                <w:lang w:val="es-ES_tradnl"/>
              </w:rPr>
              <w:t>Jefatura Defensa Pública, Informe de los resultados de la encuesta de percepción al usuario</w:t>
            </w:r>
          </w:p>
        </w:tc>
      </w:tr>
      <w:tr w:rsidR="001C113D" w:rsidRPr="001C113D" w14:paraId="6C6E547F" w14:textId="77777777" w:rsidTr="00465D52">
        <w:tc>
          <w:tcPr>
            <w:cnfStyle w:val="001000000000" w:firstRow="0" w:lastRow="0" w:firstColumn="1" w:lastColumn="0" w:oddVBand="0" w:evenVBand="0" w:oddHBand="0" w:evenHBand="0" w:firstRowFirstColumn="0" w:firstRowLastColumn="0" w:lastRowFirstColumn="0" w:lastRowLastColumn="0"/>
            <w:tcW w:w="715" w:type="pct"/>
          </w:tcPr>
          <w:p w14:paraId="3038EEC2" w14:textId="77777777" w:rsidR="001C113D" w:rsidRPr="001C113D" w:rsidRDefault="001C113D" w:rsidP="001C113D">
            <w:pPr>
              <w:jc w:val="center"/>
              <w:rPr>
                <w:rFonts w:ascii="Arial" w:hAnsi="Arial" w:cs="Arial"/>
                <w:b w:val="0"/>
                <w:color w:val="000000" w:themeColor="text1"/>
                <w:sz w:val="20"/>
                <w:szCs w:val="20"/>
                <w:lang w:val="es-ES_tradnl"/>
              </w:rPr>
            </w:pPr>
            <w:r w:rsidRPr="001C113D">
              <w:rPr>
                <w:rFonts w:ascii="Arial" w:hAnsi="Arial" w:cs="Arial"/>
                <w:b w:val="0"/>
                <w:color w:val="000000" w:themeColor="text1"/>
                <w:sz w:val="20"/>
                <w:szCs w:val="20"/>
                <w:lang w:val="es-ES_tradnl"/>
              </w:rPr>
              <w:t>Asistencia legal en los procesos judiciales</w:t>
            </w:r>
          </w:p>
        </w:tc>
        <w:tc>
          <w:tcPr>
            <w:cnfStyle w:val="000010000000" w:firstRow="0" w:lastRow="0" w:firstColumn="0" w:lastColumn="0" w:oddVBand="1" w:evenVBand="0" w:oddHBand="0" w:evenHBand="0" w:firstRowFirstColumn="0" w:firstRowLastColumn="0" w:lastRowFirstColumn="0" w:lastRowLastColumn="0"/>
            <w:tcW w:w="665" w:type="pct"/>
          </w:tcPr>
          <w:p w14:paraId="132C6384" w14:textId="77777777" w:rsidR="001C113D" w:rsidRPr="001C113D" w:rsidRDefault="001C113D" w:rsidP="001C113D">
            <w:pPr>
              <w:jc w:val="center"/>
              <w:rPr>
                <w:rFonts w:ascii="Arial" w:hAnsi="Arial" w:cs="Arial"/>
                <w:color w:val="000000" w:themeColor="text1"/>
                <w:sz w:val="20"/>
                <w:szCs w:val="20"/>
                <w:lang w:val="es-ES_tradnl"/>
              </w:rPr>
            </w:pPr>
            <w:r w:rsidRPr="001C113D">
              <w:rPr>
                <w:rFonts w:ascii="Arial" w:hAnsi="Arial" w:cs="Arial"/>
                <w:color w:val="000000" w:themeColor="text1"/>
                <w:sz w:val="20"/>
                <w:szCs w:val="20"/>
                <w:lang w:val="es-ES_tradnl"/>
              </w:rPr>
              <w:t xml:space="preserve">Porcentaje de satisfacción de las personas usuarias que se encuentran en libertad respecto al tiempo de espera antes de ser atendido por la Defensora o el </w:t>
            </w:r>
            <w:r w:rsidRPr="001C113D">
              <w:rPr>
                <w:rFonts w:ascii="Arial" w:hAnsi="Arial" w:cs="Arial"/>
                <w:color w:val="000000" w:themeColor="text1"/>
                <w:sz w:val="20"/>
                <w:szCs w:val="20"/>
                <w:lang w:val="es-ES_tradnl"/>
              </w:rPr>
              <w:lastRenderedPageBreak/>
              <w:t>Defensor Público</w:t>
            </w:r>
          </w:p>
        </w:tc>
        <w:tc>
          <w:tcPr>
            <w:tcW w:w="683" w:type="pct"/>
          </w:tcPr>
          <w:p w14:paraId="28F28D08" w14:textId="355FD130" w:rsidR="001C113D" w:rsidRPr="001C113D" w:rsidRDefault="001C113D" w:rsidP="001C11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_tradnl"/>
              </w:rPr>
            </w:pPr>
            <w:r w:rsidRPr="001C113D">
              <w:rPr>
                <w:rFonts w:ascii="Arial" w:hAnsi="Arial" w:cs="Arial"/>
                <w:color w:val="000000" w:themeColor="text1"/>
                <w:sz w:val="20"/>
                <w:szCs w:val="20"/>
                <w:lang w:val="es-ES_tradnl"/>
              </w:rPr>
              <w:lastRenderedPageBreak/>
              <w:t>75,00</w:t>
            </w:r>
            <w:r w:rsidR="00C139EB">
              <w:rPr>
                <w:rFonts w:ascii="Arial" w:hAnsi="Arial" w:cs="Arial"/>
                <w:color w:val="000000" w:themeColor="text1"/>
                <w:sz w:val="20"/>
                <w:szCs w:val="20"/>
                <w:lang w:val="es-ES_tradnl"/>
              </w:rPr>
              <w:t>%</w:t>
            </w:r>
          </w:p>
        </w:tc>
        <w:tc>
          <w:tcPr>
            <w:cnfStyle w:val="000010000000" w:firstRow="0" w:lastRow="0" w:firstColumn="0" w:lastColumn="0" w:oddVBand="1" w:evenVBand="0" w:oddHBand="0" w:evenHBand="0" w:firstRowFirstColumn="0" w:firstRowLastColumn="0" w:lastRowFirstColumn="0" w:lastRowLastColumn="0"/>
            <w:tcW w:w="599" w:type="pct"/>
          </w:tcPr>
          <w:p w14:paraId="7C1929B8" w14:textId="77777777" w:rsidR="001C113D" w:rsidRPr="001C113D" w:rsidRDefault="001C113D" w:rsidP="001C113D">
            <w:pPr>
              <w:jc w:val="center"/>
              <w:rPr>
                <w:rFonts w:ascii="Arial" w:hAnsi="Arial" w:cs="Arial"/>
                <w:color w:val="000000" w:themeColor="text1"/>
                <w:sz w:val="20"/>
                <w:szCs w:val="20"/>
                <w:lang w:val="es-ES_tradnl"/>
              </w:rPr>
            </w:pPr>
            <w:r w:rsidRPr="001C113D">
              <w:rPr>
                <w:rFonts w:ascii="Arial" w:hAnsi="Arial" w:cs="Arial"/>
                <w:color w:val="000000" w:themeColor="text1"/>
                <w:sz w:val="20"/>
                <w:szCs w:val="20"/>
                <w:lang w:val="es-ES_tradnl"/>
              </w:rPr>
              <w:t>72,30%</w:t>
            </w:r>
          </w:p>
        </w:tc>
        <w:tc>
          <w:tcPr>
            <w:tcW w:w="672" w:type="pct"/>
          </w:tcPr>
          <w:p w14:paraId="6C62726D" w14:textId="77777777" w:rsidR="001C113D" w:rsidRPr="001C113D" w:rsidRDefault="001C113D" w:rsidP="001C11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_tradnl"/>
              </w:rPr>
            </w:pPr>
            <w:r w:rsidRPr="001C113D">
              <w:rPr>
                <w:rFonts w:ascii="Arial" w:hAnsi="Arial" w:cs="Arial"/>
                <w:color w:val="000000" w:themeColor="text1"/>
                <w:sz w:val="20"/>
                <w:szCs w:val="20"/>
                <w:lang w:val="es-ES_tradnl"/>
              </w:rPr>
              <w:t>0,00%</w:t>
            </w:r>
          </w:p>
        </w:tc>
        <w:tc>
          <w:tcPr>
            <w:cnfStyle w:val="000010000000" w:firstRow="0" w:lastRow="0" w:firstColumn="0" w:lastColumn="0" w:oddVBand="1" w:evenVBand="0" w:oddHBand="0" w:evenHBand="0" w:firstRowFirstColumn="0" w:firstRowLastColumn="0" w:lastRowFirstColumn="0" w:lastRowLastColumn="0"/>
            <w:tcW w:w="698" w:type="pct"/>
          </w:tcPr>
          <w:p w14:paraId="17CC9FBC" w14:textId="77777777" w:rsidR="001C113D" w:rsidRPr="001C113D" w:rsidRDefault="001C113D" w:rsidP="001C113D">
            <w:pPr>
              <w:jc w:val="center"/>
              <w:rPr>
                <w:rFonts w:ascii="Arial" w:hAnsi="Arial" w:cs="Arial"/>
                <w:color w:val="000000" w:themeColor="text1"/>
                <w:sz w:val="20"/>
                <w:szCs w:val="20"/>
                <w:lang w:val="es-ES_tradnl"/>
              </w:rPr>
            </w:pPr>
            <w:r w:rsidRPr="001C113D">
              <w:rPr>
                <w:rFonts w:ascii="Arial" w:hAnsi="Arial" w:cs="Arial"/>
                <w:color w:val="000000" w:themeColor="text1"/>
                <w:sz w:val="20"/>
                <w:szCs w:val="20"/>
                <w:lang w:val="es-ES_tradnl"/>
              </w:rPr>
              <w:t>96,40%</w:t>
            </w:r>
          </w:p>
        </w:tc>
        <w:tc>
          <w:tcPr>
            <w:tcW w:w="967" w:type="pct"/>
          </w:tcPr>
          <w:p w14:paraId="2018A493" w14:textId="77777777" w:rsidR="001C113D" w:rsidRPr="001C113D" w:rsidRDefault="001C113D" w:rsidP="001C11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_tradnl"/>
              </w:rPr>
            </w:pPr>
            <w:r w:rsidRPr="001C113D">
              <w:rPr>
                <w:rFonts w:ascii="Arial" w:hAnsi="Arial" w:cs="Arial"/>
                <w:color w:val="000000" w:themeColor="text1"/>
                <w:sz w:val="20"/>
                <w:szCs w:val="20"/>
                <w:lang w:val="es-ES_tradnl"/>
              </w:rPr>
              <w:t>Jefatura Defensa Pública, Informe de los resultados de la encuesta de percepción al usuario</w:t>
            </w:r>
          </w:p>
        </w:tc>
      </w:tr>
    </w:tbl>
    <w:p w14:paraId="5FAC75B6" w14:textId="77777777" w:rsidR="001C113D" w:rsidRPr="001C113D" w:rsidRDefault="001C113D" w:rsidP="001C113D">
      <w:pPr>
        <w:spacing w:after="160" w:line="259" w:lineRule="auto"/>
        <w:contextualSpacing/>
        <w:jc w:val="both"/>
        <w:rPr>
          <w:rFonts w:ascii="Arial" w:eastAsiaTheme="minorEastAsia" w:hAnsi="Arial" w:cs="Arial"/>
          <w:color w:val="000000" w:themeColor="text1"/>
          <w:sz w:val="16"/>
          <w:szCs w:val="16"/>
          <w:lang w:val="es-ES_tradnl"/>
        </w:rPr>
      </w:pPr>
      <w:r w:rsidRPr="001C113D">
        <w:rPr>
          <w:rFonts w:ascii="Arial" w:eastAsiaTheme="minorEastAsia" w:hAnsi="Arial" w:cs="Arial"/>
          <w:b/>
          <w:color w:val="000000" w:themeColor="text1"/>
          <w:sz w:val="16"/>
          <w:szCs w:val="16"/>
          <w:lang w:val="es-ES_tradnl"/>
        </w:rPr>
        <w:t>Fuente</w:t>
      </w:r>
      <w:r w:rsidRPr="001C113D">
        <w:rPr>
          <w:rFonts w:ascii="Arial" w:eastAsiaTheme="minorEastAsia" w:hAnsi="Arial" w:cs="Arial"/>
          <w:color w:val="000000" w:themeColor="text1"/>
          <w:sz w:val="16"/>
          <w:szCs w:val="16"/>
          <w:lang w:val="es-ES_tradnl"/>
        </w:rPr>
        <w:t>: Jefatura Defensa Pública, Informe de los resultados de la encuesta de percepción al usuario</w:t>
      </w:r>
    </w:p>
    <w:p w14:paraId="762C9E68" w14:textId="77777777" w:rsidR="001C113D" w:rsidRPr="001C113D" w:rsidRDefault="001C113D" w:rsidP="001C113D">
      <w:pPr>
        <w:spacing w:after="160" w:line="259" w:lineRule="auto"/>
        <w:contextualSpacing/>
        <w:jc w:val="both"/>
        <w:rPr>
          <w:rFonts w:ascii="Arial" w:eastAsiaTheme="minorEastAsia" w:hAnsi="Arial" w:cs="Arial"/>
          <w:sz w:val="16"/>
          <w:szCs w:val="16"/>
          <w:lang w:val="es-ES_tradnl"/>
        </w:rPr>
      </w:pPr>
      <w:r w:rsidRPr="001C113D">
        <w:rPr>
          <w:rFonts w:ascii="Arial" w:eastAsiaTheme="minorEastAsia" w:hAnsi="Arial" w:cs="Arial"/>
          <w:sz w:val="16"/>
          <w:szCs w:val="16"/>
          <w:lang w:val="es-ES_tradnl"/>
        </w:rPr>
        <w:t>/1 Esta información se obtiene del informe semestral.</w:t>
      </w:r>
    </w:p>
    <w:p w14:paraId="28C5ED13" w14:textId="77777777" w:rsidR="001C113D" w:rsidRPr="001C113D" w:rsidRDefault="001C113D" w:rsidP="001C113D">
      <w:pPr>
        <w:spacing w:after="160" w:line="259" w:lineRule="auto"/>
        <w:contextualSpacing/>
        <w:jc w:val="both"/>
        <w:rPr>
          <w:rFonts w:ascii="Arial" w:eastAsiaTheme="minorEastAsia" w:hAnsi="Arial" w:cs="Arial"/>
          <w:sz w:val="16"/>
          <w:szCs w:val="16"/>
          <w:lang w:val="es-ES_tradnl"/>
        </w:rPr>
      </w:pPr>
      <w:r w:rsidRPr="001C113D">
        <w:rPr>
          <w:rFonts w:ascii="Arial" w:eastAsiaTheme="minorEastAsia" w:hAnsi="Arial" w:cs="Arial"/>
          <w:sz w:val="16"/>
          <w:szCs w:val="16"/>
          <w:lang w:val="es-ES_tradnl"/>
        </w:rPr>
        <w:t>/2 Acorde a lo establecido en la ley de presupuesto 2021 y sus reformas.</w:t>
      </w:r>
    </w:p>
    <w:p w14:paraId="4C24BDF4" w14:textId="77777777" w:rsidR="001C113D" w:rsidRPr="001C113D" w:rsidRDefault="001C113D" w:rsidP="001C113D">
      <w:pPr>
        <w:spacing w:after="160" w:line="259" w:lineRule="auto"/>
        <w:rPr>
          <w:rFonts w:ascii="Arial" w:eastAsiaTheme="minorEastAsia" w:hAnsi="Arial" w:cs="Arial"/>
          <w:sz w:val="20"/>
          <w:szCs w:val="20"/>
          <w:u w:val="single"/>
          <w:lang w:val="es-MX"/>
        </w:rPr>
      </w:pPr>
    </w:p>
    <w:p w14:paraId="3898217E" w14:textId="77777777" w:rsidR="001C113D" w:rsidRPr="001C113D" w:rsidRDefault="001C113D" w:rsidP="001C113D">
      <w:pPr>
        <w:spacing w:after="160" w:line="360" w:lineRule="auto"/>
        <w:jc w:val="both"/>
        <w:rPr>
          <w:rFonts w:ascii="Arial" w:eastAsia="Arial" w:hAnsi="Arial" w:cs="Arial"/>
          <w:sz w:val="20"/>
          <w:szCs w:val="20"/>
        </w:rPr>
      </w:pPr>
      <w:r w:rsidRPr="001C113D">
        <w:rPr>
          <w:rFonts w:ascii="Arial" w:eastAsia="Arial" w:hAnsi="Arial" w:cs="Arial"/>
          <w:sz w:val="20"/>
          <w:szCs w:val="20"/>
        </w:rPr>
        <w:t xml:space="preserve">Por la condición de vulnerabilidad de las personas usuarias que atiende la Defensa Pública es imprescindible mantener tiempos de espera cortos, o razonablemente aceptables, especialmente porque en la mayoría de los casos las personas se atienden sin cita previa, y no se puede limitar la prestación del servicio por un requisito de este tipo. </w:t>
      </w:r>
    </w:p>
    <w:p w14:paraId="3F49AF2C" w14:textId="77777777" w:rsidR="001C113D" w:rsidRPr="001C113D" w:rsidRDefault="001C113D" w:rsidP="001C113D">
      <w:pPr>
        <w:spacing w:after="160" w:line="360" w:lineRule="auto"/>
        <w:jc w:val="both"/>
        <w:rPr>
          <w:rFonts w:ascii="Arial" w:eastAsia="Arial" w:hAnsi="Arial" w:cs="Arial"/>
          <w:sz w:val="20"/>
          <w:szCs w:val="20"/>
        </w:rPr>
      </w:pPr>
      <w:r w:rsidRPr="001C113D">
        <w:rPr>
          <w:rFonts w:ascii="Arial" w:eastAsia="Arial" w:hAnsi="Arial" w:cs="Arial"/>
          <w:sz w:val="20"/>
          <w:szCs w:val="20"/>
        </w:rPr>
        <w:t>Por otro lado, tiempos de espera largos, desincentivan a las personas usuarias a requerir los servicios de la Defensa Pública y pueden obligarlos a prescindir de asistencia letrada para la atención de su proceso o consulta, por cuanto no encuentran respuesta oportuna en la institución. Es así como el tiempo espera razonables, generan confianza en la población, pues están siendo escuchados y permiten ofrece la atención adecuada en el momento en que asiste a la institución.</w:t>
      </w:r>
    </w:p>
    <w:p w14:paraId="08D20101" w14:textId="77777777" w:rsidR="001C113D" w:rsidRPr="001C113D" w:rsidRDefault="001C113D" w:rsidP="001C113D">
      <w:pPr>
        <w:spacing w:after="160" w:line="360" w:lineRule="auto"/>
        <w:jc w:val="both"/>
        <w:rPr>
          <w:rFonts w:ascii="Arial" w:eastAsia="Arial" w:hAnsi="Arial" w:cs="Arial"/>
          <w:sz w:val="20"/>
          <w:szCs w:val="20"/>
        </w:rPr>
      </w:pPr>
      <w:r w:rsidRPr="001C113D">
        <w:rPr>
          <w:rFonts w:ascii="Arial" w:eastAsia="Arial" w:hAnsi="Arial" w:cs="Arial"/>
          <w:sz w:val="20"/>
          <w:szCs w:val="20"/>
        </w:rPr>
        <w:t>Por otro lado, es imprescindible escuchar a la parte representada, ya que es necesario para la correcta representación del caso, ya que de eso depende el desarrollo de la estrategia de defensa.  Lo anterior se consigue con tiempos de atención adecuados, de ahí la importancia de medir esta variable, ya que una parte del resultado del proceso depende de la interacción de la persona defensora con su representado.</w:t>
      </w:r>
    </w:p>
    <w:p w14:paraId="7B7D4AEB" w14:textId="77777777" w:rsidR="001C113D" w:rsidRPr="001C113D" w:rsidRDefault="001C113D" w:rsidP="001C113D">
      <w:pPr>
        <w:spacing w:after="160" w:line="360" w:lineRule="auto"/>
        <w:jc w:val="both"/>
        <w:rPr>
          <w:rFonts w:ascii="Arial" w:eastAsia="Arial" w:hAnsi="Arial" w:cs="Arial"/>
          <w:sz w:val="20"/>
          <w:szCs w:val="20"/>
        </w:rPr>
      </w:pPr>
      <w:r w:rsidRPr="001C113D">
        <w:rPr>
          <w:rFonts w:ascii="Arial" w:eastAsia="Arial" w:hAnsi="Arial" w:cs="Arial"/>
          <w:sz w:val="20"/>
          <w:szCs w:val="20"/>
        </w:rPr>
        <w:t>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tanto, no se tienen avances semestrales.</w:t>
      </w:r>
    </w:p>
    <w:p w14:paraId="10B0051F" w14:textId="77777777" w:rsidR="001C113D" w:rsidRPr="001C113D" w:rsidRDefault="001C113D" w:rsidP="001C113D">
      <w:pPr>
        <w:spacing w:after="160" w:line="360" w:lineRule="auto"/>
        <w:jc w:val="both"/>
        <w:rPr>
          <w:rFonts w:ascii="Arial" w:eastAsia="Arial" w:hAnsi="Arial" w:cs="Arial"/>
          <w:sz w:val="20"/>
          <w:szCs w:val="20"/>
        </w:rPr>
      </w:pPr>
      <w:r w:rsidRPr="001C113D">
        <w:rPr>
          <w:rFonts w:ascii="Arial" w:eastAsia="Arial" w:hAnsi="Arial" w:cs="Arial"/>
          <w:sz w:val="20"/>
          <w:szCs w:val="20"/>
        </w:rPr>
        <w:t xml:space="preserve">El Porcentaje de satisfacción de las personas usuarias que se encuentran en libertad respecto al tiempo que le dedica la Defensora o el Defensor Público, el cual se ubicó por encima de lo proyectado, tiende a normalizarse en la medición que se realizó en el 2021. Así para el 2020, este indicador se estimó en un 106,91%, lo cual indica que en comparación con el año 2021, el </w:t>
      </w:r>
      <w:r w:rsidRPr="001C113D">
        <w:rPr>
          <w:rFonts w:ascii="Arial" w:eastAsia="Arial" w:hAnsi="Arial" w:cs="Arial"/>
          <w:sz w:val="20"/>
          <w:szCs w:val="20"/>
        </w:rPr>
        <w:lastRenderedPageBreak/>
        <w:t>indicador presenta una disminución, cuyo comportamiento se acerca nuevamente a lo proyectado.</w:t>
      </w:r>
    </w:p>
    <w:p w14:paraId="06FBE241" w14:textId="6A49808E"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40</w:t>
      </w:r>
      <w:r w:rsidRPr="00AE3D7B">
        <w:rPr>
          <w:rFonts w:ascii="Arial" w:hAnsi="Arial" w:cs="Arial"/>
          <w:b/>
          <w:bCs/>
          <w:i w:val="0"/>
          <w:iCs w:val="0"/>
          <w:color w:val="auto"/>
          <w:sz w:val="20"/>
          <w:szCs w:val="20"/>
        </w:rPr>
        <w:fldChar w:fldCharType="end"/>
      </w:r>
    </w:p>
    <w:p w14:paraId="4BC13188" w14:textId="08237E21" w:rsidR="001C113D" w:rsidRPr="001C113D" w:rsidRDefault="001C113D" w:rsidP="001C113D">
      <w:pPr>
        <w:spacing w:line="259" w:lineRule="auto"/>
        <w:ind w:left="720"/>
        <w:jc w:val="center"/>
        <w:rPr>
          <w:rFonts w:ascii="Arial" w:eastAsiaTheme="minorEastAsia" w:hAnsi="Arial" w:cs="Arial"/>
          <w:b/>
          <w:color w:val="000000"/>
          <w:sz w:val="20"/>
          <w:szCs w:val="20"/>
          <w:lang w:val="es-CR" w:eastAsia="es-CR"/>
        </w:rPr>
      </w:pPr>
      <w:r w:rsidRPr="001C113D">
        <w:rPr>
          <w:rFonts w:ascii="Arial" w:eastAsiaTheme="minorEastAsia" w:hAnsi="Arial" w:cs="Arial"/>
          <w:color w:val="000000"/>
          <w:sz w:val="20"/>
          <w:szCs w:val="20"/>
          <w:lang w:val="es-CR" w:eastAsia="es-CR"/>
        </w:rPr>
        <w:t xml:space="preserve"> </w:t>
      </w:r>
      <w:r w:rsidRPr="001C113D">
        <w:rPr>
          <w:rFonts w:ascii="Arial" w:eastAsiaTheme="minorEastAsia" w:hAnsi="Arial" w:cs="Arial"/>
          <w:b/>
          <w:color w:val="000000"/>
          <w:sz w:val="20"/>
          <w:szCs w:val="20"/>
          <w:lang w:val="es-CR" w:eastAsia="es-CR"/>
        </w:rPr>
        <w:t>Indicadores. Acciones correctivas de mitad de año no efectivas</w:t>
      </w:r>
    </w:p>
    <w:p w14:paraId="4D95FBE2" w14:textId="77777777" w:rsidR="001C113D" w:rsidRPr="001C113D" w:rsidRDefault="001C113D" w:rsidP="001C113D">
      <w:pPr>
        <w:jc w:val="center"/>
        <w:rPr>
          <w:rFonts w:ascii="Arial" w:eastAsiaTheme="minorEastAsia" w:hAnsi="Arial" w:cs="Arial"/>
          <w:sz w:val="20"/>
          <w:szCs w:val="20"/>
          <w:lang w:val="es-ES_tradnl"/>
        </w:rPr>
      </w:pPr>
      <w:r w:rsidRPr="001C113D">
        <w:rPr>
          <w:rFonts w:ascii="Arial" w:eastAsiaTheme="minorEastAsia" w:hAnsi="Arial" w:cs="Arial"/>
          <w:sz w:val="20"/>
          <w:szCs w:val="20"/>
          <w:lang w:val="es-ES_tradnl"/>
        </w:rPr>
        <w:t>Programa 930, Defensa Pública</w:t>
      </w:r>
    </w:p>
    <w:p w14:paraId="0DECDFE7" w14:textId="77777777" w:rsidR="001C113D" w:rsidRPr="001C113D" w:rsidRDefault="001C113D" w:rsidP="001C113D">
      <w:pPr>
        <w:spacing w:line="259" w:lineRule="auto"/>
        <w:ind w:left="720"/>
        <w:jc w:val="center"/>
        <w:rPr>
          <w:rFonts w:ascii="Arial" w:eastAsiaTheme="minorEastAsia" w:hAnsi="Arial" w:cs="Arial"/>
          <w:color w:val="000000"/>
          <w:sz w:val="20"/>
          <w:szCs w:val="20"/>
          <w:lang w:val="es-CR" w:eastAsia="es-CR"/>
        </w:rPr>
      </w:pPr>
      <w:r w:rsidRPr="001C113D">
        <w:rPr>
          <w:rFonts w:ascii="Arial" w:eastAsiaTheme="minorEastAsia" w:hAnsi="Arial" w:cs="Arial"/>
          <w:color w:val="000000"/>
          <w:sz w:val="20"/>
          <w:szCs w:val="20"/>
          <w:lang w:val="es-CR" w:eastAsia="es-CR"/>
        </w:rPr>
        <w:t>Cumplimiento menor al 25,00% al 30/06/2021 y al 90,00% al 31/12/2021</w:t>
      </w:r>
    </w:p>
    <w:tbl>
      <w:tblPr>
        <w:tblStyle w:val="Listaclara-nfasis123"/>
        <w:tblW w:w="4950" w:type="pct"/>
        <w:tblLook w:val="00A0" w:firstRow="1" w:lastRow="0" w:firstColumn="1" w:lastColumn="0" w:noHBand="0" w:noVBand="0"/>
      </w:tblPr>
      <w:tblGrid>
        <w:gridCol w:w="1281"/>
        <w:gridCol w:w="2253"/>
        <w:gridCol w:w="2745"/>
        <w:gridCol w:w="2120"/>
      </w:tblGrid>
      <w:tr w:rsidR="001C113D" w:rsidRPr="001C113D" w14:paraId="592FD743"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53564961" w14:textId="77777777" w:rsidR="001C113D" w:rsidRPr="001C113D" w:rsidRDefault="001C113D" w:rsidP="001C113D">
            <w:pPr>
              <w:contextualSpacing/>
              <w:jc w:val="center"/>
              <w:rPr>
                <w:rFonts w:ascii="Arial" w:hAnsi="Arial" w:cs="Arial"/>
                <w:bCs w:val="0"/>
                <w:sz w:val="18"/>
                <w:szCs w:val="16"/>
                <w:lang w:val="es-CR"/>
              </w:rPr>
            </w:pPr>
            <w:r w:rsidRPr="001C113D">
              <w:rPr>
                <w:rFonts w:ascii="Arial" w:hAnsi="Arial" w:cs="Arial"/>
                <w:sz w:val="18"/>
                <w:szCs w:val="16"/>
                <w:lang w:val="es-CR"/>
              </w:rPr>
              <w:t>Nombre del indicador</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3049EB60" w14:textId="77777777" w:rsidR="001C113D" w:rsidRPr="001C113D" w:rsidRDefault="001C113D" w:rsidP="001C113D">
            <w:pPr>
              <w:contextualSpacing/>
              <w:jc w:val="center"/>
              <w:rPr>
                <w:rFonts w:ascii="Arial" w:hAnsi="Arial" w:cs="Arial"/>
                <w:b w:val="0"/>
                <w:bCs w:val="0"/>
                <w:sz w:val="18"/>
                <w:szCs w:val="16"/>
                <w:lang w:val="es-CR"/>
              </w:rPr>
            </w:pPr>
            <w:r w:rsidRPr="001C113D">
              <w:rPr>
                <w:rFonts w:ascii="Arial" w:hAnsi="Arial" w:cs="Arial"/>
                <w:sz w:val="18"/>
                <w:szCs w:val="16"/>
                <w:lang w:val="es-CR"/>
              </w:rPr>
              <w:t>Factores</w:t>
            </w:r>
          </w:p>
          <w:p w14:paraId="1ED79340" w14:textId="77777777" w:rsidR="001C113D" w:rsidRPr="001C113D" w:rsidRDefault="001C113D" w:rsidP="001C113D">
            <w:pPr>
              <w:contextualSpacing/>
              <w:jc w:val="center"/>
              <w:rPr>
                <w:rFonts w:ascii="Arial" w:hAnsi="Arial" w:cs="Arial"/>
                <w:sz w:val="18"/>
                <w:szCs w:val="16"/>
                <w:lang w:val="es-CR"/>
              </w:rPr>
            </w:pPr>
            <w:r w:rsidRPr="001C113D">
              <w:rPr>
                <w:rFonts w:ascii="Arial" w:hAnsi="Arial" w:cs="Arial"/>
                <w:sz w:val="18"/>
                <w:szCs w:val="16"/>
                <w:lang w:val="es-CR"/>
              </w:rPr>
              <w:t xml:space="preserve">al 30/06/2021 </w:t>
            </w:r>
            <w:r w:rsidRPr="001C113D">
              <w:rPr>
                <w:rFonts w:ascii="Arial" w:hAnsi="Arial" w:cs="Arial"/>
                <w:sz w:val="18"/>
                <w:szCs w:val="16"/>
                <w:vertAlign w:val="superscript"/>
                <w:lang w:val="es-CR"/>
              </w:rPr>
              <w:t>/1</w:t>
            </w:r>
          </w:p>
        </w:tc>
        <w:tc>
          <w:tcPr>
            <w:tcW w:w="1634" w:type="pct"/>
            <w:vAlign w:val="center"/>
          </w:tcPr>
          <w:p w14:paraId="4F38BBC4" w14:textId="77777777" w:rsidR="001C113D" w:rsidRPr="001C113D" w:rsidRDefault="001C113D" w:rsidP="001C113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6"/>
                <w:lang w:val="es-CR"/>
              </w:rPr>
            </w:pPr>
            <w:r w:rsidRPr="001C113D">
              <w:rPr>
                <w:rFonts w:ascii="Arial" w:hAnsi="Arial" w:cs="Arial"/>
                <w:sz w:val="18"/>
                <w:szCs w:val="16"/>
                <w:lang w:val="es-CR"/>
              </w:rPr>
              <w:t xml:space="preserve">Acciones correctivas </w:t>
            </w:r>
            <w:r w:rsidRPr="001C113D">
              <w:rPr>
                <w:rFonts w:ascii="Arial" w:hAnsi="Arial" w:cs="Arial"/>
                <w:sz w:val="18"/>
                <w:szCs w:val="16"/>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4E882CE9" w14:textId="77777777" w:rsidR="001C113D" w:rsidRPr="001C113D" w:rsidRDefault="001C113D" w:rsidP="001C113D">
            <w:pPr>
              <w:contextualSpacing/>
              <w:jc w:val="center"/>
              <w:rPr>
                <w:rFonts w:ascii="Arial" w:hAnsi="Arial" w:cs="Arial"/>
                <w:bCs w:val="0"/>
                <w:sz w:val="18"/>
                <w:szCs w:val="16"/>
                <w:lang w:val="es-CR"/>
              </w:rPr>
            </w:pPr>
            <w:r w:rsidRPr="001C113D">
              <w:rPr>
                <w:rFonts w:ascii="Arial" w:hAnsi="Arial" w:cs="Arial"/>
                <w:sz w:val="18"/>
                <w:szCs w:val="16"/>
                <w:lang w:val="es-CR"/>
              </w:rPr>
              <w:t xml:space="preserve">Razones </w:t>
            </w:r>
            <w:r w:rsidRPr="001C113D">
              <w:rPr>
                <w:rFonts w:ascii="Arial" w:hAnsi="Arial" w:cs="Arial"/>
                <w:sz w:val="18"/>
                <w:szCs w:val="16"/>
                <w:vertAlign w:val="superscript"/>
                <w:lang w:val="es-CR"/>
              </w:rPr>
              <w:t>/3</w:t>
            </w:r>
          </w:p>
        </w:tc>
      </w:tr>
      <w:tr w:rsidR="001C113D" w:rsidRPr="001C113D" w14:paraId="49A3AB5C"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1B61FF68" w14:textId="77777777" w:rsidR="001C113D" w:rsidRPr="001C113D" w:rsidRDefault="001C113D" w:rsidP="001C113D">
            <w:pPr>
              <w:contextualSpacing/>
              <w:jc w:val="both"/>
              <w:rPr>
                <w:rFonts w:ascii="Arial" w:hAnsi="Arial" w:cs="Arial"/>
                <w:b w:val="0"/>
                <w:bCs w:val="0"/>
                <w:sz w:val="16"/>
                <w:szCs w:val="20"/>
                <w:lang w:val="es-CR"/>
              </w:rPr>
            </w:pPr>
            <w:r w:rsidRPr="001C113D">
              <w:rPr>
                <w:rFonts w:ascii="Arial" w:hAnsi="Arial" w:cs="Arial"/>
                <w:b w:val="0"/>
                <w:bCs w:val="0"/>
                <w:sz w:val="16"/>
                <w:szCs w:val="20"/>
                <w:lang w:val="es-CR"/>
              </w:rPr>
              <w:t>-</w:t>
            </w:r>
          </w:p>
        </w:tc>
        <w:tc>
          <w:tcPr>
            <w:cnfStyle w:val="000010000000" w:firstRow="0" w:lastRow="0" w:firstColumn="0" w:lastColumn="0" w:oddVBand="1" w:evenVBand="0" w:oddHBand="0" w:evenHBand="0" w:firstRowFirstColumn="0" w:firstRowLastColumn="0" w:lastRowFirstColumn="0" w:lastRowLastColumn="0"/>
            <w:tcW w:w="1341" w:type="pct"/>
          </w:tcPr>
          <w:p w14:paraId="198FF8FF" w14:textId="77777777" w:rsidR="001C113D" w:rsidRPr="001C113D" w:rsidRDefault="001C113D" w:rsidP="001C113D">
            <w:pPr>
              <w:rPr>
                <w:rFonts w:ascii="Arial" w:hAnsi="Arial" w:cs="Arial"/>
                <w:bCs/>
                <w:sz w:val="16"/>
                <w:szCs w:val="20"/>
                <w:lang w:val="es-CR"/>
              </w:rPr>
            </w:pPr>
            <w:r w:rsidRPr="001C113D">
              <w:rPr>
                <w:rFonts w:ascii="Arial" w:hAnsi="Arial" w:cs="Arial"/>
                <w:bCs/>
                <w:sz w:val="16"/>
                <w:szCs w:val="20"/>
                <w:lang w:val="es-CR"/>
              </w:rPr>
              <w:t>-</w:t>
            </w:r>
          </w:p>
        </w:tc>
        <w:tc>
          <w:tcPr>
            <w:tcW w:w="1634" w:type="pct"/>
          </w:tcPr>
          <w:p w14:paraId="43501BAA" w14:textId="77777777" w:rsidR="001C113D" w:rsidRPr="001C113D" w:rsidRDefault="001C113D" w:rsidP="001C113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lang w:val="es-CR"/>
              </w:rPr>
            </w:pPr>
            <w:r w:rsidRPr="001C113D">
              <w:rPr>
                <w:rFonts w:ascii="Arial" w:hAnsi="Arial" w:cs="Arial"/>
                <w:bCs/>
                <w:sz w:val="16"/>
                <w:szCs w:val="20"/>
                <w:lang w:val="es-CR"/>
              </w:rPr>
              <w:t>-</w:t>
            </w:r>
          </w:p>
        </w:tc>
        <w:tc>
          <w:tcPr>
            <w:cnfStyle w:val="000010000000" w:firstRow="0" w:lastRow="0" w:firstColumn="0" w:lastColumn="0" w:oddVBand="1" w:evenVBand="0" w:oddHBand="0" w:evenHBand="0" w:firstRowFirstColumn="0" w:firstRowLastColumn="0" w:lastRowFirstColumn="0" w:lastRowLastColumn="0"/>
            <w:tcW w:w="1262" w:type="pct"/>
          </w:tcPr>
          <w:p w14:paraId="7342181B" w14:textId="77777777" w:rsidR="001C113D" w:rsidRPr="001C113D" w:rsidRDefault="001C113D" w:rsidP="001C113D">
            <w:pPr>
              <w:contextualSpacing/>
              <w:jc w:val="both"/>
              <w:rPr>
                <w:rFonts w:ascii="Arial" w:hAnsi="Arial" w:cs="Arial"/>
                <w:bCs/>
                <w:sz w:val="16"/>
                <w:szCs w:val="20"/>
                <w:lang w:val="es-CR"/>
              </w:rPr>
            </w:pPr>
            <w:r w:rsidRPr="001C113D">
              <w:rPr>
                <w:rFonts w:ascii="Arial" w:hAnsi="Arial" w:cs="Arial"/>
                <w:bCs/>
                <w:sz w:val="16"/>
                <w:szCs w:val="20"/>
                <w:lang w:val="es-CR"/>
              </w:rPr>
              <w:t>-</w:t>
            </w:r>
          </w:p>
        </w:tc>
      </w:tr>
    </w:tbl>
    <w:p w14:paraId="26F1C376" w14:textId="77777777" w:rsidR="001C113D" w:rsidRPr="001C113D" w:rsidRDefault="001C113D" w:rsidP="001C113D">
      <w:pPr>
        <w:jc w:val="both"/>
        <w:rPr>
          <w:rFonts w:ascii="Arial" w:eastAsiaTheme="minorEastAsia" w:hAnsi="Arial" w:cs="Arial"/>
          <w:b/>
          <w:sz w:val="16"/>
          <w:szCs w:val="16"/>
          <w:lang w:val="es-CR"/>
        </w:rPr>
      </w:pPr>
      <w:r w:rsidRPr="001C113D">
        <w:rPr>
          <w:rFonts w:ascii="Arial" w:eastAsiaTheme="minorEastAsia" w:hAnsi="Arial" w:cs="Arial"/>
          <w:b/>
          <w:sz w:val="16"/>
          <w:szCs w:val="16"/>
          <w:lang w:val="es-CR"/>
        </w:rPr>
        <w:t>Fuente</w:t>
      </w:r>
      <w:r w:rsidRPr="001C113D">
        <w:rPr>
          <w:rFonts w:ascii="Arial" w:eastAsiaTheme="minorEastAsia" w:hAnsi="Arial" w:cs="Arial"/>
          <w:sz w:val="16"/>
          <w:szCs w:val="16"/>
          <w:lang w:val="es-CR"/>
        </w:rPr>
        <w:t xml:space="preserve">: </w:t>
      </w:r>
    </w:p>
    <w:p w14:paraId="23E453F2" w14:textId="77777777" w:rsidR="001C113D" w:rsidRPr="001C113D" w:rsidRDefault="001C113D" w:rsidP="001C113D">
      <w:pPr>
        <w:jc w:val="both"/>
        <w:rPr>
          <w:rFonts w:ascii="Arial" w:eastAsiaTheme="minorEastAsia" w:hAnsi="Arial" w:cs="Arial"/>
          <w:sz w:val="16"/>
          <w:szCs w:val="16"/>
          <w:lang w:val="es-CR"/>
        </w:rPr>
      </w:pPr>
      <w:r w:rsidRPr="001C113D">
        <w:rPr>
          <w:rFonts w:ascii="Arial" w:eastAsiaTheme="minorEastAsia" w:hAnsi="Arial" w:cs="Arial"/>
          <w:sz w:val="16"/>
          <w:szCs w:val="16"/>
          <w:lang w:val="es-CR"/>
        </w:rPr>
        <w:t>/1 Indicar la descripción del factor (enunciado del factor, no número) señalado en el informe de seguimiento semestral.</w:t>
      </w:r>
    </w:p>
    <w:p w14:paraId="097528BC" w14:textId="77777777" w:rsidR="001C113D" w:rsidRPr="001C113D" w:rsidRDefault="001C113D" w:rsidP="001C113D">
      <w:pPr>
        <w:jc w:val="both"/>
        <w:rPr>
          <w:rFonts w:ascii="Arial" w:eastAsiaTheme="minorEastAsia" w:hAnsi="Arial" w:cs="Arial"/>
          <w:sz w:val="16"/>
          <w:szCs w:val="16"/>
          <w:lang w:val="es-CR"/>
        </w:rPr>
      </w:pPr>
      <w:r w:rsidRPr="001C113D">
        <w:rPr>
          <w:rFonts w:ascii="Arial" w:eastAsiaTheme="minorEastAsia" w:hAnsi="Arial" w:cs="Arial"/>
          <w:sz w:val="16"/>
          <w:szCs w:val="16"/>
          <w:lang w:val="es-CR"/>
        </w:rPr>
        <w:t>/2 Se refieren a las acciones propuestas en el informe de seguimiento semestral.</w:t>
      </w:r>
    </w:p>
    <w:p w14:paraId="6EA86227" w14:textId="77777777" w:rsidR="001C113D" w:rsidRPr="001C113D" w:rsidRDefault="001C113D" w:rsidP="001C113D">
      <w:pPr>
        <w:jc w:val="both"/>
        <w:rPr>
          <w:rFonts w:ascii="Arial" w:eastAsiaTheme="minorEastAsia" w:hAnsi="Arial" w:cs="Arial"/>
          <w:sz w:val="16"/>
          <w:szCs w:val="16"/>
          <w:lang w:val="es-CR"/>
        </w:rPr>
      </w:pPr>
      <w:r w:rsidRPr="001C113D">
        <w:rPr>
          <w:rFonts w:ascii="Arial" w:eastAsiaTheme="minorEastAsia" w:hAnsi="Arial" w:cs="Arial"/>
          <w:sz w:val="16"/>
          <w:szCs w:val="16"/>
          <w:lang w:val="es-CR"/>
        </w:rPr>
        <w:t>/3</w:t>
      </w:r>
      <w:r w:rsidRPr="001C113D">
        <w:rPr>
          <w:rFonts w:ascii="Arial" w:eastAsiaTheme="minorEastAsia" w:hAnsi="Arial" w:cs="Arial"/>
          <w:b/>
          <w:sz w:val="16"/>
          <w:szCs w:val="16"/>
          <w:lang w:val="es-CR"/>
        </w:rPr>
        <w:t xml:space="preserve"> </w:t>
      </w:r>
      <w:r w:rsidRPr="001C113D">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4CCA524D" w14:textId="77777777" w:rsidR="001C113D" w:rsidRPr="001C113D" w:rsidRDefault="001C113D" w:rsidP="001C113D">
      <w:pPr>
        <w:jc w:val="both"/>
        <w:rPr>
          <w:rFonts w:ascii="Arial" w:eastAsiaTheme="minorEastAsia" w:hAnsi="Arial" w:cs="Arial"/>
          <w:bCs/>
          <w:sz w:val="16"/>
          <w:szCs w:val="16"/>
          <w:lang w:val="es-CR"/>
        </w:rPr>
      </w:pPr>
      <w:r w:rsidRPr="001C113D">
        <w:rPr>
          <w:rFonts w:ascii="Arial" w:eastAsiaTheme="minorEastAsia" w:hAnsi="Arial" w:cs="Arial"/>
          <w:color w:val="C00000"/>
          <w:sz w:val="16"/>
          <w:szCs w:val="16"/>
          <w:lang w:val="es-CR"/>
        </w:rPr>
        <w:t>.</w:t>
      </w:r>
    </w:p>
    <w:p w14:paraId="1CDB9E04" w14:textId="77777777" w:rsidR="00D5434D" w:rsidRDefault="00D5434D" w:rsidP="005E5145">
      <w:pPr>
        <w:ind w:left="720"/>
        <w:rPr>
          <w:rFonts w:ascii="Arial" w:eastAsiaTheme="minorEastAsia" w:hAnsi="Arial" w:cs="Arial"/>
          <w:b/>
          <w:color w:val="000000" w:themeColor="text1"/>
          <w:sz w:val="20"/>
          <w:szCs w:val="20"/>
          <w:lang w:val="es-CR" w:eastAsia="es-CR"/>
        </w:rPr>
      </w:pPr>
    </w:p>
    <w:p w14:paraId="16902411" w14:textId="77777777" w:rsidR="00D5434D" w:rsidRDefault="00D5434D" w:rsidP="001C113D">
      <w:pPr>
        <w:ind w:left="720"/>
        <w:jc w:val="center"/>
        <w:rPr>
          <w:rFonts w:ascii="Arial" w:eastAsiaTheme="minorEastAsia" w:hAnsi="Arial" w:cs="Arial"/>
          <w:b/>
          <w:color w:val="000000" w:themeColor="text1"/>
          <w:sz w:val="20"/>
          <w:szCs w:val="20"/>
          <w:lang w:val="es-CR" w:eastAsia="es-CR"/>
        </w:rPr>
      </w:pPr>
    </w:p>
    <w:p w14:paraId="20D5AB8B" w14:textId="7E690B3A"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41</w:t>
      </w:r>
      <w:r w:rsidRPr="00AE3D7B">
        <w:rPr>
          <w:rFonts w:ascii="Arial" w:hAnsi="Arial" w:cs="Arial"/>
          <w:b/>
          <w:bCs/>
          <w:i w:val="0"/>
          <w:iCs w:val="0"/>
          <w:color w:val="auto"/>
          <w:sz w:val="20"/>
          <w:szCs w:val="20"/>
        </w:rPr>
        <w:fldChar w:fldCharType="end"/>
      </w:r>
    </w:p>
    <w:p w14:paraId="22790290" w14:textId="4022B2D0" w:rsidR="001C113D" w:rsidRPr="001C113D" w:rsidRDefault="001C113D" w:rsidP="001C113D">
      <w:pPr>
        <w:ind w:left="720"/>
        <w:jc w:val="center"/>
        <w:rPr>
          <w:rFonts w:ascii="Arial" w:eastAsiaTheme="minorEastAsia" w:hAnsi="Arial" w:cs="Arial"/>
          <w:b/>
          <w:bCs/>
          <w:color w:val="000000"/>
          <w:sz w:val="20"/>
          <w:szCs w:val="20"/>
          <w:lang w:val="es-CR" w:eastAsia="es-CR"/>
        </w:rPr>
      </w:pPr>
      <w:r w:rsidRPr="001C113D">
        <w:rPr>
          <w:rFonts w:ascii="Arial" w:eastAsiaTheme="minorEastAsia" w:hAnsi="Arial" w:cs="Arial"/>
          <w:color w:val="000000" w:themeColor="text1"/>
          <w:sz w:val="20"/>
          <w:szCs w:val="20"/>
          <w:lang w:val="es-CR" w:eastAsia="es-CR"/>
        </w:rPr>
        <w:t xml:space="preserve"> </w:t>
      </w:r>
      <w:r w:rsidRPr="001C113D">
        <w:rPr>
          <w:rFonts w:ascii="Arial" w:eastAsiaTheme="minorEastAsia" w:hAnsi="Arial" w:cs="Arial"/>
          <w:b/>
          <w:color w:val="000000" w:themeColor="text1"/>
          <w:sz w:val="20"/>
          <w:szCs w:val="20"/>
          <w:lang w:val="es-CR" w:eastAsia="es-CR"/>
        </w:rPr>
        <w:t>Indicadores.</w:t>
      </w:r>
      <w:r w:rsidRPr="001C113D">
        <w:rPr>
          <w:rFonts w:ascii="Arial" w:eastAsiaTheme="minorEastAsia" w:hAnsi="Arial" w:cs="Arial"/>
          <w:color w:val="000000" w:themeColor="text1"/>
          <w:sz w:val="20"/>
          <w:szCs w:val="20"/>
          <w:lang w:val="es-CR" w:eastAsia="es-CR"/>
        </w:rPr>
        <w:t xml:space="preserve"> </w:t>
      </w:r>
      <w:r w:rsidRPr="001C113D">
        <w:rPr>
          <w:rFonts w:ascii="Arial" w:eastAsiaTheme="minorEastAsia" w:hAnsi="Arial" w:cs="Arial"/>
          <w:b/>
          <w:sz w:val="20"/>
          <w:szCs w:val="20"/>
          <w:lang w:val="es-CR" w:eastAsia="es-CR"/>
        </w:rPr>
        <w:t xml:space="preserve">Acciones correctivas y fechas de implementación </w:t>
      </w:r>
    </w:p>
    <w:p w14:paraId="17642588" w14:textId="77777777" w:rsidR="001C113D" w:rsidRPr="001C113D" w:rsidRDefault="001C113D" w:rsidP="001C113D">
      <w:pPr>
        <w:jc w:val="center"/>
        <w:rPr>
          <w:rFonts w:ascii="Arial" w:eastAsiaTheme="minorEastAsia" w:hAnsi="Arial" w:cs="Arial"/>
          <w:sz w:val="20"/>
          <w:szCs w:val="20"/>
          <w:lang w:val="es-ES_tradnl"/>
        </w:rPr>
      </w:pPr>
      <w:r w:rsidRPr="001C113D">
        <w:rPr>
          <w:rFonts w:ascii="Arial" w:eastAsiaTheme="minorEastAsia" w:hAnsi="Arial" w:cs="Arial"/>
          <w:sz w:val="20"/>
          <w:szCs w:val="20"/>
          <w:lang w:val="es-ES_tradnl"/>
        </w:rPr>
        <w:t>Programa 930, Defensa Pública</w:t>
      </w:r>
    </w:p>
    <w:p w14:paraId="7800965D" w14:textId="77777777" w:rsidR="001C113D" w:rsidRPr="001C113D" w:rsidRDefault="001C113D" w:rsidP="001C113D">
      <w:pPr>
        <w:jc w:val="center"/>
        <w:rPr>
          <w:rFonts w:ascii="Arial" w:eastAsiaTheme="minorEastAsia" w:hAnsi="Arial" w:cs="Arial"/>
          <w:color w:val="000000"/>
          <w:sz w:val="20"/>
          <w:szCs w:val="20"/>
          <w:lang w:val="es-CR" w:eastAsia="es-CR"/>
        </w:rPr>
      </w:pPr>
      <w:r w:rsidRPr="001C113D">
        <w:rPr>
          <w:rFonts w:ascii="Arial" w:eastAsiaTheme="minorEastAsia" w:hAnsi="Arial" w:cs="Arial"/>
          <w:color w:val="000000"/>
          <w:sz w:val="20"/>
          <w:szCs w:val="20"/>
          <w:lang w:val="es-CR" w:eastAsia="es-CR"/>
        </w:rPr>
        <w:t>Cumplimiento menor al 90,00%</w:t>
      </w:r>
    </w:p>
    <w:p w14:paraId="49956452" w14:textId="77777777" w:rsidR="001C113D" w:rsidRPr="001C113D" w:rsidRDefault="001C113D" w:rsidP="001C113D">
      <w:pPr>
        <w:jc w:val="center"/>
        <w:rPr>
          <w:rFonts w:ascii="Arial" w:eastAsiaTheme="minorEastAsia" w:hAnsi="Arial" w:cs="Arial"/>
          <w:color w:val="000000"/>
          <w:sz w:val="20"/>
          <w:szCs w:val="20"/>
          <w:lang w:val="es-CR" w:eastAsia="es-CR"/>
        </w:rPr>
      </w:pPr>
      <w:r w:rsidRPr="001C113D">
        <w:rPr>
          <w:rFonts w:ascii="Arial" w:eastAsiaTheme="minorEastAsia" w:hAnsi="Arial" w:cs="Arial"/>
          <w:color w:val="000000"/>
          <w:sz w:val="20"/>
          <w:szCs w:val="20"/>
          <w:lang w:val="es-CR" w:eastAsia="es-CR"/>
        </w:rPr>
        <w:t>al 31 de diciembre 2021</w:t>
      </w:r>
    </w:p>
    <w:tbl>
      <w:tblPr>
        <w:tblStyle w:val="Listaclara-nfasis123"/>
        <w:tblW w:w="5000" w:type="pct"/>
        <w:tblLook w:val="00A0" w:firstRow="1" w:lastRow="0" w:firstColumn="1" w:lastColumn="0" w:noHBand="0" w:noVBand="0"/>
      </w:tblPr>
      <w:tblGrid>
        <w:gridCol w:w="1117"/>
        <w:gridCol w:w="1387"/>
        <w:gridCol w:w="1493"/>
        <w:gridCol w:w="1493"/>
        <w:gridCol w:w="1407"/>
        <w:gridCol w:w="1587"/>
      </w:tblGrid>
      <w:tr w:rsidR="001C113D" w:rsidRPr="001C113D" w14:paraId="1B709162"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658" w:type="pct"/>
            <w:vAlign w:val="center"/>
          </w:tcPr>
          <w:p w14:paraId="0336856B" w14:textId="77777777" w:rsidR="001C113D" w:rsidRPr="001C113D" w:rsidRDefault="001C113D" w:rsidP="001C113D">
            <w:pPr>
              <w:spacing w:line="360" w:lineRule="auto"/>
              <w:contextualSpacing/>
              <w:jc w:val="center"/>
              <w:rPr>
                <w:rFonts w:ascii="Arial" w:hAnsi="Arial" w:cs="Arial"/>
                <w:bCs w:val="0"/>
                <w:sz w:val="18"/>
                <w:szCs w:val="20"/>
                <w:lang w:val="es-CR"/>
              </w:rPr>
            </w:pPr>
            <w:r w:rsidRPr="001C113D">
              <w:rPr>
                <w:rFonts w:ascii="Arial" w:hAnsi="Arial" w:cs="Arial"/>
                <w:sz w:val="18"/>
                <w:szCs w:val="20"/>
                <w:lang w:val="es-CR"/>
              </w:rPr>
              <w:t>Nombre del Indicador</w:t>
            </w:r>
          </w:p>
        </w:tc>
        <w:tc>
          <w:tcPr>
            <w:cnfStyle w:val="000010000000" w:firstRow="0" w:lastRow="0" w:firstColumn="0" w:lastColumn="0" w:oddVBand="1" w:evenVBand="0" w:oddHBand="0" w:evenHBand="0" w:firstRowFirstColumn="0" w:firstRowLastColumn="0" w:lastRowFirstColumn="0" w:lastRowLastColumn="0"/>
            <w:tcW w:w="817" w:type="pct"/>
            <w:vAlign w:val="center"/>
          </w:tcPr>
          <w:p w14:paraId="5DA9155D" w14:textId="77777777" w:rsidR="001C113D" w:rsidRPr="001C113D" w:rsidRDefault="001C113D" w:rsidP="001C113D">
            <w:pPr>
              <w:spacing w:line="360" w:lineRule="auto"/>
              <w:contextualSpacing/>
              <w:jc w:val="center"/>
              <w:rPr>
                <w:rFonts w:ascii="Arial" w:hAnsi="Arial" w:cs="Arial"/>
                <w:sz w:val="18"/>
                <w:szCs w:val="20"/>
                <w:lang w:val="es-CR"/>
              </w:rPr>
            </w:pPr>
            <w:r w:rsidRPr="001C113D">
              <w:rPr>
                <w:rFonts w:ascii="Arial" w:hAnsi="Arial" w:cs="Arial"/>
                <w:sz w:val="18"/>
                <w:szCs w:val="20"/>
                <w:lang w:val="es-CR"/>
              </w:rPr>
              <w:t>Nivel de cumplimiento</w:t>
            </w:r>
          </w:p>
        </w:tc>
        <w:tc>
          <w:tcPr>
            <w:tcW w:w="880" w:type="pct"/>
            <w:vAlign w:val="center"/>
          </w:tcPr>
          <w:p w14:paraId="3AA5732B" w14:textId="77777777" w:rsidR="001C113D" w:rsidRPr="001C113D" w:rsidRDefault="001C113D" w:rsidP="001C113D">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s-CR"/>
              </w:rPr>
            </w:pPr>
            <w:r w:rsidRPr="001C113D">
              <w:rPr>
                <w:rFonts w:ascii="Arial" w:hAnsi="Arial" w:cs="Arial"/>
                <w:sz w:val="18"/>
                <w:szCs w:val="20"/>
                <w:lang w:val="es-CR"/>
              </w:rPr>
              <w:t>Factores que inciden en el cumplimiento</w:t>
            </w:r>
          </w:p>
        </w:tc>
        <w:tc>
          <w:tcPr>
            <w:cnfStyle w:val="000010000000" w:firstRow="0" w:lastRow="0" w:firstColumn="0" w:lastColumn="0" w:oddVBand="1" w:evenVBand="0" w:oddHBand="0" w:evenHBand="0" w:firstRowFirstColumn="0" w:firstRowLastColumn="0" w:lastRowFirstColumn="0" w:lastRowLastColumn="0"/>
            <w:tcW w:w="880" w:type="pct"/>
            <w:vAlign w:val="center"/>
          </w:tcPr>
          <w:p w14:paraId="7840160E" w14:textId="77777777" w:rsidR="001C113D" w:rsidRPr="001C113D" w:rsidRDefault="001C113D" w:rsidP="001C113D">
            <w:pPr>
              <w:spacing w:line="360" w:lineRule="auto"/>
              <w:contextualSpacing/>
              <w:jc w:val="center"/>
              <w:rPr>
                <w:rFonts w:ascii="Arial" w:hAnsi="Arial" w:cs="Arial"/>
                <w:sz w:val="18"/>
                <w:szCs w:val="20"/>
                <w:lang w:val="es-CR"/>
              </w:rPr>
            </w:pPr>
            <w:r w:rsidRPr="001C113D">
              <w:rPr>
                <w:rFonts w:ascii="Arial" w:hAnsi="Arial" w:cs="Arial"/>
                <w:sz w:val="18"/>
                <w:szCs w:val="20"/>
                <w:lang w:val="es-CR"/>
              </w:rPr>
              <w:t xml:space="preserve">Acciones correctivas </w:t>
            </w:r>
            <w:r w:rsidRPr="001C113D">
              <w:rPr>
                <w:rFonts w:ascii="Arial" w:hAnsi="Arial" w:cs="Arial"/>
                <w:sz w:val="18"/>
                <w:szCs w:val="20"/>
                <w:vertAlign w:val="superscript"/>
                <w:lang w:val="es-CR"/>
              </w:rPr>
              <w:t>/1</w:t>
            </w:r>
          </w:p>
        </w:tc>
        <w:tc>
          <w:tcPr>
            <w:tcW w:w="829" w:type="pct"/>
          </w:tcPr>
          <w:p w14:paraId="4D9B0455" w14:textId="77777777" w:rsidR="001C113D" w:rsidRPr="001C113D" w:rsidRDefault="001C113D" w:rsidP="001C113D">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s-CR"/>
              </w:rPr>
            </w:pPr>
            <w:r w:rsidRPr="001C113D">
              <w:rPr>
                <w:rFonts w:ascii="Arial" w:hAnsi="Arial" w:cs="Arial"/>
                <w:sz w:val="18"/>
                <w:szCs w:val="20"/>
                <w:lang w:val="es-CR"/>
              </w:rPr>
              <w:t xml:space="preserve">Persona responsable de brindar la información </w:t>
            </w:r>
          </w:p>
        </w:tc>
        <w:tc>
          <w:tcPr>
            <w:cnfStyle w:val="000010000000" w:firstRow="0" w:lastRow="0" w:firstColumn="0" w:lastColumn="0" w:oddVBand="1" w:evenVBand="0" w:oddHBand="0" w:evenHBand="0" w:firstRowFirstColumn="0" w:firstRowLastColumn="0" w:lastRowFirstColumn="0" w:lastRowLastColumn="0"/>
            <w:tcW w:w="935" w:type="pct"/>
            <w:vAlign w:val="center"/>
          </w:tcPr>
          <w:p w14:paraId="4F02046C" w14:textId="77777777" w:rsidR="001C113D" w:rsidRPr="001C113D" w:rsidRDefault="001C113D" w:rsidP="001C113D">
            <w:pPr>
              <w:spacing w:line="360" w:lineRule="auto"/>
              <w:contextualSpacing/>
              <w:jc w:val="center"/>
              <w:rPr>
                <w:rFonts w:ascii="Arial" w:hAnsi="Arial" w:cs="Arial"/>
                <w:bCs w:val="0"/>
                <w:sz w:val="18"/>
                <w:szCs w:val="20"/>
                <w:lang w:val="es-CR"/>
              </w:rPr>
            </w:pPr>
            <w:r w:rsidRPr="001C113D">
              <w:rPr>
                <w:rFonts w:ascii="Arial" w:hAnsi="Arial" w:cs="Arial"/>
                <w:sz w:val="18"/>
                <w:szCs w:val="20"/>
                <w:lang w:val="es-CR"/>
              </w:rPr>
              <w:t xml:space="preserve">Fecha de implementación </w:t>
            </w:r>
            <w:r w:rsidRPr="001C113D">
              <w:rPr>
                <w:rFonts w:ascii="Arial" w:hAnsi="Arial" w:cs="Arial"/>
                <w:sz w:val="18"/>
                <w:szCs w:val="20"/>
                <w:vertAlign w:val="superscript"/>
                <w:lang w:val="es-CR"/>
              </w:rPr>
              <w:t>/2</w:t>
            </w:r>
          </w:p>
        </w:tc>
      </w:tr>
      <w:tr w:rsidR="001C113D" w:rsidRPr="001C113D" w14:paraId="5ADB5B20"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8" w:type="pct"/>
          </w:tcPr>
          <w:p w14:paraId="48861087" w14:textId="77777777" w:rsidR="001C113D" w:rsidRPr="001C113D" w:rsidRDefault="001C113D" w:rsidP="001C113D">
            <w:pPr>
              <w:contextualSpacing/>
              <w:jc w:val="both"/>
              <w:rPr>
                <w:rFonts w:ascii="Arial" w:hAnsi="Arial" w:cs="Arial"/>
                <w:b w:val="0"/>
                <w:bCs w:val="0"/>
                <w:sz w:val="16"/>
                <w:szCs w:val="20"/>
                <w:lang w:val="es-CR"/>
              </w:rPr>
            </w:pPr>
            <w:r w:rsidRPr="001C113D">
              <w:rPr>
                <w:rFonts w:ascii="Arial" w:hAnsi="Arial" w:cs="Arial"/>
                <w:b w:val="0"/>
                <w:bCs w:val="0"/>
                <w:sz w:val="16"/>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5A34E029" w14:textId="77777777" w:rsidR="001C113D" w:rsidRPr="001C113D" w:rsidRDefault="001C113D" w:rsidP="001C113D">
            <w:pPr>
              <w:jc w:val="center"/>
              <w:rPr>
                <w:rFonts w:ascii="Arial" w:hAnsi="Arial" w:cs="Arial"/>
                <w:bCs/>
                <w:sz w:val="16"/>
                <w:szCs w:val="20"/>
                <w:lang w:val="es-CR"/>
              </w:rPr>
            </w:pPr>
            <w:r w:rsidRPr="001C113D">
              <w:rPr>
                <w:rFonts w:ascii="Arial" w:hAnsi="Arial" w:cs="Arial"/>
                <w:bCs/>
                <w:sz w:val="16"/>
                <w:szCs w:val="20"/>
                <w:lang w:val="es-CR"/>
              </w:rPr>
              <w:t>-</w:t>
            </w:r>
          </w:p>
        </w:tc>
        <w:tc>
          <w:tcPr>
            <w:tcW w:w="880" w:type="pct"/>
          </w:tcPr>
          <w:p w14:paraId="39886BEC" w14:textId="77777777" w:rsidR="001C113D" w:rsidRPr="001C113D" w:rsidRDefault="001C113D" w:rsidP="001C113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lang w:val="es-CR"/>
              </w:rPr>
            </w:pPr>
            <w:r w:rsidRPr="001C113D">
              <w:rPr>
                <w:rFonts w:ascii="Arial" w:hAnsi="Arial" w:cs="Arial"/>
                <w:bCs/>
                <w:sz w:val="16"/>
                <w:szCs w:val="20"/>
                <w:lang w:val="es-CR"/>
              </w:rPr>
              <w:t>-</w:t>
            </w:r>
          </w:p>
        </w:tc>
        <w:tc>
          <w:tcPr>
            <w:cnfStyle w:val="000010000000" w:firstRow="0" w:lastRow="0" w:firstColumn="0" w:lastColumn="0" w:oddVBand="1" w:evenVBand="0" w:oddHBand="0" w:evenHBand="0" w:firstRowFirstColumn="0" w:firstRowLastColumn="0" w:lastRowFirstColumn="0" w:lastRowLastColumn="0"/>
            <w:tcW w:w="880" w:type="pct"/>
          </w:tcPr>
          <w:p w14:paraId="41A10D35" w14:textId="77777777" w:rsidR="001C113D" w:rsidRPr="001C113D" w:rsidRDefault="001C113D" w:rsidP="001C113D">
            <w:pPr>
              <w:contextualSpacing/>
              <w:jc w:val="both"/>
              <w:rPr>
                <w:rFonts w:ascii="Arial" w:hAnsi="Arial" w:cs="Arial"/>
                <w:bCs/>
                <w:sz w:val="16"/>
                <w:szCs w:val="20"/>
                <w:lang w:val="es-CR"/>
              </w:rPr>
            </w:pPr>
            <w:r w:rsidRPr="001C113D">
              <w:rPr>
                <w:rFonts w:ascii="Arial" w:hAnsi="Arial" w:cs="Arial"/>
                <w:bCs/>
                <w:sz w:val="16"/>
                <w:szCs w:val="20"/>
                <w:lang w:val="es-CR"/>
              </w:rPr>
              <w:t>-</w:t>
            </w:r>
          </w:p>
        </w:tc>
        <w:tc>
          <w:tcPr>
            <w:tcW w:w="829" w:type="pct"/>
          </w:tcPr>
          <w:p w14:paraId="5A84873D" w14:textId="77777777" w:rsidR="001C113D" w:rsidRPr="001C113D" w:rsidRDefault="001C113D" w:rsidP="001C113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lang w:val="es-CR"/>
              </w:rPr>
            </w:pPr>
            <w:r w:rsidRPr="001C113D">
              <w:rPr>
                <w:rFonts w:ascii="Arial" w:hAnsi="Arial" w:cs="Arial"/>
                <w:bCs/>
                <w:sz w:val="16"/>
                <w:szCs w:val="20"/>
                <w:lang w:val="es-CR"/>
              </w:rPr>
              <w:t>-</w:t>
            </w:r>
          </w:p>
        </w:tc>
        <w:tc>
          <w:tcPr>
            <w:cnfStyle w:val="000010000000" w:firstRow="0" w:lastRow="0" w:firstColumn="0" w:lastColumn="0" w:oddVBand="1" w:evenVBand="0" w:oddHBand="0" w:evenHBand="0" w:firstRowFirstColumn="0" w:firstRowLastColumn="0" w:lastRowFirstColumn="0" w:lastRowLastColumn="0"/>
            <w:tcW w:w="935" w:type="pct"/>
          </w:tcPr>
          <w:p w14:paraId="294518F6" w14:textId="77777777" w:rsidR="001C113D" w:rsidRPr="001C113D" w:rsidRDefault="001C113D" w:rsidP="001C113D">
            <w:pPr>
              <w:contextualSpacing/>
              <w:jc w:val="center"/>
              <w:rPr>
                <w:rFonts w:ascii="Arial" w:hAnsi="Arial" w:cs="Arial"/>
                <w:bCs/>
                <w:sz w:val="16"/>
                <w:szCs w:val="20"/>
                <w:lang w:val="es-CR"/>
              </w:rPr>
            </w:pPr>
            <w:r w:rsidRPr="001C113D">
              <w:rPr>
                <w:rFonts w:ascii="Arial" w:hAnsi="Arial" w:cs="Arial"/>
                <w:bCs/>
                <w:sz w:val="16"/>
                <w:szCs w:val="20"/>
                <w:lang w:val="es-CR"/>
              </w:rPr>
              <w:t>-</w:t>
            </w:r>
          </w:p>
        </w:tc>
      </w:tr>
    </w:tbl>
    <w:p w14:paraId="2C43B896" w14:textId="77777777" w:rsidR="001C113D" w:rsidRPr="001C113D" w:rsidRDefault="001C113D" w:rsidP="001C113D">
      <w:pPr>
        <w:jc w:val="both"/>
        <w:rPr>
          <w:rFonts w:ascii="Arial" w:eastAsiaTheme="minorEastAsia" w:hAnsi="Arial" w:cs="Arial"/>
          <w:b/>
          <w:sz w:val="16"/>
          <w:szCs w:val="16"/>
          <w:lang w:val="es-CR"/>
        </w:rPr>
      </w:pPr>
      <w:r w:rsidRPr="001C113D">
        <w:rPr>
          <w:rFonts w:ascii="Arial" w:eastAsiaTheme="minorEastAsia" w:hAnsi="Arial" w:cs="Arial"/>
          <w:b/>
          <w:sz w:val="16"/>
          <w:szCs w:val="16"/>
          <w:lang w:val="es-CR"/>
        </w:rPr>
        <w:t xml:space="preserve">Fuente: </w:t>
      </w:r>
    </w:p>
    <w:p w14:paraId="3D0D23CA" w14:textId="77777777" w:rsidR="001C113D" w:rsidRPr="001C113D" w:rsidRDefault="001C113D" w:rsidP="001C113D">
      <w:pPr>
        <w:jc w:val="both"/>
        <w:rPr>
          <w:rFonts w:ascii="Arial" w:eastAsiaTheme="minorEastAsia" w:hAnsi="Arial" w:cs="Arial"/>
          <w:sz w:val="16"/>
          <w:szCs w:val="20"/>
          <w:lang w:val="es-ES_tradnl"/>
        </w:rPr>
      </w:pPr>
      <w:r w:rsidRPr="001C113D">
        <w:rPr>
          <w:rFonts w:ascii="Arial" w:eastAsiaTheme="minorEastAsia" w:hAnsi="Arial" w:cs="Arial"/>
          <w:sz w:val="16"/>
          <w:szCs w:val="20"/>
          <w:lang w:val="es-ES_tradnl"/>
        </w:rPr>
        <w:t>/1 Se refiere a acciones que implementará el centro gestor en 2022 para subsanar los problemas de ejecución que se presentaron al 31/12/2021.</w:t>
      </w:r>
    </w:p>
    <w:p w14:paraId="3C22D94B" w14:textId="77777777" w:rsidR="001C113D" w:rsidRPr="001C113D" w:rsidRDefault="001C113D" w:rsidP="001C113D">
      <w:pPr>
        <w:jc w:val="both"/>
        <w:rPr>
          <w:rFonts w:ascii="Arial" w:eastAsiaTheme="minorEastAsia" w:hAnsi="Arial" w:cs="Arial"/>
          <w:sz w:val="16"/>
          <w:szCs w:val="20"/>
          <w:lang w:val="es-ES_tradnl"/>
        </w:rPr>
      </w:pPr>
      <w:r w:rsidRPr="001C113D">
        <w:rPr>
          <w:rFonts w:ascii="Arial" w:eastAsiaTheme="minorEastAsia" w:hAnsi="Arial" w:cs="Arial"/>
          <w:sz w:val="16"/>
          <w:szCs w:val="20"/>
          <w:lang w:val="es-ES_tradnl"/>
        </w:rPr>
        <w:t>/2 Se refiere a la fecha en que las acciones correctivas empezarán a ser implementadas por el centro gestor.</w:t>
      </w:r>
    </w:p>
    <w:p w14:paraId="1FF6F514" w14:textId="77777777" w:rsidR="001C113D" w:rsidRPr="001C113D" w:rsidRDefault="001C113D" w:rsidP="001C113D">
      <w:pPr>
        <w:spacing w:after="160" w:line="360" w:lineRule="auto"/>
        <w:jc w:val="both"/>
        <w:rPr>
          <w:rFonts w:ascii="Arial" w:eastAsiaTheme="minorEastAsia" w:hAnsi="Arial" w:cs="Arial"/>
          <w:sz w:val="20"/>
          <w:szCs w:val="20"/>
        </w:rPr>
      </w:pPr>
    </w:p>
    <w:p w14:paraId="6024CA25" w14:textId="77777777" w:rsidR="001C113D" w:rsidRPr="001C113D" w:rsidRDefault="001C113D" w:rsidP="001C113D">
      <w:pPr>
        <w:spacing w:after="160" w:line="360" w:lineRule="auto"/>
        <w:jc w:val="both"/>
        <w:rPr>
          <w:rFonts w:ascii="Arial" w:eastAsiaTheme="minorEastAsia" w:hAnsi="Arial" w:cs="Arial"/>
          <w:sz w:val="20"/>
          <w:szCs w:val="20"/>
        </w:rPr>
      </w:pPr>
      <w:r w:rsidRPr="001C113D">
        <w:rPr>
          <w:rFonts w:ascii="Arial" w:eastAsiaTheme="minorEastAsia" w:hAnsi="Arial" w:cs="Arial"/>
          <w:sz w:val="20"/>
          <w:szCs w:val="20"/>
        </w:rPr>
        <w:t xml:space="preserve">Para el año 2021 se ejecutó ¢ 38.611.227.994,27, del presupuesto otorgado que fue de ¢ 39.330.871.947,00, lo que representa un 98,17% de ejecución. Los recursos no ejecutados corresponden a procesos de contratación de gran complejidad y diferencias en las diferentes gestiones a realizar para la adquisición de materiales, bienes y servicios. </w:t>
      </w:r>
    </w:p>
    <w:p w14:paraId="7E6BCB06" w14:textId="77777777" w:rsidR="001C113D" w:rsidRPr="001C113D" w:rsidRDefault="001C113D" w:rsidP="001C113D">
      <w:pPr>
        <w:spacing w:after="160" w:line="360" w:lineRule="auto"/>
        <w:jc w:val="both"/>
        <w:rPr>
          <w:rFonts w:ascii="Arial" w:eastAsiaTheme="minorEastAsia" w:hAnsi="Arial" w:cs="Arial"/>
          <w:sz w:val="20"/>
          <w:szCs w:val="20"/>
        </w:rPr>
      </w:pPr>
      <w:r w:rsidRPr="001C113D">
        <w:rPr>
          <w:rFonts w:ascii="Arial" w:eastAsiaTheme="minorEastAsia" w:hAnsi="Arial" w:cs="Arial"/>
          <w:sz w:val="20"/>
          <w:szCs w:val="20"/>
        </w:rPr>
        <w:t>La excelente ejecución presupuestaria se refleja en el porcentaje de avance de los indicadores, por ejemplo, al finalizar el 2021 se atendieron 120.412 personas usuarias, ya que para la atención de nuestros usuarios intervienen las diferentes partidas presupuestarias.</w:t>
      </w:r>
    </w:p>
    <w:p w14:paraId="0F40E7DF" w14:textId="77777777" w:rsidR="003A02F6" w:rsidRPr="003A02F6" w:rsidRDefault="003A02F6" w:rsidP="001C113D">
      <w:pPr>
        <w:rPr>
          <w:rFonts w:ascii="Arial" w:hAnsi="Arial" w:cs="Arial"/>
          <w:b/>
          <w:bCs/>
          <w:sz w:val="20"/>
          <w:szCs w:val="20"/>
          <w:lang w:val="es-MX"/>
        </w:rPr>
      </w:pPr>
    </w:p>
    <w:p w14:paraId="480C036B" w14:textId="77777777" w:rsidR="003A02F6" w:rsidRPr="003A02F6" w:rsidRDefault="003A02F6" w:rsidP="0077083C">
      <w:pPr>
        <w:jc w:val="center"/>
        <w:rPr>
          <w:rFonts w:ascii="Arial" w:hAnsi="Arial" w:cs="Arial"/>
          <w:b/>
          <w:bCs/>
          <w:sz w:val="20"/>
          <w:szCs w:val="20"/>
          <w:lang w:val="es-MX"/>
        </w:rPr>
      </w:pPr>
    </w:p>
    <w:p w14:paraId="0FEBFC90" w14:textId="77777777" w:rsidR="003A02F6" w:rsidRPr="003A02F6" w:rsidRDefault="003A02F6" w:rsidP="0077083C">
      <w:pPr>
        <w:jc w:val="center"/>
        <w:rPr>
          <w:rFonts w:ascii="Arial" w:hAnsi="Arial" w:cs="Arial"/>
          <w:b/>
          <w:bCs/>
          <w:color w:val="1F497D" w:themeColor="text2"/>
          <w:sz w:val="20"/>
          <w:szCs w:val="20"/>
          <w:lang w:val="es-MX"/>
        </w:rPr>
      </w:pPr>
      <w:r w:rsidRPr="003A02F6">
        <w:rPr>
          <w:rFonts w:ascii="Arial" w:hAnsi="Arial" w:cs="Arial"/>
          <w:b/>
          <w:bCs/>
          <w:color w:val="1F497D" w:themeColor="text2"/>
          <w:sz w:val="20"/>
          <w:szCs w:val="20"/>
          <w:lang w:val="es-MX"/>
        </w:rPr>
        <w:t>Programa 950 Servicio de Atención y Protección de Víctimas y Testigos</w:t>
      </w:r>
    </w:p>
    <w:p w14:paraId="2B1CD77D" w14:textId="77777777" w:rsidR="008275A2" w:rsidRPr="008275A2" w:rsidRDefault="008275A2" w:rsidP="008275A2">
      <w:pPr>
        <w:spacing w:after="160" w:line="259" w:lineRule="auto"/>
        <w:rPr>
          <w:rFonts w:asciiTheme="minorHAnsi" w:eastAsiaTheme="minorEastAsia" w:hAnsiTheme="minorHAnsi" w:cstheme="minorBidi"/>
          <w:sz w:val="22"/>
          <w:szCs w:val="22"/>
        </w:rPr>
      </w:pPr>
    </w:p>
    <w:p w14:paraId="619A955A" w14:textId="00C4CAAE"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42</w:t>
      </w:r>
      <w:r w:rsidRPr="00AE3D7B">
        <w:rPr>
          <w:rFonts w:ascii="Arial" w:hAnsi="Arial" w:cs="Arial"/>
          <w:b/>
          <w:bCs/>
          <w:i w:val="0"/>
          <w:iCs w:val="0"/>
          <w:color w:val="auto"/>
          <w:sz w:val="20"/>
          <w:szCs w:val="20"/>
        </w:rPr>
        <w:fldChar w:fldCharType="end"/>
      </w:r>
    </w:p>
    <w:p w14:paraId="32E7FA9B" w14:textId="02607FEF" w:rsidR="008275A2" w:rsidRPr="008275A2" w:rsidRDefault="008275A2" w:rsidP="008275A2">
      <w:pPr>
        <w:spacing w:before="240" w:line="259" w:lineRule="auto"/>
        <w:jc w:val="center"/>
        <w:rPr>
          <w:rFonts w:ascii="Arial" w:eastAsiaTheme="minorEastAsia" w:hAnsi="Arial" w:cs="Arial"/>
          <w:sz w:val="20"/>
          <w:szCs w:val="20"/>
          <w:lang w:val="es-ES_tradnl"/>
        </w:rPr>
      </w:pPr>
      <w:r w:rsidRPr="008275A2">
        <w:rPr>
          <w:rFonts w:ascii="Arial" w:eastAsiaTheme="minorEastAsia" w:hAnsi="Arial" w:cs="Arial"/>
          <w:b/>
          <w:sz w:val="20"/>
          <w:szCs w:val="20"/>
          <w:lang w:val="es-ES_tradnl"/>
        </w:rPr>
        <w:t xml:space="preserve">Cumplimiento de indicadores </w:t>
      </w:r>
    </w:p>
    <w:p w14:paraId="0885CE8D" w14:textId="77777777" w:rsidR="008275A2" w:rsidRPr="008275A2" w:rsidRDefault="008275A2" w:rsidP="008275A2">
      <w:pPr>
        <w:spacing w:before="240" w:after="160" w:line="360" w:lineRule="auto"/>
        <w:jc w:val="center"/>
        <w:rPr>
          <w:rFonts w:ascii="Arial" w:eastAsiaTheme="minorEastAsia" w:hAnsi="Arial" w:cs="Arial"/>
          <w:strike/>
          <w:sz w:val="20"/>
          <w:szCs w:val="20"/>
          <w:highlight w:val="cyan"/>
          <w:lang w:val="es-ES_tradnl"/>
        </w:rPr>
      </w:pPr>
      <w:r w:rsidRPr="008275A2">
        <w:rPr>
          <w:rFonts w:ascii="Arial" w:eastAsiaTheme="minorEastAsia" w:hAnsi="Arial" w:cs="Arial"/>
          <w:sz w:val="20"/>
          <w:szCs w:val="20"/>
          <w:lang w:val="es-ES_tradnl"/>
        </w:rPr>
        <w:t>Programa 950 Servicio de Atención y Protección a Víctimas y Testigos</w:t>
      </w:r>
    </w:p>
    <w:p w14:paraId="10519A38" w14:textId="77777777" w:rsidR="008275A2" w:rsidRDefault="008275A2" w:rsidP="008275A2">
      <w:pPr>
        <w:spacing w:line="259" w:lineRule="auto"/>
        <w:jc w:val="center"/>
        <w:rPr>
          <w:rFonts w:ascii="Arial" w:eastAsiaTheme="minorEastAsia" w:hAnsi="Arial" w:cs="Arial"/>
          <w:sz w:val="20"/>
          <w:szCs w:val="20"/>
          <w:lang w:val="es-ES_tradnl"/>
        </w:rPr>
      </w:pPr>
      <w:r w:rsidRPr="008275A2">
        <w:rPr>
          <w:rFonts w:ascii="Arial" w:eastAsiaTheme="minorEastAsia" w:hAnsi="Arial" w:cs="Arial"/>
          <w:sz w:val="20"/>
          <w:szCs w:val="20"/>
          <w:lang w:val="es-ES_tradnl"/>
        </w:rPr>
        <w:t>al 31 de diciembre 2021</w:t>
      </w:r>
    </w:p>
    <w:p w14:paraId="4C3CF5CF" w14:textId="77777777" w:rsidR="00A2685D" w:rsidRDefault="00A2685D" w:rsidP="008275A2">
      <w:pPr>
        <w:spacing w:line="259" w:lineRule="auto"/>
        <w:jc w:val="center"/>
        <w:rPr>
          <w:rFonts w:ascii="Arial" w:eastAsiaTheme="minorEastAsia" w:hAnsi="Arial" w:cs="Arial"/>
          <w:sz w:val="20"/>
          <w:szCs w:val="20"/>
          <w:lang w:val="es-ES_tradnl"/>
        </w:rPr>
      </w:pPr>
    </w:p>
    <w:tbl>
      <w:tblPr>
        <w:tblStyle w:val="Listaclara-nfasis124"/>
        <w:tblW w:w="5000" w:type="pct"/>
        <w:tblLook w:val="00A0" w:firstRow="1" w:lastRow="0" w:firstColumn="1" w:lastColumn="0" w:noHBand="0" w:noVBand="0"/>
      </w:tblPr>
      <w:tblGrid>
        <w:gridCol w:w="1159"/>
        <w:gridCol w:w="1397"/>
        <w:gridCol w:w="1159"/>
        <w:gridCol w:w="1017"/>
        <w:gridCol w:w="1061"/>
        <w:gridCol w:w="1118"/>
        <w:gridCol w:w="1573"/>
      </w:tblGrid>
      <w:tr w:rsidR="00A2685D" w:rsidRPr="00A2685D" w14:paraId="6AAA9CA0" w14:textId="77777777" w:rsidTr="00465D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3" w:type="pct"/>
            <w:vAlign w:val="center"/>
          </w:tcPr>
          <w:p w14:paraId="36DD54CC" w14:textId="77777777" w:rsidR="00A2685D" w:rsidRPr="00A2685D" w:rsidRDefault="00A2685D" w:rsidP="00A2685D">
            <w:pPr>
              <w:jc w:val="center"/>
              <w:rPr>
                <w:rFonts w:ascii="Arial" w:hAnsi="Arial" w:cs="Arial"/>
                <w:b w:val="0"/>
                <w:color w:val="auto"/>
                <w:sz w:val="16"/>
                <w:szCs w:val="16"/>
              </w:rPr>
            </w:pPr>
            <w:bookmarkStart w:id="66" w:name="_Hlk93478036"/>
            <w:r w:rsidRPr="00A2685D">
              <w:rPr>
                <w:rFonts w:ascii="Arial" w:hAnsi="Arial" w:cs="Arial"/>
                <w:color w:val="auto"/>
                <w:sz w:val="16"/>
                <w:szCs w:val="16"/>
              </w:rPr>
              <w:t>Nombre del producto</w:t>
            </w:r>
          </w:p>
        </w:tc>
        <w:tc>
          <w:tcPr>
            <w:cnfStyle w:val="000010000000" w:firstRow="0" w:lastRow="0" w:firstColumn="0" w:lastColumn="0" w:oddVBand="1" w:evenVBand="0" w:oddHBand="0" w:evenHBand="0" w:firstRowFirstColumn="0" w:firstRowLastColumn="0" w:lastRowFirstColumn="0" w:lastRowLastColumn="0"/>
            <w:tcW w:w="823" w:type="pct"/>
            <w:vAlign w:val="center"/>
          </w:tcPr>
          <w:p w14:paraId="640AEAED" w14:textId="77777777" w:rsidR="00A2685D" w:rsidRPr="00A2685D" w:rsidRDefault="00A2685D" w:rsidP="00A2685D">
            <w:pPr>
              <w:jc w:val="center"/>
              <w:rPr>
                <w:rFonts w:ascii="Arial" w:hAnsi="Arial" w:cs="Arial"/>
                <w:b w:val="0"/>
                <w:color w:val="auto"/>
                <w:sz w:val="16"/>
                <w:szCs w:val="16"/>
              </w:rPr>
            </w:pPr>
            <w:r w:rsidRPr="00A2685D">
              <w:rPr>
                <w:rFonts w:ascii="Arial" w:hAnsi="Arial" w:cs="Arial"/>
                <w:color w:val="auto"/>
                <w:sz w:val="16"/>
                <w:szCs w:val="16"/>
              </w:rPr>
              <w:t>Nombre del indicador</w:t>
            </w:r>
          </w:p>
        </w:tc>
        <w:tc>
          <w:tcPr>
            <w:tcW w:w="683" w:type="pct"/>
            <w:vAlign w:val="center"/>
          </w:tcPr>
          <w:p w14:paraId="11E3779E" w14:textId="77777777" w:rsidR="00A2685D" w:rsidRPr="00A2685D" w:rsidRDefault="00A2685D" w:rsidP="00A268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A2685D">
              <w:rPr>
                <w:rFonts w:ascii="Arial" w:hAnsi="Arial" w:cs="Arial"/>
                <w:color w:val="auto"/>
                <w:sz w:val="16"/>
                <w:szCs w:val="16"/>
              </w:rPr>
              <w:t>Programado</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5E70A2FE" w14:textId="77777777" w:rsidR="00A2685D" w:rsidRPr="00A2685D" w:rsidRDefault="00A2685D" w:rsidP="00A2685D">
            <w:pPr>
              <w:jc w:val="center"/>
              <w:rPr>
                <w:rFonts w:ascii="Arial" w:hAnsi="Arial" w:cs="Arial"/>
                <w:b w:val="0"/>
                <w:color w:val="auto"/>
                <w:sz w:val="16"/>
                <w:szCs w:val="16"/>
              </w:rPr>
            </w:pPr>
            <w:r w:rsidRPr="00A2685D">
              <w:rPr>
                <w:rFonts w:ascii="Arial" w:hAnsi="Arial" w:cs="Arial"/>
                <w:color w:val="auto"/>
                <w:sz w:val="16"/>
                <w:szCs w:val="16"/>
              </w:rPr>
              <w:t>Alcanzado</w:t>
            </w:r>
          </w:p>
        </w:tc>
        <w:tc>
          <w:tcPr>
            <w:tcW w:w="625" w:type="pct"/>
            <w:vAlign w:val="center"/>
          </w:tcPr>
          <w:p w14:paraId="2229C5C3" w14:textId="77777777" w:rsidR="00A2685D" w:rsidRPr="00A2685D" w:rsidRDefault="00A2685D" w:rsidP="00A268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A2685D">
              <w:rPr>
                <w:rFonts w:ascii="Arial" w:hAnsi="Arial" w:cs="Arial"/>
                <w:color w:val="auto"/>
                <w:sz w:val="16"/>
                <w:szCs w:val="16"/>
              </w:rPr>
              <w:t xml:space="preserve">Nivel alcanzado al 30/06/2021 </w:t>
            </w:r>
            <w:r w:rsidRPr="00A2685D">
              <w:rPr>
                <w:rFonts w:ascii="Arial" w:hAnsi="Arial" w:cs="Arial"/>
                <w:b w:val="0"/>
                <w:color w:val="auto"/>
                <w:sz w:val="16"/>
                <w:szCs w:val="16"/>
                <w:vertAlign w:val="superscript"/>
              </w:rPr>
              <w:t>/1</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37949B5D" w14:textId="77777777" w:rsidR="00A2685D" w:rsidRPr="00A2685D" w:rsidRDefault="00A2685D" w:rsidP="00A2685D">
            <w:pPr>
              <w:jc w:val="center"/>
              <w:rPr>
                <w:rFonts w:ascii="Arial" w:hAnsi="Arial" w:cs="Arial"/>
                <w:b w:val="0"/>
                <w:color w:val="auto"/>
                <w:sz w:val="16"/>
                <w:szCs w:val="16"/>
                <w:highlight w:val="yellow"/>
              </w:rPr>
            </w:pPr>
            <w:r w:rsidRPr="00A2685D">
              <w:rPr>
                <w:rFonts w:ascii="Arial" w:hAnsi="Arial" w:cs="Arial"/>
                <w:color w:val="auto"/>
                <w:sz w:val="16"/>
                <w:szCs w:val="16"/>
              </w:rPr>
              <w:t xml:space="preserve">Nivel alcanzado al 31/12/2021 </w:t>
            </w:r>
          </w:p>
        </w:tc>
        <w:tc>
          <w:tcPr>
            <w:tcW w:w="927" w:type="pct"/>
            <w:vAlign w:val="center"/>
          </w:tcPr>
          <w:p w14:paraId="5B190A3D" w14:textId="77777777" w:rsidR="00A2685D" w:rsidRPr="00A2685D" w:rsidRDefault="00A2685D" w:rsidP="00A268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A2685D">
              <w:rPr>
                <w:rFonts w:ascii="Arial" w:hAnsi="Arial" w:cs="Arial"/>
                <w:color w:val="auto"/>
                <w:sz w:val="16"/>
                <w:szCs w:val="16"/>
              </w:rPr>
              <w:t xml:space="preserve">Fuente de datos </w:t>
            </w:r>
            <w:r w:rsidRPr="00A2685D">
              <w:rPr>
                <w:rFonts w:ascii="Arial" w:hAnsi="Arial" w:cs="Arial"/>
                <w:color w:val="auto"/>
                <w:sz w:val="16"/>
                <w:szCs w:val="16"/>
                <w:vertAlign w:val="superscript"/>
              </w:rPr>
              <w:t>/2</w:t>
            </w:r>
          </w:p>
        </w:tc>
      </w:tr>
      <w:tr w:rsidR="00A2685D" w:rsidRPr="00A2685D" w14:paraId="5204FF85"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pct"/>
            <w:vAlign w:val="center"/>
          </w:tcPr>
          <w:p w14:paraId="2E47977E" w14:textId="77777777" w:rsidR="00A2685D" w:rsidRPr="00A2685D" w:rsidRDefault="00A2685D" w:rsidP="00A2685D">
            <w:pPr>
              <w:jc w:val="center"/>
              <w:rPr>
                <w:rFonts w:ascii="Arial" w:hAnsi="Arial" w:cs="Arial"/>
                <w:b w:val="0"/>
                <w:sz w:val="16"/>
                <w:szCs w:val="20"/>
                <w:lang w:val="es-ES_tradnl"/>
              </w:rPr>
            </w:pPr>
            <w:r w:rsidRPr="00A2685D">
              <w:rPr>
                <w:rFonts w:ascii="Arial" w:hAnsi="Arial" w:cs="Arial"/>
                <w:b w:val="0"/>
                <w:sz w:val="16"/>
                <w:szCs w:val="20"/>
                <w:lang w:val="es-ES_tradnl"/>
              </w:rPr>
              <w:t>Servicios de protección y atención a víctimas, testigos y otros intervinientes en procesos penales</w:t>
            </w:r>
          </w:p>
        </w:tc>
        <w:tc>
          <w:tcPr>
            <w:cnfStyle w:val="000010000000" w:firstRow="0" w:lastRow="0" w:firstColumn="0" w:lastColumn="0" w:oddVBand="1" w:evenVBand="0" w:oddHBand="0" w:evenHBand="0" w:firstRowFirstColumn="0" w:firstRowLastColumn="0" w:lastRowFirstColumn="0" w:lastRowLastColumn="0"/>
            <w:tcW w:w="823" w:type="pct"/>
            <w:vAlign w:val="center"/>
          </w:tcPr>
          <w:p w14:paraId="0B8B8FCC"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8"/>
                <w:szCs w:val="18"/>
                <w:lang w:eastAsia="es-MX"/>
              </w:rPr>
              <w:t>Porcentaje de casos concluidos por disminución del riesgo respecto al total de casos concluidos por terminación del proceso en el Programa de Protección</w:t>
            </w:r>
          </w:p>
        </w:tc>
        <w:tc>
          <w:tcPr>
            <w:tcW w:w="683" w:type="pct"/>
            <w:vAlign w:val="center"/>
          </w:tcPr>
          <w:p w14:paraId="0418427B" w14:textId="77777777" w:rsidR="00A2685D" w:rsidRPr="00A2685D" w:rsidRDefault="00A2685D" w:rsidP="00A268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highlight w:val="yellow"/>
                <w:lang w:val="es-ES_tradnl"/>
              </w:rPr>
            </w:pPr>
            <w:r w:rsidRPr="00A2685D">
              <w:rPr>
                <w:rFonts w:ascii="Arial" w:hAnsi="Arial" w:cs="Arial"/>
                <w:sz w:val="16"/>
                <w:szCs w:val="20"/>
                <w:lang w:val="es-ES_tradnl"/>
              </w:rPr>
              <w:t>13,00%</w:t>
            </w:r>
          </w:p>
        </w:tc>
        <w:tc>
          <w:tcPr>
            <w:cnfStyle w:val="000010000000" w:firstRow="0" w:lastRow="0" w:firstColumn="0" w:lastColumn="0" w:oddVBand="1" w:evenVBand="0" w:oddHBand="0" w:evenHBand="0" w:firstRowFirstColumn="0" w:firstRowLastColumn="0" w:lastRowFirstColumn="0" w:lastRowLastColumn="0"/>
            <w:tcW w:w="599" w:type="pct"/>
            <w:vAlign w:val="center"/>
          </w:tcPr>
          <w:p w14:paraId="31BB1318"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6"/>
                <w:szCs w:val="20"/>
                <w:lang w:val="es-ES_tradnl"/>
              </w:rPr>
              <w:t>12,61%</w:t>
            </w:r>
          </w:p>
        </w:tc>
        <w:tc>
          <w:tcPr>
            <w:tcW w:w="625" w:type="pct"/>
            <w:vAlign w:val="center"/>
          </w:tcPr>
          <w:p w14:paraId="70D85236" w14:textId="77777777" w:rsidR="00A2685D" w:rsidRPr="00A2685D" w:rsidRDefault="00A2685D" w:rsidP="00A268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A2685D">
              <w:rPr>
                <w:rFonts w:ascii="Arial" w:hAnsi="Arial" w:cs="Arial"/>
                <w:sz w:val="16"/>
                <w:szCs w:val="20"/>
                <w:lang w:val="es-ES_tradnl"/>
              </w:rPr>
              <w:t>13,98%</w:t>
            </w:r>
          </w:p>
        </w:tc>
        <w:tc>
          <w:tcPr>
            <w:cnfStyle w:val="000010000000" w:firstRow="0" w:lastRow="0" w:firstColumn="0" w:lastColumn="0" w:oddVBand="1" w:evenVBand="0" w:oddHBand="0" w:evenHBand="0" w:firstRowFirstColumn="0" w:firstRowLastColumn="0" w:lastRowFirstColumn="0" w:lastRowLastColumn="0"/>
            <w:tcW w:w="659" w:type="pct"/>
            <w:vAlign w:val="center"/>
          </w:tcPr>
          <w:p w14:paraId="35D6E14C"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6"/>
                <w:szCs w:val="20"/>
                <w:lang w:val="es-ES_tradnl"/>
              </w:rPr>
              <w:t>97,00%</w:t>
            </w:r>
          </w:p>
        </w:tc>
        <w:tc>
          <w:tcPr>
            <w:tcW w:w="927" w:type="pct"/>
            <w:vAlign w:val="center"/>
          </w:tcPr>
          <w:p w14:paraId="0F8DE7DF" w14:textId="77777777" w:rsidR="00A2685D" w:rsidRPr="00A2685D" w:rsidRDefault="00A2685D" w:rsidP="00A268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A2685D">
              <w:rPr>
                <w:rFonts w:ascii="Arial" w:hAnsi="Arial" w:cs="Arial"/>
                <w:bCs/>
                <w:sz w:val="16"/>
                <w:szCs w:val="20"/>
                <w:lang w:val="es-ES_tradnl"/>
              </w:rPr>
              <w:t>Controles estadísticos propios de la OAPVD y SIGMA (Sistema de Apoyo a la Toma de Decisiones del Poder Judicial)</w:t>
            </w:r>
          </w:p>
        </w:tc>
      </w:tr>
      <w:tr w:rsidR="00A2685D" w:rsidRPr="00A2685D" w14:paraId="0A68D0EE" w14:textId="77777777" w:rsidTr="00465D52">
        <w:tc>
          <w:tcPr>
            <w:cnfStyle w:val="001000000000" w:firstRow="0" w:lastRow="0" w:firstColumn="1" w:lastColumn="0" w:oddVBand="0" w:evenVBand="0" w:oddHBand="0" w:evenHBand="0" w:firstRowFirstColumn="0" w:firstRowLastColumn="0" w:lastRowFirstColumn="0" w:lastRowLastColumn="0"/>
            <w:tcW w:w="683" w:type="pct"/>
          </w:tcPr>
          <w:p w14:paraId="24CB8349" w14:textId="77777777" w:rsidR="00A2685D" w:rsidRPr="00A2685D" w:rsidRDefault="00A2685D" w:rsidP="00A2685D">
            <w:pPr>
              <w:jc w:val="center"/>
              <w:rPr>
                <w:rFonts w:ascii="Arial" w:hAnsi="Arial" w:cs="Arial"/>
                <w:b w:val="0"/>
                <w:sz w:val="16"/>
                <w:szCs w:val="20"/>
                <w:lang w:val="es-ES_tradnl"/>
              </w:rPr>
            </w:pPr>
            <w:r w:rsidRPr="00A2685D">
              <w:rPr>
                <w:rFonts w:ascii="Arial" w:hAnsi="Arial" w:cs="Arial"/>
                <w:b w:val="0"/>
                <w:sz w:val="16"/>
                <w:szCs w:val="20"/>
                <w:lang w:val="es-ES_tradnl"/>
              </w:rPr>
              <w:t>Servicios de protección y atención a víctimas, testigos y otros intervinientes en procesos penales</w:t>
            </w:r>
          </w:p>
        </w:tc>
        <w:tc>
          <w:tcPr>
            <w:cnfStyle w:val="000010000000" w:firstRow="0" w:lastRow="0" w:firstColumn="0" w:lastColumn="0" w:oddVBand="1" w:evenVBand="0" w:oddHBand="0" w:evenHBand="0" w:firstRowFirstColumn="0" w:firstRowLastColumn="0" w:lastRowFirstColumn="0" w:lastRowLastColumn="0"/>
            <w:tcW w:w="823" w:type="pct"/>
          </w:tcPr>
          <w:p w14:paraId="2E784590"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8"/>
                <w:szCs w:val="18"/>
                <w:lang w:val="es-CR" w:eastAsia="es-MX"/>
              </w:rPr>
              <w:t>Porcentaje de casos concluidos por finalización del plan de intervención individualizado respecto al total de casos concluidos por terminación del proceso de atención.</w:t>
            </w:r>
          </w:p>
        </w:tc>
        <w:tc>
          <w:tcPr>
            <w:tcW w:w="683" w:type="pct"/>
          </w:tcPr>
          <w:p w14:paraId="57116813" w14:textId="77777777" w:rsidR="00A2685D" w:rsidRPr="00A2685D" w:rsidRDefault="00A2685D" w:rsidP="00A268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highlight w:val="yellow"/>
                <w:lang w:val="es-ES_tradnl"/>
              </w:rPr>
            </w:pPr>
            <w:r w:rsidRPr="00A2685D">
              <w:rPr>
                <w:rFonts w:ascii="Arial" w:hAnsi="Arial" w:cs="Arial"/>
                <w:sz w:val="16"/>
                <w:szCs w:val="20"/>
                <w:lang w:val="es-ES_tradnl"/>
              </w:rPr>
              <w:t>43,00%</w:t>
            </w:r>
          </w:p>
        </w:tc>
        <w:tc>
          <w:tcPr>
            <w:cnfStyle w:val="000010000000" w:firstRow="0" w:lastRow="0" w:firstColumn="0" w:lastColumn="0" w:oddVBand="1" w:evenVBand="0" w:oddHBand="0" w:evenHBand="0" w:firstRowFirstColumn="0" w:firstRowLastColumn="0" w:lastRowFirstColumn="0" w:lastRowLastColumn="0"/>
            <w:tcW w:w="599" w:type="pct"/>
          </w:tcPr>
          <w:p w14:paraId="51D274AC"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6"/>
                <w:szCs w:val="20"/>
                <w:lang w:val="es-ES_tradnl"/>
              </w:rPr>
              <w:t>51,57%</w:t>
            </w:r>
          </w:p>
        </w:tc>
        <w:tc>
          <w:tcPr>
            <w:tcW w:w="625" w:type="pct"/>
          </w:tcPr>
          <w:p w14:paraId="11D2C72C" w14:textId="77777777" w:rsidR="00A2685D" w:rsidRPr="00A2685D" w:rsidRDefault="00A2685D" w:rsidP="00A268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A2685D">
              <w:rPr>
                <w:rFonts w:ascii="Arial" w:hAnsi="Arial" w:cs="Arial"/>
                <w:sz w:val="16"/>
                <w:szCs w:val="20"/>
                <w:lang w:val="es-ES_tradnl"/>
              </w:rPr>
              <w:t>52,43%</w:t>
            </w:r>
          </w:p>
        </w:tc>
        <w:tc>
          <w:tcPr>
            <w:cnfStyle w:val="000010000000" w:firstRow="0" w:lastRow="0" w:firstColumn="0" w:lastColumn="0" w:oddVBand="1" w:evenVBand="0" w:oddHBand="0" w:evenHBand="0" w:firstRowFirstColumn="0" w:firstRowLastColumn="0" w:lastRowFirstColumn="0" w:lastRowLastColumn="0"/>
            <w:tcW w:w="659" w:type="pct"/>
          </w:tcPr>
          <w:p w14:paraId="5E2FB0E9"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6"/>
                <w:szCs w:val="20"/>
                <w:lang w:val="es-ES_tradnl"/>
              </w:rPr>
              <w:t>119,93%</w:t>
            </w:r>
          </w:p>
        </w:tc>
        <w:tc>
          <w:tcPr>
            <w:tcW w:w="927" w:type="pct"/>
          </w:tcPr>
          <w:p w14:paraId="66A2B0E3" w14:textId="77777777" w:rsidR="00A2685D" w:rsidRPr="00A2685D" w:rsidRDefault="00A2685D" w:rsidP="00A268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A2685D">
              <w:rPr>
                <w:rFonts w:ascii="Arial" w:hAnsi="Arial" w:cs="Arial"/>
                <w:bCs/>
                <w:sz w:val="16"/>
                <w:szCs w:val="20"/>
                <w:lang w:val="es-ES_tradnl"/>
              </w:rPr>
              <w:t>Controles estadísticos propios de la OAPVD y SIGMA (Sistema de Apoyo a la Toma de Decisiones del Poder Judicial)</w:t>
            </w:r>
          </w:p>
        </w:tc>
      </w:tr>
      <w:tr w:rsidR="00A2685D" w:rsidRPr="00A2685D" w14:paraId="561E284C" w14:textId="77777777" w:rsidTr="00465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pct"/>
          </w:tcPr>
          <w:p w14:paraId="7223F37B" w14:textId="77777777" w:rsidR="00A2685D" w:rsidRPr="00A2685D" w:rsidRDefault="00A2685D" w:rsidP="00A2685D">
            <w:pPr>
              <w:jc w:val="center"/>
              <w:rPr>
                <w:rFonts w:ascii="Arial" w:hAnsi="Arial" w:cs="Arial"/>
                <w:b w:val="0"/>
                <w:sz w:val="16"/>
                <w:szCs w:val="20"/>
                <w:lang w:val="es-ES_tradnl"/>
              </w:rPr>
            </w:pPr>
            <w:r w:rsidRPr="00A2685D">
              <w:rPr>
                <w:rFonts w:ascii="Arial" w:hAnsi="Arial" w:cs="Arial"/>
                <w:b w:val="0"/>
                <w:sz w:val="16"/>
                <w:szCs w:val="20"/>
                <w:lang w:val="es-ES_tradnl"/>
              </w:rPr>
              <w:t>Servicios de protección y atención a víctimas, testigos y otros intervinientes en procesos penales</w:t>
            </w:r>
          </w:p>
        </w:tc>
        <w:tc>
          <w:tcPr>
            <w:cnfStyle w:val="000010000000" w:firstRow="0" w:lastRow="0" w:firstColumn="0" w:lastColumn="0" w:oddVBand="1" w:evenVBand="0" w:oddHBand="0" w:evenHBand="0" w:firstRowFirstColumn="0" w:firstRowLastColumn="0" w:lastRowFirstColumn="0" w:lastRowLastColumn="0"/>
            <w:tcW w:w="823" w:type="pct"/>
          </w:tcPr>
          <w:p w14:paraId="68409849"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8"/>
                <w:szCs w:val="18"/>
                <w:lang w:val="es-CR" w:eastAsia="es-MX"/>
              </w:rPr>
              <w:t xml:space="preserve">Porcentaje de visitas realizadas por parte del personal de la OAPVD y la UPROV a personas ingresadas a </w:t>
            </w:r>
            <w:r w:rsidRPr="00A2685D">
              <w:rPr>
                <w:rFonts w:ascii="Arial" w:hAnsi="Arial" w:cs="Arial"/>
                <w:sz w:val="18"/>
                <w:szCs w:val="18"/>
                <w:lang w:val="es-CR" w:eastAsia="es-MX"/>
              </w:rPr>
              <w:lastRenderedPageBreak/>
              <w:t>los programas de Atención y Protección respecto al total de personas identificadas en condición de vulnerabilidad que son atendidas en los programas de Atención o Protección</w:t>
            </w:r>
          </w:p>
        </w:tc>
        <w:tc>
          <w:tcPr>
            <w:tcW w:w="683" w:type="pct"/>
          </w:tcPr>
          <w:p w14:paraId="111F2A39" w14:textId="77777777" w:rsidR="00A2685D" w:rsidRPr="00A2685D" w:rsidRDefault="00A2685D" w:rsidP="00A268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A2685D">
              <w:rPr>
                <w:rFonts w:ascii="Arial" w:hAnsi="Arial" w:cs="Arial"/>
                <w:sz w:val="16"/>
                <w:szCs w:val="20"/>
                <w:lang w:val="es-ES_tradnl"/>
              </w:rPr>
              <w:lastRenderedPageBreak/>
              <w:t xml:space="preserve">15,00% </w:t>
            </w:r>
          </w:p>
        </w:tc>
        <w:tc>
          <w:tcPr>
            <w:cnfStyle w:val="000010000000" w:firstRow="0" w:lastRow="0" w:firstColumn="0" w:lastColumn="0" w:oddVBand="1" w:evenVBand="0" w:oddHBand="0" w:evenHBand="0" w:firstRowFirstColumn="0" w:firstRowLastColumn="0" w:lastRowFirstColumn="0" w:lastRowLastColumn="0"/>
            <w:tcW w:w="599" w:type="pct"/>
          </w:tcPr>
          <w:p w14:paraId="73A3904A"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6"/>
                <w:szCs w:val="20"/>
                <w:lang w:val="es-ES_tradnl"/>
              </w:rPr>
              <w:t>18,77%</w:t>
            </w:r>
          </w:p>
        </w:tc>
        <w:tc>
          <w:tcPr>
            <w:tcW w:w="625" w:type="pct"/>
          </w:tcPr>
          <w:p w14:paraId="64E360F0" w14:textId="77777777" w:rsidR="00A2685D" w:rsidRPr="00A2685D" w:rsidRDefault="00A2685D" w:rsidP="00A268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A2685D">
              <w:rPr>
                <w:rFonts w:ascii="Arial" w:hAnsi="Arial" w:cs="Arial"/>
                <w:sz w:val="16"/>
                <w:szCs w:val="20"/>
                <w:lang w:val="es-ES_tradnl"/>
              </w:rPr>
              <w:t>17,48%</w:t>
            </w:r>
          </w:p>
        </w:tc>
        <w:tc>
          <w:tcPr>
            <w:cnfStyle w:val="000010000000" w:firstRow="0" w:lastRow="0" w:firstColumn="0" w:lastColumn="0" w:oddVBand="1" w:evenVBand="0" w:oddHBand="0" w:evenHBand="0" w:firstRowFirstColumn="0" w:firstRowLastColumn="0" w:lastRowFirstColumn="0" w:lastRowLastColumn="0"/>
            <w:tcW w:w="659" w:type="pct"/>
          </w:tcPr>
          <w:p w14:paraId="020AD359" w14:textId="77777777" w:rsidR="00A2685D" w:rsidRPr="00A2685D" w:rsidRDefault="00A2685D" w:rsidP="00A2685D">
            <w:pPr>
              <w:jc w:val="center"/>
              <w:rPr>
                <w:rFonts w:ascii="Arial" w:hAnsi="Arial" w:cs="Arial"/>
                <w:sz w:val="16"/>
                <w:szCs w:val="20"/>
                <w:lang w:val="es-ES_tradnl"/>
              </w:rPr>
            </w:pPr>
            <w:r w:rsidRPr="00A2685D">
              <w:rPr>
                <w:rFonts w:ascii="Arial" w:hAnsi="Arial" w:cs="Arial"/>
                <w:sz w:val="16"/>
                <w:szCs w:val="20"/>
                <w:lang w:val="es-ES_tradnl"/>
              </w:rPr>
              <w:t>125,13%</w:t>
            </w:r>
          </w:p>
        </w:tc>
        <w:tc>
          <w:tcPr>
            <w:tcW w:w="927" w:type="pct"/>
          </w:tcPr>
          <w:p w14:paraId="745AAFFB" w14:textId="77777777" w:rsidR="00A2685D" w:rsidRPr="00A2685D" w:rsidRDefault="00A2685D" w:rsidP="00A268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A2685D">
              <w:rPr>
                <w:rFonts w:ascii="Arial" w:hAnsi="Arial" w:cs="Arial"/>
                <w:bCs/>
                <w:sz w:val="16"/>
                <w:szCs w:val="20"/>
                <w:lang w:val="es-ES_tradnl"/>
              </w:rPr>
              <w:t>Controles estadísticos propios de la OAPVD y SIGMA (Sistema de Apoyo a la Toma de Decisiones del Poder Judicial)</w:t>
            </w:r>
          </w:p>
        </w:tc>
      </w:tr>
      <w:bookmarkEnd w:id="66"/>
    </w:tbl>
    <w:p w14:paraId="238E000D" w14:textId="77777777" w:rsidR="00A2685D" w:rsidRDefault="00A2685D" w:rsidP="008275A2">
      <w:pPr>
        <w:spacing w:line="259" w:lineRule="auto"/>
        <w:jc w:val="center"/>
        <w:rPr>
          <w:rFonts w:ascii="Arial" w:eastAsiaTheme="minorEastAsia" w:hAnsi="Arial" w:cs="Arial"/>
          <w:sz w:val="20"/>
          <w:szCs w:val="20"/>
          <w:lang w:val="es-ES_tradnl"/>
        </w:rPr>
      </w:pPr>
    </w:p>
    <w:p w14:paraId="5DE1B4AE" w14:textId="77777777" w:rsidR="00A2685D" w:rsidRPr="008275A2" w:rsidRDefault="00A2685D" w:rsidP="008275A2">
      <w:pPr>
        <w:spacing w:line="259" w:lineRule="auto"/>
        <w:jc w:val="center"/>
        <w:rPr>
          <w:rFonts w:ascii="Arial" w:eastAsiaTheme="minorEastAsia" w:hAnsi="Arial" w:cs="Arial"/>
          <w:sz w:val="20"/>
          <w:szCs w:val="20"/>
          <w:lang w:val="es-ES_tradnl"/>
        </w:rPr>
      </w:pPr>
    </w:p>
    <w:p w14:paraId="79B81BCF" w14:textId="77777777" w:rsidR="008275A2" w:rsidRPr="008275A2" w:rsidRDefault="008275A2" w:rsidP="008275A2">
      <w:pPr>
        <w:spacing w:after="160" w:line="259" w:lineRule="auto"/>
        <w:contextualSpacing/>
        <w:jc w:val="both"/>
        <w:rPr>
          <w:rFonts w:ascii="Arial" w:eastAsiaTheme="minorEastAsia" w:hAnsi="Arial" w:cs="Arial"/>
          <w:sz w:val="16"/>
          <w:szCs w:val="16"/>
          <w:lang w:val="es-ES_tradnl"/>
        </w:rPr>
      </w:pPr>
      <w:r w:rsidRPr="008275A2">
        <w:rPr>
          <w:rFonts w:ascii="Arial" w:eastAsiaTheme="minorEastAsia" w:hAnsi="Arial" w:cs="Arial"/>
          <w:b/>
          <w:sz w:val="16"/>
          <w:szCs w:val="16"/>
          <w:lang w:val="es-ES_tradnl"/>
        </w:rPr>
        <w:t>Fuente</w:t>
      </w:r>
      <w:r w:rsidRPr="008275A2">
        <w:rPr>
          <w:rFonts w:ascii="Arial" w:eastAsiaTheme="minorEastAsia" w:hAnsi="Arial" w:cs="Arial"/>
          <w:sz w:val="16"/>
          <w:szCs w:val="16"/>
          <w:lang w:val="es-ES_tradnl"/>
        </w:rPr>
        <w:t xml:space="preserve">: </w:t>
      </w:r>
      <w:r w:rsidRPr="008275A2">
        <w:rPr>
          <w:rFonts w:ascii="Arial" w:eastAsiaTheme="minorEastAsia" w:hAnsi="Arial" w:cs="Arial"/>
          <w:bCs/>
          <w:sz w:val="16"/>
          <w:szCs w:val="20"/>
          <w:lang w:val="es-ES_tradnl"/>
        </w:rPr>
        <w:t>Controles estadísticos propios de la OAPVD y SIGMA (Sistema de Apoyo a la Toma de Decisiones del Poder Judicial)</w:t>
      </w:r>
    </w:p>
    <w:p w14:paraId="270FC245" w14:textId="77777777" w:rsidR="008275A2" w:rsidRPr="008275A2" w:rsidRDefault="008275A2" w:rsidP="008275A2">
      <w:pPr>
        <w:spacing w:after="160" w:line="259" w:lineRule="auto"/>
        <w:contextualSpacing/>
        <w:jc w:val="both"/>
        <w:rPr>
          <w:rFonts w:ascii="Arial" w:eastAsiaTheme="minorEastAsia" w:hAnsi="Arial" w:cs="Arial"/>
          <w:sz w:val="16"/>
          <w:szCs w:val="16"/>
          <w:lang w:val="es-ES_tradnl"/>
        </w:rPr>
      </w:pPr>
      <w:r w:rsidRPr="008275A2">
        <w:rPr>
          <w:rFonts w:ascii="Arial" w:eastAsiaTheme="minorEastAsia" w:hAnsi="Arial" w:cs="Arial"/>
          <w:sz w:val="16"/>
          <w:szCs w:val="16"/>
          <w:lang w:val="es-ES_tradnl"/>
        </w:rPr>
        <w:t>/1 Esta información se obtiene del informe semestral.</w:t>
      </w:r>
    </w:p>
    <w:p w14:paraId="229CA477" w14:textId="77777777" w:rsidR="008275A2" w:rsidRPr="008275A2" w:rsidRDefault="008275A2" w:rsidP="008275A2">
      <w:pPr>
        <w:spacing w:after="160" w:line="259" w:lineRule="auto"/>
        <w:contextualSpacing/>
        <w:jc w:val="both"/>
        <w:rPr>
          <w:rFonts w:ascii="Arial" w:eastAsiaTheme="minorEastAsia" w:hAnsi="Arial" w:cs="Arial"/>
          <w:sz w:val="16"/>
          <w:szCs w:val="16"/>
          <w:lang w:val="es-ES_tradnl"/>
        </w:rPr>
      </w:pPr>
      <w:r w:rsidRPr="008275A2">
        <w:rPr>
          <w:rFonts w:ascii="Arial" w:eastAsiaTheme="minorEastAsia" w:hAnsi="Arial" w:cs="Arial"/>
          <w:sz w:val="16"/>
          <w:szCs w:val="16"/>
          <w:lang w:val="es-ES_tradnl"/>
        </w:rPr>
        <w:t>/2 Acorde a lo establecido en la ley de presupuesto 2021 y sus reformas.</w:t>
      </w:r>
    </w:p>
    <w:p w14:paraId="6E5E2313" w14:textId="77777777" w:rsidR="008275A2" w:rsidRPr="008275A2" w:rsidRDefault="008275A2" w:rsidP="008275A2">
      <w:pPr>
        <w:spacing w:after="160" w:line="259" w:lineRule="auto"/>
        <w:contextualSpacing/>
        <w:jc w:val="both"/>
        <w:rPr>
          <w:rFonts w:ascii="Arial" w:eastAsiaTheme="minorEastAsia" w:hAnsi="Arial" w:cs="Arial"/>
          <w:sz w:val="16"/>
          <w:szCs w:val="16"/>
          <w:lang w:val="es-ES_tradnl"/>
        </w:rPr>
      </w:pPr>
    </w:p>
    <w:p w14:paraId="0A56E0C6" w14:textId="7D044460" w:rsidR="008275A2" w:rsidRPr="008275A2" w:rsidRDefault="008275A2" w:rsidP="008275A2">
      <w:pPr>
        <w:spacing w:after="160" w:line="360" w:lineRule="auto"/>
        <w:jc w:val="both"/>
        <w:rPr>
          <w:rFonts w:ascii="Arial" w:eastAsiaTheme="minorEastAsia" w:hAnsi="Arial" w:cs="Arial"/>
          <w:sz w:val="20"/>
          <w:szCs w:val="20"/>
        </w:rPr>
      </w:pPr>
    </w:p>
    <w:p w14:paraId="41F9B43E" w14:textId="77777777"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La Oficina de Atención y Protección a Víctimas de delito concluyó el 2021 con la atención de 18.266,00, lo que resulta un 7,5% más que el 2020.  La oficina se propuso y logró la atención del 100% de las solicitudes de servicio remitidas por las diversas oficinas judiciales, Fuerza Pública, así como las solicitudes espontaneas. </w:t>
      </w:r>
    </w:p>
    <w:p w14:paraId="23847DBA" w14:textId="77777777" w:rsidR="008275A2" w:rsidRPr="008275A2" w:rsidRDefault="008275A2" w:rsidP="008275A2">
      <w:pPr>
        <w:spacing w:line="360" w:lineRule="auto"/>
        <w:jc w:val="both"/>
        <w:rPr>
          <w:rFonts w:ascii="Arial" w:eastAsiaTheme="minorEastAsia" w:hAnsi="Arial" w:cs="Arial"/>
          <w:sz w:val="20"/>
          <w:szCs w:val="20"/>
        </w:rPr>
      </w:pPr>
    </w:p>
    <w:p w14:paraId="2CD7FBD3" w14:textId="77777777" w:rsidR="008275A2" w:rsidRDefault="008275A2" w:rsidP="008275A2">
      <w:pPr>
        <w:spacing w:after="160"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En cuanto a los indicadores se exponen los siguientes resultados: </w:t>
      </w:r>
    </w:p>
    <w:p w14:paraId="74E48A6B" w14:textId="77777777" w:rsidR="008275A2" w:rsidRPr="008275A2" w:rsidRDefault="008275A2" w:rsidP="00BE5AA1">
      <w:pPr>
        <w:numPr>
          <w:ilvl w:val="0"/>
          <w:numId w:val="8"/>
        </w:numPr>
        <w:spacing w:before="100" w:beforeAutospacing="1"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b/>
          <w:bCs/>
          <w:sz w:val="20"/>
          <w:szCs w:val="20"/>
          <w:lang w:val="es-MX"/>
        </w:rPr>
        <w:t xml:space="preserve">Disminución del riesgo respecto al total de casos concluidos </w:t>
      </w:r>
    </w:p>
    <w:p w14:paraId="7E9F109F" w14:textId="77777777" w:rsidR="008275A2" w:rsidRPr="008275A2" w:rsidRDefault="008275A2" w:rsidP="008275A2">
      <w:pPr>
        <w:spacing w:before="100" w:beforeAutospacing="1"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De conformidad con lo que estipula La Ley 8720,  “Ley de Protección a Víctimas, testigos y demás sujetos intervinientes en el proceso penal”,  en su artículo primero, el principal objetivo es  proteger los derechos de las víctimas, testigos y otros sujetos intervinientes en el proceso penal, así como regular las medidas de protección extraprocesales y su procedimiento, dicha atención y protección se brinda a personas nacionales o extranjeras, que han resultado víctimas, testigos o  participantes en algún proceso penal.</w:t>
      </w:r>
    </w:p>
    <w:p w14:paraId="374D9760" w14:textId="06D682BA" w:rsidR="008275A2" w:rsidRPr="008275A2" w:rsidRDefault="008275A2" w:rsidP="008275A2">
      <w:pPr>
        <w:tabs>
          <w:tab w:val="center" w:pos="4252"/>
          <w:tab w:val="right" w:pos="8504"/>
        </w:tabs>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lastRenderedPageBreak/>
        <w:t xml:space="preserve">Atendiendo precisamente al llamado legislación desde el programa de protección de la OAPVD las personas profesionales de las distintas disciplinas (Trabajo Social, Derecho, Criminología, Psicología, Sociología. ) de forma conjunta analizan los casos y luego de realizar una entrevista con las personas usuarias que acuden al despacho o que se visitan al lugar donde se encuentren, se determina la existencia de un riesgo eminente que atente contra la vida y/o integridad física de éstos, debe definirse un plan de protección personalizado (Plan de Protección: se denomina plan de protección a las acciones o mecanismos que recomiendan los equipos técnicos interdisciplinario a las personas protegidas con el propósito de garantizar su vida e integridad física)para reducir el  riesgo.  El disminuir ese riesgo es factor relevante y además resulta una causal de exclusión definida en la ley 8720 en su artículo “12” inciso “d) 5”. Es por esa razón que resulta importante cuantificar los casos </w:t>
      </w:r>
      <w:r w:rsidR="00147EA1" w:rsidRPr="008275A2">
        <w:rPr>
          <w:rFonts w:ascii="Arial" w:eastAsiaTheme="minorEastAsia" w:hAnsi="Arial" w:cs="Arial"/>
          <w:sz w:val="20"/>
          <w:szCs w:val="20"/>
          <w:lang w:val="es-MX"/>
        </w:rPr>
        <w:t>concluidos por</w:t>
      </w:r>
      <w:r w:rsidRPr="008275A2">
        <w:rPr>
          <w:rFonts w:ascii="Arial" w:eastAsiaTheme="minorEastAsia" w:hAnsi="Arial" w:cs="Arial"/>
          <w:sz w:val="20"/>
          <w:szCs w:val="20"/>
          <w:lang w:val="es-MX"/>
        </w:rPr>
        <w:t xml:space="preserve"> la causal desaparición del riesgo, respecto al total de casos cerrados. </w:t>
      </w:r>
    </w:p>
    <w:p w14:paraId="36B52234" w14:textId="77777777" w:rsidR="008275A2" w:rsidRPr="008275A2" w:rsidRDefault="008275A2" w:rsidP="008275A2">
      <w:pPr>
        <w:spacing w:before="100" w:beforeAutospacing="1"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El 2021 registra estadísticamente que el programa de protección terminó 6.782 expedientes, de los cuales 855 se excluyeron por desaparición del riesgo los que equivalen a un 12,61%.</w:t>
      </w:r>
    </w:p>
    <w:p w14:paraId="5DEE070C" w14:textId="77777777" w:rsidR="008275A2" w:rsidRPr="008275A2" w:rsidRDefault="008275A2" w:rsidP="008275A2">
      <w:pPr>
        <w:spacing w:before="100" w:beforeAutospacing="1"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Beneficios obtenidos con el alcance de la meta:</w:t>
      </w:r>
    </w:p>
    <w:p w14:paraId="0F912F41" w14:textId="49B49D12" w:rsidR="008275A2" w:rsidRPr="008275A2" w:rsidRDefault="00147EA1" w:rsidP="00BE5AA1">
      <w:pPr>
        <w:numPr>
          <w:ilvl w:val="0"/>
          <w:numId w:val="21"/>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Crecimiento de</w:t>
      </w:r>
      <w:r w:rsidR="008275A2" w:rsidRPr="008275A2">
        <w:rPr>
          <w:rFonts w:ascii="Arial" w:eastAsiaTheme="minorEastAsia" w:hAnsi="Arial" w:cs="Arial"/>
          <w:sz w:val="20"/>
          <w:szCs w:val="20"/>
          <w:lang w:val="es-MX"/>
        </w:rPr>
        <w:t xml:space="preserve"> </w:t>
      </w:r>
      <w:r w:rsidRPr="008275A2">
        <w:rPr>
          <w:rFonts w:ascii="Arial" w:eastAsiaTheme="minorEastAsia" w:hAnsi="Arial" w:cs="Arial"/>
          <w:sz w:val="20"/>
          <w:szCs w:val="20"/>
          <w:lang w:val="es-MX"/>
        </w:rPr>
        <w:t>la seguridad</w:t>
      </w:r>
      <w:r w:rsidR="008275A2" w:rsidRPr="008275A2">
        <w:rPr>
          <w:rFonts w:ascii="Arial" w:eastAsiaTheme="minorEastAsia" w:hAnsi="Arial" w:cs="Arial"/>
          <w:sz w:val="20"/>
          <w:szCs w:val="20"/>
          <w:lang w:val="es-MX"/>
        </w:rPr>
        <w:t xml:space="preserve"> para </w:t>
      </w:r>
      <w:r w:rsidRPr="008275A2">
        <w:rPr>
          <w:rFonts w:ascii="Arial" w:eastAsiaTheme="minorEastAsia" w:hAnsi="Arial" w:cs="Arial"/>
          <w:sz w:val="20"/>
          <w:szCs w:val="20"/>
          <w:lang w:val="es-MX"/>
        </w:rPr>
        <w:t>las personas</w:t>
      </w:r>
      <w:r w:rsidR="008275A2" w:rsidRPr="008275A2">
        <w:rPr>
          <w:rFonts w:ascii="Arial" w:eastAsiaTheme="minorEastAsia" w:hAnsi="Arial" w:cs="Arial"/>
          <w:sz w:val="20"/>
          <w:szCs w:val="20"/>
          <w:lang w:val="es-MX"/>
        </w:rPr>
        <w:t xml:space="preserve"> destinatarias de la ley 8720 en su desarrollo y convivencia. </w:t>
      </w:r>
    </w:p>
    <w:p w14:paraId="4FCE8690" w14:textId="77777777" w:rsidR="008275A2" w:rsidRPr="008275A2" w:rsidRDefault="008275A2" w:rsidP="00BE5AA1">
      <w:pPr>
        <w:numPr>
          <w:ilvl w:val="0"/>
          <w:numId w:val="21"/>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Fortalecimiento de la credibilidad institucional  </w:t>
      </w:r>
    </w:p>
    <w:p w14:paraId="410D13C3" w14:textId="79357ED0" w:rsidR="008275A2" w:rsidRPr="008275A2" w:rsidRDefault="00147EA1" w:rsidP="00BE5AA1">
      <w:pPr>
        <w:numPr>
          <w:ilvl w:val="0"/>
          <w:numId w:val="21"/>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Mayor la</w:t>
      </w:r>
      <w:r w:rsidR="008275A2" w:rsidRPr="008275A2">
        <w:rPr>
          <w:rFonts w:ascii="Arial" w:eastAsiaTheme="minorEastAsia" w:hAnsi="Arial" w:cs="Arial"/>
          <w:sz w:val="20"/>
          <w:szCs w:val="20"/>
          <w:lang w:val="es-MX"/>
        </w:rPr>
        <w:t xml:space="preserve"> posibilidad </w:t>
      </w:r>
      <w:r w:rsidRPr="008275A2">
        <w:rPr>
          <w:rFonts w:ascii="Arial" w:eastAsiaTheme="minorEastAsia" w:hAnsi="Arial" w:cs="Arial"/>
          <w:sz w:val="20"/>
          <w:szCs w:val="20"/>
          <w:lang w:val="es-MX"/>
        </w:rPr>
        <w:t>de que</w:t>
      </w:r>
      <w:r w:rsidR="008275A2" w:rsidRPr="008275A2">
        <w:rPr>
          <w:rFonts w:ascii="Arial" w:eastAsiaTheme="minorEastAsia" w:hAnsi="Arial" w:cs="Arial"/>
          <w:sz w:val="20"/>
          <w:szCs w:val="20"/>
          <w:lang w:val="es-MX"/>
        </w:rPr>
        <w:t xml:space="preserve"> las personas usuarias participación en el proceso penal como Víctimas y/o testigos, lo que favorece la reducción del índice criminal</w:t>
      </w:r>
    </w:p>
    <w:p w14:paraId="2DBBE453" w14:textId="77777777" w:rsidR="008275A2" w:rsidRPr="008275A2" w:rsidRDefault="008275A2" w:rsidP="008275A2">
      <w:pPr>
        <w:spacing w:before="100" w:beforeAutospacing="1"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Razones que contribuyeron al alcance y superación de la meta</w:t>
      </w:r>
    </w:p>
    <w:p w14:paraId="1C331EBE" w14:textId="77777777" w:rsidR="008275A2" w:rsidRPr="008275A2" w:rsidRDefault="008275A2" w:rsidP="00BE5AA1">
      <w:pPr>
        <w:numPr>
          <w:ilvl w:val="0"/>
          <w:numId w:val="22"/>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Planes de protección efectivos </w:t>
      </w:r>
    </w:p>
    <w:p w14:paraId="702F29A6" w14:textId="7D9DC8A5" w:rsidR="008275A2" w:rsidRPr="008275A2" w:rsidRDefault="00147EA1" w:rsidP="00BE5AA1">
      <w:pPr>
        <w:numPr>
          <w:ilvl w:val="0"/>
          <w:numId w:val="22"/>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Seguimiento de</w:t>
      </w:r>
      <w:r w:rsidR="008275A2" w:rsidRPr="008275A2">
        <w:rPr>
          <w:rFonts w:ascii="Arial" w:eastAsiaTheme="minorEastAsia" w:hAnsi="Arial" w:cs="Arial"/>
          <w:sz w:val="20"/>
          <w:szCs w:val="20"/>
          <w:lang w:val="es-MX"/>
        </w:rPr>
        <w:t xml:space="preserve"> las miembros de los equipos técnicos evaluadores al cumplimiento de las medidas extraprocesales otorgadas a la persona usuaria</w:t>
      </w:r>
    </w:p>
    <w:p w14:paraId="5C5DC235" w14:textId="77777777" w:rsidR="008275A2" w:rsidRPr="008275A2" w:rsidRDefault="008275A2" w:rsidP="00BE5AA1">
      <w:pPr>
        <w:numPr>
          <w:ilvl w:val="0"/>
          <w:numId w:val="22"/>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Ejecución de visitas domiciliarias y verificaciones domiciliares  </w:t>
      </w:r>
    </w:p>
    <w:p w14:paraId="13F063AB" w14:textId="18193DB9" w:rsidR="008275A2" w:rsidRPr="008275A2" w:rsidRDefault="008275A2" w:rsidP="00BE5AA1">
      <w:pPr>
        <w:numPr>
          <w:ilvl w:val="0"/>
          <w:numId w:val="22"/>
        </w:numPr>
        <w:spacing w:before="100" w:beforeAutospacing="1" w:after="100" w:afterAutospacing="1"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Estudios de </w:t>
      </w:r>
      <w:r w:rsidR="00147EA1" w:rsidRPr="008275A2">
        <w:rPr>
          <w:rFonts w:ascii="Arial" w:eastAsiaTheme="minorEastAsia" w:hAnsi="Arial" w:cs="Arial"/>
          <w:sz w:val="20"/>
          <w:szCs w:val="20"/>
          <w:lang w:val="es-MX"/>
        </w:rPr>
        <w:t>seguridad realizados</w:t>
      </w:r>
      <w:r w:rsidRPr="008275A2">
        <w:rPr>
          <w:rFonts w:ascii="Arial" w:eastAsiaTheme="minorEastAsia" w:hAnsi="Arial" w:cs="Arial"/>
          <w:sz w:val="20"/>
          <w:szCs w:val="20"/>
          <w:lang w:val="es-MX"/>
        </w:rPr>
        <w:t xml:space="preserve"> por profesionales en </w:t>
      </w:r>
      <w:r w:rsidR="00147EA1" w:rsidRPr="008275A2">
        <w:rPr>
          <w:rFonts w:ascii="Arial" w:eastAsiaTheme="minorEastAsia" w:hAnsi="Arial" w:cs="Arial"/>
          <w:sz w:val="20"/>
          <w:szCs w:val="20"/>
          <w:lang w:val="es-MX"/>
        </w:rPr>
        <w:t>criminología en</w:t>
      </w:r>
      <w:r w:rsidRPr="008275A2">
        <w:rPr>
          <w:rFonts w:ascii="Arial" w:eastAsiaTheme="minorEastAsia" w:hAnsi="Arial" w:cs="Arial"/>
          <w:sz w:val="20"/>
          <w:szCs w:val="20"/>
          <w:lang w:val="es-MX"/>
        </w:rPr>
        <w:t xml:space="preserve"> domicilios, lugares de estudio, trabajo y de hospedaje</w:t>
      </w:r>
    </w:p>
    <w:p w14:paraId="082C46A1" w14:textId="77777777" w:rsidR="008275A2" w:rsidRPr="008275A2" w:rsidRDefault="008275A2" w:rsidP="008275A2">
      <w:pPr>
        <w:spacing w:before="100" w:beforeAutospacing="1" w:after="100" w:afterAutospacing="1" w:line="360" w:lineRule="auto"/>
        <w:ind w:left="720"/>
        <w:contextualSpacing/>
        <w:jc w:val="both"/>
        <w:rPr>
          <w:rFonts w:ascii="Arial" w:eastAsiaTheme="minorEastAsia" w:hAnsi="Arial" w:cs="Arial"/>
          <w:sz w:val="20"/>
          <w:szCs w:val="20"/>
          <w:lang w:val="es-MX"/>
        </w:rPr>
      </w:pPr>
    </w:p>
    <w:p w14:paraId="259E481C" w14:textId="3E3F0464" w:rsidR="008275A2" w:rsidRPr="00262D3C" w:rsidRDefault="008275A2" w:rsidP="00262D3C">
      <w:pPr>
        <w:pStyle w:val="Prrafodelista"/>
        <w:numPr>
          <w:ilvl w:val="0"/>
          <w:numId w:val="8"/>
        </w:numPr>
        <w:spacing w:after="160" w:line="360" w:lineRule="auto"/>
        <w:rPr>
          <w:rFonts w:ascii="Arial" w:eastAsiaTheme="minorEastAsia" w:hAnsi="Arial" w:cs="Arial"/>
          <w:b/>
          <w:bCs/>
          <w:sz w:val="20"/>
          <w:szCs w:val="20"/>
          <w:lang w:val="es-MX"/>
        </w:rPr>
      </w:pPr>
      <w:r w:rsidRPr="00262D3C">
        <w:rPr>
          <w:rFonts w:ascii="Arial" w:eastAsiaTheme="minorEastAsia" w:hAnsi="Arial" w:cs="Arial"/>
          <w:b/>
          <w:bCs/>
          <w:sz w:val="20"/>
          <w:szCs w:val="20"/>
          <w:lang w:val="es-MX"/>
        </w:rPr>
        <w:t xml:space="preserve">Casos concluidos por finalización del plan de intervención individualizado </w:t>
      </w:r>
    </w:p>
    <w:p w14:paraId="444127CC" w14:textId="77777777" w:rsidR="008275A2" w:rsidRPr="008275A2" w:rsidRDefault="008275A2" w:rsidP="008275A2">
      <w:p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Una de las metas trazadas desde la aprobación de la ley 8720  ha sido mitigar el impacto que puede causar el delito en una persona usuaria que resulte víctima o testigo, desde el   Programa </w:t>
      </w:r>
      <w:r w:rsidRPr="008275A2">
        <w:rPr>
          <w:rFonts w:ascii="Arial" w:eastAsiaTheme="minorEastAsia" w:hAnsi="Arial" w:cs="Arial"/>
          <w:sz w:val="20"/>
          <w:szCs w:val="20"/>
          <w:lang w:val="es-MX"/>
        </w:rPr>
        <w:lastRenderedPageBreak/>
        <w:t xml:space="preserve">de Atención la OAPVD trabaja la  intervención psicoterapéutica  la cual es una intervención  ejecutada por una persona profesional en psicología  dicha intervención busca fortalecer  los procesos  emocionales afectados por el delito, mejorando la calidad de vida de las personas usuarias, contribuyendo a la recuperación emocional de éstas. </w:t>
      </w:r>
    </w:p>
    <w:p w14:paraId="12A09DD8" w14:textId="77777777" w:rsidR="008275A2" w:rsidRPr="008275A2" w:rsidRDefault="008275A2" w:rsidP="008275A2">
      <w:p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Para la OAPVD es clave que las personas finalicen la intervención en el programa de atención, razón por la cual ha establecido esto como un objetivo dentro de sus planes de trabajo.  </w:t>
      </w:r>
    </w:p>
    <w:p w14:paraId="36D42E0D" w14:textId="77777777" w:rsidR="008275A2" w:rsidRPr="008275A2" w:rsidRDefault="008275A2" w:rsidP="008275A2">
      <w:p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Al concluir 2021 se cerraron en el programa de atención 11.734 asuntos de los cuales 6.051 terminaron por finalización de la intervención es decir el 51,57%.</w:t>
      </w:r>
    </w:p>
    <w:p w14:paraId="04F7869D" w14:textId="77777777" w:rsidR="008275A2" w:rsidRPr="008275A2" w:rsidRDefault="008275A2" w:rsidP="008275A2">
      <w:pPr>
        <w:spacing w:before="100" w:beforeAutospacing="1"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Beneficios obtenidos con el alcance de la meta:</w:t>
      </w:r>
    </w:p>
    <w:p w14:paraId="26F3D901" w14:textId="77777777" w:rsidR="008275A2" w:rsidRPr="008275A2" w:rsidRDefault="008275A2" w:rsidP="00BE5AA1">
      <w:pPr>
        <w:numPr>
          <w:ilvl w:val="0"/>
          <w:numId w:val="7"/>
        </w:num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La conclusión de las terapias posibilita a las personas retomar su estilo habitual de vida, e incorporarse de nuevo a la sociedad </w:t>
      </w:r>
    </w:p>
    <w:p w14:paraId="73D8B608" w14:textId="77777777" w:rsidR="008275A2" w:rsidRPr="008275A2" w:rsidRDefault="008275A2" w:rsidP="00BE5AA1">
      <w:pPr>
        <w:numPr>
          <w:ilvl w:val="0"/>
          <w:numId w:val="7"/>
        </w:num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Disminución de la   revictimización </w:t>
      </w:r>
    </w:p>
    <w:p w14:paraId="5BCC335C" w14:textId="52F520DE" w:rsidR="008275A2" w:rsidRPr="008275A2" w:rsidRDefault="008275A2" w:rsidP="00BE5AA1">
      <w:pPr>
        <w:numPr>
          <w:ilvl w:val="0"/>
          <w:numId w:val="7"/>
        </w:num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Por medio de la terapia psicológica es posible reducir los traumas y fortalecer la autoestima, </w:t>
      </w:r>
      <w:r w:rsidR="00147EA1" w:rsidRPr="008275A2">
        <w:rPr>
          <w:rFonts w:ascii="Arial" w:eastAsiaTheme="minorEastAsia" w:hAnsi="Arial" w:cs="Arial"/>
          <w:sz w:val="20"/>
          <w:szCs w:val="20"/>
          <w:lang w:val="es-MX"/>
        </w:rPr>
        <w:t>autocuidado luego</w:t>
      </w:r>
      <w:r w:rsidRPr="008275A2">
        <w:rPr>
          <w:rFonts w:ascii="Arial" w:eastAsiaTheme="minorEastAsia" w:hAnsi="Arial" w:cs="Arial"/>
          <w:sz w:val="20"/>
          <w:szCs w:val="20"/>
          <w:lang w:val="es-MX"/>
        </w:rPr>
        <w:t xml:space="preserve"> de haber sido víctima, contribuyendo a seguir adelante con su vida. </w:t>
      </w:r>
    </w:p>
    <w:p w14:paraId="43DB4456" w14:textId="77777777" w:rsidR="008275A2" w:rsidRPr="008275A2" w:rsidRDefault="008275A2" w:rsidP="00BE5AA1">
      <w:pPr>
        <w:numPr>
          <w:ilvl w:val="0"/>
          <w:numId w:val="7"/>
        </w:numPr>
        <w:spacing w:after="160"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Se empodera a las personas lo que puede contribuir a una mayor participación en las audiencias, juicios y otras diligencias judiciales donde resulte necesario.</w:t>
      </w:r>
    </w:p>
    <w:p w14:paraId="29D1246F" w14:textId="77777777" w:rsidR="008275A2" w:rsidRPr="008275A2" w:rsidRDefault="008275A2" w:rsidP="008275A2">
      <w:pPr>
        <w:spacing w:line="360" w:lineRule="auto"/>
        <w:jc w:val="both"/>
        <w:rPr>
          <w:rFonts w:ascii="Arial" w:eastAsiaTheme="minorEastAsia" w:hAnsi="Arial" w:cs="Arial"/>
          <w:sz w:val="20"/>
          <w:szCs w:val="20"/>
          <w:lang w:val="es-MX"/>
        </w:rPr>
      </w:pPr>
    </w:p>
    <w:p w14:paraId="576F6D78" w14:textId="77777777" w:rsidR="008275A2" w:rsidRPr="008275A2" w:rsidRDefault="008275A2" w:rsidP="008275A2">
      <w:pPr>
        <w:spacing w:line="360" w:lineRule="auto"/>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Aspectos que justifican la superación del alcance del objetivo se encuentra: </w:t>
      </w:r>
    </w:p>
    <w:p w14:paraId="68C788CE" w14:textId="77777777" w:rsidR="008275A2" w:rsidRPr="008275A2" w:rsidRDefault="008275A2" w:rsidP="008275A2">
      <w:pPr>
        <w:spacing w:line="360" w:lineRule="auto"/>
        <w:jc w:val="both"/>
        <w:rPr>
          <w:rFonts w:ascii="Arial" w:eastAsiaTheme="minorEastAsia" w:hAnsi="Arial" w:cs="Arial"/>
          <w:sz w:val="20"/>
          <w:szCs w:val="20"/>
          <w:lang w:val="es-MX"/>
        </w:rPr>
      </w:pPr>
    </w:p>
    <w:p w14:paraId="49D83C79" w14:textId="66AD2AA4" w:rsidR="008275A2" w:rsidRPr="008275A2" w:rsidRDefault="00147EA1"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Acompañamiento profesional</w:t>
      </w:r>
      <w:r w:rsidR="008275A2" w:rsidRPr="008275A2">
        <w:rPr>
          <w:rFonts w:ascii="Arial" w:eastAsiaTheme="minorEastAsia" w:hAnsi="Arial" w:cs="Arial"/>
          <w:sz w:val="20"/>
          <w:szCs w:val="20"/>
          <w:lang w:val="es-MX"/>
        </w:rPr>
        <w:t xml:space="preserve"> a diligencias judiciales </w:t>
      </w:r>
    </w:p>
    <w:p w14:paraId="0794CE8B" w14:textId="77777777" w:rsidR="008275A2" w:rsidRPr="008275A2" w:rsidRDefault="008275A2"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Atención las 24 horas los 365 días del año, a pesar de la pandemia el servicio al usuario/a nunca se vio limitado.</w:t>
      </w:r>
    </w:p>
    <w:p w14:paraId="72C46324" w14:textId="77777777" w:rsidR="008275A2" w:rsidRPr="008275A2" w:rsidRDefault="008275A2"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Enfoque geográfico (se atiende en el lugar donde a la persona le sea más conveniente y no necesariamente donde ocurre el hecho delictivo en su perjuicio)</w:t>
      </w:r>
    </w:p>
    <w:p w14:paraId="731C4234" w14:textId="77777777" w:rsidR="008275A2" w:rsidRPr="008275A2" w:rsidRDefault="008275A2"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Visitas domiciliarias </w:t>
      </w:r>
    </w:p>
    <w:p w14:paraId="1E24B4E9" w14:textId="77777777" w:rsidR="008275A2" w:rsidRPr="008275A2" w:rsidRDefault="008275A2"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Sesiones de Tele-psicología </w:t>
      </w:r>
    </w:p>
    <w:p w14:paraId="013D1767" w14:textId="77777777" w:rsidR="008275A2" w:rsidRPr="008275A2" w:rsidRDefault="008275A2"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t xml:space="preserve">Asesoría legal telefónica sobre el caso que originó el ingreso alguno de los programas. </w:t>
      </w:r>
    </w:p>
    <w:p w14:paraId="1FB78C35" w14:textId="21DB36E7" w:rsidR="008275A2" w:rsidRPr="008275A2" w:rsidRDefault="008275A2" w:rsidP="00BE5AA1">
      <w:pPr>
        <w:numPr>
          <w:ilvl w:val="0"/>
          <w:numId w:val="7"/>
        </w:numPr>
        <w:spacing w:after="160" w:line="360" w:lineRule="auto"/>
        <w:contextualSpacing/>
        <w:jc w:val="both"/>
        <w:rPr>
          <w:rFonts w:ascii="Arial" w:eastAsiaTheme="minorEastAsia" w:hAnsi="Arial" w:cs="Arial"/>
          <w:sz w:val="20"/>
          <w:szCs w:val="20"/>
          <w:lang w:val="es-MX"/>
        </w:rPr>
      </w:pPr>
      <w:r w:rsidRPr="008275A2">
        <w:rPr>
          <w:rFonts w:ascii="Arial" w:eastAsiaTheme="minorEastAsia" w:hAnsi="Arial" w:cs="Arial"/>
          <w:sz w:val="20"/>
          <w:szCs w:val="20"/>
          <w:lang w:val="es-MX"/>
        </w:rPr>
        <w:lastRenderedPageBreak/>
        <w:t xml:space="preserve">Logro de alianzas con otros despachos judiciales e instancias públicas para sin crecimiento de más plazas </w:t>
      </w:r>
      <w:r w:rsidR="00630390" w:rsidRPr="008275A2">
        <w:rPr>
          <w:rFonts w:ascii="Arial" w:eastAsiaTheme="minorEastAsia" w:hAnsi="Arial" w:cs="Arial"/>
          <w:sz w:val="20"/>
          <w:szCs w:val="20"/>
          <w:lang w:val="es-MX"/>
        </w:rPr>
        <w:t>se brinden</w:t>
      </w:r>
      <w:r w:rsidRPr="008275A2">
        <w:rPr>
          <w:rFonts w:ascii="Arial" w:eastAsiaTheme="minorEastAsia" w:hAnsi="Arial" w:cs="Arial"/>
          <w:sz w:val="20"/>
          <w:szCs w:val="20"/>
          <w:lang w:val="es-MX"/>
        </w:rPr>
        <w:t xml:space="preserve"> servicios compartiendo espacio físico. (OAPVD Y UPROV) </w:t>
      </w:r>
    </w:p>
    <w:p w14:paraId="623C834A" w14:textId="77777777" w:rsidR="008275A2" w:rsidRPr="008275A2" w:rsidRDefault="008275A2" w:rsidP="008275A2">
      <w:pPr>
        <w:spacing w:line="360" w:lineRule="auto"/>
        <w:ind w:left="1080"/>
        <w:contextualSpacing/>
        <w:jc w:val="both"/>
        <w:rPr>
          <w:rFonts w:ascii="Arial" w:eastAsiaTheme="minorEastAsia" w:hAnsi="Arial" w:cs="Arial"/>
          <w:sz w:val="20"/>
          <w:szCs w:val="20"/>
          <w:lang w:val="es-MX"/>
        </w:rPr>
      </w:pPr>
    </w:p>
    <w:p w14:paraId="4685ABEA" w14:textId="77777777" w:rsidR="008275A2" w:rsidRPr="008275A2" w:rsidRDefault="008275A2" w:rsidP="008275A2">
      <w:pPr>
        <w:spacing w:after="160" w:line="360" w:lineRule="auto"/>
        <w:jc w:val="both"/>
        <w:rPr>
          <w:rFonts w:ascii="Arial" w:eastAsiaTheme="minorEastAsia" w:hAnsi="Arial" w:cs="Arial"/>
          <w:b/>
          <w:bCs/>
          <w:sz w:val="20"/>
          <w:szCs w:val="20"/>
          <w:lang w:val="es-MX"/>
        </w:rPr>
      </w:pPr>
      <w:r w:rsidRPr="008275A2">
        <w:rPr>
          <w:rFonts w:ascii="Arial" w:eastAsiaTheme="minorEastAsia" w:hAnsi="Arial" w:cs="Arial"/>
          <w:b/>
          <w:bCs/>
          <w:sz w:val="20"/>
          <w:szCs w:val="20"/>
          <w:lang w:val="es-MX"/>
        </w:rPr>
        <w:t xml:space="preserve">3.Visitas realizadas por parte del personal de la OAPVD y la UPROV a personas ingresadas a los programas de Atención y Protección </w:t>
      </w:r>
    </w:p>
    <w:p w14:paraId="1120F76B" w14:textId="77777777" w:rsidR="008275A2" w:rsidRPr="008275A2" w:rsidRDefault="008275A2" w:rsidP="008275A2">
      <w:pPr>
        <w:spacing w:line="360" w:lineRule="auto"/>
        <w:jc w:val="both"/>
        <w:rPr>
          <w:rFonts w:ascii="Arial" w:eastAsiaTheme="minorEastAsia" w:hAnsi="Arial" w:cs="Arial"/>
          <w:sz w:val="20"/>
          <w:szCs w:val="20"/>
        </w:rPr>
      </w:pPr>
    </w:p>
    <w:p w14:paraId="38C07B52" w14:textId="74597243"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En el 2021 por parte de la OAPVD y UPROV se ejecutaron 3,429 visitas, lo que se traduce en 3,429 personas o grupos familiares atendidos directamente en </w:t>
      </w:r>
      <w:r w:rsidR="005E5145" w:rsidRPr="008275A2">
        <w:rPr>
          <w:rFonts w:ascii="Arial" w:eastAsiaTheme="minorEastAsia" w:hAnsi="Arial" w:cs="Arial"/>
          <w:sz w:val="20"/>
          <w:szCs w:val="20"/>
        </w:rPr>
        <w:t>su residencia permitiéndoles</w:t>
      </w:r>
      <w:r w:rsidRPr="008275A2">
        <w:rPr>
          <w:rFonts w:ascii="Arial" w:eastAsiaTheme="minorEastAsia" w:hAnsi="Arial" w:cs="Arial"/>
          <w:sz w:val="20"/>
          <w:szCs w:val="20"/>
        </w:rPr>
        <w:t xml:space="preserve"> acceso a una asesoría legal, un estudio de seguridad, una terapia, entre otros. </w:t>
      </w:r>
    </w:p>
    <w:p w14:paraId="4B47BC26" w14:textId="77777777" w:rsidR="008275A2" w:rsidRPr="008275A2" w:rsidRDefault="008275A2" w:rsidP="008275A2">
      <w:pPr>
        <w:spacing w:after="160" w:line="360" w:lineRule="auto"/>
        <w:jc w:val="both"/>
        <w:rPr>
          <w:rFonts w:ascii="Arial" w:eastAsiaTheme="minorEastAsia" w:hAnsi="Arial" w:cs="Arial"/>
          <w:sz w:val="20"/>
          <w:szCs w:val="20"/>
        </w:rPr>
      </w:pPr>
    </w:p>
    <w:p w14:paraId="1A09E2F6" w14:textId="50070C6A" w:rsidR="008275A2" w:rsidRPr="008275A2" w:rsidRDefault="008275A2" w:rsidP="008275A2">
      <w:pPr>
        <w:spacing w:after="160" w:line="360" w:lineRule="auto"/>
        <w:jc w:val="both"/>
        <w:rPr>
          <w:rFonts w:ascii="Arial" w:eastAsiaTheme="minorEastAsia" w:hAnsi="Arial" w:cs="Arial"/>
          <w:sz w:val="20"/>
          <w:szCs w:val="20"/>
        </w:rPr>
      </w:pPr>
      <w:r w:rsidRPr="008275A2">
        <w:rPr>
          <w:rFonts w:ascii="Arial" w:eastAsiaTheme="minorEastAsia" w:hAnsi="Arial" w:cs="Arial"/>
          <w:sz w:val="20"/>
          <w:szCs w:val="20"/>
        </w:rPr>
        <w:t>Con el alcance del indicador se logra</w:t>
      </w:r>
      <w:r w:rsidR="00D76685">
        <w:rPr>
          <w:rFonts w:ascii="Arial" w:eastAsiaTheme="minorEastAsia" w:hAnsi="Arial" w:cs="Arial"/>
          <w:sz w:val="20"/>
          <w:szCs w:val="20"/>
        </w:rPr>
        <w:t>:</w:t>
      </w:r>
      <w:r w:rsidRPr="008275A2">
        <w:rPr>
          <w:rFonts w:ascii="Arial" w:eastAsiaTheme="minorEastAsia" w:hAnsi="Arial" w:cs="Arial"/>
          <w:sz w:val="20"/>
          <w:szCs w:val="20"/>
        </w:rPr>
        <w:t xml:space="preserve"> </w:t>
      </w:r>
    </w:p>
    <w:p w14:paraId="0854B317" w14:textId="27FF9E66" w:rsidR="008275A2" w:rsidRPr="008275A2" w:rsidRDefault="008275A2" w:rsidP="00BE5AA1">
      <w:pPr>
        <w:numPr>
          <w:ilvl w:val="0"/>
          <w:numId w:val="9"/>
        </w:numPr>
        <w:spacing w:after="160"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Las personas usuarias tuvieron acceso </w:t>
      </w:r>
      <w:r w:rsidR="00630390" w:rsidRPr="008275A2">
        <w:rPr>
          <w:rFonts w:ascii="Arial" w:eastAsiaTheme="minorEastAsia" w:hAnsi="Arial" w:cs="Arial"/>
          <w:sz w:val="20"/>
          <w:szCs w:val="20"/>
        </w:rPr>
        <w:t>oportuno a</w:t>
      </w:r>
      <w:r w:rsidRPr="008275A2">
        <w:rPr>
          <w:rFonts w:ascii="Arial" w:eastAsiaTheme="minorEastAsia" w:hAnsi="Arial" w:cs="Arial"/>
          <w:sz w:val="20"/>
          <w:szCs w:val="20"/>
        </w:rPr>
        <w:t xml:space="preserve"> los servicios de la administración de justicia   </w:t>
      </w:r>
    </w:p>
    <w:p w14:paraId="346723EA" w14:textId="77777777" w:rsidR="008275A2" w:rsidRPr="008275A2" w:rsidRDefault="008275A2" w:rsidP="00BE5AA1">
      <w:pPr>
        <w:numPr>
          <w:ilvl w:val="0"/>
          <w:numId w:val="9"/>
        </w:numPr>
        <w:spacing w:after="160" w:line="360" w:lineRule="auto"/>
        <w:contextualSpacing/>
        <w:jc w:val="both"/>
        <w:rPr>
          <w:rFonts w:ascii="Arial" w:eastAsiaTheme="minorEastAsia" w:hAnsi="Arial" w:cs="Arial"/>
          <w:sz w:val="20"/>
          <w:szCs w:val="20"/>
        </w:rPr>
      </w:pPr>
      <w:r w:rsidRPr="008275A2">
        <w:rPr>
          <w:rFonts w:ascii="Arial" w:eastAsiaTheme="minorEastAsia" w:hAnsi="Arial" w:cs="Arial"/>
          <w:sz w:val="20"/>
          <w:szCs w:val="20"/>
        </w:rPr>
        <w:t>Con las visitas domiciliarias se logran identificar las necesidades de la persona y su disponibilidad real de recursos</w:t>
      </w:r>
    </w:p>
    <w:p w14:paraId="73D9A870" w14:textId="77777777" w:rsidR="008275A2" w:rsidRPr="008275A2" w:rsidRDefault="008275A2" w:rsidP="00BE5AA1">
      <w:pPr>
        <w:numPr>
          <w:ilvl w:val="0"/>
          <w:numId w:val="9"/>
        </w:numPr>
        <w:spacing w:after="160" w:line="360" w:lineRule="auto"/>
        <w:contextualSpacing/>
        <w:jc w:val="both"/>
        <w:rPr>
          <w:rFonts w:ascii="Arial" w:eastAsiaTheme="minorEastAsia" w:hAnsi="Arial" w:cs="Arial"/>
          <w:sz w:val="20"/>
          <w:szCs w:val="20"/>
        </w:rPr>
      </w:pPr>
      <w:r w:rsidRPr="008275A2">
        <w:rPr>
          <w:rFonts w:ascii="Arial" w:eastAsiaTheme="minorEastAsia" w:hAnsi="Arial" w:cs="Arial"/>
          <w:sz w:val="20"/>
          <w:szCs w:val="20"/>
        </w:rPr>
        <w:t>Fortalecer el acceso a los servicios judiciales</w:t>
      </w:r>
    </w:p>
    <w:p w14:paraId="001FC821" w14:textId="78307F46" w:rsidR="008275A2" w:rsidRPr="008275A2" w:rsidRDefault="008275A2" w:rsidP="00BE5AA1">
      <w:pPr>
        <w:numPr>
          <w:ilvl w:val="0"/>
          <w:numId w:val="9"/>
        </w:numPr>
        <w:spacing w:after="160" w:line="360" w:lineRule="auto"/>
        <w:contextualSpacing/>
        <w:jc w:val="both"/>
        <w:rPr>
          <w:rFonts w:ascii="Arial" w:eastAsiaTheme="minorEastAsia" w:hAnsi="Arial" w:cs="Arial"/>
          <w:sz w:val="20"/>
          <w:szCs w:val="20"/>
        </w:rPr>
      </w:pPr>
      <w:r w:rsidRPr="008275A2">
        <w:rPr>
          <w:rFonts w:ascii="Arial" w:eastAsiaTheme="minorEastAsia" w:hAnsi="Arial" w:cs="Arial"/>
          <w:sz w:val="20"/>
          <w:szCs w:val="20"/>
        </w:rPr>
        <w:t xml:space="preserve">Enriquecimiento de las personas víctimas y testigos respecto el conocimiento y </w:t>
      </w:r>
      <w:r w:rsidR="00630390" w:rsidRPr="008275A2">
        <w:rPr>
          <w:rFonts w:ascii="Arial" w:eastAsiaTheme="minorEastAsia" w:hAnsi="Arial" w:cs="Arial"/>
          <w:sz w:val="20"/>
          <w:szCs w:val="20"/>
        </w:rPr>
        <w:t>ejercicio de</w:t>
      </w:r>
      <w:r w:rsidRPr="008275A2">
        <w:rPr>
          <w:rFonts w:ascii="Arial" w:eastAsiaTheme="minorEastAsia" w:hAnsi="Arial" w:cs="Arial"/>
          <w:sz w:val="20"/>
          <w:szCs w:val="20"/>
        </w:rPr>
        <w:t xml:space="preserve"> sus derechos</w:t>
      </w:r>
      <w:r w:rsidR="00F84461">
        <w:rPr>
          <w:rFonts w:ascii="Arial" w:eastAsiaTheme="minorEastAsia" w:hAnsi="Arial" w:cs="Arial"/>
          <w:sz w:val="20"/>
          <w:szCs w:val="20"/>
        </w:rPr>
        <w:t>.</w:t>
      </w:r>
    </w:p>
    <w:p w14:paraId="5E4D3BC8" w14:textId="77777777" w:rsidR="008275A2" w:rsidRPr="008275A2" w:rsidRDefault="008275A2" w:rsidP="00BE5AA1">
      <w:pPr>
        <w:numPr>
          <w:ilvl w:val="0"/>
          <w:numId w:val="9"/>
        </w:numPr>
        <w:spacing w:after="160" w:line="360" w:lineRule="auto"/>
        <w:contextualSpacing/>
        <w:jc w:val="both"/>
        <w:rPr>
          <w:rFonts w:ascii="Arial" w:eastAsiaTheme="minorEastAsia" w:hAnsi="Arial" w:cs="Arial"/>
          <w:sz w:val="20"/>
          <w:szCs w:val="20"/>
        </w:rPr>
      </w:pPr>
      <w:r w:rsidRPr="008275A2">
        <w:rPr>
          <w:rFonts w:ascii="Arial" w:eastAsiaTheme="minorEastAsia" w:hAnsi="Arial" w:cs="Arial"/>
          <w:sz w:val="20"/>
          <w:szCs w:val="20"/>
        </w:rPr>
        <w:t xml:space="preserve">Credibilidad en el servicio público, pues se constata que no enfrenta de forma solitaria el proceso penal. </w:t>
      </w:r>
    </w:p>
    <w:p w14:paraId="53FB3E6C" w14:textId="77777777" w:rsidR="008275A2" w:rsidRPr="008275A2" w:rsidRDefault="008275A2" w:rsidP="008275A2">
      <w:pPr>
        <w:spacing w:line="360" w:lineRule="auto"/>
        <w:ind w:left="720"/>
        <w:rPr>
          <w:rFonts w:ascii="Arial" w:hAnsi="Arial" w:cs="Arial"/>
          <w:sz w:val="18"/>
          <w:szCs w:val="18"/>
        </w:rPr>
      </w:pPr>
    </w:p>
    <w:p w14:paraId="6896AA7F" w14:textId="77777777" w:rsidR="008275A2" w:rsidRPr="008275A2" w:rsidRDefault="008275A2" w:rsidP="008275A2">
      <w:pPr>
        <w:spacing w:line="360" w:lineRule="auto"/>
        <w:ind w:left="720"/>
        <w:contextualSpacing/>
        <w:jc w:val="both"/>
        <w:rPr>
          <w:rFonts w:ascii="Arial" w:eastAsiaTheme="minorEastAsia" w:hAnsi="Arial" w:cs="Arial"/>
          <w:sz w:val="20"/>
          <w:szCs w:val="20"/>
          <w:lang w:val="es-CR"/>
        </w:rPr>
      </w:pPr>
    </w:p>
    <w:p w14:paraId="7717AE3D" w14:textId="77777777" w:rsidR="008275A2" w:rsidRPr="008275A2" w:rsidRDefault="008275A2" w:rsidP="008275A2">
      <w:pPr>
        <w:spacing w:after="160" w:line="360" w:lineRule="auto"/>
        <w:jc w:val="both"/>
        <w:rPr>
          <w:rFonts w:ascii="Arial" w:eastAsiaTheme="minorEastAsia" w:hAnsi="Arial" w:cs="Arial"/>
          <w:sz w:val="20"/>
          <w:szCs w:val="20"/>
          <w:lang w:val="es-CR"/>
        </w:rPr>
      </w:pPr>
      <w:r w:rsidRPr="008275A2">
        <w:rPr>
          <w:rFonts w:ascii="Arial" w:eastAsiaTheme="minorEastAsia" w:hAnsi="Arial" w:cs="Arial"/>
          <w:sz w:val="20"/>
          <w:szCs w:val="20"/>
          <w:lang w:val="es-CR"/>
        </w:rPr>
        <w:t xml:space="preserve">Dentro de las razones que justifican el alcance del objetivo citado se encuentra: </w:t>
      </w:r>
    </w:p>
    <w:p w14:paraId="62844DC6" w14:textId="77777777" w:rsidR="008275A2" w:rsidRPr="008275A2" w:rsidRDefault="008275A2" w:rsidP="00BE5AA1">
      <w:pPr>
        <w:numPr>
          <w:ilvl w:val="0"/>
          <w:numId w:val="10"/>
        </w:numPr>
        <w:spacing w:after="160" w:line="360" w:lineRule="auto"/>
        <w:contextualSpacing/>
        <w:jc w:val="both"/>
        <w:rPr>
          <w:rFonts w:ascii="Arial" w:eastAsiaTheme="minorEastAsia" w:hAnsi="Arial" w:cs="Arial"/>
          <w:sz w:val="20"/>
          <w:szCs w:val="20"/>
        </w:rPr>
      </w:pPr>
      <w:r w:rsidRPr="008275A2">
        <w:rPr>
          <w:rFonts w:ascii="Arial" w:eastAsiaTheme="minorEastAsia" w:hAnsi="Arial" w:cs="Arial"/>
          <w:sz w:val="20"/>
          <w:szCs w:val="20"/>
        </w:rPr>
        <w:t xml:space="preserve">Programación efectiva de visitas </w:t>
      </w:r>
    </w:p>
    <w:p w14:paraId="08A88943" w14:textId="77777777" w:rsidR="008275A2" w:rsidRPr="008275A2" w:rsidRDefault="008275A2" w:rsidP="00BE5AA1">
      <w:pPr>
        <w:numPr>
          <w:ilvl w:val="0"/>
          <w:numId w:val="10"/>
        </w:numPr>
        <w:spacing w:after="160" w:line="360" w:lineRule="auto"/>
        <w:contextualSpacing/>
        <w:jc w:val="both"/>
        <w:rPr>
          <w:rFonts w:ascii="Arial" w:eastAsiaTheme="minorEastAsia" w:hAnsi="Arial" w:cs="Arial"/>
          <w:sz w:val="20"/>
          <w:szCs w:val="20"/>
        </w:rPr>
      </w:pPr>
      <w:r w:rsidRPr="008275A2">
        <w:rPr>
          <w:rFonts w:ascii="Arial" w:eastAsiaTheme="minorEastAsia" w:hAnsi="Arial" w:cs="Arial"/>
          <w:sz w:val="20"/>
          <w:szCs w:val="20"/>
        </w:rPr>
        <w:t xml:space="preserve">Trabajo conjunto con Fuerza Pública para ingreso a zonas conflictivas </w:t>
      </w:r>
    </w:p>
    <w:p w14:paraId="33A57943" w14:textId="77777777" w:rsidR="005E5145" w:rsidRDefault="005E5145" w:rsidP="00E14281">
      <w:pPr>
        <w:spacing w:line="259" w:lineRule="auto"/>
        <w:rPr>
          <w:rFonts w:ascii="Arial" w:eastAsiaTheme="minorEastAsia" w:hAnsi="Arial" w:cs="Arial"/>
          <w:b/>
          <w:sz w:val="20"/>
          <w:szCs w:val="20"/>
          <w:lang w:val="es-CR" w:eastAsia="es-CR"/>
        </w:rPr>
      </w:pPr>
    </w:p>
    <w:p w14:paraId="57B6DD49" w14:textId="7AED13A2" w:rsidR="005E5145" w:rsidRDefault="005E5145" w:rsidP="008275A2">
      <w:pPr>
        <w:spacing w:line="259" w:lineRule="auto"/>
        <w:ind w:left="720"/>
        <w:jc w:val="center"/>
        <w:rPr>
          <w:rFonts w:ascii="Arial" w:eastAsiaTheme="minorEastAsia" w:hAnsi="Arial" w:cs="Arial"/>
          <w:b/>
          <w:sz w:val="20"/>
          <w:szCs w:val="20"/>
          <w:lang w:val="es-CR" w:eastAsia="es-CR"/>
        </w:rPr>
      </w:pPr>
    </w:p>
    <w:p w14:paraId="74172762" w14:textId="374EE359" w:rsidR="004B030F" w:rsidRDefault="004B030F" w:rsidP="008275A2">
      <w:pPr>
        <w:spacing w:line="259" w:lineRule="auto"/>
        <w:ind w:left="720"/>
        <w:jc w:val="center"/>
        <w:rPr>
          <w:rFonts w:ascii="Arial" w:eastAsiaTheme="minorEastAsia" w:hAnsi="Arial" w:cs="Arial"/>
          <w:b/>
          <w:sz w:val="20"/>
          <w:szCs w:val="20"/>
          <w:lang w:val="es-CR" w:eastAsia="es-CR"/>
        </w:rPr>
      </w:pPr>
    </w:p>
    <w:p w14:paraId="687493D6" w14:textId="5B587605" w:rsidR="004B030F" w:rsidRDefault="004B030F" w:rsidP="008275A2">
      <w:pPr>
        <w:spacing w:line="259" w:lineRule="auto"/>
        <w:ind w:left="720"/>
        <w:jc w:val="center"/>
        <w:rPr>
          <w:rFonts w:ascii="Arial" w:eastAsiaTheme="minorEastAsia" w:hAnsi="Arial" w:cs="Arial"/>
          <w:b/>
          <w:sz w:val="20"/>
          <w:szCs w:val="20"/>
          <w:lang w:val="es-CR" w:eastAsia="es-CR"/>
        </w:rPr>
      </w:pPr>
    </w:p>
    <w:p w14:paraId="6BB492A1" w14:textId="096A0B26" w:rsidR="004B030F" w:rsidRDefault="004B030F" w:rsidP="008275A2">
      <w:pPr>
        <w:spacing w:line="259" w:lineRule="auto"/>
        <w:ind w:left="720"/>
        <w:jc w:val="center"/>
        <w:rPr>
          <w:rFonts w:ascii="Arial" w:eastAsiaTheme="minorEastAsia" w:hAnsi="Arial" w:cs="Arial"/>
          <w:b/>
          <w:sz w:val="20"/>
          <w:szCs w:val="20"/>
          <w:lang w:val="es-CR" w:eastAsia="es-CR"/>
        </w:rPr>
      </w:pPr>
    </w:p>
    <w:p w14:paraId="443A7092" w14:textId="10FD5A9F" w:rsidR="004B030F" w:rsidRDefault="004B030F" w:rsidP="008275A2">
      <w:pPr>
        <w:spacing w:line="259" w:lineRule="auto"/>
        <w:ind w:left="720"/>
        <w:jc w:val="center"/>
        <w:rPr>
          <w:rFonts w:ascii="Arial" w:eastAsiaTheme="minorEastAsia" w:hAnsi="Arial" w:cs="Arial"/>
          <w:b/>
          <w:sz w:val="20"/>
          <w:szCs w:val="20"/>
          <w:lang w:val="es-CR" w:eastAsia="es-CR"/>
        </w:rPr>
      </w:pPr>
    </w:p>
    <w:p w14:paraId="628A4779" w14:textId="6DE4D242" w:rsidR="004B030F" w:rsidRDefault="004B030F" w:rsidP="008275A2">
      <w:pPr>
        <w:spacing w:line="259" w:lineRule="auto"/>
        <w:ind w:left="720"/>
        <w:jc w:val="center"/>
        <w:rPr>
          <w:rFonts w:ascii="Arial" w:eastAsiaTheme="minorEastAsia" w:hAnsi="Arial" w:cs="Arial"/>
          <w:b/>
          <w:sz w:val="20"/>
          <w:szCs w:val="20"/>
          <w:lang w:val="es-CR" w:eastAsia="es-CR"/>
        </w:rPr>
      </w:pPr>
    </w:p>
    <w:p w14:paraId="7E631DFE" w14:textId="77777777" w:rsidR="004B030F" w:rsidRDefault="004B030F" w:rsidP="008275A2">
      <w:pPr>
        <w:spacing w:line="259" w:lineRule="auto"/>
        <w:ind w:left="720"/>
        <w:jc w:val="center"/>
        <w:rPr>
          <w:rFonts w:ascii="Arial" w:eastAsiaTheme="minorEastAsia" w:hAnsi="Arial" w:cs="Arial"/>
          <w:b/>
          <w:sz w:val="20"/>
          <w:szCs w:val="20"/>
          <w:lang w:val="es-CR" w:eastAsia="es-CR"/>
        </w:rPr>
      </w:pPr>
    </w:p>
    <w:p w14:paraId="18A02A56" w14:textId="558FDF25"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lastRenderedPageBreak/>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43</w:t>
      </w:r>
      <w:r w:rsidRPr="00AE3D7B">
        <w:rPr>
          <w:rFonts w:ascii="Arial" w:hAnsi="Arial" w:cs="Arial"/>
          <w:b/>
          <w:bCs/>
          <w:i w:val="0"/>
          <w:iCs w:val="0"/>
          <w:color w:val="auto"/>
          <w:sz w:val="20"/>
          <w:szCs w:val="20"/>
        </w:rPr>
        <w:fldChar w:fldCharType="end"/>
      </w:r>
    </w:p>
    <w:p w14:paraId="4FFAD830" w14:textId="5384F6C4" w:rsidR="008275A2" w:rsidRPr="008275A2" w:rsidRDefault="008275A2" w:rsidP="008275A2">
      <w:pPr>
        <w:spacing w:line="259" w:lineRule="auto"/>
        <w:ind w:left="720"/>
        <w:jc w:val="center"/>
        <w:rPr>
          <w:rFonts w:ascii="Arial" w:eastAsiaTheme="minorEastAsia" w:hAnsi="Arial" w:cs="Arial"/>
          <w:b/>
          <w:sz w:val="20"/>
          <w:szCs w:val="20"/>
          <w:lang w:val="es-CR" w:eastAsia="es-CR"/>
        </w:rPr>
      </w:pPr>
      <w:r w:rsidRPr="008275A2">
        <w:rPr>
          <w:rFonts w:ascii="Arial" w:eastAsiaTheme="minorEastAsia" w:hAnsi="Arial" w:cs="Arial"/>
          <w:b/>
          <w:sz w:val="20"/>
          <w:szCs w:val="20"/>
          <w:lang w:val="es-CR" w:eastAsia="es-CR"/>
        </w:rPr>
        <w:t>Indicadores. Acciones correctivas de mitad de año no efectivas</w:t>
      </w:r>
    </w:p>
    <w:p w14:paraId="5FB337FE" w14:textId="77777777" w:rsidR="00190FD6" w:rsidRPr="008275A2" w:rsidRDefault="00190FD6" w:rsidP="00190FD6">
      <w:pPr>
        <w:spacing w:before="240" w:after="160" w:line="360" w:lineRule="auto"/>
        <w:jc w:val="center"/>
        <w:rPr>
          <w:rFonts w:ascii="Arial" w:eastAsiaTheme="minorEastAsia" w:hAnsi="Arial" w:cs="Arial"/>
          <w:strike/>
          <w:sz w:val="20"/>
          <w:szCs w:val="20"/>
          <w:highlight w:val="cyan"/>
          <w:lang w:val="es-ES_tradnl"/>
        </w:rPr>
      </w:pPr>
      <w:r w:rsidRPr="008275A2">
        <w:rPr>
          <w:rFonts w:ascii="Arial" w:eastAsiaTheme="minorEastAsia" w:hAnsi="Arial" w:cs="Arial"/>
          <w:sz w:val="20"/>
          <w:szCs w:val="20"/>
          <w:lang w:val="es-ES_tradnl"/>
        </w:rPr>
        <w:t>Programa 950 Servicio de Atención y Protección a Víctimas y Testigos</w:t>
      </w:r>
    </w:p>
    <w:p w14:paraId="12F98F1C" w14:textId="77777777" w:rsidR="008275A2" w:rsidRPr="008275A2" w:rsidRDefault="008275A2" w:rsidP="008275A2">
      <w:pPr>
        <w:spacing w:line="259" w:lineRule="auto"/>
        <w:ind w:left="720"/>
        <w:jc w:val="center"/>
        <w:rPr>
          <w:rFonts w:ascii="Arial" w:eastAsiaTheme="minorEastAsia" w:hAnsi="Arial" w:cs="Arial"/>
          <w:sz w:val="20"/>
          <w:szCs w:val="20"/>
          <w:lang w:val="es-CR" w:eastAsia="es-CR"/>
        </w:rPr>
      </w:pPr>
      <w:r w:rsidRPr="008275A2">
        <w:rPr>
          <w:rFonts w:ascii="Arial" w:eastAsiaTheme="minorEastAsia" w:hAnsi="Arial" w:cs="Arial"/>
          <w:sz w:val="20"/>
          <w:szCs w:val="20"/>
          <w:lang w:val="es-CR" w:eastAsia="es-CR"/>
        </w:rPr>
        <w:t>Cumplimiento menor al 25,00% al 30/06/2021 y al 90,00% al 31/12/2021</w:t>
      </w:r>
    </w:p>
    <w:tbl>
      <w:tblPr>
        <w:tblStyle w:val="Listaclara-nfasis118"/>
        <w:tblW w:w="4950" w:type="pct"/>
        <w:tblLook w:val="00A0" w:firstRow="1" w:lastRow="0" w:firstColumn="1" w:lastColumn="0" w:noHBand="0" w:noVBand="0"/>
      </w:tblPr>
      <w:tblGrid>
        <w:gridCol w:w="1281"/>
        <w:gridCol w:w="2253"/>
        <w:gridCol w:w="2745"/>
        <w:gridCol w:w="2120"/>
      </w:tblGrid>
      <w:tr w:rsidR="008275A2" w:rsidRPr="008275A2" w14:paraId="5E7B10A5"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763" w:type="pct"/>
            <w:vAlign w:val="center"/>
          </w:tcPr>
          <w:p w14:paraId="0AF3EFCE" w14:textId="77777777" w:rsidR="008275A2" w:rsidRPr="008275A2" w:rsidRDefault="008275A2" w:rsidP="008275A2">
            <w:pPr>
              <w:contextualSpacing/>
              <w:jc w:val="center"/>
              <w:rPr>
                <w:rFonts w:ascii="Arial" w:hAnsi="Arial" w:cs="Arial"/>
                <w:bCs w:val="0"/>
                <w:sz w:val="20"/>
                <w:szCs w:val="20"/>
                <w:lang w:val="es-CR"/>
              </w:rPr>
            </w:pPr>
            <w:r w:rsidRPr="008275A2">
              <w:rPr>
                <w:rFonts w:ascii="Arial" w:hAnsi="Arial" w:cs="Arial"/>
                <w:sz w:val="20"/>
                <w:szCs w:val="20"/>
                <w:lang w:val="es-CR"/>
              </w:rPr>
              <w:t>Nombre del indicador</w:t>
            </w:r>
          </w:p>
        </w:tc>
        <w:tc>
          <w:tcPr>
            <w:cnfStyle w:val="000010000000" w:firstRow="0" w:lastRow="0" w:firstColumn="0" w:lastColumn="0" w:oddVBand="1" w:evenVBand="0" w:oddHBand="0" w:evenHBand="0" w:firstRowFirstColumn="0" w:firstRowLastColumn="0" w:lastRowFirstColumn="0" w:lastRowLastColumn="0"/>
            <w:tcW w:w="1341" w:type="pct"/>
            <w:vAlign w:val="center"/>
          </w:tcPr>
          <w:p w14:paraId="4B436204" w14:textId="77777777" w:rsidR="008275A2" w:rsidRPr="008275A2" w:rsidRDefault="008275A2" w:rsidP="008275A2">
            <w:pPr>
              <w:contextualSpacing/>
              <w:jc w:val="center"/>
              <w:rPr>
                <w:rFonts w:ascii="Arial" w:hAnsi="Arial" w:cs="Arial"/>
                <w:b w:val="0"/>
                <w:bCs w:val="0"/>
                <w:sz w:val="20"/>
                <w:szCs w:val="20"/>
                <w:lang w:val="es-CR"/>
              </w:rPr>
            </w:pPr>
            <w:r w:rsidRPr="008275A2">
              <w:rPr>
                <w:rFonts w:ascii="Arial" w:hAnsi="Arial" w:cs="Arial"/>
                <w:sz w:val="20"/>
                <w:szCs w:val="20"/>
                <w:lang w:val="es-CR"/>
              </w:rPr>
              <w:t>Factores</w:t>
            </w:r>
          </w:p>
          <w:p w14:paraId="7314056C" w14:textId="77777777" w:rsidR="008275A2" w:rsidRPr="008275A2" w:rsidRDefault="008275A2" w:rsidP="008275A2">
            <w:pPr>
              <w:contextualSpacing/>
              <w:jc w:val="center"/>
              <w:rPr>
                <w:rFonts w:ascii="Arial" w:hAnsi="Arial" w:cs="Arial"/>
                <w:sz w:val="20"/>
                <w:szCs w:val="20"/>
                <w:lang w:val="es-CR"/>
              </w:rPr>
            </w:pPr>
            <w:r w:rsidRPr="008275A2">
              <w:rPr>
                <w:rFonts w:ascii="Arial" w:hAnsi="Arial" w:cs="Arial"/>
                <w:sz w:val="20"/>
                <w:szCs w:val="20"/>
                <w:lang w:val="es-CR"/>
              </w:rPr>
              <w:t xml:space="preserve">al 30/06/2021 </w:t>
            </w:r>
            <w:r w:rsidRPr="008275A2">
              <w:rPr>
                <w:rFonts w:ascii="Arial" w:hAnsi="Arial" w:cs="Arial"/>
                <w:sz w:val="20"/>
                <w:szCs w:val="20"/>
                <w:vertAlign w:val="superscript"/>
                <w:lang w:val="es-CR"/>
              </w:rPr>
              <w:t>/1</w:t>
            </w:r>
          </w:p>
        </w:tc>
        <w:tc>
          <w:tcPr>
            <w:tcW w:w="1634" w:type="pct"/>
            <w:vAlign w:val="center"/>
          </w:tcPr>
          <w:p w14:paraId="6220F57F" w14:textId="77777777" w:rsidR="008275A2" w:rsidRPr="008275A2" w:rsidRDefault="008275A2" w:rsidP="008275A2">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8275A2">
              <w:rPr>
                <w:rFonts w:ascii="Arial" w:hAnsi="Arial" w:cs="Arial"/>
                <w:sz w:val="20"/>
                <w:szCs w:val="20"/>
                <w:lang w:val="es-CR"/>
              </w:rPr>
              <w:t xml:space="preserve">Acciones correctivas </w:t>
            </w:r>
            <w:r w:rsidRPr="008275A2">
              <w:rPr>
                <w:rFonts w:ascii="Arial" w:hAnsi="Arial" w:cs="Arial"/>
                <w:sz w:val="20"/>
                <w:szCs w:val="20"/>
                <w:vertAlign w:val="superscript"/>
                <w:lang w:val="es-CR"/>
              </w:rPr>
              <w:t>/2</w:t>
            </w:r>
          </w:p>
        </w:tc>
        <w:tc>
          <w:tcPr>
            <w:cnfStyle w:val="000010000000" w:firstRow="0" w:lastRow="0" w:firstColumn="0" w:lastColumn="0" w:oddVBand="1" w:evenVBand="0" w:oddHBand="0" w:evenHBand="0" w:firstRowFirstColumn="0" w:firstRowLastColumn="0" w:lastRowFirstColumn="0" w:lastRowLastColumn="0"/>
            <w:tcW w:w="1262" w:type="pct"/>
            <w:vAlign w:val="center"/>
          </w:tcPr>
          <w:p w14:paraId="2576ED51" w14:textId="77777777" w:rsidR="008275A2" w:rsidRPr="008275A2" w:rsidRDefault="008275A2" w:rsidP="008275A2">
            <w:pPr>
              <w:contextualSpacing/>
              <w:jc w:val="center"/>
              <w:rPr>
                <w:rFonts w:ascii="Arial" w:hAnsi="Arial" w:cs="Arial"/>
                <w:bCs w:val="0"/>
                <w:sz w:val="20"/>
                <w:szCs w:val="20"/>
                <w:lang w:val="es-CR"/>
              </w:rPr>
            </w:pPr>
            <w:r w:rsidRPr="008275A2">
              <w:rPr>
                <w:rFonts w:ascii="Arial" w:hAnsi="Arial" w:cs="Arial"/>
                <w:sz w:val="20"/>
                <w:szCs w:val="20"/>
                <w:lang w:val="es-CR"/>
              </w:rPr>
              <w:t xml:space="preserve">Razones </w:t>
            </w:r>
            <w:r w:rsidRPr="008275A2">
              <w:rPr>
                <w:rFonts w:ascii="Arial" w:hAnsi="Arial" w:cs="Arial"/>
                <w:sz w:val="20"/>
                <w:szCs w:val="20"/>
                <w:vertAlign w:val="superscript"/>
                <w:lang w:val="es-CR"/>
              </w:rPr>
              <w:t>/3</w:t>
            </w:r>
          </w:p>
        </w:tc>
      </w:tr>
      <w:tr w:rsidR="008275A2" w:rsidRPr="008275A2" w14:paraId="69EBE7F9"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 w:type="pct"/>
          </w:tcPr>
          <w:p w14:paraId="323A6A13" w14:textId="7FDEDF00" w:rsidR="008275A2" w:rsidRPr="008275A2" w:rsidRDefault="008275A2" w:rsidP="00147EA1">
            <w:pPr>
              <w:spacing w:line="360" w:lineRule="auto"/>
              <w:contextualSpacing/>
              <w:jc w:val="center"/>
              <w:rPr>
                <w:rFonts w:ascii="Arial" w:hAnsi="Arial" w:cs="Arial"/>
                <w:b w:val="0"/>
                <w:bCs w:val="0"/>
                <w:sz w:val="20"/>
                <w:szCs w:val="20"/>
                <w:lang w:val="es-CR"/>
              </w:rPr>
            </w:pPr>
            <w:r w:rsidRPr="008275A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1341" w:type="pct"/>
          </w:tcPr>
          <w:p w14:paraId="06043678" w14:textId="44FE83EE" w:rsidR="008275A2" w:rsidRPr="008275A2" w:rsidRDefault="008275A2" w:rsidP="00147EA1">
            <w:pPr>
              <w:spacing w:line="360" w:lineRule="auto"/>
              <w:jc w:val="center"/>
              <w:rPr>
                <w:rFonts w:ascii="Arial" w:hAnsi="Arial" w:cs="Arial"/>
                <w:bCs/>
                <w:sz w:val="20"/>
                <w:szCs w:val="20"/>
                <w:lang w:val="es-CR"/>
              </w:rPr>
            </w:pPr>
            <w:r w:rsidRPr="008275A2">
              <w:rPr>
                <w:rFonts w:ascii="Arial" w:hAnsi="Arial" w:cs="Arial"/>
                <w:bCs/>
                <w:sz w:val="20"/>
                <w:szCs w:val="20"/>
                <w:lang w:val="es-CR"/>
              </w:rPr>
              <w:t>-</w:t>
            </w:r>
          </w:p>
        </w:tc>
        <w:tc>
          <w:tcPr>
            <w:tcW w:w="1634" w:type="pct"/>
          </w:tcPr>
          <w:p w14:paraId="6AAA4BB8" w14:textId="46E2F11F" w:rsidR="008275A2" w:rsidRPr="008275A2" w:rsidRDefault="008275A2" w:rsidP="00147EA1">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8275A2">
              <w:rPr>
                <w:rFonts w:ascii="Arial" w:hAnsi="Arial" w:cs="Arial"/>
                <w:bCs/>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1262" w:type="pct"/>
          </w:tcPr>
          <w:p w14:paraId="2227BF8A" w14:textId="661CF74C" w:rsidR="008275A2" w:rsidRPr="008275A2" w:rsidRDefault="008275A2" w:rsidP="00147EA1">
            <w:pPr>
              <w:spacing w:line="360" w:lineRule="auto"/>
              <w:contextualSpacing/>
              <w:jc w:val="center"/>
              <w:rPr>
                <w:rFonts w:ascii="Arial" w:hAnsi="Arial" w:cs="Arial"/>
                <w:bCs/>
                <w:sz w:val="20"/>
                <w:szCs w:val="20"/>
                <w:lang w:val="es-CR"/>
              </w:rPr>
            </w:pPr>
            <w:r w:rsidRPr="008275A2">
              <w:rPr>
                <w:rFonts w:ascii="Arial" w:hAnsi="Arial" w:cs="Arial"/>
                <w:bCs/>
                <w:sz w:val="20"/>
                <w:szCs w:val="20"/>
                <w:lang w:val="es-CR"/>
              </w:rPr>
              <w:t>-</w:t>
            </w:r>
          </w:p>
        </w:tc>
      </w:tr>
    </w:tbl>
    <w:p w14:paraId="76E64461" w14:textId="77777777" w:rsidR="008275A2" w:rsidRPr="008275A2" w:rsidRDefault="008275A2" w:rsidP="008275A2">
      <w:pPr>
        <w:jc w:val="both"/>
        <w:rPr>
          <w:rFonts w:ascii="Arial" w:eastAsiaTheme="minorEastAsia" w:hAnsi="Arial" w:cs="Arial"/>
          <w:b/>
          <w:sz w:val="16"/>
          <w:szCs w:val="16"/>
          <w:lang w:val="es-CR"/>
        </w:rPr>
      </w:pPr>
      <w:r w:rsidRPr="008275A2">
        <w:rPr>
          <w:rFonts w:ascii="Arial" w:eastAsiaTheme="minorEastAsia" w:hAnsi="Arial" w:cs="Arial"/>
          <w:b/>
          <w:sz w:val="16"/>
          <w:szCs w:val="16"/>
          <w:lang w:val="es-CR"/>
        </w:rPr>
        <w:t>Fuente</w:t>
      </w:r>
      <w:r w:rsidRPr="008275A2">
        <w:rPr>
          <w:rFonts w:ascii="Arial" w:eastAsiaTheme="minorEastAsia" w:hAnsi="Arial" w:cs="Arial"/>
          <w:sz w:val="16"/>
          <w:szCs w:val="16"/>
          <w:lang w:val="es-CR"/>
        </w:rPr>
        <w:t>: indicar fuente de la que se obtienen los datos</w:t>
      </w:r>
      <w:r w:rsidRPr="008275A2">
        <w:rPr>
          <w:rFonts w:ascii="Arial" w:eastAsiaTheme="minorEastAsia" w:hAnsi="Arial" w:cs="Arial"/>
          <w:b/>
          <w:sz w:val="16"/>
          <w:szCs w:val="16"/>
          <w:lang w:val="es-CR"/>
        </w:rPr>
        <w:t xml:space="preserve"> </w:t>
      </w:r>
    </w:p>
    <w:p w14:paraId="7ADA45E7" w14:textId="77777777" w:rsidR="008275A2" w:rsidRPr="008275A2" w:rsidRDefault="008275A2" w:rsidP="008275A2">
      <w:pPr>
        <w:jc w:val="both"/>
        <w:rPr>
          <w:rFonts w:ascii="Arial" w:eastAsiaTheme="minorEastAsia" w:hAnsi="Arial" w:cs="Arial"/>
          <w:sz w:val="16"/>
          <w:szCs w:val="16"/>
          <w:lang w:val="es-CR"/>
        </w:rPr>
      </w:pPr>
      <w:r w:rsidRPr="008275A2">
        <w:rPr>
          <w:rFonts w:ascii="Arial" w:eastAsiaTheme="minorEastAsia" w:hAnsi="Arial" w:cs="Arial"/>
          <w:sz w:val="16"/>
          <w:szCs w:val="16"/>
          <w:lang w:val="es-CR"/>
        </w:rPr>
        <w:t>/1 Indicar la descripción del factor (enunciado del factor, no número) señalado en el informe de seguimiento semestral.</w:t>
      </w:r>
    </w:p>
    <w:p w14:paraId="22B8BB1C" w14:textId="77777777" w:rsidR="008275A2" w:rsidRPr="008275A2" w:rsidRDefault="008275A2" w:rsidP="008275A2">
      <w:pPr>
        <w:jc w:val="both"/>
        <w:rPr>
          <w:rFonts w:ascii="Arial" w:eastAsiaTheme="minorEastAsia" w:hAnsi="Arial" w:cs="Arial"/>
          <w:sz w:val="16"/>
          <w:szCs w:val="16"/>
          <w:lang w:val="es-CR"/>
        </w:rPr>
      </w:pPr>
      <w:r w:rsidRPr="008275A2">
        <w:rPr>
          <w:rFonts w:ascii="Arial" w:eastAsiaTheme="minorEastAsia" w:hAnsi="Arial" w:cs="Arial"/>
          <w:sz w:val="16"/>
          <w:szCs w:val="16"/>
          <w:lang w:val="es-CR"/>
        </w:rPr>
        <w:t>/2 Se refieren a las acciones propuestas en el informe de seguimiento semestral.</w:t>
      </w:r>
    </w:p>
    <w:p w14:paraId="23EEF552" w14:textId="77777777" w:rsidR="008275A2" w:rsidRPr="008275A2" w:rsidRDefault="008275A2" w:rsidP="008275A2">
      <w:pPr>
        <w:jc w:val="both"/>
        <w:rPr>
          <w:rFonts w:ascii="Arial" w:eastAsiaTheme="minorEastAsia" w:hAnsi="Arial" w:cs="Arial"/>
          <w:sz w:val="16"/>
          <w:szCs w:val="16"/>
          <w:lang w:val="es-CR"/>
        </w:rPr>
      </w:pPr>
      <w:r w:rsidRPr="008275A2">
        <w:rPr>
          <w:rFonts w:ascii="Arial" w:eastAsiaTheme="minorEastAsia" w:hAnsi="Arial" w:cs="Arial"/>
          <w:sz w:val="16"/>
          <w:szCs w:val="16"/>
          <w:lang w:val="es-CR"/>
        </w:rPr>
        <w:t>/3</w:t>
      </w:r>
      <w:r w:rsidRPr="008275A2">
        <w:rPr>
          <w:rFonts w:ascii="Arial" w:eastAsiaTheme="minorEastAsia" w:hAnsi="Arial" w:cs="Arial"/>
          <w:b/>
          <w:sz w:val="16"/>
          <w:szCs w:val="16"/>
          <w:lang w:val="es-CR"/>
        </w:rPr>
        <w:t xml:space="preserve"> </w:t>
      </w:r>
      <w:r w:rsidRPr="008275A2">
        <w:rPr>
          <w:rFonts w:ascii="Arial" w:eastAsiaTheme="minorEastAsia" w:hAnsi="Arial" w:cs="Arial"/>
          <w:sz w:val="16"/>
          <w:szCs w:val="16"/>
          <w:lang w:val="es-CR"/>
        </w:rPr>
        <w:t>Se refieren a las razones por las cuales las acciones correctivas propuestas no fueron efectivas para alcanzar un nivel superior al 90,00% de ejecución.</w:t>
      </w:r>
    </w:p>
    <w:p w14:paraId="2145FD98" w14:textId="77777777" w:rsidR="008275A2" w:rsidRPr="008275A2" w:rsidRDefault="008275A2" w:rsidP="008275A2">
      <w:pPr>
        <w:jc w:val="both"/>
        <w:rPr>
          <w:rFonts w:ascii="Arial" w:eastAsiaTheme="minorEastAsia" w:hAnsi="Arial" w:cs="Arial"/>
          <w:bCs/>
          <w:sz w:val="16"/>
          <w:szCs w:val="16"/>
          <w:lang w:val="es-CR"/>
        </w:rPr>
      </w:pPr>
      <w:r w:rsidRPr="008275A2">
        <w:rPr>
          <w:rFonts w:ascii="Arial" w:eastAsiaTheme="minorEastAsia" w:hAnsi="Arial" w:cs="Arial"/>
          <w:sz w:val="16"/>
          <w:szCs w:val="16"/>
          <w:lang w:val="es-CR"/>
        </w:rPr>
        <w:t>.</w:t>
      </w:r>
    </w:p>
    <w:p w14:paraId="2FDDA087" w14:textId="77777777" w:rsidR="00D5434D" w:rsidRDefault="00D5434D" w:rsidP="008275A2">
      <w:pPr>
        <w:ind w:left="720"/>
        <w:jc w:val="center"/>
        <w:rPr>
          <w:rFonts w:ascii="Arial" w:eastAsiaTheme="minorEastAsia" w:hAnsi="Arial" w:cs="Arial"/>
          <w:b/>
          <w:sz w:val="20"/>
          <w:szCs w:val="20"/>
          <w:lang w:val="es-CR" w:eastAsia="es-CR"/>
        </w:rPr>
      </w:pPr>
    </w:p>
    <w:p w14:paraId="0B70637D" w14:textId="6FA2AE89" w:rsidR="00F849E4" w:rsidRPr="00AE3D7B" w:rsidRDefault="00F849E4" w:rsidP="00F849E4">
      <w:pPr>
        <w:pStyle w:val="Descripcin"/>
        <w:jc w:val="center"/>
        <w:rPr>
          <w:rFonts w:ascii="Arial" w:hAnsi="Arial" w:cs="Arial"/>
          <w:b/>
          <w:bCs/>
          <w:i w:val="0"/>
          <w:iCs w:val="0"/>
          <w:color w:val="auto"/>
          <w:sz w:val="20"/>
          <w:szCs w:val="20"/>
          <w:lang w:val="es-ES_tradnl"/>
        </w:rPr>
      </w:pPr>
      <w:r w:rsidRPr="00AE3D7B">
        <w:rPr>
          <w:rFonts w:ascii="Arial" w:hAnsi="Arial" w:cs="Arial"/>
          <w:b/>
          <w:bCs/>
          <w:i w:val="0"/>
          <w:iCs w:val="0"/>
          <w:color w:val="auto"/>
          <w:sz w:val="20"/>
          <w:szCs w:val="20"/>
        </w:rPr>
        <w:t xml:space="preserve">Cuadro  </w:t>
      </w:r>
      <w:r w:rsidRPr="00AE3D7B">
        <w:rPr>
          <w:rFonts w:ascii="Arial" w:hAnsi="Arial" w:cs="Arial"/>
          <w:b/>
          <w:bCs/>
          <w:i w:val="0"/>
          <w:iCs w:val="0"/>
          <w:color w:val="auto"/>
          <w:sz w:val="20"/>
          <w:szCs w:val="20"/>
        </w:rPr>
        <w:fldChar w:fldCharType="begin"/>
      </w:r>
      <w:r w:rsidRPr="00AE3D7B">
        <w:rPr>
          <w:rFonts w:ascii="Arial" w:hAnsi="Arial" w:cs="Arial"/>
          <w:b/>
          <w:bCs/>
          <w:i w:val="0"/>
          <w:iCs w:val="0"/>
          <w:color w:val="auto"/>
          <w:sz w:val="20"/>
          <w:szCs w:val="20"/>
        </w:rPr>
        <w:instrText xml:space="preserve"> SEQ cuadro_ \* ARABIC </w:instrText>
      </w:r>
      <w:r w:rsidRPr="00AE3D7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44</w:t>
      </w:r>
      <w:r w:rsidRPr="00AE3D7B">
        <w:rPr>
          <w:rFonts w:ascii="Arial" w:hAnsi="Arial" w:cs="Arial"/>
          <w:b/>
          <w:bCs/>
          <w:i w:val="0"/>
          <w:iCs w:val="0"/>
          <w:color w:val="auto"/>
          <w:sz w:val="20"/>
          <w:szCs w:val="20"/>
        </w:rPr>
        <w:fldChar w:fldCharType="end"/>
      </w:r>
    </w:p>
    <w:p w14:paraId="4F8D811A" w14:textId="71A56C1A" w:rsidR="008275A2" w:rsidRPr="008275A2" w:rsidRDefault="008275A2" w:rsidP="008275A2">
      <w:pPr>
        <w:ind w:left="720"/>
        <w:jc w:val="center"/>
        <w:rPr>
          <w:rFonts w:ascii="Arial" w:eastAsiaTheme="minorEastAsia" w:hAnsi="Arial" w:cs="Arial"/>
          <w:b/>
          <w:bCs/>
          <w:sz w:val="20"/>
          <w:szCs w:val="20"/>
          <w:lang w:val="es-CR" w:eastAsia="es-CR"/>
        </w:rPr>
      </w:pPr>
      <w:r w:rsidRPr="008275A2">
        <w:rPr>
          <w:rFonts w:ascii="Arial" w:eastAsiaTheme="minorEastAsia" w:hAnsi="Arial" w:cs="Arial"/>
          <w:b/>
          <w:sz w:val="20"/>
          <w:szCs w:val="20"/>
          <w:lang w:val="es-CR" w:eastAsia="es-CR"/>
        </w:rPr>
        <w:t>Indicadores.</w:t>
      </w:r>
      <w:r w:rsidRPr="008275A2">
        <w:rPr>
          <w:rFonts w:ascii="Arial" w:eastAsiaTheme="minorEastAsia" w:hAnsi="Arial" w:cs="Arial"/>
          <w:sz w:val="20"/>
          <w:szCs w:val="20"/>
          <w:lang w:val="es-CR" w:eastAsia="es-CR"/>
        </w:rPr>
        <w:t xml:space="preserve"> </w:t>
      </w:r>
      <w:r w:rsidRPr="008275A2">
        <w:rPr>
          <w:rFonts w:ascii="Arial" w:eastAsiaTheme="minorEastAsia" w:hAnsi="Arial" w:cs="Arial"/>
          <w:b/>
          <w:sz w:val="20"/>
          <w:szCs w:val="20"/>
          <w:lang w:val="es-CR" w:eastAsia="es-CR"/>
        </w:rPr>
        <w:t xml:space="preserve">Acciones correctivas y fechas de implementación </w:t>
      </w:r>
    </w:p>
    <w:p w14:paraId="640EE7A9" w14:textId="77777777" w:rsidR="00190FD6" w:rsidRPr="008275A2" w:rsidRDefault="00190FD6" w:rsidP="00190FD6">
      <w:pPr>
        <w:spacing w:before="240" w:after="160" w:line="360" w:lineRule="auto"/>
        <w:jc w:val="center"/>
        <w:rPr>
          <w:rFonts w:ascii="Arial" w:eastAsiaTheme="minorEastAsia" w:hAnsi="Arial" w:cs="Arial"/>
          <w:strike/>
          <w:sz w:val="20"/>
          <w:szCs w:val="20"/>
          <w:highlight w:val="cyan"/>
          <w:lang w:val="es-ES_tradnl"/>
        </w:rPr>
      </w:pPr>
      <w:r w:rsidRPr="008275A2">
        <w:rPr>
          <w:rFonts w:ascii="Arial" w:eastAsiaTheme="minorEastAsia" w:hAnsi="Arial" w:cs="Arial"/>
          <w:sz w:val="20"/>
          <w:szCs w:val="20"/>
          <w:lang w:val="es-ES_tradnl"/>
        </w:rPr>
        <w:t>Programa 950 Servicio de Atención y Protección a Víctimas y Testigos</w:t>
      </w:r>
    </w:p>
    <w:p w14:paraId="1C81EFCD" w14:textId="77777777" w:rsidR="008275A2" w:rsidRPr="008275A2" w:rsidRDefault="008275A2" w:rsidP="008275A2">
      <w:pPr>
        <w:jc w:val="center"/>
        <w:rPr>
          <w:rFonts w:ascii="Arial" w:eastAsiaTheme="minorEastAsia" w:hAnsi="Arial" w:cs="Arial"/>
          <w:sz w:val="20"/>
          <w:szCs w:val="20"/>
          <w:lang w:val="es-CR" w:eastAsia="es-CR"/>
        </w:rPr>
      </w:pPr>
      <w:r w:rsidRPr="008275A2">
        <w:rPr>
          <w:rFonts w:ascii="Arial" w:eastAsiaTheme="minorEastAsia" w:hAnsi="Arial" w:cs="Arial"/>
          <w:sz w:val="20"/>
          <w:szCs w:val="20"/>
          <w:lang w:val="es-CR" w:eastAsia="es-CR"/>
        </w:rPr>
        <w:t>Cumplimiento menor al 90,00%</w:t>
      </w:r>
    </w:p>
    <w:p w14:paraId="3FD95B80" w14:textId="77777777" w:rsidR="008275A2" w:rsidRPr="008275A2" w:rsidRDefault="008275A2" w:rsidP="008275A2">
      <w:pPr>
        <w:jc w:val="center"/>
        <w:rPr>
          <w:rFonts w:ascii="Arial" w:eastAsiaTheme="minorEastAsia" w:hAnsi="Arial" w:cs="Arial"/>
          <w:sz w:val="20"/>
          <w:szCs w:val="20"/>
          <w:lang w:val="es-CR" w:eastAsia="es-CR"/>
        </w:rPr>
      </w:pPr>
      <w:r w:rsidRPr="008275A2">
        <w:rPr>
          <w:rFonts w:ascii="Arial" w:eastAsiaTheme="minorEastAsia" w:hAnsi="Arial" w:cs="Arial"/>
          <w:sz w:val="20"/>
          <w:szCs w:val="20"/>
          <w:lang w:val="es-CR" w:eastAsia="es-CR"/>
        </w:rPr>
        <w:t>al 31 de diciembre 2021</w:t>
      </w:r>
    </w:p>
    <w:tbl>
      <w:tblPr>
        <w:tblStyle w:val="Listaclara-nfasis118"/>
        <w:tblW w:w="5000" w:type="pct"/>
        <w:tblLook w:val="00A0" w:firstRow="1" w:lastRow="0" w:firstColumn="1" w:lastColumn="0" w:noHBand="0" w:noVBand="0"/>
      </w:tblPr>
      <w:tblGrid>
        <w:gridCol w:w="1106"/>
        <w:gridCol w:w="1502"/>
        <w:gridCol w:w="1502"/>
        <w:gridCol w:w="1272"/>
        <w:gridCol w:w="1381"/>
        <w:gridCol w:w="1721"/>
      </w:tblGrid>
      <w:tr w:rsidR="008275A2" w:rsidRPr="008275A2" w14:paraId="55E61F76" w14:textId="77777777" w:rsidTr="00465D52">
        <w:trPr>
          <w:cnfStyle w:val="100000000000" w:firstRow="1" w:lastRow="0" w:firstColumn="0" w:lastColumn="0" w:oddVBand="0" w:evenVBand="0" w:oddHBand="0" w:evenHBand="0" w:firstRowFirstColumn="0" w:firstRowLastColumn="0" w:lastRowFirstColumn="0" w:lastRowLastColumn="0"/>
          <w:trHeight w:val="625"/>
          <w:tblHeader/>
        </w:trPr>
        <w:tc>
          <w:tcPr>
            <w:cnfStyle w:val="001000000000" w:firstRow="0" w:lastRow="0" w:firstColumn="1" w:lastColumn="0" w:oddVBand="0" w:evenVBand="0" w:oddHBand="0" w:evenHBand="0" w:firstRowFirstColumn="0" w:firstRowLastColumn="0" w:lastRowFirstColumn="0" w:lastRowLastColumn="0"/>
            <w:tcW w:w="658" w:type="pct"/>
            <w:vAlign w:val="center"/>
          </w:tcPr>
          <w:p w14:paraId="109807AF" w14:textId="77777777" w:rsidR="008275A2" w:rsidRPr="008275A2" w:rsidRDefault="008275A2" w:rsidP="008275A2">
            <w:pPr>
              <w:spacing w:line="360" w:lineRule="auto"/>
              <w:contextualSpacing/>
              <w:jc w:val="center"/>
              <w:rPr>
                <w:rFonts w:ascii="Arial" w:hAnsi="Arial" w:cs="Arial"/>
                <w:bCs w:val="0"/>
                <w:sz w:val="20"/>
                <w:szCs w:val="20"/>
                <w:lang w:val="es-CR"/>
              </w:rPr>
            </w:pPr>
            <w:r w:rsidRPr="008275A2">
              <w:rPr>
                <w:rFonts w:ascii="Arial" w:hAnsi="Arial" w:cs="Arial"/>
                <w:sz w:val="20"/>
                <w:szCs w:val="20"/>
                <w:lang w:val="es-CR"/>
              </w:rPr>
              <w:t>Nombre del Indicador</w:t>
            </w:r>
          </w:p>
        </w:tc>
        <w:tc>
          <w:tcPr>
            <w:cnfStyle w:val="000010000000" w:firstRow="0" w:lastRow="0" w:firstColumn="0" w:lastColumn="0" w:oddVBand="1" w:evenVBand="0" w:oddHBand="0" w:evenHBand="0" w:firstRowFirstColumn="0" w:firstRowLastColumn="0" w:lastRowFirstColumn="0" w:lastRowLastColumn="0"/>
            <w:tcW w:w="817" w:type="pct"/>
            <w:vAlign w:val="center"/>
          </w:tcPr>
          <w:p w14:paraId="336B714F" w14:textId="77777777" w:rsidR="008275A2" w:rsidRPr="008275A2" w:rsidRDefault="008275A2" w:rsidP="008275A2">
            <w:pPr>
              <w:spacing w:line="360" w:lineRule="auto"/>
              <w:contextualSpacing/>
              <w:jc w:val="center"/>
              <w:rPr>
                <w:rFonts w:ascii="Arial" w:hAnsi="Arial" w:cs="Arial"/>
                <w:sz w:val="20"/>
                <w:szCs w:val="20"/>
                <w:lang w:val="es-CR"/>
              </w:rPr>
            </w:pPr>
            <w:r w:rsidRPr="008275A2">
              <w:rPr>
                <w:rFonts w:ascii="Arial" w:hAnsi="Arial" w:cs="Arial"/>
                <w:sz w:val="20"/>
                <w:szCs w:val="20"/>
                <w:lang w:val="es-CR"/>
              </w:rPr>
              <w:t>Nivel de cumplimiento</w:t>
            </w:r>
          </w:p>
        </w:tc>
        <w:tc>
          <w:tcPr>
            <w:tcW w:w="880" w:type="pct"/>
            <w:vAlign w:val="center"/>
          </w:tcPr>
          <w:p w14:paraId="3BE6A809" w14:textId="77777777" w:rsidR="008275A2" w:rsidRPr="008275A2" w:rsidRDefault="008275A2" w:rsidP="008275A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8275A2">
              <w:rPr>
                <w:rFonts w:ascii="Arial" w:hAnsi="Arial" w:cs="Arial"/>
                <w:sz w:val="20"/>
                <w:szCs w:val="20"/>
                <w:lang w:val="es-CR"/>
              </w:rPr>
              <w:t>Factores que inciden en el cumplimiento</w:t>
            </w:r>
          </w:p>
        </w:tc>
        <w:tc>
          <w:tcPr>
            <w:cnfStyle w:val="000010000000" w:firstRow="0" w:lastRow="0" w:firstColumn="0" w:lastColumn="0" w:oddVBand="1" w:evenVBand="0" w:oddHBand="0" w:evenHBand="0" w:firstRowFirstColumn="0" w:firstRowLastColumn="0" w:lastRowFirstColumn="0" w:lastRowLastColumn="0"/>
            <w:tcW w:w="880" w:type="pct"/>
            <w:vAlign w:val="center"/>
          </w:tcPr>
          <w:p w14:paraId="1AC92DEC" w14:textId="77777777" w:rsidR="008275A2" w:rsidRPr="008275A2" w:rsidRDefault="008275A2" w:rsidP="008275A2">
            <w:pPr>
              <w:spacing w:line="360" w:lineRule="auto"/>
              <w:contextualSpacing/>
              <w:jc w:val="center"/>
              <w:rPr>
                <w:rFonts w:ascii="Arial" w:hAnsi="Arial" w:cs="Arial"/>
                <w:sz w:val="20"/>
                <w:szCs w:val="20"/>
                <w:lang w:val="es-CR"/>
              </w:rPr>
            </w:pPr>
            <w:r w:rsidRPr="008275A2">
              <w:rPr>
                <w:rFonts w:ascii="Arial" w:hAnsi="Arial" w:cs="Arial"/>
                <w:sz w:val="20"/>
                <w:szCs w:val="20"/>
                <w:lang w:val="es-CR"/>
              </w:rPr>
              <w:t xml:space="preserve">Acciones correctivas </w:t>
            </w:r>
            <w:r w:rsidRPr="008275A2">
              <w:rPr>
                <w:rFonts w:ascii="Arial" w:hAnsi="Arial" w:cs="Arial"/>
                <w:sz w:val="20"/>
                <w:szCs w:val="20"/>
                <w:vertAlign w:val="superscript"/>
                <w:lang w:val="es-CR"/>
              </w:rPr>
              <w:t>/1</w:t>
            </w:r>
          </w:p>
        </w:tc>
        <w:tc>
          <w:tcPr>
            <w:tcW w:w="829" w:type="pct"/>
          </w:tcPr>
          <w:p w14:paraId="32F3899B" w14:textId="77777777" w:rsidR="008275A2" w:rsidRPr="008275A2" w:rsidRDefault="008275A2" w:rsidP="008275A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R"/>
              </w:rPr>
            </w:pPr>
            <w:r w:rsidRPr="008275A2">
              <w:rPr>
                <w:rFonts w:ascii="Arial" w:hAnsi="Arial" w:cs="Arial"/>
                <w:sz w:val="20"/>
                <w:szCs w:val="20"/>
                <w:lang w:val="es-CR"/>
              </w:rPr>
              <w:t xml:space="preserve">Persona responsable de brindar la información </w:t>
            </w:r>
          </w:p>
        </w:tc>
        <w:tc>
          <w:tcPr>
            <w:cnfStyle w:val="000010000000" w:firstRow="0" w:lastRow="0" w:firstColumn="0" w:lastColumn="0" w:oddVBand="1" w:evenVBand="0" w:oddHBand="0" w:evenHBand="0" w:firstRowFirstColumn="0" w:firstRowLastColumn="0" w:lastRowFirstColumn="0" w:lastRowLastColumn="0"/>
            <w:tcW w:w="935" w:type="pct"/>
            <w:vAlign w:val="center"/>
          </w:tcPr>
          <w:p w14:paraId="43F2D51A" w14:textId="77777777" w:rsidR="008275A2" w:rsidRPr="008275A2" w:rsidRDefault="008275A2" w:rsidP="008275A2">
            <w:pPr>
              <w:spacing w:line="360" w:lineRule="auto"/>
              <w:contextualSpacing/>
              <w:jc w:val="center"/>
              <w:rPr>
                <w:rFonts w:ascii="Arial" w:hAnsi="Arial" w:cs="Arial"/>
                <w:bCs w:val="0"/>
                <w:sz w:val="20"/>
                <w:szCs w:val="20"/>
                <w:lang w:val="es-CR"/>
              </w:rPr>
            </w:pPr>
            <w:r w:rsidRPr="008275A2">
              <w:rPr>
                <w:rFonts w:ascii="Arial" w:hAnsi="Arial" w:cs="Arial"/>
                <w:sz w:val="20"/>
                <w:szCs w:val="20"/>
                <w:lang w:val="es-CR"/>
              </w:rPr>
              <w:t xml:space="preserve">Fecha de implementación </w:t>
            </w:r>
            <w:r w:rsidRPr="008275A2">
              <w:rPr>
                <w:rFonts w:ascii="Arial" w:hAnsi="Arial" w:cs="Arial"/>
                <w:sz w:val="20"/>
                <w:szCs w:val="20"/>
                <w:vertAlign w:val="superscript"/>
                <w:lang w:val="es-CR"/>
              </w:rPr>
              <w:t>/2</w:t>
            </w:r>
          </w:p>
        </w:tc>
      </w:tr>
      <w:tr w:rsidR="008275A2" w:rsidRPr="008275A2" w14:paraId="1628EB2F" w14:textId="77777777" w:rsidTr="00465D5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8" w:type="pct"/>
          </w:tcPr>
          <w:p w14:paraId="7851C39C" w14:textId="77777777" w:rsidR="008275A2" w:rsidRPr="008275A2" w:rsidRDefault="008275A2" w:rsidP="008275A2">
            <w:pPr>
              <w:spacing w:line="360" w:lineRule="auto"/>
              <w:contextualSpacing/>
              <w:jc w:val="both"/>
              <w:rPr>
                <w:rFonts w:ascii="Arial" w:hAnsi="Arial" w:cs="Arial"/>
                <w:b w:val="0"/>
                <w:bCs w:val="0"/>
                <w:sz w:val="20"/>
                <w:szCs w:val="20"/>
                <w:lang w:val="es-CR"/>
              </w:rPr>
            </w:pPr>
            <w:r w:rsidRPr="008275A2">
              <w:rPr>
                <w:rFonts w:ascii="Arial" w:hAnsi="Arial" w:cs="Arial"/>
                <w:b w:val="0"/>
                <w:bCs w:val="0"/>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17" w:type="pct"/>
          </w:tcPr>
          <w:p w14:paraId="73CA3E64" w14:textId="77777777" w:rsidR="008275A2" w:rsidRPr="008275A2" w:rsidRDefault="008275A2" w:rsidP="008275A2">
            <w:pPr>
              <w:spacing w:line="360" w:lineRule="auto"/>
              <w:rPr>
                <w:rFonts w:ascii="Arial" w:hAnsi="Arial" w:cs="Arial"/>
                <w:bCs/>
                <w:sz w:val="20"/>
                <w:szCs w:val="20"/>
                <w:lang w:val="es-CR"/>
              </w:rPr>
            </w:pPr>
            <w:r w:rsidRPr="008275A2">
              <w:rPr>
                <w:rFonts w:ascii="Arial" w:hAnsi="Arial" w:cs="Arial"/>
                <w:bCs/>
                <w:sz w:val="20"/>
                <w:szCs w:val="20"/>
                <w:lang w:val="es-CR"/>
              </w:rPr>
              <w:t>-</w:t>
            </w:r>
          </w:p>
        </w:tc>
        <w:tc>
          <w:tcPr>
            <w:tcW w:w="880" w:type="pct"/>
          </w:tcPr>
          <w:p w14:paraId="30C872F2" w14:textId="77777777" w:rsidR="008275A2" w:rsidRPr="008275A2" w:rsidRDefault="008275A2" w:rsidP="008275A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8275A2">
              <w:rPr>
                <w:rFonts w:ascii="Arial" w:hAnsi="Arial" w:cs="Arial"/>
                <w:bCs/>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880" w:type="pct"/>
          </w:tcPr>
          <w:p w14:paraId="14EE880E" w14:textId="77777777" w:rsidR="008275A2" w:rsidRPr="008275A2" w:rsidRDefault="008275A2" w:rsidP="008275A2">
            <w:pPr>
              <w:spacing w:line="360" w:lineRule="auto"/>
              <w:contextualSpacing/>
              <w:jc w:val="both"/>
              <w:rPr>
                <w:rFonts w:ascii="Arial" w:hAnsi="Arial" w:cs="Arial"/>
                <w:bCs/>
                <w:sz w:val="20"/>
                <w:szCs w:val="20"/>
                <w:lang w:val="es-CR"/>
              </w:rPr>
            </w:pPr>
            <w:r w:rsidRPr="008275A2">
              <w:rPr>
                <w:rFonts w:ascii="Arial" w:hAnsi="Arial" w:cs="Arial"/>
                <w:bCs/>
                <w:sz w:val="20"/>
                <w:szCs w:val="20"/>
                <w:lang w:val="es-CR"/>
              </w:rPr>
              <w:t>-</w:t>
            </w:r>
          </w:p>
        </w:tc>
        <w:tc>
          <w:tcPr>
            <w:tcW w:w="829" w:type="pct"/>
          </w:tcPr>
          <w:p w14:paraId="1DE64845" w14:textId="77777777" w:rsidR="008275A2" w:rsidRPr="008275A2" w:rsidRDefault="008275A2" w:rsidP="008275A2">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CR"/>
              </w:rPr>
            </w:pPr>
            <w:r w:rsidRPr="008275A2">
              <w:rPr>
                <w:rFonts w:ascii="Arial" w:hAnsi="Arial" w:cs="Arial"/>
                <w:bCs/>
                <w:sz w:val="20"/>
                <w:szCs w:val="20"/>
                <w:lang w:val="es-CR"/>
              </w:rPr>
              <w:t>-</w:t>
            </w:r>
          </w:p>
        </w:tc>
        <w:tc>
          <w:tcPr>
            <w:cnfStyle w:val="000010000000" w:firstRow="0" w:lastRow="0" w:firstColumn="0" w:lastColumn="0" w:oddVBand="1" w:evenVBand="0" w:oddHBand="0" w:evenHBand="0" w:firstRowFirstColumn="0" w:firstRowLastColumn="0" w:lastRowFirstColumn="0" w:lastRowLastColumn="0"/>
            <w:tcW w:w="935" w:type="pct"/>
          </w:tcPr>
          <w:p w14:paraId="266F47F9" w14:textId="77777777" w:rsidR="008275A2" w:rsidRPr="008275A2" w:rsidRDefault="008275A2" w:rsidP="008275A2">
            <w:pPr>
              <w:spacing w:line="360" w:lineRule="auto"/>
              <w:contextualSpacing/>
              <w:jc w:val="center"/>
              <w:rPr>
                <w:rFonts w:ascii="Arial" w:hAnsi="Arial" w:cs="Arial"/>
                <w:bCs/>
                <w:sz w:val="20"/>
                <w:szCs w:val="20"/>
                <w:lang w:val="es-CR"/>
              </w:rPr>
            </w:pPr>
            <w:r w:rsidRPr="008275A2">
              <w:rPr>
                <w:rFonts w:ascii="Arial" w:hAnsi="Arial" w:cs="Arial"/>
                <w:bCs/>
                <w:sz w:val="20"/>
                <w:szCs w:val="20"/>
                <w:lang w:val="es-CR"/>
              </w:rPr>
              <w:t>-</w:t>
            </w:r>
          </w:p>
        </w:tc>
      </w:tr>
    </w:tbl>
    <w:p w14:paraId="3AD327BE" w14:textId="77777777" w:rsidR="008275A2" w:rsidRPr="008275A2" w:rsidRDefault="008275A2" w:rsidP="008275A2">
      <w:pPr>
        <w:jc w:val="both"/>
        <w:rPr>
          <w:rFonts w:ascii="Arial" w:eastAsiaTheme="minorEastAsia" w:hAnsi="Arial" w:cs="Arial"/>
          <w:b/>
          <w:sz w:val="16"/>
          <w:szCs w:val="16"/>
          <w:lang w:val="es-CR"/>
        </w:rPr>
      </w:pPr>
      <w:r w:rsidRPr="008275A2">
        <w:rPr>
          <w:rFonts w:ascii="Arial" w:eastAsiaTheme="minorEastAsia" w:hAnsi="Arial" w:cs="Arial"/>
          <w:b/>
          <w:sz w:val="16"/>
          <w:szCs w:val="16"/>
          <w:lang w:val="es-CR"/>
        </w:rPr>
        <w:t xml:space="preserve">Fuente: </w:t>
      </w:r>
      <w:r w:rsidRPr="008275A2">
        <w:rPr>
          <w:rFonts w:ascii="Arial" w:eastAsiaTheme="minorEastAsia" w:hAnsi="Arial" w:cs="Arial"/>
          <w:sz w:val="16"/>
          <w:szCs w:val="16"/>
          <w:lang w:val="es-CR"/>
        </w:rPr>
        <w:t>indicar fuente</w:t>
      </w:r>
    </w:p>
    <w:p w14:paraId="51A86A4E" w14:textId="77777777" w:rsidR="008275A2" w:rsidRPr="008275A2" w:rsidRDefault="008275A2" w:rsidP="008275A2">
      <w:pPr>
        <w:jc w:val="both"/>
        <w:rPr>
          <w:rFonts w:ascii="Arial" w:eastAsiaTheme="minorEastAsia" w:hAnsi="Arial" w:cs="Arial"/>
          <w:sz w:val="16"/>
          <w:szCs w:val="20"/>
          <w:lang w:val="es-ES_tradnl"/>
        </w:rPr>
      </w:pPr>
      <w:r w:rsidRPr="008275A2">
        <w:rPr>
          <w:rFonts w:ascii="Arial" w:eastAsiaTheme="minorEastAsia" w:hAnsi="Arial" w:cs="Arial"/>
          <w:sz w:val="16"/>
          <w:szCs w:val="20"/>
          <w:lang w:val="es-ES_tradnl"/>
        </w:rPr>
        <w:t>/1 Se refiere a acciones que implementará el centro gestor en 2022 para subsanar los problemas de ejecución que se presentaron al 31/12/2021.</w:t>
      </w:r>
    </w:p>
    <w:p w14:paraId="45031AB6" w14:textId="77777777" w:rsidR="008275A2" w:rsidRPr="008275A2" w:rsidRDefault="008275A2" w:rsidP="008275A2">
      <w:pPr>
        <w:jc w:val="both"/>
        <w:rPr>
          <w:rFonts w:ascii="Arial" w:eastAsiaTheme="minorEastAsia" w:hAnsi="Arial" w:cs="Arial"/>
          <w:sz w:val="16"/>
          <w:szCs w:val="20"/>
          <w:lang w:val="es-ES_tradnl"/>
        </w:rPr>
      </w:pPr>
      <w:r w:rsidRPr="008275A2">
        <w:rPr>
          <w:rFonts w:ascii="Arial" w:eastAsiaTheme="minorEastAsia" w:hAnsi="Arial" w:cs="Arial"/>
          <w:sz w:val="16"/>
          <w:szCs w:val="20"/>
          <w:lang w:val="es-ES_tradnl"/>
        </w:rPr>
        <w:t>/2 Se refiere a la fecha en que las acciones correctivas empezarán a ser implementadas por el centro gestor.</w:t>
      </w:r>
    </w:p>
    <w:p w14:paraId="35AB67D1" w14:textId="77777777" w:rsidR="008275A2" w:rsidRPr="008275A2" w:rsidRDefault="008275A2" w:rsidP="008275A2">
      <w:pPr>
        <w:spacing w:line="360" w:lineRule="auto"/>
        <w:jc w:val="both"/>
        <w:rPr>
          <w:rFonts w:ascii="Arial" w:eastAsiaTheme="minorEastAsia" w:hAnsi="Arial" w:cs="Arial"/>
          <w:bCs/>
          <w:sz w:val="20"/>
          <w:szCs w:val="20"/>
        </w:rPr>
      </w:pPr>
    </w:p>
    <w:p w14:paraId="0BBA9006" w14:textId="77777777"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La aprobación de recursos económicos para el 2021 permitió al programa 950  el alcance de las metas  y objetivos programados, fue gracias a la labor del personal contratado en las diversas disciplinas de psicología, trabajo social, criminología, sociología, derecho, administración a los agentes de protección y personal de apoyo  que se logró la atención del 100% de solicitudes de atención que ingresaron, fue posible la  realización de visitas domiciliarias, la ejecución de sesiones de terapia, el desarrollo de asesorías legales y estudios de seguridad, acompañamiento a audiencias, juicios, la adquisición de bienes entre otros. Al igual que otros programas </w:t>
      </w:r>
      <w:r w:rsidRPr="008275A2">
        <w:rPr>
          <w:rFonts w:ascii="Arial" w:eastAsiaTheme="minorEastAsia" w:hAnsi="Arial" w:cs="Arial"/>
          <w:sz w:val="20"/>
          <w:szCs w:val="20"/>
        </w:rPr>
        <w:lastRenderedPageBreak/>
        <w:t xml:space="preserve">presupuestarios en el 950 el mayor consumo presupuestario se da en la partida de las remuneraciones la cual contempla el pago de salarios, horas extra entre otros, de acuerdo con la liquidación presupuestaria del Departamento de Financiero Contable y registros del Departamento de Gestión Humana en 2021 se cancelaron en dicha partida 8.848,26 millones de colones. </w:t>
      </w:r>
    </w:p>
    <w:p w14:paraId="0F33FA85" w14:textId="77777777" w:rsidR="008275A2" w:rsidRPr="008275A2" w:rsidRDefault="008275A2" w:rsidP="008275A2">
      <w:pPr>
        <w:spacing w:line="360" w:lineRule="auto"/>
        <w:jc w:val="both"/>
        <w:rPr>
          <w:rFonts w:ascii="Arial" w:eastAsiaTheme="minorEastAsia" w:hAnsi="Arial" w:cs="Arial"/>
          <w:sz w:val="20"/>
          <w:szCs w:val="20"/>
        </w:rPr>
      </w:pPr>
    </w:p>
    <w:p w14:paraId="581E669B" w14:textId="009EE60B"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Respecto la partida  uno de servicios  y la cual registra un devengado de 651,01 millones con una ejecución del 86,91% destaca el pago de contratos de arriendo de locales por 313,76 millones de colones,  la OAPVD no cuenta con inmuebles propios por lo que resulta necesario alquiler oficinas para brindar a las personas el servicio adecuado,  para el 2021 se mantuvieron alquiladora locales en las sedes regionales de Puntarenas, Cartago, Goicoechea, San Carlos, Ciudad Neily, Liberia y San José, asimismo se aportó un porcentaje para el pago de arriendos de las PISAV de Tres Ríos en Cartago, San Joaquín de Flores en Heredia, Siquirres, y Pavas. Dichos locales requirieron de pago de servicio de limpieza y seguridad que igualmente son gastos con carga a la partida uno por la suma de 92,60 millones, así como los servicios públicos en donde se cancelaron 69,81 millones de colones. En ayudas económicas, viáticos al personal en sub partidas 10501 y 10502 se tramitaron 103,69 millones de colones lo que permitió cubrir el hospedaje, alimentación alquiler, de las personas que se acogieron a la medida extraprocesal de reubicación. </w:t>
      </w:r>
    </w:p>
    <w:p w14:paraId="0C468982" w14:textId="32E43075"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Con la finalidad de contribuir a la medida extraprocesal de protección para salvaguardar la vida e integridad física de las personas que forman parte del programa de protección, se realizaron traslados de menaje con un costo de ¢10,66 millones con cargo a la subpartida 10304 “Transporte de bienes”.</w:t>
      </w:r>
    </w:p>
    <w:p w14:paraId="0915F2E2" w14:textId="77777777" w:rsidR="008275A2" w:rsidRPr="008275A2" w:rsidRDefault="008275A2" w:rsidP="008275A2">
      <w:pPr>
        <w:spacing w:line="360" w:lineRule="auto"/>
        <w:jc w:val="both"/>
        <w:rPr>
          <w:rFonts w:ascii="Arial" w:eastAsiaTheme="minorEastAsia" w:hAnsi="Arial" w:cs="Arial"/>
          <w:sz w:val="20"/>
          <w:szCs w:val="20"/>
        </w:rPr>
      </w:pPr>
    </w:p>
    <w:p w14:paraId="2A13737D" w14:textId="77777777"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En materiales y suministros se registra un pago de 136,70 millones de colones, dentro de los gastos  están 61,38 millones de colones que corresponden a combustible, actualmente el programa 950 maneja 33 vehículos en la OAPVD y  34 en la UPROV, dichas unidades permiten a los profesionales ejecutar las visitas domiciliarias pero además es  a través de estos medios de transporte que se moviliza a las personas usuarias a sitio seguro para salvaguardar su vida e integridad física, se trasladan a juicios, audiencias  y demás diligencias judiciales. Otro de los rubros sobresalientes dentro de los gastos de la partida 2 es el pago de repuestos dentro de lo que destaca repuestos para vehículos, aires acondicionado, mobiliario y equipo, en 2021 se cancelaron 14,50 millones en repuestos, mientras que en la subpartida 20203 “Alimentos y </w:t>
      </w:r>
      <w:r w:rsidRPr="008275A2">
        <w:rPr>
          <w:rFonts w:ascii="Arial" w:eastAsiaTheme="minorEastAsia" w:hAnsi="Arial" w:cs="Arial"/>
          <w:sz w:val="20"/>
          <w:szCs w:val="20"/>
        </w:rPr>
        <w:lastRenderedPageBreak/>
        <w:t>bebidas” se gestionaron víveres para víctimas y testigos lo que suma un total de 12,16 millones de colones.</w:t>
      </w:r>
    </w:p>
    <w:p w14:paraId="47423C68" w14:textId="77777777" w:rsidR="008275A2" w:rsidRPr="008275A2" w:rsidRDefault="008275A2" w:rsidP="008275A2">
      <w:pPr>
        <w:spacing w:line="360" w:lineRule="auto"/>
        <w:jc w:val="both"/>
        <w:rPr>
          <w:rFonts w:ascii="Arial" w:eastAsiaTheme="minorEastAsia" w:hAnsi="Arial" w:cs="Arial"/>
          <w:sz w:val="20"/>
          <w:szCs w:val="20"/>
        </w:rPr>
      </w:pPr>
    </w:p>
    <w:p w14:paraId="53142BE2" w14:textId="77777777" w:rsidR="008275A2" w:rsidRPr="008275A2" w:rsidRDefault="008275A2" w:rsidP="008275A2">
      <w:pPr>
        <w:spacing w:line="360" w:lineRule="auto"/>
        <w:jc w:val="both"/>
        <w:rPr>
          <w:rFonts w:ascii="Arial" w:eastAsiaTheme="minorEastAsia" w:hAnsi="Arial" w:cs="Arial"/>
          <w:sz w:val="20"/>
          <w:szCs w:val="20"/>
        </w:rPr>
      </w:pPr>
      <w:r w:rsidRPr="008275A2">
        <w:rPr>
          <w:rFonts w:ascii="Arial" w:eastAsiaTheme="minorEastAsia" w:hAnsi="Arial" w:cs="Arial"/>
          <w:sz w:val="20"/>
          <w:szCs w:val="20"/>
        </w:rPr>
        <w:t xml:space="preserve">Respecto bienes duraderos se dio la adquisición de mobiliario de oficinas, además se compraron plantillas eléctricas y ollas arroceras para utilizarlas en calidad d préstamos para las personas usuarias que se reubican para salvaguardar su vida e integridad física. Además, fue posible la adquisición de refrigeradoras para colocarla en las oficinas específicamente en las áreas de comedor. En la partida cinco en total se utilizaron 29,86 millones de colones. </w:t>
      </w:r>
    </w:p>
    <w:p w14:paraId="47E46F98" w14:textId="77777777" w:rsidR="008275A2" w:rsidRPr="008275A2" w:rsidRDefault="008275A2" w:rsidP="008275A2">
      <w:pPr>
        <w:spacing w:line="360" w:lineRule="auto"/>
        <w:jc w:val="both"/>
        <w:rPr>
          <w:rFonts w:ascii="Arial" w:eastAsiaTheme="minorEastAsia" w:hAnsi="Arial" w:cs="Arial"/>
          <w:sz w:val="20"/>
          <w:szCs w:val="20"/>
        </w:rPr>
      </w:pPr>
    </w:p>
    <w:p w14:paraId="15CF3442" w14:textId="13B06D8F" w:rsidR="00502A45" w:rsidRPr="003D4FC9" w:rsidRDefault="008275A2" w:rsidP="003D4FC9">
      <w:pPr>
        <w:spacing w:line="360" w:lineRule="auto"/>
        <w:jc w:val="both"/>
        <w:rPr>
          <w:rStyle w:val="Ttulodellibro"/>
          <w:rFonts w:eastAsiaTheme="minorEastAsia" w:cs="Arial"/>
          <w:b w:val="0"/>
          <w:bCs w:val="0"/>
          <w:smallCaps w:val="0"/>
          <w:spacing w:val="0"/>
          <w:sz w:val="20"/>
          <w:szCs w:val="20"/>
        </w:rPr>
      </w:pPr>
      <w:r w:rsidRPr="008275A2">
        <w:rPr>
          <w:rFonts w:ascii="Arial" w:eastAsiaTheme="minorEastAsia" w:hAnsi="Arial" w:cs="Arial"/>
          <w:sz w:val="20"/>
          <w:szCs w:val="20"/>
        </w:rPr>
        <w:t>En transferencias corrientes se pagaron 119,04 millones y en transferencias de capital 88,80 millones. Por su parte la UPROV hizo uso de ¢55,15 millones en gastos confidenciales.</w:t>
      </w:r>
    </w:p>
    <w:p w14:paraId="02E2F522" w14:textId="77777777" w:rsidR="00BB0FC1" w:rsidRPr="003D4FC9" w:rsidRDefault="00BB0FC1" w:rsidP="003D4FC9">
      <w:pPr>
        <w:pStyle w:val="Ttulo2"/>
        <w:keepLines/>
        <w:numPr>
          <w:ilvl w:val="0"/>
          <w:numId w:val="14"/>
        </w:numPr>
        <w:spacing w:before="360" w:line="259" w:lineRule="auto"/>
        <w:rPr>
          <w:rStyle w:val="Ttulodellibro"/>
          <w:rFonts w:eastAsiaTheme="majorEastAsia"/>
          <w:bCs/>
          <w:color w:val="002060"/>
          <w:sz w:val="28"/>
          <w:szCs w:val="28"/>
          <w:lang w:val="es-ES"/>
        </w:rPr>
      </w:pPr>
      <w:r w:rsidRPr="003D4FC9">
        <w:rPr>
          <w:rStyle w:val="Ttulodellibro"/>
          <w:rFonts w:eastAsiaTheme="majorEastAsia"/>
          <w:color w:val="002060"/>
          <w:sz w:val="28"/>
          <w:szCs w:val="28"/>
          <w:lang w:val="es-ES"/>
        </w:rPr>
        <w:t>Observaciones finales</w:t>
      </w:r>
    </w:p>
    <w:p w14:paraId="316F2736" w14:textId="77777777" w:rsidR="00502A45" w:rsidRDefault="00502A45" w:rsidP="003A02F6">
      <w:pPr>
        <w:rPr>
          <w:rFonts w:ascii="Arial" w:hAnsi="Arial" w:cs="Arial"/>
          <w:b/>
          <w:bCs/>
          <w:sz w:val="20"/>
          <w:szCs w:val="20"/>
          <w:lang w:val="es-MX"/>
        </w:rPr>
      </w:pPr>
    </w:p>
    <w:p w14:paraId="12FD0267" w14:textId="77777777" w:rsidR="00AC4A2E" w:rsidRPr="003D4FC9" w:rsidRDefault="00AC4A2E" w:rsidP="00AC4A2E">
      <w:pPr>
        <w:ind w:left="1276" w:right="1221"/>
        <w:rPr>
          <w:rFonts w:ascii="Arial" w:hAnsi="Arial" w:cs="Arial"/>
          <w:b/>
          <w:bCs/>
          <w:sz w:val="20"/>
          <w:szCs w:val="20"/>
          <w:highlight w:val="yellow"/>
          <w:lang w:val="es-MX"/>
        </w:rPr>
      </w:pPr>
    </w:p>
    <w:p w14:paraId="7F26581D" w14:textId="763CAD72" w:rsidR="00AC4A2E" w:rsidRPr="003D4FC9" w:rsidRDefault="00506682" w:rsidP="000C2156">
      <w:pPr>
        <w:spacing w:line="360" w:lineRule="auto"/>
        <w:jc w:val="both"/>
        <w:rPr>
          <w:rFonts w:ascii="Arial" w:eastAsiaTheme="minorEastAsia" w:hAnsi="Arial" w:cs="Arial"/>
          <w:sz w:val="20"/>
          <w:szCs w:val="20"/>
        </w:rPr>
      </w:pPr>
      <w:r w:rsidRPr="003D4FC9">
        <w:rPr>
          <w:rFonts w:ascii="Arial" w:eastAsiaTheme="minorEastAsia" w:hAnsi="Arial" w:cs="Arial"/>
          <w:sz w:val="20"/>
          <w:szCs w:val="20"/>
        </w:rPr>
        <w:t xml:space="preserve">La </w:t>
      </w:r>
      <w:r w:rsidR="00AC4A2E" w:rsidRPr="003D4FC9">
        <w:rPr>
          <w:rFonts w:ascii="Arial" w:eastAsiaTheme="minorEastAsia" w:hAnsi="Arial" w:cs="Arial"/>
          <w:sz w:val="20"/>
          <w:szCs w:val="20"/>
        </w:rPr>
        <w:t>Dirección General de Presupuesto Nacional</w:t>
      </w:r>
      <w:r w:rsidRPr="003D4FC9">
        <w:rPr>
          <w:rFonts w:ascii="Arial" w:eastAsiaTheme="minorEastAsia" w:hAnsi="Arial" w:cs="Arial"/>
          <w:sz w:val="20"/>
          <w:szCs w:val="20"/>
        </w:rPr>
        <w:t xml:space="preserve"> mediante circular</w:t>
      </w:r>
      <w:r w:rsidR="00AC4A2E" w:rsidRPr="003D4FC9">
        <w:rPr>
          <w:rFonts w:ascii="Arial" w:eastAsiaTheme="minorEastAsia" w:hAnsi="Arial" w:cs="Arial"/>
          <w:sz w:val="20"/>
          <w:szCs w:val="20"/>
        </w:rPr>
        <w:t xml:space="preserve"> DGPN-0005 del 2021 del 26 de febrero del 2021, suscrito por José Luis Araya Alpízar, </w:t>
      </w:r>
      <w:proofErr w:type="gramStart"/>
      <w:r w:rsidR="00AC4A2E" w:rsidRPr="003D4FC9">
        <w:rPr>
          <w:rFonts w:ascii="Arial" w:eastAsiaTheme="minorEastAsia" w:hAnsi="Arial" w:cs="Arial"/>
          <w:sz w:val="20"/>
          <w:szCs w:val="20"/>
        </w:rPr>
        <w:t>Subdirector</w:t>
      </w:r>
      <w:proofErr w:type="gramEnd"/>
      <w:r w:rsidR="00AC4A2E" w:rsidRPr="003D4FC9">
        <w:rPr>
          <w:rFonts w:ascii="Arial" w:eastAsiaTheme="minorEastAsia" w:hAnsi="Arial" w:cs="Arial"/>
          <w:sz w:val="20"/>
          <w:szCs w:val="20"/>
        </w:rPr>
        <w:t xml:space="preserve"> General,</w:t>
      </w:r>
      <w:r w:rsidRPr="003D4FC9">
        <w:rPr>
          <w:rFonts w:ascii="Arial" w:eastAsiaTheme="minorEastAsia" w:hAnsi="Arial" w:cs="Arial"/>
          <w:sz w:val="20"/>
          <w:szCs w:val="20"/>
        </w:rPr>
        <w:t xml:space="preserve"> </w:t>
      </w:r>
      <w:r w:rsidR="00AC4A2E" w:rsidRPr="003D4FC9">
        <w:rPr>
          <w:rFonts w:ascii="Arial" w:eastAsiaTheme="minorEastAsia" w:hAnsi="Arial" w:cs="Arial"/>
          <w:sz w:val="20"/>
          <w:szCs w:val="20"/>
        </w:rPr>
        <w:t>inform</w:t>
      </w:r>
      <w:r w:rsidRPr="003D4FC9">
        <w:rPr>
          <w:rFonts w:ascii="Arial" w:eastAsiaTheme="minorEastAsia" w:hAnsi="Arial" w:cs="Arial"/>
          <w:sz w:val="20"/>
          <w:szCs w:val="20"/>
        </w:rPr>
        <w:t>ó</w:t>
      </w:r>
      <w:r w:rsidR="00AC4A2E" w:rsidRPr="003D4FC9">
        <w:rPr>
          <w:rFonts w:ascii="Arial" w:eastAsiaTheme="minorEastAsia" w:hAnsi="Arial" w:cs="Arial"/>
          <w:sz w:val="20"/>
          <w:szCs w:val="20"/>
        </w:rPr>
        <w:t xml:space="preserve"> sobre el análisis realizado por </w:t>
      </w:r>
      <w:r w:rsidRPr="003D4FC9">
        <w:rPr>
          <w:rFonts w:ascii="Arial" w:eastAsiaTheme="minorEastAsia" w:hAnsi="Arial" w:cs="Arial"/>
          <w:sz w:val="20"/>
          <w:szCs w:val="20"/>
        </w:rPr>
        <w:t>esa</w:t>
      </w:r>
      <w:r w:rsidR="00AC4A2E" w:rsidRPr="003D4FC9">
        <w:rPr>
          <w:rFonts w:ascii="Arial" w:eastAsiaTheme="minorEastAsia" w:hAnsi="Arial" w:cs="Arial"/>
          <w:sz w:val="20"/>
          <w:szCs w:val="20"/>
        </w:rPr>
        <w:t xml:space="preserve"> Dirección y</w:t>
      </w:r>
      <w:r w:rsidRPr="003D4FC9">
        <w:rPr>
          <w:rFonts w:ascii="Arial" w:eastAsiaTheme="minorEastAsia" w:hAnsi="Arial" w:cs="Arial"/>
          <w:sz w:val="20"/>
          <w:szCs w:val="20"/>
        </w:rPr>
        <w:t xml:space="preserve"> emitió una serie de </w:t>
      </w:r>
      <w:r w:rsidR="00AC4A2E" w:rsidRPr="003D4FC9">
        <w:rPr>
          <w:rFonts w:ascii="Arial" w:eastAsiaTheme="minorEastAsia" w:hAnsi="Arial" w:cs="Arial"/>
          <w:sz w:val="20"/>
          <w:szCs w:val="20"/>
        </w:rPr>
        <w:t xml:space="preserve">recomendaciones </w:t>
      </w:r>
      <w:r w:rsidR="00BE5439" w:rsidRPr="003D4FC9">
        <w:rPr>
          <w:rFonts w:ascii="Arial" w:eastAsiaTheme="minorEastAsia" w:hAnsi="Arial" w:cs="Arial"/>
          <w:sz w:val="20"/>
          <w:szCs w:val="20"/>
        </w:rPr>
        <w:t xml:space="preserve">dirigidas a los programas institucionales, </w:t>
      </w:r>
      <w:r w:rsidRPr="003D4FC9">
        <w:rPr>
          <w:rFonts w:ascii="Arial" w:eastAsiaTheme="minorEastAsia" w:hAnsi="Arial" w:cs="Arial"/>
          <w:sz w:val="20"/>
          <w:szCs w:val="20"/>
        </w:rPr>
        <w:t xml:space="preserve">en relación con </w:t>
      </w:r>
      <w:r w:rsidR="00BE5439" w:rsidRPr="003D4FC9">
        <w:rPr>
          <w:rFonts w:ascii="Arial" w:eastAsiaTheme="minorEastAsia" w:hAnsi="Arial" w:cs="Arial"/>
          <w:sz w:val="20"/>
          <w:szCs w:val="20"/>
        </w:rPr>
        <w:t xml:space="preserve">los resultados alcanzados durante la ejecución presupuestaria del </w:t>
      </w:r>
      <w:r w:rsidR="00AC4A2E" w:rsidRPr="003D4FC9">
        <w:rPr>
          <w:rFonts w:ascii="Arial" w:eastAsiaTheme="minorEastAsia" w:hAnsi="Arial" w:cs="Arial"/>
          <w:sz w:val="20"/>
          <w:szCs w:val="20"/>
        </w:rPr>
        <w:t>2020.</w:t>
      </w:r>
    </w:p>
    <w:p w14:paraId="7D0F4D36" w14:textId="648D6B0C" w:rsidR="00AC4A2E" w:rsidRPr="003D4FC9" w:rsidRDefault="00AC4A2E" w:rsidP="00AC4A2E">
      <w:pPr>
        <w:spacing w:line="360" w:lineRule="auto"/>
        <w:jc w:val="both"/>
        <w:rPr>
          <w:rFonts w:ascii="Arial" w:hAnsi="Arial" w:cs="Arial"/>
          <w:bCs/>
          <w:sz w:val="20"/>
          <w:szCs w:val="20"/>
        </w:rPr>
      </w:pPr>
    </w:p>
    <w:p w14:paraId="2050A98A" w14:textId="35D7CC00" w:rsidR="00BE5439" w:rsidRPr="003D4FC9" w:rsidRDefault="00BE5439" w:rsidP="00AC4A2E">
      <w:pPr>
        <w:spacing w:line="360" w:lineRule="auto"/>
        <w:jc w:val="both"/>
        <w:rPr>
          <w:rFonts w:ascii="Arial" w:eastAsiaTheme="minorEastAsia" w:hAnsi="Arial" w:cs="Arial"/>
          <w:sz w:val="20"/>
          <w:szCs w:val="20"/>
        </w:rPr>
      </w:pPr>
      <w:r w:rsidRPr="003D4FC9">
        <w:rPr>
          <w:rFonts w:ascii="Arial" w:eastAsiaTheme="minorEastAsia" w:hAnsi="Arial" w:cs="Arial"/>
          <w:sz w:val="20"/>
          <w:szCs w:val="20"/>
        </w:rPr>
        <w:t xml:space="preserve">Para el caso del Organismo de Investigación Judicial indicó: </w:t>
      </w:r>
    </w:p>
    <w:p w14:paraId="4F121A69" w14:textId="77777777" w:rsidR="00AC4A2E" w:rsidRPr="003D4FC9" w:rsidRDefault="00AC4A2E" w:rsidP="00AC4A2E">
      <w:pPr>
        <w:spacing w:line="360" w:lineRule="auto"/>
        <w:jc w:val="both"/>
        <w:rPr>
          <w:rFonts w:ascii="Arial" w:hAnsi="Arial" w:cs="Arial"/>
          <w:bCs/>
          <w:sz w:val="20"/>
          <w:szCs w:val="20"/>
        </w:rPr>
      </w:pPr>
    </w:p>
    <w:p w14:paraId="048C097C" w14:textId="2DD05849" w:rsidR="00AC4A2E" w:rsidRPr="003D4FC9" w:rsidRDefault="00BE5439" w:rsidP="00AC4A2E">
      <w:pPr>
        <w:spacing w:line="360" w:lineRule="auto"/>
        <w:jc w:val="both"/>
        <w:rPr>
          <w:rFonts w:ascii="Arial" w:hAnsi="Arial" w:cs="Arial"/>
          <w:bCs/>
          <w:sz w:val="20"/>
          <w:szCs w:val="20"/>
        </w:rPr>
      </w:pPr>
      <w:r w:rsidRPr="003D4FC9">
        <w:rPr>
          <w:rFonts w:ascii="Arial" w:hAnsi="Arial" w:cs="Arial"/>
          <w:bCs/>
          <w:sz w:val="20"/>
          <w:szCs w:val="20"/>
        </w:rPr>
        <w:t xml:space="preserve">“(…) </w:t>
      </w:r>
    </w:p>
    <w:p w14:paraId="4C19EF09" w14:textId="77777777" w:rsidR="00AC4A2E" w:rsidRPr="003D4FC9" w:rsidRDefault="00AC4A2E" w:rsidP="00AC4A2E">
      <w:pPr>
        <w:spacing w:line="360" w:lineRule="auto"/>
        <w:ind w:left="993" w:right="937"/>
        <w:jc w:val="both"/>
        <w:rPr>
          <w:rFonts w:ascii="Arial" w:hAnsi="Arial" w:cs="Arial"/>
          <w:bCs/>
          <w:i/>
          <w:iCs/>
          <w:sz w:val="20"/>
          <w:szCs w:val="20"/>
        </w:rPr>
      </w:pPr>
      <w:r w:rsidRPr="003D4FC9">
        <w:rPr>
          <w:rFonts w:ascii="Arial" w:hAnsi="Arial" w:cs="Arial"/>
          <w:bCs/>
          <w:i/>
          <w:iCs/>
          <w:sz w:val="20"/>
          <w:szCs w:val="20"/>
        </w:rPr>
        <w:t xml:space="preserve">No obstante, en el Programa “Servicio de investigación judicial”, se presentó una ejecución baja en el rubro de Bienes duraderos, mismo que representó un 58,86%. Al respecto, se indica por parte de la institución que, los bienes duraderos como equipos y edificios presentaron aspectos de contratación administrativa que retrasaron los procesos, además el proyecto de la Morgue trae consigo equipamiento que, por extenderse el proyecto, no se pudo adquirir para no afectar la garantía de los bienes y otros que por su especificación técnica no se logró ejecutar en el año; asimismo, los vehículos que se tenían en trámite no ingresaron en su totalidad. Estos procedimientos representaban alrededor del 40% del presupuesto. Por lo anterior se hace énfasis en la recomendación emitida </w:t>
      </w:r>
      <w:r w:rsidRPr="003D4FC9">
        <w:rPr>
          <w:rFonts w:ascii="Arial" w:hAnsi="Arial" w:cs="Arial"/>
          <w:bCs/>
          <w:i/>
          <w:iCs/>
          <w:sz w:val="20"/>
          <w:szCs w:val="20"/>
        </w:rPr>
        <w:lastRenderedPageBreak/>
        <w:t>en dicho programa, en cuanto a la necesidad de brindar el seguimiento requerido a las licitaciones que se inician y en caso de verificar que por factores externos o internos alguna línea no se pueda adquirir, tratar de redireccionar los recursos a otras necesidades institucionales.</w:t>
      </w:r>
    </w:p>
    <w:p w14:paraId="19F409EF" w14:textId="77777777" w:rsidR="00AC4A2E" w:rsidRPr="003D4FC9" w:rsidRDefault="00AC4A2E" w:rsidP="00AC4A2E">
      <w:pPr>
        <w:pStyle w:val="Textoindependiente"/>
        <w:spacing w:before="92" w:line="360" w:lineRule="auto"/>
        <w:jc w:val="both"/>
        <w:rPr>
          <w:rFonts w:ascii="Arial" w:hAnsi="Arial" w:cs="Arial"/>
          <w:sz w:val="20"/>
          <w:szCs w:val="20"/>
        </w:rPr>
      </w:pPr>
    </w:p>
    <w:p w14:paraId="422DCB40" w14:textId="22975155" w:rsidR="00AC4A2E" w:rsidRPr="003D4FC9" w:rsidRDefault="004B6A40" w:rsidP="00AC4A2E">
      <w:pPr>
        <w:pStyle w:val="Textoindependiente"/>
        <w:spacing w:before="92" w:line="360" w:lineRule="auto"/>
        <w:jc w:val="both"/>
        <w:rPr>
          <w:rFonts w:ascii="Arial" w:hAnsi="Arial" w:cs="Arial"/>
          <w:sz w:val="20"/>
          <w:szCs w:val="20"/>
        </w:rPr>
      </w:pPr>
      <w:r w:rsidRPr="003D4FC9">
        <w:rPr>
          <w:rFonts w:ascii="Arial" w:hAnsi="Arial" w:cs="Arial"/>
          <w:sz w:val="20"/>
          <w:szCs w:val="20"/>
        </w:rPr>
        <w:t xml:space="preserve">Al respecto, es importante reiterar que como parte de este informe de evaluación anual 2021, el O.I.J. señaló </w:t>
      </w:r>
      <w:r w:rsidR="00035FF7" w:rsidRPr="003D4FC9">
        <w:rPr>
          <w:rFonts w:ascii="Arial" w:hAnsi="Arial" w:cs="Arial"/>
          <w:sz w:val="20"/>
          <w:szCs w:val="20"/>
        </w:rPr>
        <w:t xml:space="preserve">que </w:t>
      </w:r>
      <w:r w:rsidR="00AC4A2E" w:rsidRPr="003D4FC9">
        <w:rPr>
          <w:rFonts w:ascii="Arial" w:hAnsi="Arial" w:cs="Arial"/>
          <w:sz w:val="20"/>
          <w:szCs w:val="20"/>
        </w:rPr>
        <w:t>la partida 5 de Bienes Duraderos representa un 70,40% de ejecución para el 2021, valor que el año 2020 fue de 58,86%.</w:t>
      </w:r>
    </w:p>
    <w:p w14:paraId="11788498" w14:textId="77777777" w:rsidR="00CA0ABE" w:rsidRPr="003D4FC9" w:rsidRDefault="00CA0ABE" w:rsidP="00F921CF">
      <w:pPr>
        <w:pStyle w:val="Textoindependiente"/>
        <w:spacing w:before="92" w:line="360" w:lineRule="auto"/>
        <w:jc w:val="both"/>
        <w:rPr>
          <w:rFonts w:ascii="Arial" w:hAnsi="Arial" w:cs="Arial"/>
          <w:sz w:val="20"/>
          <w:szCs w:val="20"/>
        </w:rPr>
      </w:pPr>
    </w:p>
    <w:p w14:paraId="71DB1D48" w14:textId="52D35BE0" w:rsidR="00AC4A2E" w:rsidRPr="003D4FC9" w:rsidRDefault="00035FF7" w:rsidP="00F921CF">
      <w:pPr>
        <w:pStyle w:val="Textoindependiente"/>
        <w:spacing w:before="92" w:line="360" w:lineRule="auto"/>
        <w:jc w:val="both"/>
        <w:rPr>
          <w:rFonts w:ascii="Arial" w:hAnsi="Arial" w:cs="Arial"/>
          <w:sz w:val="20"/>
          <w:szCs w:val="20"/>
        </w:rPr>
      </w:pPr>
      <w:r w:rsidRPr="003D4FC9">
        <w:rPr>
          <w:rFonts w:ascii="Arial" w:hAnsi="Arial" w:cs="Arial"/>
          <w:sz w:val="20"/>
          <w:szCs w:val="20"/>
        </w:rPr>
        <w:t xml:space="preserve">En este sentido, tal como se señala en el </w:t>
      </w:r>
      <w:r w:rsidR="00B43172" w:rsidRPr="003D4FC9">
        <w:rPr>
          <w:rFonts w:ascii="Arial" w:hAnsi="Arial" w:cs="Arial"/>
          <w:sz w:val="20"/>
          <w:szCs w:val="20"/>
        </w:rPr>
        <w:t xml:space="preserve">cuadro 16 del apartado </w:t>
      </w:r>
      <w:r w:rsidR="00B43172" w:rsidRPr="003D4FC9">
        <w:rPr>
          <w:rFonts w:ascii="Arial" w:hAnsi="Arial" w:cs="Arial"/>
          <w:b/>
          <w:bCs/>
          <w:i/>
          <w:iCs/>
          <w:sz w:val="20"/>
          <w:szCs w:val="20"/>
        </w:rPr>
        <w:t>2.6 Factores y acciones correctivas de la ejecución financiera</w:t>
      </w:r>
      <w:r w:rsidR="0095438E" w:rsidRPr="003D4FC9">
        <w:rPr>
          <w:rFonts w:ascii="Arial" w:hAnsi="Arial" w:cs="Arial"/>
          <w:sz w:val="20"/>
          <w:szCs w:val="20"/>
        </w:rPr>
        <w:t xml:space="preserve">, </w:t>
      </w:r>
      <w:r w:rsidR="00385D4E" w:rsidRPr="003D4FC9">
        <w:rPr>
          <w:rFonts w:ascii="Arial" w:hAnsi="Arial" w:cs="Arial"/>
          <w:sz w:val="20"/>
          <w:szCs w:val="20"/>
        </w:rPr>
        <w:t xml:space="preserve">se incluyen las acciones correctivas realizadas por el Programa en el 2021. A su vez, </w:t>
      </w:r>
      <w:r w:rsidR="00F921CF" w:rsidRPr="003D4FC9">
        <w:rPr>
          <w:rFonts w:ascii="Arial" w:hAnsi="Arial" w:cs="Arial"/>
          <w:sz w:val="20"/>
          <w:szCs w:val="20"/>
        </w:rPr>
        <w:t xml:space="preserve">el O.I.J. </w:t>
      </w:r>
      <w:r w:rsidR="00E34FB9" w:rsidRPr="003D4FC9">
        <w:rPr>
          <w:rFonts w:ascii="Arial" w:hAnsi="Arial" w:cs="Arial"/>
          <w:sz w:val="20"/>
          <w:szCs w:val="20"/>
        </w:rPr>
        <w:t xml:space="preserve">señala que </w:t>
      </w:r>
      <w:r w:rsidR="00F921CF" w:rsidRPr="003D4FC9">
        <w:rPr>
          <w:rFonts w:ascii="Arial" w:hAnsi="Arial" w:cs="Arial"/>
          <w:sz w:val="20"/>
          <w:szCs w:val="20"/>
        </w:rPr>
        <w:t>n</w:t>
      </w:r>
      <w:r w:rsidR="00AC4A2E" w:rsidRPr="003D4FC9">
        <w:rPr>
          <w:rFonts w:ascii="Arial" w:hAnsi="Arial" w:cs="Arial"/>
          <w:sz w:val="20"/>
          <w:szCs w:val="20"/>
        </w:rPr>
        <w:t>ormalmente los proyectos constructivos son de alto impacto lo que ocasiona que se presenten diferentes factores que pueden atrasarlo, como por ejemplo recursos de apelación, temas de permisos de construcción, que pueden afectar los tiempos.  Es importante rescatar que en su mayoría se tratan de iniciar un año antes, sin embargo, los períodos de ley son extensos a nivel de licitaciones.</w:t>
      </w:r>
    </w:p>
    <w:p w14:paraId="1C0CA4C5" w14:textId="77777777" w:rsidR="00CA0ABE" w:rsidRPr="003D4FC9" w:rsidRDefault="00CA0ABE" w:rsidP="00AC4A2E">
      <w:pPr>
        <w:pStyle w:val="Textoindependiente"/>
        <w:spacing w:before="92" w:line="360" w:lineRule="auto"/>
        <w:jc w:val="both"/>
        <w:rPr>
          <w:rFonts w:ascii="Arial" w:hAnsi="Arial" w:cs="Arial"/>
          <w:sz w:val="20"/>
          <w:szCs w:val="20"/>
        </w:rPr>
      </w:pPr>
    </w:p>
    <w:p w14:paraId="7DFF347C" w14:textId="08EA3555" w:rsidR="00AC4A2E" w:rsidRPr="003D4FC9" w:rsidRDefault="00F921CF" w:rsidP="00AC4A2E">
      <w:pPr>
        <w:pStyle w:val="Textoindependiente"/>
        <w:spacing w:before="92" w:line="360" w:lineRule="auto"/>
        <w:jc w:val="both"/>
        <w:rPr>
          <w:rFonts w:ascii="Arial" w:hAnsi="Arial" w:cs="Arial"/>
          <w:sz w:val="20"/>
          <w:szCs w:val="20"/>
        </w:rPr>
      </w:pPr>
      <w:r w:rsidRPr="003D4FC9">
        <w:rPr>
          <w:rFonts w:ascii="Arial" w:hAnsi="Arial" w:cs="Arial"/>
          <w:sz w:val="20"/>
          <w:szCs w:val="20"/>
        </w:rPr>
        <w:t>En línea con lo anterior, c</w:t>
      </w:r>
      <w:r w:rsidR="00AC4A2E" w:rsidRPr="003D4FC9">
        <w:rPr>
          <w:rFonts w:ascii="Arial" w:hAnsi="Arial" w:cs="Arial"/>
          <w:sz w:val="20"/>
          <w:szCs w:val="20"/>
        </w:rPr>
        <w:t xml:space="preserve">omo acciones correctivas </w:t>
      </w:r>
      <w:r w:rsidR="00E34FB9" w:rsidRPr="003D4FC9">
        <w:rPr>
          <w:rFonts w:ascii="Arial" w:hAnsi="Arial" w:cs="Arial"/>
          <w:sz w:val="20"/>
          <w:szCs w:val="20"/>
        </w:rPr>
        <w:t xml:space="preserve">para este 2022, </w:t>
      </w:r>
      <w:r w:rsidR="00AC4A2E" w:rsidRPr="003D4FC9">
        <w:rPr>
          <w:rFonts w:ascii="Arial" w:hAnsi="Arial" w:cs="Arial"/>
          <w:sz w:val="20"/>
          <w:szCs w:val="20"/>
        </w:rPr>
        <w:t xml:space="preserve">el OIJ manifiesta que se identificarán aquellas líneas con montos presupuestarios elevados para enviar la compra en el </w:t>
      </w:r>
      <w:r w:rsidR="00E34FB9" w:rsidRPr="003D4FC9">
        <w:rPr>
          <w:rFonts w:ascii="Arial" w:hAnsi="Arial" w:cs="Arial"/>
          <w:sz w:val="20"/>
          <w:szCs w:val="20"/>
        </w:rPr>
        <w:t xml:space="preserve">primer </w:t>
      </w:r>
      <w:r w:rsidR="00AC4A2E" w:rsidRPr="003D4FC9">
        <w:rPr>
          <w:rFonts w:ascii="Arial" w:hAnsi="Arial" w:cs="Arial"/>
          <w:sz w:val="20"/>
          <w:szCs w:val="20"/>
        </w:rPr>
        <w:t xml:space="preserve">trimestre </w:t>
      </w:r>
      <w:r w:rsidR="00E34FB9" w:rsidRPr="003D4FC9">
        <w:rPr>
          <w:rFonts w:ascii="Arial" w:hAnsi="Arial" w:cs="Arial"/>
          <w:sz w:val="20"/>
          <w:szCs w:val="20"/>
        </w:rPr>
        <w:t>del año</w:t>
      </w:r>
      <w:r w:rsidR="00AC4A2E" w:rsidRPr="003D4FC9">
        <w:rPr>
          <w:rFonts w:ascii="Arial" w:hAnsi="Arial" w:cs="Arial"/>
          <w:sz w:val="20"/>
          <w:szCs w:val="20"/>
        </w:rPr>
        <w:t xml:space="preserve">, se estará dando seguimiento a los proyectos de construcción en conjunto con </w:t>
      </w:r>
      <w:r w:rsidRPr="003D4FC9">
        <w:rPr>
          <w:rFonts w:ascii="Arial" w:hAnsi="Arial" w:cs="Arial"/>
          <w:sz w:val="20"/>
          <w:szCs w:val="20"/>
        </w:rPr>
        <w:t xml:space="preserve">el Departamento de </w:t>
      </w:r>
      <w:r w:rsidR="00AC4A2E" w:rsidRPr="003D4FC9">
        <w:rPr>
          <w:rFonts w:ascii="Arial" w:hAnsi="Arial" w:cs="Arial"/>
          <w:sz w:val="20"/>
          <w:szCs w:val="20"/>
        </w:rPr>
        <w:t>Servicios Generales para verificar avances, se estarán enviando recordatorios a las diferentes oficinas para que agilicen trámites de compras y se identificarán cuales líneas no van a ser requeridas para redirección de recursos</w:t>
      </w:r>
      <w:r w:rsidRPr="003D4FC9">
        <w:rPr>
          <w:rFonts w:ascii="Arial" w:hAnsi="Arial" w:cs="Arial"/>
          <w:sz w:val="20"/>
          <w:szCs w:val="20"/>
        </w:rPr>
        <w:t>.</w:t>
      </w:r>
    </w:p>
    <w:p w14:paraId="7D668A78" w14:textId="5A6B0D19" w:rsidR="00D94353" w:rsidRPr="003D4FC9" w:rsidRDefault="00D94353" w:rsidP="00262D3C">
      <w:pPr>
        <w:pStyle w:val="Textoindependiente"/>
        <w:spacing w:before="92" w:line="360" w:lineRule="auto"/>
        <w:jc w:val="both"/>
        <w:rPr>
          <w:rFonts w:ascii="Arial" w:hAnsi="Arial" w:cs="Arial"/>
          <w:sz w:val="20"/>
          <w:szCs w:val="20"/>
        </w:rPr>
      </w:pPr>
      <w:r w:rsidRPr="003D4FC9">
        <w:rPr>
          <w:rFonts w:ascii="Arial" w:hAnsi="Arial" w:cs="Arial"/>
          <w:sz w:val="20"/>
          <w:szCs w:val="20"/>
        </w:rPr>
        <w:t>Por su parte, para el caso del Ministerio Público</w:t>
      </w:r>
      <w:r w:rsidR="00E34FB9" w:rsidRPr="003D4FC9">
        <w:rPr>
          <w:rFonts w:ascii="Arial" w:hAnsi="Arial" w:cs="Arial"/>
          <w:sz w:val="20"/>
          <w:szCs w:val="20"/>
        </w:rPr>
        <w:t>, la Dirección General de Presupuesto Nacional en su circular DGPN-0005 recomendó</w:t>
      </w:r>
      <w:r w:rsidRPr="003D4FC9">
        <w:rPr>
          <w:rFonts w:ascii="Arial" w:hAnsi="Arial" w:cs="Arial"/>
          <w:sz w:val="20"/>
          <w:szCs w:val="20"/>
        </w:rPr>
        <w:t>:</w:t>
      </w:r>
    </w:p>
    <w:p w14:paraId="4DB1DE46" w14:textId="5FC312A0" w:rsidR="00D94353" w:rsidRPr="003D4FC9" w:rsidRDefault="00D94353" w:rsidP="00AC4A2E">
      <w:pPr>
        <w:pStyle w:val="NormalWeb"/>
        <w:rPr>
          <w:rFonts w:ascii="Arial" w:hAnsi="Arial" w:cs="Arial"/>
          <w:sz w:val="20"/>
          <w:szCs w:val="20"/>
        </w:rPr>
      </w:pPr>
      <w:r w:rsidRPr="003D4FC9">
        <w:rPr>
          <w:rFonts w:ascii="Arial" w:hAnsi="Arial" w:cs="Arial"/>
          <w:sz w:val="20"/>
          <w:szCs w:val="20"/>
        </w:rPr>
        <w:t xml:space="preserve">“(…) </w:t>
      </w:r>
    </w:p>
    <w:p w14:paraId="482C611A" w14:textId="77777777" w:rsidR="00AC4A2E" w:rsidRPr="003D4FC9" w:rsidRDefault="00AC4A2E" w:rsidP="00AC4A2E">
      <w:pPr>
        <w:spacing w:line="360" w:lineRule="auto"/>
        <w:ind w:left="993" w:right="937"/>
        <w:jc w:val="both"/>
        <w:rPr>
          <w:rFonts w:ascii="Arial" w:hAnsi="Arial" w:cs="Arial"/>
          <w:bCs/>
          <w:i/>
          <w:iCs/>
          <w:sz w:val="20"/>
          <w:szCs w:val="20"/>
        </w:rPr>
      </w:pPr>
      <w:r w:rsidRPr="003D4FC9">
        <w:rPr>
          <w:rFonts w:ascii="Arial" w:hAnsi="Arial" w:cs="Arial"/>
          <w:bCs/>
          <w:i/>
          <w:iCs/>
          <w:sz w:val="20"/>
          <w:szCs w:val="20"/>
        </w:rPr>
        <w:t xml:space="preserve">En línea con lo anterior, conforme se desprende del informe remitido por el Poder Judicial, con la finalidad de contribuir a mejorar la ejecución institucional, es importante, recomendar se realicen las proyecciones necesarias de compras y solicitudes de criterios técnicos en el primer trimestre, de manera que se pueda iniciar con los procesos de contratación </w:t>
      </w:r>
      <w:r w:rsidRPr="003D4FC9">
        <w:rPr>
          <w:rFonts w:ascii="Arial" w:hAnsi="Arial" w:cs="Arial"/>
          <w:bCs/>
          <w:i/>
          <w:iCs/>
          <w:sz w:val="20"/>
          <w:szCs w:val="20"/>
        </w:rPr>
        <w:lastRenderedPageBreak/>
        <w:t>administrativa y así evitar retrasos en la recepción de bienes y el pago de facturas; esto se plasmó entre las acciones correctivas señalas en el programa “Servicio ejercicio de la acción penal pública”.</w:t>
      </w:r>
    </w:p>
    <w:p w14:paraId="6995F29E" w14:textId="77777777" w:rsidR="00AC4A2E" w:rsidRPr="003D4FC9" w:rsidRDefault="00AC4A2E" w:rsidP="00AC4A2E">
      <w:pPr>
        <w:spacing w:line="360" w:lineRule="auto"/>
        <w:ind w:left="993" w:right="937"/>
        <w:jc w:val="both"/>
        <w:rPr>
          <w:rFonts w:ascii="Arial" w:hAnsi="Arial" w:cs="Arial"/>
          <w:bCs/>
          <w:i/>
          <w:iCs/>
          <w:sz w:val="20"/>
          <w:szCs w:val="20"/>
        </w:rPr>
      </w:pPr>
    </w:p>
    <w:p w14:paraId="38897EE0" w14:textId="77777777" w:rsidR="00AC4A2E" w:rsidRPr="003D4FC9" w:rsidRDefault="00AC4A2E" w:rsidP="00AC4A2E">
      <w:pPr>
        <w:spacing w:line="360" w:lineRule="auto"/>
        <w:ind w:left="993" w:right="937"/>
        <w:jc w:val="both"/>
        <w:rPr>
          <w:rFonts w:ascii="Arial" w:hAnsi="Arial" w:cs="Arial"/>
          <w:bCs/>
          <w:i/>
          <w:iCs/>
          <w:sz w:val="20"/>
          <w:szCs w:val="20"/>
        </w:rPr>
      </w:pPr>
    </w:p>
    <w:p w14:paraId="0DD52B4C" w14:textId="4BC56FD9" w:rsidR="00B2290E" w:rsidRDefault="00D94353" w:rsidP="006B7BB9">
      <w:pPr>
        <w:pStyle w:val="Textoindependiente"/>
        <w:spacing w:before="92" w:line="360" w:lineRule="auto"/>
        <w:jc w:val="both"/>
        <w:rPr>
          <w:rFonts w:ascii="Arial" w:hAnsi="Arial" w:cs="Arial"/>
          <w:sz w:val="20"/>
          <w:szCs w:val="20"/>
        </w:rPr>
      </w:pPr>
      <w:r w:rsidRPr="003D4FC9">
        <w:rPr>
          <w:rFonts w:ascii="Arial" w:hAnsi="Arial" w:cs="Arial"/>
          <w:sz w:val="20"/>
          <w:szCs w:val="20"/>
        </w:rPr>
        <w:t xml:space="preserve">Al respecto, </w:t>
      </w:r>
      <w:r w:rsidR="00F468A7" w:rsidRPr="003D4FC9">
        <w:rPr>
          <w:rFonts w:ascii="Arial" w:hAnsi="Arial" w:cs="Arial"/>
          <w:sz w:val="20"/>
          <w:szCs w:val="20"/>
        </w:rPr>
        <w:t xml:space="preserve">es dable señalar que el Ministerio Público en este informe </w:t>
      </w:r>
      <w:r w:rsidR="00CA0ABE" w:rsidRPr="003D4FC9">
        <w:rPr>
          <w:rFonts w:ascii="Arial" w:hAnsi="Arial" w:cs="Arial"/>
          <w:sz w:val="20"/>
          <w:szCs w:val="20"/>
        </w:rPr>
        <w:t xml:space="preserve">y en </w:t>
      </w:r>
      <w:r w:rsidR="00486B3C" w:rsidRPr="003D4FC9">
        <w:rPr>
          <w:rFonts w:ascii="Arial" w:hAnsi="Arial" w:cs="Arial"/>
          <w:sz w:val="20"/>
          <w:szCs w:val="20"/>
        </w:rPr>
        <w:t xml:space="preserve">el apartado </w:t>
      </w:r>
      <w:r w:rsidR="006B7BB9" w:rsidRPr="003D4FC9">
        <w:rPr>
          <w:rFonts w:ascii="Arial" w:hAnsi="Arial" w:cs="Arial"/>
          <w:sz w:val="20"/>
          <w:szCs w:val="20"/>
        </w:rPr>
        <w:t>“</w:t>
      </w:r>
      <w:r w:rsidR="00D12134" w:rsidRPr="003D4FC9">
        <w:rPr>
          <w:rFonts w:ascii="Arial" w:hAnsi="Arial" w:cs="Arial"/>
          <w:b/>
          <w:bCs/>
          <w:i/>
          <w:iCs/>
          <w:sz w:val="20"/>
          <w:szCs w:val="20"/>
        </w:rPr>
        <w:t xml:space="preserve">2.8 </w:t>
      </w:r>
      <w:r w:rsidR="00486B3C" w:rsidRPr="003D4FC9">
        <w:rPr>
          <w:rFonts w:ascii="Arial" w:hAnsi="Arial" w:cs="Arial"/>
          <w:b/>
          <w:bCs/>
          <w:i/>
          <w:iCs/>
          <w:sz w:val="20"/>
          <w:szCs w:val="20"/>
        </w:rPr>
        <w:t>Factores y acciones correctivas de la ejecución financiera</w:t>
      </w:r>
      <w:r w:rsidR="006B7BB9" w:rsidRPr="003D4FC9">
        <w:rPr>
          <w:rFonts w:ascii="Arial" w:hAnsi="Arial" w:cs="Arial"/>
          <w:b/>
          <w:bCs/>
          <w:i/>
          <w:iCs/>
          <w:sz w:val="20"/>
          <w:szCs w:val="20"/>
        </w:rPr>
        <w:t>”</w:t>
      </w:r>
      <w:r w:rsidR="00D12134" w:rsidRPr="003D4FC9">
        <w:rPr>
          <w:rFonts w:ascii="Arial" w:hAnsi="Arial" w:cs="Arial"/>
          <w:sz w:val="20"/>
          <w:szCs w:val="20"/>
        </w:rPr>
        <w:t xml:space="preserve">, señaló una serie de acciones </w:t>
      </w:r>
      <w:r w:rsidR="00CA0ABE" w:rsidRPr="003D4FC9">
        <w:rPr>
          <w:rFonts w:ascii="Arial" w:hAnsi="Arial" w:cs="Arial"/>
          <w:sz w:val="20"/>
          <w:szCs w:val="20"/>
        </w:rPr>
        <w:t xml:space="preserve">correctivas </w:t>
      </w:r>
      <w:r w:rsidR="00D12134" w:rsidRPr="003D4FC9">
        <w:rPr>
          <w:rFonts w:ascii="Arial" w:hAnsi="Arial" w:cs="Arial"/>
          <w:sz w:val="20"/>
          <w:szCs w:val="20"/>
        </w:rPr>
        <w:t xml:space="preserve">ejecutadas durante el 2021, así como que para el 2022 </w:t>
      </w:r>
      <w:r w:rsidR="00AC4A2E" w:rsidRPr="003D4FC9">
        <w:rPr>
          <w:rFonts w:ascii="Arial" w:hAnsi="Arial" w:cs="Arial"/>
          <w:sz w:val="20"/>
          <w:szCs w:val="20"/>
        </w:rPr>
        <w:t>realizará una proyección de compras y solicitudes de criterios técnicos en el primer trimestre, de manera que se pueda iniciar con los procesos de contratación administrativa y así evitar retrasos en la recepción de bienes y el pago de facturas, como parte de los compromisos del Ministerio Público.</w:t>
      </w:r>
    </w:p>
    <w:p w14:paraId="7060B976" w14:textId="77777777" w:rsidR="00B2290E" w:rsidRDefault="00B2290E">
      <w:pPr>
        <w:rPr>
          <w:rFonts w:ascii="Arial" w:hAnsi="Arial" w:cs="Arial"/>
          <w:sz w:val="20"/>
          <w:szCs w:val="20"/>
        </w:rPr>
      </w:pPr>
      <w:r>
        <w:rPr>
          <w:rFonts w:ascii="Arial" w:hAnsi="Arial" w:cs="Arial"/>
          <w:sz w:val="20"/>
          <w:szCs w:val="20"/>
        </w:rPr>
        <w:br w:type="page"/>
      </w:r>
    </w:p>
    <w:p w14:paraId="6EE8ECF3" w14:textId="44E6BC17" w:rsidR="00997EAC" w:rsidRPr="005A2272" w:rsidRDefault="00997EAC" w:rsidP="00997EAC">
      <w:pPr>
        <w:pStyle w:val="Ttulo2"/>
        <w:keepLines/>
        <w:numPr>
          <w:ilvl w:val="0"/>
          <w:numId w:val="14"/>
        </w:numPr>
        <w:spacing w:before="360" w:line="259" w:lineRule="auto"/>
        <w:rPr>
          <w:rStyle w:val="Ttulodellibro"/>
          <w:rFonts w:eastAsiaTheme="majorEastAsia" w:cs="Arial"/>
          <w:b/>
          <w:smallCaps w:val="0"/>
          <w:color w:val="002060"/>
          <w:sz w:val="28"/>
          <w:szCs w:val="28"/>
          <w:lang w:val="es-ES"/>
        </w:rPr>
      </w:pPr>
      <w:bookmarkStart w:id="67" w:name="_Toc93420492"/>
      <w:r w:rsidRPr="005A2272">
        <w:rPr>
          <w:rStyle w:val="Ttulodellibro"/>
          <w:rFonts w:eastAsiaTheme="majorEastAsia" w:cs="Arial"/>
          <w:b/>
          <w:smallCaps w:val="0"/>
          <w:color w:val="002060"/>
          <w:sz w:val="28"/>
          <w:szCs w:val="28"/>
          <w:lang w:val="es-ES"/>
        </w:rPr>
        <w:lastRenderedPageBreak/>
        <w:t>An</w:t>
      </w:r>
      <w:r w:rsidR="00712954">
        <w:rPr>
          <w:rStyle w:val="Ttulodellibro"/>
          <w:rFonts w:eastAsiaTheme="majorEastAsia" w:cs="Arial"/>
          <w:b/>
          <w:smallCaps w:val="0"/>
          <w:color w:val="002060"/>
          <w:sz w:val="28"/>
          <w:szCs w:val="28"/>
          <w:lang w:val="es-ES"/>
        </w:rPr>
        <w:t>exos</w:t>
      </w:r>
      <w:bookmarkEnd w:id="67"/>
      <w:r w:rsidR="00712954">
        <w:rPr>
          <w:rStyle w:val="Ttulodellibro"/>
          <w:rFonts w:eastAsiaTheme="majorEastAsia" w:cs="Arial"/>
          <w:b/>
          <w:smallCaps w:val="0"/>
          <w:color w:val="002060"/>
          <w:sz w:val="28"/>
          <w:szCs w:val="28"/>
          <w:lang w:val="es-ES"/>
        </w:rPr>
        <w:t xml:space="preserve"> </w:t>
      </w:r>
    </w:p>
    <w:p w14:paraId="46AC7454" w14:textId="77777777" w:rsidR="00502A45" w:rsidRDefault="00502A45" w:rsidP="003A02F6">
      <w:pPr>
        <w:rPr>
          <w:rFonts w:ascii="Arial" w:hAnsi="Arial" w:cs="Arial"/>
          <w:b/>
          <w:bCs/>
          <w:sz w:val="20"/>
          <w:szCs w:val="20"/>
          <w:lang w:val="es-MX"/>
        </w:rPr>
      </w:pPr>
    </w:p>
    <w:p w14:paraId="1595D223" w14:textId="77777777" w:rsidR="00502A45" w:rsidRDefault="00502A45" w:rsidP="003A02F6">
      <w:pPr>
        <w:rPr>
          <w:rFonts w:ascii="Arial" w:hAnsi="Arial" w:cs="Arial"/>
          <w:b/>
          <w:bCs/>
          <w:sz w:val="20"/>
          <w:szCs w:val="20"/>
          <w:lang w:val="es-MX"/>
        </w:rPr>
      </w:pPr>
    </w:p>
    <w:p w14:paraId="5A1F33B8" w14:textId="77777777" w:rsidR="00502A45" w:rsidRDefault="00502A45" w:rsidP="003A02F6">
      <w:pPr>
        <w:rPr>
          <w:rFonts w:ascii="Arial" w:hAnsi="Arial" w:cs="Arial"/>
          <w:b/>
          <w:bCs/>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tblGrid>
      <w:tr w:rsidR="00502A45" w:rsidRPr="00DA79A8" w14:paraId="39C9CBE8" w14:textId="77777777" w:rsidTr="00465D52">
        <w:trPr>
          <w:trHeight w:val="542"/>
          <w:jc w:val="center"/>
        </w:trPr>
        <w:tc>
          <w:tcPr>
            <w:tcW w:w="3256" w:type="dxa"/>
            <w:shd w:val="clear" w:color="auto" w:fill="BFBFBF" w:themeFill="background1" w:themeFillShade="BF"/>
            <w:vAlign w:val="center"/>
          </w:tcPr>
          <w:p w14:paraId="07D5868C" w14:textId="77777777" w:rsidR="00502A45" w:rsidRPr="00CC7D56" w:rsidRDefault="00502A45" w:rsidP="00465D52">
            <w:pPr>
              <w:jc w:val="center"/>
              <w:rPr>
                <w:rFonts w:ascii="Arial" w:hAnsi="Arial" w:cs="Arial"/>
                <w:b/>
                <w:bCs/>
                <w:sz w:val="22"/>
                <w:szCs w:val="22"/>
              </w:rPr>
            </w:pPr>
            <w:r w:rsidRPr="00CC7D56">
              <w:rPr>
                <w:rFonts w:ascii="Arial" w:hAnsi="Arial" w:cs="Arial"/>
                <w:b/>
                <w:bCs/>
                <w:sz w:val="22"/>
                <w:szCs w:val="22"/>
              </w:rPr>
              <w:t>Programa Presupuestario</w:t>
            </w:r>
          </w:p>
        </w:tc>
        <w:tc>
          <w:tcPr>
            <w:tcW w:w="2976" w:type="dxa"/>
            <w:shd w:val="clear" w:color="auto" w:fill="BFBFBF" w:themeFill="background1" w:themeFillShade="BF"/>
            <w:vAlign w:val="center"/>
          </w:tcPr>
          <w:p w14:paraId="259755F8" w14:textId="77777777" w:rsidR="00502A45" w:rsidRPr="00CC7D56" w:rsidRDefault="00502A45" w:rsidP="00465D52">
            <w:pPr>
              <w:jc w:val="center"/>
              <w:rPr>
                <w:rFonts w:ascii="Arial" w:hAnsi="Arial" w:cs="Arial"/>
                <w:b/>
                <w:bCs/>
                <w:sz w:val="22"/>
                <w:szCs w:val="22"/>
              </w:rPr>
            </w:pPr>
            <w:r>
              <w:rPr>
                <w:rFonts w:ascii="Arial" w:hAnsi="Arial" w:cs="Arial"/>
                <w:b/>
                <w:bCs/>
                <w:sz w:val="22"/>
                <w:szCs w:val="22"/>
              </w:rPr>
              <w:t xml:space="preserve">Anexos </w:t>
            </w:r>
          </w:p>
        </w:tc>
      </w:tr>
      <w:tr w:rsidR="00502A45" w:rsidRPr="00DA79A8" w14:paraId="60CB6193" w14:textId="77777777" w:rsidTr="00465D52">
        <w:trPr>
          <w:jc w:val="center"/>
        </w:trPr>
        <w:tc>
          <w:tcPr>
            <w:tcW w:w="3256" w:type="dxa"/>
            <w:vAlign w:val="center"/>
          </w:tcPr>
          <w:p w14:paraId="0DA061B2"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926- Dirección y Administración</w:t>
            </w:r>
          </w:p>
        </w:tc>
        <w:tc>
          <w:tcPr>
            <w:tcW w:w="2976" w:type="dxa"/>
            <w:vAlign w:val="center"/>
          </w:tcPr>
          <w:p w14:paraId="5CD0980B" w14:textId="77777777" w:rsidR="00502A45" w:rsidRDefault="00502A45" w:rsidP="00BE5AA1">
            <w:pPr>
              <w:pStyle w:val="Prrafodelista"/>
              <w:numPr>
                <w:ilvl w:val="0"/>
                <w:numId w:val="28"/>
              </w:numPr>
              <w:jc w:val="center"/>
              <w:rPr>
                <w:rFonts w:ascii="Book Antiqua" w:hAnsi="Book Antiqua" w:cs="Arial"/>
              </w:rPr>
            </w:pPr>
          </w:p>
          <w:p w14:paraId="4965C88B" w14:textId="6C3B4354" w:rsidR="00502A45" w:rsidRPr="00FF10BE" w:rsidRDefault="004B030F" w:rsidP="00465D52">
            <w:pPr>
              <w:pStyle w:val="Prrafodelista"/>
              <w:ind w:left="720"/>
              <w:rPr>
                <w:rFonts w:ascii="Book Antiqua" w:hAnsi="Book Antiqua" w:cs="Arial"/>
              </w:rPr>
            </w:pPr>
            <w:r>
              <w:object w:dxaOrig="1376" w:dyaOrig="899" w14:anchorId="2EDC29DB">
                <v:shape id="_x0000_i1026" type="#_x0000_t75" style="width:69.95pt;height:45.25pt" o:ole="">
                  <v:imagedata r:id="rId11" o:title=""/>
                </v:shape>
                <o:OLEObject Type="Embed" ProgID="Acrobat.Document.DC" ShapeID="_x0000_i1026" DrawAspect="Icon" ObjectID="_1704196148" r:id="rId12"/>
              </w:object>
            </w:r>
          </w:p>
        </w:tc>
      </w:tr>
      <w:tr w:rsidR="00502A45" w:rsidRPr="00DA79A8" w14:paraId="5E137621" w14:textId="77777777" w:rsidTr="00465D52">
        <w:trPr>
          <w:jc w:val="center"/>
        </w:trPr>
        <w:tc>
          <w:tcPr>
            <w:tcW w:w="3256" w:type="dxa"/>
            <w:vAlign w:val="center"/>
          </w:tcPr>
          <w:p w14:paraId="756B1F83"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927 -Servicio Jurisdiccional (Apartado Financiero)</w:t>
            </w:r>
          </w:p>
        </w:tc>
        <w:tc>
          <w:tcPr>
            <w:tcW w:w="2976" w:type="dxa"/>
            <w:vAlign w:val="center"/>
          </w:tcPr>
          <w:p w14:paraId="29A4E000" w14:textId="77777777" w:rsidR="00502A45" w:rsidRDefault="00502A45" w:rsidP="00465D52">
            <w:pPr>
              <w:jc w:val="center"/>
              <w:rPr>
                <w:rFonts w:ascii="Book Antiqua" w:hAnsi="Book Antiqua" w:cs="Arial"/>
              </w:rPr>
            </w:pPr>
            <w:r>
              <w:rPr>
                <w:rFonts w:ascii="Book Antiqua" w:hAnsi="Book Antiqua" w:cs="Arial"/>
              </w:rPr>
              <w:t>2.</w:t>
            </w:r>
          </w:p>
          <w:p w14:paraId="353219C5" w14:textId="39C5B128" w:rsidR="00502A45" w:rsidRPr="00DA79A8" w:rsidRDefault="004B030F" w:rsidP="00465D52">
            <w:pPr>
              <w:jc w:val="center"/>
              <w:rPr>
                <w:rFonts w:ascii="Book Antiqua" w:hAnsi="Book Antiqua" w:cs="Arial"/>
              </w:rPr>
            </w:pPr>
            <w:r>
              <w:rPr>
                <w:rFonts w:ascii="Book Antiqua" w:hAnsi="Book Antiqua" w:cs="Arial"/>
              </w:rPr>
              <w:object w:dxaOrig="1376" w:dyaOrig="899" w14:anchorId="4F3E8C93">
                <v:shape id="_x0000_i1027" type="#_x0000_t75" style="width:69.95pt;height:45.25pt" o:ole="">
                  <v:imagedata r:id="rId13" o:title=""/>
                </v:shape>
                <o:OLEObject Type="Embed" ProgID="Acrobat.Document.DC" ShapeID="_x0000_i1027" DrawAspect="Icon" ObjectID="_1704196149" r:id="rId14"/>
              </w:object>
            </w:r>
          </w:p>
        </w:tc>
      </w:tr>
      <w:tr w:rsidR="00502A45" w:rsidRPr="00DA79A8" w14:paraId="5B7F8917" w14:textId="77777777" w:rsidTr="00465D52">
        <w:trPr>
          <w:jc w:val="center"/>
        </w:trPr>
        <w:tc>
          <w:tcPr>
            <w:tcW w:w="3256" w:type="dxa"/>
            <w:vAlign w:val="center"/>
          </w:tcPr>
          <w:p w14:paraId="2BA7A87B"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927 - Servicio Jurisdiccional (Apartado de gestión)</w:t>
            </w:r>
          </w:p>
        </w:tc>
        <w:tc>
          <w:tcPr>
            <w:tcW w:w="2976" w:type="dxa"/>
            <w:vAlign w:val="center"/>
          </w:tcPr>
          <w:p w14:paraId="59F73E04" w14:textId="77777777" w:rsidR="00502A45" w:rsidRDefault="00502A45" w:rsidP="00465D52">
            <w:pPr>
              <w:jc w:val="center"/>
              <w:rPr>
                <w:rFonts w:ascii="Book Antiqua" w:hAnsi="Book Antiqua" w:cs="Arial"/>
              </w:rPr>
            </w:pPr>
            <w:r>
              <w:rPr>
                <w:rFonts w:ascii="Book Antiqua" w:hAnsi="Book Antiqua" w:cs="Arial"/>
              </w:rPr>
              <w:t>3.</w:t>
            </w:r>
          </w:p>
          <w:p w14:paraId="7D12F64B" w14:textId="1B2B266E" w:rsidR="00502A45" w:rsidRPr="00B75F02" w:rsidRDefault="004B030F" w:rsidP="00465D52">
            <w:pPr>
              <w:jc w:val="center"/>
              <w:rPr>
                <w:rFonts w:ascii="Book Antiqua" w:hAnsi="Book Antiqua" w:cs="Arial"/>
                <w:highlight w:val="yellow"/>
              </w:rPr>
            </w:pPr>
            <w:r>
              <w:rPr>
                <w:rFonts w:ascii="Book Antiqua" w:hAnsi="Book Antiqua" w:cs="Arial"/>
              </w:rPr>
              <w:object w:dxaOrig="1376" w:dyaOrig="899" w14:anchorId="2DA3D153">
                <v:shape id="_x0000_i1028" type="#_x0000_t75" style="width:69.95pt;height:45.25pt" o:ole="">
                  <v:imagedata r:id="rId15" o:title=""/>
                </v:shape>
                <o:OLEObject Type="Embed" ProgID="Acrobat.Document.DC" ShapeID="_x0000_i1028" DrawAspect="Icon" ObjectID="_1704196150" r:id="rId16"/>
              </w:object>
            </w:r>
          </w:p>
        </w:tc>
      </w:tr>
      <w:tr w:rsidR="00502A45" w:rsidRPr="00DA79A8" w14:paraId="4997FF96" w14:textId="77777777" w:rsidTr="00465D52">
        <w:trPr>
          <w:jc w:val="center"/>
        </w:trPr>
        <w:tc>
          <w:tcPr>
            <w:tcW w:w="3256" w:type="dxa"/>
            <w:vAlign w:val="center"/>
          </w:tcPr>
          <w:p w14:paraId="46BB1C49"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928- Servicio de Investigación Judicial</w:t>
            </w:r>
          </w:p>
        </w:tc>
        <w:tc>
          <w:tcPr>
            <w:tcW w:w="2976" w:type="dxa"/>
            <w:vAlign w:val="center"/>
          </w:tcPr>
          <w:p w14:paraId="1338E9B3" w14:textId="77777777" w:rsidR="00502A45" w:rsidRDefault="00502A45" w:rsidP="00465D52">
            <w:pPr>
              <w:jc w:val="center"/>
              <w:rPr>
                <w:rFonts w:ascii="Book Antiqua" w:hAnsi="Book Antiqua" w:cs="Arial"/>
              </w:rPr>
            </w:pPr>
            <w:r>
              <w:rPr>
                <w:rFonts w:ascii="Book Antiqua" w:hAnsi="Book Antiqua" w:cs="Arial"/>
              </w:rPr>
              <w:t>4.</w:t>
            </w:r>
          </w:p>
          <w:p w14:paraId="096A2EF4" w14:textId="741E12DB" w:rsidR="00502A45" w:rsidRPr="00DA79A8" w:rsidRDefault="004B030F" w:rsidP="00465D52">
            <w:pPr>
              <w:jc w:val="center"/>
              <w:rPr>
                <w:rFonts w:ascii="Book Antiqua" w:hAnsi="Book Antiqua" w:cs="Arial"/>
              </w:rPr>
            </w:pPr>
            <w:r>
              <w:rPr>
                <w:rFonts w:ascii="Book Antiqua" w:hAnsi="Book Antiqua" w:cs="Arial"/>
              </w:rPr>
              <w:object w:dxaOrig="1376" w:dyaOrig="899" w14:anchorId="00A2228A">
                <v:shape id="_x0000_i1029" type="#_x0000_t75" style="width:69.95pt;height:45.25pt" o:ole="">
                  <v:imagedata r:id="rId17" o:title=""/>
                </v:shape>
                <o:OLEObject Type="Embed" ProgID="Acrobat.Document.DC" ShapeID="_x0000_i1029" DrawAspect="Icon" ObjectID="_1704196151" r:id="rId18"/>
              </w:object>
            </w:r>
          </w:p>
        </w:tc>
      </w:tr>
      <w:tr w:rsidR="00502A45" w:rsidRPr="00DA79A8" w14:paraId="61A6FD33" w14:textId="77777777" w:rsidTr="00465D52">
        <w:trPr>
          <w:jc w:val="center"/>
        </w:trPr>
        <w:tc>
          <w:tcPr>
            <w:tcW w:w="3256" w:type="dxa"/>
            <w:vAlign w:val="center"/>
          </w:tcPr>
          <w:p w14:paraId="6734F921"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929- Servicio Ejercicio de la Acción Penal Pública</w:t>
            </w:r>
          </w:p>
        </w:tc>
        <w:tc>
          <w:tcPr>
            <w:tcW w:w="2976" w:type="dxa"/>
            <w:vAlign w:val="center"/>
          </w:tcPr>
          <w:p w14:paraId="76464672" w14:textId="77777777" w:rsidR="00502A45" w:rsidRDefault="00502A45" w:rsidP="00465D52">
            <w:pPr>
              <w:jc w:val="center"/>
              <w:rPr>
                <w:rFonts w:ascii="Book Antiqua" w:hAnsi="Book Antiqua" w:cs="Arial"/>
              </w:rPr>
            </w:pPr>
            <w:r>
              <w:rPr>
                <w:rFonts w:ascii="Book Antiqua" w:hAnsi="Book Antiqua" w:cs="Arial"/>
              </w:rPr>
              <w:t xml:space="preserve">5. </w:t>
            </w:r>
          </w:p>
          <w:p w14:paraId="01096CFE" w14:textId="32677CDF" w:rsidR="00502A45" w:rsidRPr="00DA79A8" w:rsidRDefault="004B030F" w:rsidP="00465D52">
            <w:pPr>
              <w:jc w:val="center"/>
              <w:rPr>
                <w:rFonts w:ascii="Book Antiqua" w:hAnsi="Book Antiqua" w:cs="Arial"/>
                <w:highlight w:val="yellow"/>
              </w:rPr>
            </w:pPr>
            <w:r w:rsidRPr="00B3180D">
              <w:rPr>
                <w:rFonts w:ascii="Book Antiqua" w:hAnsi="Book Antiqua" w:cs="Arial"/>
              </w:rPr>
              <w:object w:dxaOrig="1376" w:dyaOrig="899" w14:anchorId="6713C340">
                <v:shape id="_x0000_i1030" type="#_x0000_t75" style="width:69.95pt;height:45.25pt" o:ole="">
                  <v:imagedata r:id="rId19" o:title=""/>
                </v:shape>
                <o:OLEObject Type="Embed" ProgID="Acrobat.Document.DC" ShapeID="_x0000_i1030" DrawAspect="Icon" ObjectID="_1704196152" r:id="rId20"/>
              </w:object>
            </w:r>
          </w:p>
        </w:tc>
      </w:tr>
      <w:tr w:rsidR="00502A45" w:rsidRPr="00DA79A8" w14:paraId="694A092C" w14:textId="77777777" w:rsidTr="00465D52">
        <w:trPr>
          <w:jc w:val="center"/>
        </w:trPr>
        <w:tc>
          <w:tcPr>
            <w:tcW w:w="3256" w:type="dxa"/>
            <w:vAlign w:val="center"/>
          </w:tcPr>
          <w:p w14:paraId="5E4C7ED2"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930- Servicio de Defensa Pública</w:t>
            </w:r>
          </w:p>
        </w:tc>
        <w:tc>
          <w:tcPr>
            <w:tcW w:w="2976" w:type="dxa"/>
            <w:vAlign w:val="center"/>
          </w:tcPr>
          <w:p w14:paraId="37AA15CE" w14:textId="77777777" w:rsidR="00502A45" w:rsidRDefault="00502A45" w:rsidP="00465D52">
            <w:pPr>
              <w:jc w:val="center"/>
              <w:rPr>
                <w:rFonts w:ascii="Book Antiqua" w:hAnsi="Book Antiqua" w:cs="Arial"/>
              </w:rPr>
            </w:pPr>
            <w:r>
              <w:rPr>
                <w:rFonts w:ascii="Book Antiqua" w:hAnsi="Book Antiqua" w:cs="Arial"/>
              </w:rPr>
              <w:t>6.</w:t>
            </w:r>
          </w:p>
          <w:p w14:paraId="13135FAC" w14:textId="5CC9B083" w:rsidR="00502A45" w:rsidRPr="00DA79A8" w:rsidRDefault="004B030F" w:rsidP="00465D52">
            <w:pPr>
              <w:jc w:val="center"/>
              <w:rPr>
                <w:rFonts w:ascii="Book Antiqua" w:hAnsi="Book Antiqua" w:cs="Arial"/>
                <w:highlight w:val="yellow"/>
              </w:rPr>
            </w:pPr>
            <w:r w:rsidRPr="000F4285">
              <w:rPr>
                <w:rFonts w:ascii="Book Antiqua" w:hAnsi="Book Antiqua" w:cs="Arial"/>
              </w:rPr>
              <w:object w:dxaOrig="1376" w:dyaOrig="899" w14:anchorId="7C365426">
                <v:shape id="_x0000_i1031" type="#_x0000_t75" style="width:69.95pt;height:45.25pt" o:ole="">
                  <v:imagedata r:id="rId21" o:title=""/>
                </v:shape>
                <o:OLEObject Type="Embed" ProgID="Acrobat.Document.DC" ShapeID="_x0000_i1031" DrawAspect="Icon" ObjectID="_1704196153" r:id="rId22"/>
              </w:object>
            </w:r>
          </w:p>
        </w:tc>
      </w:tr>
      <w:tr w:rsidR="00502A45" w:rsidRPr="00DA79A8" w14:paraId="6398F572" w14:textId="77777777" w:rsidTr="00465D52">
        <w:trPr>
          <w:jc w:val="center"/>
        </w:trPr>
        <w:tc>
          <w:tcPr>
            <w:tcW w:w="3256" w:type="dxa"/>
            <w:vAlign w:val="center"/>
          </w:tcPr>
          <w:p w14:paraId="584EC5F5" w14:textId="77777777" w:rsidR="00502A45" w:rsidRPr="00CC7D56" w:rsidRDefault="00502A45" w:rsidP="00465D52">
            <w:pPr>
              <w:jc w:val="center"/>
              <w:rPr>
                <w:rFonts w:ascii="Arial" w:hAnsi="Arial" w:cs="Arial"/>
                <w:sz w:val="22"/>
                <w:szCs w:val="22"/>
              </w:rPr>
            </w:pPr>
            <w:r w:rsidRPr="00CC7D56">
              <w:rPr>
                <w:rFonts w:ascii="Arial" w:hAnsi="Arial" w:cs="Arial"/>
                <w:sz w:val="22"/>
                <w:szCs w:val="22"/>
              </w:rPr>
              <w:t>Programa 950- Servicio de Atención y Protección de Víctimas y Testigos</w:t>
            </w:r>
          </w:p>
        </w:tc>
        <w:tc>
          <w:tcPr>
            <w:tcW w:w="2976" w:type="dxa"/>
            <w:vAlign w:val="center"/>
          </w:tcPr>
          <w:p w14:paraId="610D3433" w14:textId="77777777" w:rsidR="00502A45" w:rsidRDefault="00502A45" w:rsidP="00465D52">
            <w:pPr>
              <w:jc w:val="center"/>
              <w:rPr>
                <w:rFonts w:ascii="Book Antiqua" w:hAnsi="Book Antiqua" w:cs="Arial"/>
                <w:highlight w:val="yellow"/>
              </w:rPr>
            </w:pPr>
          </w:p>
          <w:p w14:paraId="52986D74" w14:textId="77777777" w:rsidR="00502A45" w:rsidRDefault="00502A45" w:rsidP="00465D52">
            <w:pPr>
              <w:jc w:val="center"/>
              <w:rPr>
                <w:rFonts w:ascii="Book Antiqua" w:hAnsi="Book Antiqua" w:cs="Arial"/>
              </w:rPr>
            </w:pPr>
            <w:r>
              <w:rPr>
                <w:rFonts w:ascii="Book Antiqua" w:hAnsi="Book Antiqua" w:cs="Arial"/>
              </w:rPr>
              <w:t>7.</w:t>
            </w:r>
          </w:p>
          <w:p w14:paraId="3CABEEAE" w14:textId="03AC0036" w:rsidR="00502A45" w:rsidRDefault="004B030F" w:rsidP="00465D52">
            <w:pPr>
              <w:jc w:val="center"/>
              <w:rPr>
                <w:rFonts w:ascii="Book Antiqua" w:hAnsi="Book Antiqua" w:cs="Arial"/>
                <w:highlight w:val="yellow"/>
              </w:rPr>
            </w:pPr>
            <w:r>
              <w:rPr>
                <w:rFonts w:ascii="Book Antiqua" w:hAnsi="Book Antiqua" w:cs="Arial"/>
              </w:rPr>
              <w:object w:dxaOrig="1376" w:dyaOrig="899" w14:anchorId="655D4626">
                <v:shape id="_x0000_i1032" type="#_x0000_t75" style="width:69.95pt;height:45.25pt" o:ole="">
                  <v:imagedata r:id="rId23" o:title=""/>
                </v:shape>
                <o:OLEObject Type="Embed" ProgID="Acrobat.Document.DC" ShapeID="_x0000_i1032" DrawAspect="Icon" ObjectID="_1704196154" r:id="rId24"/>
              </w:object>
            </w:r>
          </w:p>
          <w:p w14:paraId="2AF06680" w14:textId="77777777" w:rsidR="00502A45" w:rsidRPr="00DA79A8" w:rsidRDefault="00502A45" w:rsidP="00465D52">
            <w:pPr>
              <w:jc w:val="center"/>
              <w:rPr>
                <w:rFonts w:ascii="Book Antiqua" w:hAnsi="Book Antiqua" w:cs="Arial"/>
                <w:highlight w:val="yellow"/>
              </w:rPr>
            </w:pPr>
          </w:p>
        </w:tc>
      </w:tr>
    </w:tbl>
    <w:p w14:paraId="047F9DFA" w14:textId="1D8BE976" w:rsidR="00502A45" w:rsidRDefault="00502A45" w:rsidP="003A02F6">
      <w:pPr>
        <w:rPr>
          <w:rFonts w:ascii="Arial" w:hAnsi="Arial" w:cs="Arial"/>
          <w:b/>
          <w:bCs/>
          <w:sz w:val="20"/>
          <w:szCs w:val="20"/>
          <w:lang w:val="es-MX"/>
        </w:rPr>
      </w:pPr>
    </w:p>
    <w:p w14:paraId="1B881223" w14:textId="127C07C3" w:rsidR="00412EB8" w:rsidRDefault="00412EB8" w:rsidP="003A02F6">
      <w:pPr>
        <w:rPr>
          <w:rFonts w:ascii="Arial" w:hAnsi="Arial" w:cs="Arial"/>
          <w:b/>
          <w:bCs/>
          <w:sz w:val="20"/>
          <w:szCs w:val="20"/>
          <w:lang w:val="es-MX"/>
        </w:rPr>
      </w:pPr>
    </w:p>
    <w:p w14:paraId="3B428E9E" w14:textId="036627E2" w:rsidR="003D4FC9" w:rsidRDefault="003D4FC9" w:rsidP="003A02F6">
      <w:pPr>
        <w:rPr>
          <w:rFonts w:ascii="Arial" w:hAnsi="Arial" w:cs="Arial"/>
          <w:b/>
          <w:bCs/>
          <w:sz w:val="20"/>
          <w:szCs w:val="20"/>
          <w:lang w:val="es-MX"/>
        </w:rPr>
      </w:pPr>
    </w:p>
    <w:p w14:paraId="0114AC79" w14:textId="77777777" w:rsidR="003D4FC9" w:rsidRDefault="003D4FC9" w:rsidP="003A02F6">
      <w:pPr>
        <w:rPr>
          <w:rFonts w:ascii="Arial" w:hAnsi="Arial" w:cs="Arial"/>
          <w:b/>
          <w:bCs/>
          <w:sz w:val="20"/>
          <w:szCs w:val="20"/>
          <w:lang w:val="es-MX"/>
        </w:rPr>
      </w:pPr>
    </w:p>
    <w:p w14:paraId="5FEA0F1A" w14:textId="77777777" w:rsidR="00412EB8" w:rsidRPr="003D4FC9" w:rsidRDefault="00412EB8" w:rsidP="00412EB8">
      <w:pPr>
        <w:suppressAutoHyphens/>
        <w:jc w:val="both"/>
        <w:rPr>
          <w:rFonts w:ascii="Arial" w:hAnsi="Arial" w:cs="Arial"/>
          <w:i/>
          <w:iCs/>
          <w:lang w:eastAsia="ar-SA"/>
        </w:rPr>
      </w:pPr>
    </w:p>
    <w:p w14:paraId="3BDD43DE" w14:textId="77777777" w:rsidR="009B30AF" w:rsidRPr="003D4FC9" w:rsidRDefault="009B30AF" w:rsidP="009B30AF">
      <w:pPr>
        <w:suppressAutoHyphens/>
        <w:jc w:val="both"/>
        <w:rPr>
          <w:rFonts w:ascii="Arial" w:hAnsi="Arial" w:cs="Arial"/>
          <w:sz w:val="20"/>
          <w:szCs w:val="20"/>
          <w:lang w:eastAsia="ar-SA"/>
        </w:rPr>
      </w:pPr>
      <w:r w:rsidRPr="003D4FC9">
        <w:rPr>
          <w:rFonts w:ascii="Arial" w:hAnsi="Arial" w:cs="Arial"/>
          <w:i/>
          <w:iCs/>
          <w:sz w:val="20"/>
          <w:szCs w:val="20"/>
          <w:lang w:eastAsia="ar-SA"/>
        </w:rPr>
        <w:lastRenderedPageBreak/>
        <w:t>Este informe cuenta con las revisiones y ajustes correspondientes de las jefaturas indicadas</w:t>
      </w:r>
      <w:r w:rsidRPr="003D4FC9">
        <w:rPr>
          <w:rFonts w:ascii="Arial" w:hAnsi="Arial" w:cs="Arial"/>
          <w:sz w:val="20"/>
          <w:szCs w:val="20"/>
          <w:lang w:eastAsia="ar-SA"/>
        </w:rPr>
        <w:t>.</w:t>
      </w:r>
    </w:p>
    <w:p w14:paraId="2D5C78E0" w14:textId="77777777" w:rsidR="009B30AF" w:rsidRPr="003D4FC9" w:rsidRDefault="009B30AF" w:rsidP="009B30AF">
      <w:pPr>
        <w:suppressAutoHyphens/>
        <w:jc w:val="both"/>
        <w:rPr>
          <w:rFonts w:ascii="Arial" w:hAnsi="Arial" w:cs="Arial"/>
          <w:sz w:val="20"/>
          <w:szCs w:val="20"/>
          <w:lang w:eastAsia="ar-SA"/>
        </w:rPr>
      </w:pPr>
    </w:p>
    <w:tbl>
      <w:tblPr>
        <w:tblW w:w="60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3545"/>
        <w:gridCol w:w="4500"/>
      </w:tblGrid>
      <w:tr w:rsidR="009B30AF" w:rsidRPr="003D4FC9" w14:paraId="2AF66263" w14:textId="77777777" w:rsidTr="00BB36A2">
        <w:trPr>
          <w:trHeight w:val="332"/>
          <w:jc w:val="center"/>
        </w:trPr>
        <w:tc>
          <w:tcPr>
            <w:tcW w:w="1117" w:type="pct"/>
            <w:tcBorders>
              <w:top w:val="single" w:sz="4" w:space="0" w:color="FFFFFF"/>
              <w:left w:val="single" w:sz="4" w:space="0" w:color="FFFFFF"/>
            </w:tcBorders>
          </w:tcPr>
          <w:p w14:paraId="4F95EB16" w14:textId="77777777" w:rsidR="009B30AF" w:rsidRPr="003D4FC9" w:rsidRDefault="009B30AF" w:rsidP="00BB36A2">
            <w:pPr>
              <w:widowControl w:val="0"/>
              <w:autoSpaceDE w:val="0"/>
              <w:autoSpaceDN w:val="0"/>
              <w:adjustRightInd w:val="0"/>
              <w:spacing w:line="276" w:lineRule="auto"/>
              <w:rPr>
                <w:rFonts w:ascii="Arial" w:hAnsi="Arial" w:cs="Arial"/>
                <w:b/>
                <w:sz w:val="20"/>
                <w:szCs w:val="20"/>
              </w:rPr>
            </w:pPr>
          </w:p>
        </w:tc>
        <w:tc>
          <w:tcPr>
            <w:tcW w:w="1711" w:type="pct"/>
            <w:shd w:val="clear" w:color="auto" w:fill="1F497D"/>
            <w:vAlign w:val="center"/>
          </w:tcPr>
          <w:p w14:paraId="4568904C" w14:textId="77777777" w:rsidR="009B30AF" w:rsidRPr="003D4FC9" w:rsidRDefault="009B30AF" w:rsidP="00BB36A2">
            <w:pPr>
              <w:widowControl w:val="0"/>
              <w:autoSpaceDE w:val="0"/>
              <w:autoSpaceDN w:val="0"/>
              <w:adjustRightInd w:val="0"/>
              <w:spacing w:line="276" w:lineRule="auto"/>
              <w:jc w:val="center"/>
              <w:rPr>
                <w:rFonts w:ascii="Arial" w:hAnsi="Arial" w:cs="Arial"/>
                <w:b/>
                <w:color w:val="FFFFFF"/>
                <w:sz w:val="20"/>
                <w:szCs w:val="20"/>
              </w:rPr>
            </w:pPr>
            <w:r w:rsidRPr="003D4FC9">
              <w:rPr>
                <w:rFonts w:ascii="Arial" w:hAnsi="Arial" w:cs="Arial"/>
                <w:b/>
                <w:color w:val="FFFFFF"/>
                <w:sz w:val="20"/>
                <w:szCs w:val="20"/>
              </w:rPr>
              <w:t>Nombre</w:t>
            </w:r>
          </w:p>
        </w:tc>
        <w:tc>
          <w:tcPr>
            <w:tcW w:w="2173" w:type="pct"/>
            <w:shd w:val="clear" w:color="auto" w:fill="1F497D"/>
            <w:vAlign w:val="center"/>
          </w:tcPr>
          <w:p w14:paraId="57747D43" w14:textId="77777777" w:rsidR="009B30AF" w:rsidRPr="003D4FC9" w:rsidRDefault="009B30AF" w:rsidP="00BB36A2">
            <w:pPr>
              <w:widowControl w:val="0"/>
              <w:autoSpaceDE w:val="0"/>
              <w:autoSpaceDN w:val="0"/>
              <w:adjustRightInd w:val="0"/>
              <w:spacing w:line="276" w:lineRule="auto"/>
              <w:jc w:val="center"/>
              <w:rPr>
                <w:rFonts w:ascii="Arial" w:hAnsi="Arial" w:cs="Arial"/>
                <w:b/>
                <w:color w:val="FFFFFF"/>
                <w:sz w:val="20"/>
                <w:szCs w:val="20"/>
              </w:rPr>
            </w:pPr>
            <w:r w:rsidRPr="003D4FC9">
              <w:rPr>
                <w:rFonts w:ascii="Arial" w:hAnsi="Arial" w:cs="Arial"/>
                <w:b/>
                <w:color w:val="FFFFFF"/>
                <w:sz w:val="20"/>
                <w:szCs w:val="20"/>
              </w:rPr>
              <w:t>Puesto</w:t>
            </w:r>
          </w:p>
        </w:tc>
      </w:tr>
      <w:tr w:rsidR="009B30AF" w:rsidRPr="003D4FC9" w14:paraId="2D04E8AE" w14:textId="77777777" w:rsidTr="00BB36A2">
        <w:trPr>
          <w:trHeight w:val="632"/>
          <w:jc w:val="center"/>
        </w:trPr>
        <w:tc>
          <w:tcPr>
            <w:tcW w:w="1117" w:type="pct"/>
            <w:shd w:val="clear" w:color="auto" w:fill="F2F2F2"/>
            <w:vAlign w:val="center"/>
          </w:tcPr>
          <w:p w14:paraId="49292AC9" w14:textId="77777777" w:rsidR="009B30AF" w:rsidRPr="003D4FC9" w:rsidRDefault="009B30AF" w:rsidP="00BB36A2">
            <w:pPr>
              <w:widowControl w:val="0"/>
              <w:autoSpaceDE w:val="0"/>
              <w:autoSpaceDN w:val="0"/>
              <w:adjustRightInd w:val="0"/>
              <w:spacing w:line="276"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Elaborado por:</w:t>
            </w:r>
          </w:p>
        </w:tc>
        <w:tc>
          <w:tcPr>
            <w:tcW w:w="1711" w:type="pct"/>
            <w:vAlign w:val="center"/>
          </w:tcPr>
          <w:p w14:paraId="4B5B2B0C" w14:textId="77777777" w:rsidR="009B30AF" w:rsidRPr="003D4FC9" w:rsidRDefault="009B30AF" w:rsidP="00BB36A2">
            <w:pPr>
              <w:widowControl w:val="0"/>
              <w:autoSpaceDE w:val="0"/>
              <w:autoSpaceDN w:val="0"/>
              <w:adjustRightInd w:val="0"/>
              <w:spacing w:line="276" w:lineRule="auto"/>
              <w:rPr>
                <w:rFonts w:ascii="Arial" w:hAnsi="Arial" w:cs="Arial"/>
                <w:sz w:val="20"/>
                <w:szCs w:val="20"/>
              </w:rPr>
            </w:pPr>
            <w:r w:rsidRPr="003D4FC9">
              <w:rPr>
                <w:rFonts w:ascii="Arial" w:hAnsi="Arial" w:cs="Arial"/>
                <w:sz w:val="20"/>
                <w:szCs w:val="20"/>
              </w:rPr>
              <w:t>Licda. Karla Calvo Jiménez</w:t>
            </w:r>
          </w:p>
        </w:tc>
        <w:tc>
          <w:tcPr>
            <w:tcW w:w="2173" w:type="pct"/>
            <w:vAlign w:val="center"/>
          </w:tcPr>
          <w:p w14:paraId="038F56E3" w14:textId="77777777" w:rsidR="009B30AF" w:rsidRPr="003D4FC9" w:rsidRDefault="009B30AF" w:rsidP="00BB36A2">
            <w:pPr>
              <w:widowControl w:val="0"/>
              <w:autoSpaceDE w:val="0"/>
              <w:autoSpaceDN w:val="0"/>
              <w:adjustRightInd w:val="0"/>
              <w:spacing w:line="276" w:lineRule="auto"/>
              <w:rPr>
                <w:rFonts w:ascii="Arial" w:hAnsi="Arial" w:cs="Arial"/>
                <w:sz w:val="20"/>
                <w:szCs w:val="20"/>
              </w:rPr>
            </w:pPr>
            <w:r w:rsidRPr="003D4FC9">
              <w:rPr>
                <w:rFonts w:ascii="Arial" w:hAnsi="Arial" w:cs="Arial"/>
                <w:sz w:val="20"/>
                <w:szCs w:val="20"/>
              </w:rPr>
              <w:t>Profesional 2</w:t>
            </w:r>
          </w:p>
        </w:tc>
      </w:tr>
      <w:tr w:rsidR="009B30AF" w:rsidRPr="003D4FC9" w14:paraId="19C02724" w14:textId="77777777" w:rsidTr="00BB36A2">
        <w:trPr>
          <w:trHeight w:val="632"/>
          <w:jc w:val="center"/>
        </w:trPr>
        <w:tc>
          <w:tcPr>
            <w:tcW w:w="1117" w:type="pct"/>
            <w:shd w:val="clear" w:color="auto" w:fill="F2F2F2"/>
            <w:vAlign w:val="center"/>
          </w:tcPr>
          <w:p w14:paraId="305F271D" w14:textId="77777777" w:rsidR="009B30AF" w:rsidRPr="003D4FC9" w:rsidRDefault="009B30AF" w:rsidP="00BB36A2">
            <w:pPr>
              <w:widowControl w:val="0"/>
              <w:autoSpaceDE w:val="0"/>
              <w:autoSpaceDN w:val="0"/>
              <w:adjustRightInd w:val="0"/>
              <w:spacing w:line="276" w:lineRule="auto"/>
              <w:ind w:right="-114"/>
              <w:jc w:val="center"/>
              <w:rPr>
                <w:rFonts w:ascii="Arial" w:hAnsi="Arial" w:cs="Arial"/>
                <w:b/>
                <w:color w:val="000000"/>
                <w:sz w:val="20"/>
                <w:szCs w:val="20"/>
                <w:lang w:eastAsia="es-CR"/>
              </w:rPr>
            </w:pPr>
            <w:r w:rsidRPr="003D4FC9">
              <w:rPr>
                <w:rFonts w:ascii="Arial" w:hAnsi="Arial" w:cs="Arial"/>
                <w:b/>
                <w:color w:val="000000"/>
                <w:sz w:val="20"/>
                <w:szCs w:val="20"/>
                <w:lang w:eastAsia="es-CR"/>
              </w:rPr>
              <w:t>Revisado por:   /             En coordinación con:</w:t>
            </w:r>
          </w:p>
        </w:tc>
        <w:tc>
          <w:tcPr>
            <w:tcW w:w="1711" w:type="pct"/>
            <w:vAlign w:val="center"/>
          </w:tcPr>
          <w:p w14:paraId="4D6C5D73" w14:textId="77777777" w:rsidR="009B30AF" w:rsidRPr="003D4FC9" w:rsidRDefault="009B30AF" w:rsidP="00BB36A2">
            <w:pPr>
              <w:widowControl w:val="0"/>
              <w:autoSpaceDE w:val="0"/>
              <w:autoSpaceDN w:val="0"/>
              <w:adjustRightInd w:val="0"/>
              <w:spacing w:line="276" w:lineRule="auto"/>
              <w:rPr>
                <w:rFonts w:ascii="Arial" w:hAnsi="Arial" w:cs="Arial"/>
                <w:sz w:val="20"/>
                <w:szCs w:val="20"/>
              </w:rPr>
            </w:pPr>
            <w:r w:rsidRPr="003D4FC9">
              <w:rPr>
                <w:rFonts w:ascii="Arial" w:hAnsi="Arial" w:cs="Arial"/>
                <w:sz w:val="20"/>
                <w:szCs w:val="20"/>
              </w:rPr>
              <w:t>Licda. Melissa Mesén Trejos</w:t>
            </w:r>
          </w:p>
        </w:tc>
        <w:tc>
          <w:tcPr>
            <w:tcW w:w="2173" w:type="pct"/>
            <w:vAlign w:val="center"/>
          </w:tcPr>
          <w:p w14:paraId="5149DD6B" w14:textId="4084A64D" w:rsidR="009B30AF" w:rsidRPr="003D4FC9" w:rsidRDefault="009B30AF" w:rsidP="00BB36A2">
            <w:pPr>
              <w:widowControl w:val="0"/>
              <w:autoSpaceDE w:val="0"/>
              <w:autoSpaceDN w:val="0"/>
              <w:adjustRightInd w:val="0"/>
              <w:spacing w:line="276" w:lineRule="auto"/>
              <w:rPr>
                <w:rFonts w:ascii="Arial" w:hAnsi="Arial" w:cs="Arial"/>
                <w:sz w:val="20"/>
                <w:szCs w:val="20"/>
              </w:rPr>
            </w:pPr>
            <w:r w:rsidRPr="003D4FC9">
              <w:rPr>
                <w:rFonts w:ascii="Arial" w:hAnsi="Arial" w:cs="Arial"/>
                <w:sz w:val="20"/>
                <w:szCs w:val="20"/>
              </w:rPr>
              <w:t>Coordinadora de Unidad</w:t>
            </w:r>
          </w:p>
        </w:tc>
      </w:tr>
      <w:tr w:rsidR="009B30AF" w:rsidRPr="003D4FC9" w14:paraId="453AE6C6" w14:textId="77777777" w:rsidTr="00BB36A2">
        <w:trPr>
          <w:trHeight w:val="632"/>
          <w:jc w:val="center"/>
        </w:trPr>
        <w:tc>
          <w:tcPr>
            <w:tcW w:w="1117" w:type="pct"/>
            <w:shd w:val="clear" w:color="auto" w:fill="F2F2F2"/>
            <w:vAlign w:val="center"/>
          </w:tcPr>
          <w:p w14:paraId="7BAA5EAD" w14:textId="77777777" w:rsidR="009B30AF" w:rsidRPr="003D4FC9" w:rsidRDefault="009B30AF" w:rsidP="00BB36A2">
            <w:pPr>
              <w:widowControl w:val="0"/>
              <w:autoSpaceDE w:val="0"/>
              <w:autoSpaceDN w:val="0"/>
              <w:adjustRightInd w:val="0"/>
              <w:spacing w:line="276"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Aprobado por:</w:t>
            </w:r>
          </w:p>
        </w:tc>
        <w:tc>
          <w:tcPr>
            <w:tcW w:w="1711" w:type="pct"/>
            <w:vAlign w:val="center"/>
          </w:tcPr>
          <w:p w14:paraId="51FF0171" w14:textId="77777777" w:rsidR="009B30AF" w:rsidRPr="003D4FC9" w:rsidRDefault="009B30AF" w:rsidP="00BB36A2">
            <w:pPr>
              <w:widowControl w:val="0"/>
              <w:autoSpaceDE w:val="0"/>
              <w:autoSpaceDN w:val="0"/>
              <w:adjustRightInd w:val="0"/>
              <w:spacing w:line="276" w:lineRule="auto"/>
              <w:rPr>
                <w:rFonts w:ascii="Arial" w:hAnsi="Arial" w:cs="Arial"/>
                <w:color w:val="000000"/>
                <w:sz w:val="20"/>
                <w:szCs w:val="20"/>
                <w:lang w:eastAsia="es-CR"/>
              </w:rPr>
            </w:pPr>
            <w:r w:rsidRPr="003D4FC9">
              <w:rPr>
                <w:rFonts w:ascii="Arial" w:hAnsi="Arial" w:cs="Arial"/>
                <w:color w:val="000000"/>
                <w:sz w:val="20"/>
                <w:szCs w:val="20"/>
                <w:lang w:eastAsia="es-CR"/>
              </w:rPr>
              <w:t>Inga. Elena Gabriela Picado González</w:t>
            </w:r>
          </w:p>
        </w:tc>
        <w:tc>
          <w:tcPr>
            <w:tcW w:w="2173" w:type="pct"/>
            <w:vAlign w:val="center"/>
          </w:tcPr>
          <w:p w14:paraId="3EE729C9" w14:textId="77777777" w:rsidR="009B30AF" w:rsidRPr="003D4FC9" w:rsidRDefault="009B30AF" w:rsidP="00BB36A2">
            <w:pPr>
              <w:widowControl w:val="0"/>
              <w:autoSpaceDE w:val="0"/>
              <w:autoSpaceDN w:val="0"/>
              <w:adjustRightInd w:val="0"/>
              <w:spacing w:line="276" w:lineRule="auto"/>
              <w:rPr>
                <w:rFonts w:ascii="Arial" w:hAnsi="Arial" w:cs="Arial"/>
                <w:color w:val="000000"/>
                <w:sz w:val="20"/>
                <w:szCs w:val="20"/>
                <w:lang w:eastAsia="es-CR"/>
              </w:rPr>
            </w:pPr>
            <w:r w:rsidRPr="003D4FC9">
              <w:rPr>
                <w:rFonts w:ascii="Arial" w:hAnsi="Arial" w:cs="Arial"/>
                <w:color w:val="000000"/>
                <w:sz w:val="20"/>
                <w:szCs w:val="20"/>
                <w:lang w:eastAsia="es-CR"/>
              </w:rPr>
              <w:t>Jefa a.i.  Subproceso de Evaluación</w:t>
            </w:r>
          </w:p>
        </w:tc>
      </w:tr>
      <w:tr w:rsidR="009B30AF" w:rsidRPr="003D4FC9" w14:paraId="32EB1038" w14:textId="77777777" w:rsidTr="00BB36A2">
        <w:trPr>
          <w:trHeight w:val="510"/>
          <w:jc w:val="center"/>
        </w:trPr>
        <w:tc>
          <w:tcPr>
            <w:tcW w:w="1117" w:type="pct"/>
            <w:shd w:val="clear" w:color="auto" w:fill="F2F2F2"/>
            <w:vAlign w:val="center"/>
          </w:tcPr>
          <w:p w14:paraId="7FB42333" w14:textId="77777777" w:rsidR="009B30AF" w:rsidRPr="003D4FC9" w:rsidRDefault="009B30AF" w:rsidP="00BB36A2">
            <w:pPr>
              <w:widowControl w:val="0"/>
              <w:autoSpaceDE w:val="0"/>
              <w:autoSpaceDN w:val="0"/>
              <w:adjustRightInd w:val="0"/>
              <w:spacing w:line="276"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Visto Bueno:</w:t>
            </w:r>
          </w:p>
        </w:tc>
        <w:tc>
          <w:tcPr>
            <w:tcW w:w="1711" w:type="pct"/>
            <w:vAlign w:val="center"/>
          </w:tcPr>
          <w:p w14:paraId="3CB76399" w14:textId="77777777" w:rsidR="009B30AF" w:rsidRPr="003D4FC9" w:rsidRDefault="009B30AF" w:rsidP="00BB36A2">
            <w:pPr>
              <w:widowControl w:val="0"/>
              <w:autoSpaceDE w:val="0"/>
              <w:autoSpaceDN w:val="0"/>
              <w:adjustRightInd w:val="0"/>
              <w:spacing w:line="276" w:lineRule="auto"/>
              <w:rPr>
                <w:rFonts w:ascii="Arial" w:hAnsi="Arial" w:cs="Arial"/>
                <w:sz w:val="20"/>
                <w:szCs w:val="20"/>
                <w:lang w:eastAsia="es-CR"/>
              </w:rPr>
            </w:pPr>
            <w:r w:rsidRPr="003D4FC9">
              <w:rPr>
                <w:rFonts w:ascii="Arial" w:hAnsi="Arial" w:cs="Arial"/>
                <w:sz w:val="20"/>
                <w:szCs w:val="20"/>
                <w:lang w:eastAsia="es-CR"/>
              </w:rPr>
              <w:t>Máster Erick Mora Leiva</w:t>
            </w:r>
          </w:p>
        </w:tc>
        <w:tc>
          <w:tcPr>
            <w:tcW w:w="2173" w:type="pct"/>
            <w:vAlign w:val="center"/>
          </w:tcPr>
          <w:p w14:paraId="6274B906" w14:textId="77777777" w:rsidR="009B30AF" w:rsidRPr="003D4FC9" w:rsidRDefault="009B30AF" w:rsidP="00BB36A2">
            <w:pPr>
              <w:widowControl w:val="0"/>
              <w:autoSpaceDE w:val="0"/>
              <w:autoSpaceDN w:val="0"/>
              <w:adjustRightInd w:val="0"/>
              <w:spacing w:line="276" w:lineRule="auto"/>
              <w:rPr>
                <w:rFonts w:ascii="Arial" w:hAnsi="Arial" w:cs="Arial"/>
                <w:color w:val="000000"/>
                <w:sz w:val="20"/>
                <w:szCs w:val="20"/>
                <w:lang w:eastAsia="es-CR"/>
              </w:rPr>
            </w:pPr>
            <w:r w:rsidRPr="003D4FC9">
              <w:rPr>
                <w:rFonts w:ascii="Arial" w:hAnsi="Arial" w:cs="Arial"/>
                <w:sz w:val="20"/>
                <w:szCs w:val="20"/>
                <w:lang w:eastAsia="es-CR"/>
              </w:rPr>
              <w:t>Jefe Proceso Planeación y Evaluación</w:t>
            </w:r>
          </w:p>
        </w:tc>
      </w:tr>
    </w:tbl>
    <w:p w14:paraId="29496F9C" w14:textId="77777777" w:rsidR="00412EB8" w:rsidRPr="003D4FC9" w:rsidRDefault="00412EB8" w:rsidP="00412EB8">
      <w:pPr>
        <w:widowControl w:val="0"/>
        <w:autoSpaceDE w:val="0"/>
        <w:autoSpaceDN w:val="0"/>
        <w:adjustRightInd w:val="0"/>
        <w:rPr>
          <w:rFonts w:ascii="Arial" w:hAnsi="Arial" w:cs="Arial"/>
          <w:sz w:val="20"/>
          <w:szCs w:val="20"/>
        </w:rPr>
      </w:pPr>
    </w:p>
    <w:p w14:paraId="1B51D93A" w14:textId="77777777" w:rsidR="00412EB8" w:rsidRPr="003A02F6" w:rsidRDefault="00412EB8" w:rsidP="003A02F6">
      <w:pPr>
        <w:rPr>
          <w:rFonts w:ascii="Arial" w:hAnsi="Arial" w:cs="Arial"/>
          <w:b/>
          <w:bCs/>
          <w:sz w:val="20"/>
          <w:szCs w:val="20"/>
          <w:lang w:val="es-MX"/>
        </w:rPr>
      </w:pPr>
    </w:p>
    <w:sectPr w:rsidR="00412EB8" w:rsidRPr="003A02F6" w:rsidSect="00B32351">
      <w:headerReference w:type="default" r:id="rId25"/>
      <w:footerReference w:type="default" r:id="rId26"/>
      <w:headerReference w:type="first" r:id="rId27"/>
      <w:footerReference w:type="first" r:id="rId28"/>
      <w:pgSz w:w="12242" w:h="15842" w:code="1"/>
      <w:pgMar w:top="1417" w:right="1701" w:bottom="1417" w:left="1701" w:header="737" w:footer="567" w:gutter="0"/>
      <w:cols w:space="708" w:equalWidth="0">
        <w:col w:w="85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4F215" w14:textId="77777777" w:rsidR="006521AB" w:rsidRDefault="006521AB">
      <w:r>
        <w:separator/>
      </w:r>
    </w:p>
  </w:endnote>
  <w:endnote w:type="continuationSeparator" w:id="0">
    <w:p w14:paraId="3B5DFA15" w14:textId="77777777" w:rsidR="006521AB" w:rsidRDefault="006521AB">
      <w:r>
        <w:continuationSeparator/>
      </w:r>
    </w:p>
  </w:endnote>
  <w:endnote w:type="continuationNotice" w:id="1">
    <w:p w14:paraId="539120DC" w14:textId="77777777" w:rsidR="006521AB" w:rsidRDefault="00652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56753"/>
      <w:docPartObj>
        <w:docPartGallery w:val="Page Numbers (Bottom of Page)"/>
        <w:docPartUnique/>
      </w:docPartObj>
    </w:sdtPr>
    <w:sdtEndPr/>
    <w:sdtContent>
      <w:p w14:paraId="3E2B4294" w14:textId="1F178A6C" w:rsidR="00085DAD" w:rsidRDefault="00085DAD" w:rsidP="00085DAD">
        <w:pPr>
          <w:pStyle w:val="Piedepgina"/>
        </w:pPr>
      </w:p>
      <w:p w14:paraId="1CA5FA6A" w14:textId="1F178A6C" w:rsidR="00085DAD" w:rsidRPr="0036463A" w:rsidRDefault="00085DAD" w:rsidP="00085DAD">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728570C1" w14:textId="5E42B2B0" w:rsidR="00085DAD" w:rsidRDefault="00085DAD">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667461"/>
      <w:docPartObj>
        <w:docPartGallery w:val="Page Numbers (Bottom of Page)"/>
        <w:docPartUnique/>
      </w:docPartObj>
    </w:sdtPr>
    <w:sdtEndPr/>
    <w:sdtContent>
      <w:p w14:paraId="5645891A" w14:textId="585F63C4" w:rsidR="00980332" w:rsidRDefault="006521AB">
        <w:pPr>
          <w:pStyle w:val="Piedepgina"/>
          <w:jc w:val="right"/>
        </w:pPr>
      </w:p>
    </w:sdtContent>
  </w:sdt>
  <w:p w14:paraId="57F190A8" w14:textId="77777777" w:rsidR="006A1CC0" w:rsidRDefault="006A1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A8B7" w14:textId="77777777" w:rsidR="006521AB" w:rsidRDefault="006521AB">
      <w:r>
        <w:separator/>
      </w:r>
    </w:p>
  </w:footnote>
  <w:footnote w:type="continuationSeparator" w:id="0">
    <w:p w14:paraId="02710BF6" w14:textId="77777777" w:rsidR="006521AB" w:rsidRDefault="006521AB">
      <w:r>
        <w:continuationSeparator/>
      </w:r>
    </w:p>
  </w:footnote>
  <w:footnote w:type="continuationNotice" w:id="1">
    <w:p w14:paraId="6B7DAE01" w14:textId="77777777" w:rsidR="006521AB" w:rsidRDefault="00652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1C2" w14:textId="7CAFB028" w:rsidR="006A1CC0" w:rsidRDefault="004B030F" w:rsidP="004E3DB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Dirección de</w:t>
    </w:r>
    <w:r w:rsidR="006A1CC0">
      <w:rPr>
        <w:rFonts w:ascii="Book Antiqua" w:hAnsi="Book Antiqua" w:cs="Book Antiqua"/>
        <w:i/>
        <w:iCs/>
        <w:sz w:val="18"/>
        <w:szCs w:val="18"/>
      </w:rPr>
      <w:t xml:space="preserve"> Planificación</w:t>
    </w:r>
    <w:r w:rsidR="006A1CC0" w:rsidRPr="005E1974">
      <w:object w:dxaOrig="1845" w:dyaOrig="2145" w14:anchorId="17A2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7pt;height:32.9pt" o:ole="">
          <v:imagedata r:id="rId1" o:title=""/>
        </v:shape>
        <o:OLEObject Type="Embed" ProgID="PBrush" ShapeID="_x0000_i1033" DrawAspect="Content" ObjectID="_1704196155" r:id="rId2"/>
      </w:object>
    </w:r>
  </w:p>
  <w:p w14:paraId="46489AAA" w14:textId="5AEBE930" w:rsidR="006A1CC0" w:rsidRDefault="006A1CC0" w:rsidP="004E3DB7">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6A6247C4" w14:textId="50D315DF" w:rsidR="006A1CC0" w:rsidRPr="005B3B0C" w:rsidRDefault="006A1CC0" w:rsidP="004E3DB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7682C81" w14:textId="77777777" w:rsidR="006A1CC0" w:rsidRPr="005B3B0C" w:rsidRDefault="006A1CC0" w:rsidP="004E3DB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14E0" w14:textId="368D37C8" w:rsidR="006A1CC0" w:rsidRDefault="00980332" w:rsidP="00E2149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Dirección de</w:t>
    </w:r>
    <w:r w:rsidR="006A1CC0">
      <w:rPr>
        <w:rFonts w:ascii="Book Antiqua" w:hAnsi="Book Antiqua" w:cs="Book Antiqua"/>
        <w:i/>
        <w:iCs/>
        <w:sz w:val="18"/>
        <w:szCs w:val="18"/>
      </w:rPr>
      <w:t xml:space="preserve"> Planificación</w:t>
    </w:r>
    <w:r w:rsidR="006A1CC0" w:rsidRPr="005E1974">
      <w:object w:dxaOrig="1845" w:dyaOrig="2145" w14:anchorId="11952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7pt;height:32.9pt" o:ole="">
          <v:imagedata r:id="rId1" o:title=""/>
        </v:shape>
        <o:OLEObject Type="Embed" ProgID="PBrush" ShapeID="_x0000_i1034" DrawAspect="Content" ObjectID="_1704196156" r:id="rId2"/>
      </w:object>
    </w:r>
  </w:p>
  <w:p w14:paraId="5FD3AC4A" w14:textId="70C61BCD" w:rsidR="006A1CC0" w:rsidRDefault="006A1CC0" w:rsidP="00E2149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568587B2" w14:textId="6A0F26CD" w:rsidR="006A1CC0" w:rsidRPr="005B3B0C" w:rsidRDefault="006A1CC0" w:rsidP="00E2149C">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BB39852" w14:textId="77777777" w:rsidR="006A1CC0" w:rsidRPr="005B3B0C" w:rsidRDefault="006A1CC0" w:rsidP="00E2149C">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68F"/>
    <w:multiLevelType w:val="hybridMultilevel"/>
    <w:tmpl w:val="57C0B4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236557"/>
    <w:multiLevelType w:val="hybridMultilevel"/>
    <w:tmpl w:val="374A6CD0"/>
    <w:lvl w:ilvl="0" w:tplc="342C07C4">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D35F11"/>
    <w:multiLevelType w:val="hybridMultilevel"/>
    <w:tmpl w:val="BEBA66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0CFF4F6C"/>
    <w:multiLevelType w:val="hybridMultilevel"/>
    <w:tmpl w:val="1F14AE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852398"/>
    <w:multiLevelType w:val="hybridMultilevel"/>
    <w:tmpl w:val="4AF85E72"/>
    <w:lvl w:ilvl="0" w:tplc="0C0A0001">
      <w:start w:val="1"/>
      <w:numFmt w:val="bullet"/>
      <w:lvlText w:val=""/>
      <w:lvlJc w:val="left"/>
      <w:pPr>
        <w:ind w:left="852" w:hanging="360"/>
      </w:pPr>
      <w:rPr>
        <w:rFonts w:ascii="Symbol" w:hAnsi="Symbol" w:hint="default"/>
      </w:rPr>
    </w:lvl>
    <w:lvl w:ilvl="1" w:tplc="0C0A0003" w:tentative="1">
      <w:start w:val="1"/>
      <w:numFmt w:val="bullet"/>
      <w:lvlText w:val="o"/>
      <w:lvlJc w:val="left"/>
      <w:pPr>
        <w:ind w:left="1572" w:hanging="360"/>
      </w:pPr>
      <w:rPr>
        <w:rFonts w:ascii="Courier New" w:hAnsi="Courier New" w:cs="Courier New" w:hint="default"/>
      </w:rPr>
    </w:lvl>
    <w:lvl w:ilvl="2" w:tplc="0C0A0005" w:tentative="1">
      <w:start w:val="1"/>
      <w:numFmt w:val="bullet"/>
      <w:lvlText w:val=""/>
      <w:lvlJc w:val="left"/>
      <w:pPr>
        <w:ind w:left="2292" w:hanging="360"/>
      </w:pPr>
      <w:rPr>
        <w:rFonts w:ascii="Wingdings" w:hAnsi="Wingdings" w:hint="default"/>
      </w:rPr>
    </w:lvl>
    <w:lvl w:ilvl="3" w:tplc="0C0A0001" w:tentative="1">
      <w:start w:val="1"/>
      <w:numFmt w:val="bullet"/>
      <w:lvlText w:val=""/>
      <w:lvlJc w:val="left"/>
      <w:pPr>
        <w:ind w:left="3012" w:hanging="360"/>
      </w:pPr>
      <w:rPr>
        <w:rFonts w:ascii="Symbol" w:hAnsi="Symbol" w:hint="default"/>
      </w:rPr>
    </w:lvl>
    <w:lvl w:ilvl="4" w:tplc="0C0A0003" w:tentative="1">
      <w:start w:val="1"/>
      <w:numFmt w:val="bullet"/>
      <w:lvlText w:val="o"/>
      <w:lvlJc w:val="left"/>
      <w:pPr>
        <w:ind w:left="3732" w:hanging="360"/>
      </w:pPr>
      <w:rPr>
        <w:rFonts w:ascii="Courier New" w:hAnsi="Courier New" w:cs="Courier New" w:hint="default"/>
      </w:rPr>
    </w:lvl>
    <w:lvl w:ilvl="5" w:tplc="0C0A0005" w:tentative="1">
      <w:start w:val="1"/>
      <w:numFmt w:val="bullet"/>
      <w:lvlText w:val=""/>
      <w:lvlJc w:val="left"/>
      <w:pPr>
        <w:ind w:left="4452" w:hanging="360"/>
      </w:pPr>
      <w:rPr>
        <w:rFonts w:ascii="Wingdings" w:hAnsi="Wingdings" w:hint="default"/>
      </w:rPr>
    </w:lvl>
    <w:lvl w:ilvl="6" w:tplc="0C0A0001" w:tentative="1">
      <w:start w:val="1"/>
      <w:numFmt w:val="bullet"/>
      <w:lvlText w:val=""/>
      <w:lvlJc w:val="left"/>
      <w:pPr>
        <w:ind w:left="5172" w:hanging="360"/>
      </w:pPr>
      <w:rPr>
        <w:rFonts w:ascii="Symbol" w:hAnsi="Symbol" w:hint="default"/>
      </w:rPr>
    </w:lvl>
    <w:lvl w:ilvl="7" w:tplc="0C0A0003" w:tentative="1">
      <w:start w:val="1"/>
      <w:numFmt w:val="bullet"/>
      <w:lvlText w:val="o"/>
      <w:lvlJc w:val="left"/>
      <w:pPr>
        <w:ind w:left="5892" w:hanging="360"/>
      </w:pPr>
      <w:rPr>
        <w:rFonts w:ascii="Courier New" w:hAnsi="Courier New" w:cs="Courier New" w:hint="default"/>
      </w:rPr>
    </w:lvl>
    <w:lvl w:ilvl="8" w:tplc="0C0A0005" w:tentative="1">
      <w:start w:val="1"/>
      <w:numFmt w:val="bullet"/>
      <w:lvlText w:val=""/>
      <w:lvlJc w:val="left"/>
      <w:pPr>
        <w:ind w:left="6612" w:hanging="360"/>
      </w:pPr>
      <w:rPr>
        <w:rFonts w:ascii="Wingdings" w:hAnsi="Wingdings" w:hint="default"/>
      </w:rPr>
    </w:lvl>
  </w:abstractNum>
  <w:abstractNum w:abstractNumId="6" w15:restartNumberingAfterBreak="0">
    <w:nsid w:val="100E18AA"/>
    <w:multiLevelType w:val="hybridMultilevel"/>
    <w:tmpl w:val="EEA84FDC"/>
    <w:lvl w:ilvl="0" w:tplc="EC7ACA14">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2574CAA"/>
    <w:multiLevelType w:val="hybridMultilevel"/>
    <w:tmpl w:val="CDB079D0"/>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8" w15:restartNumberingAfterBreak="0">
    <w:nsid w:val="139A41A1"/>
    <w:multiLevelType w:val="hybridMultilevel"/>
    <w:tmpl w:val="1158AC5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16B95FFF"/>
    <w:multiLevelType w:val="hybridMultilevel"/>
    <w:tmpl w:val="B58A08D4"/>
    <w:lvl w:ilvl="0" w:tplc="D65E76C4">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7322022"/>
    <w:multiLevelType w:val="hybridMultilevel"/>
    <w:tmpl w:val="D09C7EE8"/>
    <w:lvl w:ilvl="0" w:tplc="2836024E">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D8A64FA"/>
    <w:multiLevelType w:val="hybridMultilevel"/>
    <w:tmpl w:val="0A84BDD0"/>
    <w:lvl w:ilvl="0" w:tplc="0EF059F2">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1C66E1D"/>
    <w:multiLevelType w:val="multilevel"/>
    <w:tmpl w:val="3504631E"/>
    <w:lvl w:ilvl="0">
      <w:start w:val="1"/>
      <w:numFmt w:val="decimal"/>
      <w:lvlText w:val="%1"/>
      <w:lvlJc w:val="left"/>
      <w:pPr>
        <w:ind w:left="432" w:hanging="432"/>
      </w:pPr>
    </w:lvl>
    <w:lvl w:ilvl="1">
      <w:start w:val="1"/>
      <w:numFmt w:val="decimal"/>
      <w:lvlText w:val="3.%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A34400A"/>
    <w:multiLevelType w:val="multilevel"/>
    <w:tmpl w:val="8046635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72707EE"/>
    <w:multiLevelType w:val="hybridMultilevel"/>
    <w:tmpl w:val="B632295E"/>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5" w15:restartNumberingAfterBreak="0">
    <w:nsid w:val="3EE473D0"/>
    <w:multiLevelType w:val="hybridMultilevel"/>
    <w:tmpl w:val="92BCBF8C"/>
    <w:lvl w:ilvl="0" w:tplc="0A3E63DE">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3D17CF0"/>
    <w:multiLevelType w:val="hybridMultilevel"/>
    <w:tmpl w:val="72DC0218"/>
    <w:lvl w:ilvl="0" w:tplc="7CC0434C">
      <w:start w:val="1"/>
      <w:numFmt w:val="decimal"/>
      <w:lvlText w:val="%1."/>
      <w:lvlJc w:val="left"/>
      <w:pPr>
        <w:ind w:left="72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8955246"/>
    <w:multiLevelType w:val="hybridMultilevel"/>
    <w:tmpl w:val="E1BCAB24"/>
    <w:lvl w:ilvl="0" w:tplc="CB5E88F6">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F5D7597"/>
    <w:multiLevelType w:val="hybridMultilevel"/>
    <w:tmpl w:val="B62AEC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F746740"/>
    <w:multiLevelType w:val="hybridMultilevel"/>
    <w:tmpl w:val="AF6EAB2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2B77446"/>
    <w:multiLevelType w:val="multilevel"/>
    <w:tmpl w:val="D5AE13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6734A98"/>
    <w:multiLevelType w:val="hybridMultilevel"/>
    <w:tmpl w:val="E90C00EC"/>
    <w:lvl w:ilvl="0" w:tplc="00D2E64E">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D0E33F2"/>
    <w:multiLevelType w:val="hybridMultilevel"/>
    <w:tmpl w:val="8F648B7E"/>
    <w:lvl w:ilvl="0" w:tplc="1648352E">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E81442F"/>
    <w:multiLevelType w:val="hybridMultilevel"/>
    <w:tmpl w:val="07DCD6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EF111CD"/>
    <w:multiLevelType w:val="hybridMultilevel"/>
    <w:tmpl w:val="F1ACE1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F64406D"/>
    <w:multiLevelType w:val="hybridMultilevel"/>
    <w:tmpl w:val="F9DE3B88"/>
    <w:lvl w:ilvl="0" w:tplc="140A000B">
      <w:start w:val="1"/>
      <w:numFmt w:val="bullet"/>
      <w:lvlText w:val=""/>
      <w:lvlJc w:val="left"/>
      <w:pPr>
        <w:ind w:left="720" w:hanging="360"/>
      </w:pPr>
      <w:rPr>
        <w:rFonts w:ascii="Wingdings" w:hAnsi="Wingdings" w:cs="Wingdings" w:hint="default"/>
      </w:rPr>
    </w:lvl>
    <w:lvl w:ilvl="1" w:tplc="140A000B">
      <w:start w:val="1"/>
      <w:numFmt w:val="bullet"/>
      <w:lvlText w:val=""/>
      <w:lvlJc w:val="left"/>
      <w:pPr>
        <w:ind w:left="1440" w:hanging="360"/>
      </w:pPr>
      <w:rPr>
        <w:rFonts w:ascii="Wingdings" w:hAnsi="Wingdings"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1651A70"/>
    <w:multiLevelType w:val="hybridMultilevel"/>
    <w:tmpl w:val="26CA6F7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1A7123C"/>
    <w:multiLevelType w:val="hybridMultilevel"/>
    <w:tmpl w:val="9A16CD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3ED38F2"/>
    <w:multiLevelType w:val="hybridMultilevel"/>
    <w:tmpl w:val="E3664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51C2772"/>
    <w:multiLevelType w:val="hybridMultilevel"/>
    <w:tmpl w:val="F0D60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57043EA"/>
    <w:multiLevelType w:val="hybridMultilevel"/>
    <w:tmpl w:val="4ADC3DBE"/>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BEA351F"/>
    <w:multiLevelType w:val="hybridMultilevel"/>
    <w:tmpl w:val="5020385E"/>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3" w15:restartNumberingAfterBreak="0">
    <w:nsid w:val="6F4916AB"/>
    <w:multiLevelType w:val="hybridMultilevel"/>
    <w:tmpl w:val="54AE27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0886D54"/>
    <w:multiLevelType w:val="hybridMultilevel"/>
    <w:tmpl w:val="19C6327E"/>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09835AF"/>
    <w:multiLevelType w:val="hybridMultilevel"/>
    <w:tmpl w:val="7F184678"/>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7652390"/>
    <w:multiLevelType w:val="multilevel"/>
    <w:tmpl w:val="2C96C040"/>
    <w:lvl w:ilvl="0">
      <w:start w:val="1"/>
      <w:numFmt w:val="upperRoman"/>
      <w:lvlText w:val="%1."/>
      <w:lvlJc w:val="left"/>
      <w:pPr>
        <w:ind w:left="720" w:hanging="360"/>
      </w:pPr>
      <w:rPr>
        <w:rFonts w:hint="default"/>
        <w:color w:val="1F497D" w:themeColor="text2"/>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A99250B"/>
    <w:multiLevelType w:val="hybridMultilevel"/>
    <w:tmpl w:val="BA806514"/>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8" w15:restartNumberingAfterBreak="0">
    <w:nsid w:val="7AB7103F"/>
    <w:multiLevelType w:val="hybridMultilevel"/>
    <w:tmpl w:val="3E2C8268"/>
    <w:lvl w:ilvl="0" w:tplc="989078D6">
      <w:start w:val="7"/>
      <w:numFmt w:val="decimal"/>
      <w:lvlText w:val="%1."/>
      <w:lvlJc w:val="left"/>
      <w:pPr>
        <w:ind w:left="720" w:hanging="360"/>
      </w:pPr>
      <w:rPr>
        <w:rFonts w:ascii="Book Antiqua" w:eastAsia="Times New Roman" w:hAnsi="Book Antiqu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2"/>
  </w:num>
  <w:num w:numId="3">
    <w:abstractNumId w:val="21"/>
  </w:num>
  <w:num w:numId="4">
    <w:abstractNumId w:val="33"/>
  </w:num>
  <w:num w:numId="5">
    <w:abstractNumId w:val="36"/>
  </w:num>
  <w:num w:numId="6">
    <w:abstractNumId w:val="31"/>
  </w:num>
  <w:num w:numId="7">
    <w:abstractNumId w:val="3"/>
  </w:num>
  <w:num w:numId="8">
    <w:abstractNumId w:val="29"/>
  </w:num>
  <w:num w:numId="9">
    <w:abstractNumId w:val="34"/>
  </w:num>
  <w:num w:numId="10">
    <w:abstractNumId w:val="35"/>
  </w:num>
  <w:num w:numId="11">
    <w:abstractNumId w:val="26"/>
  </w:num>
  <w:num w:numId="12">
    <w:abstractNumId w:val="5"/>
  </w:num>
  <w:num w:numId="13">
    <w:abstractNumId w:val="13"/>
  </w:num>
  <w:num w:numId="14">
    <w:abstractNumId w:val="25"/>
  </w:num>
  <w:num w:numId="15">
    <w:abstractNumId w:val="20"/>
  </w:num>
  <w:num w:numId="16">
    <w:abstractNumId w:val="16"/>
  </w:num>
  <w:num w:numId="17">
    <w:abstractNumId w:val="14"/>
  </w:num>
  <w:num w:numId="18">
    <w:abstractNumId w:val="24"/>
  </w:num>
  <w:num w:numId="19">
    <w:abstractNumId w:val="7"/>
  </w:num>
  <w:num w:numId="20">
    <w:abstractNumId w:val="12"/>
  </w:num>
  <w:num w:numId="21">
    <w:abstractNumId w:val="28"/>
  </w:num>
  <w:num w:numId="22">
    <w:abstractNumId w:val="19"/>
  </w:num>
  <w:num w:numId="23">
    <w:abstractNumId w:val="27"/>
  </w:num>
  <w:num w:numId="24">
    <w:abstractNumId w:val="4"/>
  </w:num>
  <w:num w:numId="25">
    <w:abstractNumId w:val="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18"/>
  </w:num>
  <w:num w:numId="29">
    <w:abstractNumId w:val="30"/>
  </w:num>
  <w:num w:numId="30">
    <w:abstractNumId w:val="22"/>
  </w:num>
  <w:num w:numId="31">
    <w:abstractNumId w:val="1"/>
  </w:num>
  <w:num w:numId="32">
    <w:abstractNumId w:val="6"/>
  </w:num>
  <w:num w:numId="33">
    <w:abstractNumId w:val="15"/>
  </w:num>
  <w:num w:numId="34">
    <w:abstractNumId w:val="9"/>
  </w:num>
  <w:num w:numId="35">
    <w:abstractNumId w:val="23"/>
  </w:num>
  <w:num w:numId="36">
    <w:abstractNumId w:val="10"/>
  </w:num>
  <w:num w:numId="37">
    <w:abstractNumId w:val="11"/>
  </w:num>
  <w:num w:numId="38">
    <w:abstractNumId w:val="17"/>
  </w:num>
  <w:num w:numId="39">
    <w:abstractNumId w:val="38"/>
  </w:num>
  <w:num w:numId="4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40"/>
    <w:rsid w:val="000003B8"/>
    <w:rsid w:val="00000DC9"/>
    <w:rsid w:val="0000115C"/>
    <w:rsid w:val="00001EB0"/>
    <w:rsid w:val="00001FD4"/>
    <w:rsid w:val="000022FD"/>
    <w:rsid w:val="000029B6"/>
    <w:rsid w:val="00003568"/>
    <w:rsid w:val="00003FD8"/>
    <w:rsid w:val="00005B04"/>
    <w:rsid w:val="0000652C"/>
    <w:rsid w:val="00006AAB"/>
    <w:rsid w:val="00006D90"/>
    <w:rsid w:val="00006F64"/>
    <w:rsid w:val="00007323"/>
    <w:rsid w:val="00010415"/>
    <w:rsid w:val="000104A3"/>
    <w:rsid w:val="000116C4"/>
    <w:rsid w:val="00012158"/>
    <w:rsid w:val="0001381B"/>
    <w:rsid w:val="00014CF4"/>
    <w:rsid w:val="00014F1E"/>
    <w:rsid w:val="0001560E"/>
    <w:rsid w:val="0001651D"/>
    <w:rsid w:val="000172F1"/>
    <w:rsid w:val="00022FEC"/>
    <w:rsid w:val="000236BC"/>
    <w:rsid w:val="00024592"/>
    <w:rsid w:val="00024884"/>
    <w:rsid w:val="0002559F"/>
    <w:rsid w:val="00026640"/>
    <w:rsid w:val="00027A66"/>
    <w:rsid w:val="000304E5"/>
    <w:rsid w:val="000318D4"/>
    <w:rsid w:val="00031BA7"/>
    <w:rsid w:val="0003212E"/>
    <w:rsid w:val="000334FF"/>
    <w:rsid w:val="000338F3"/>
    <w:rsid w:val="00035F84"/>
    <w:rsid w:val="00035FC0"/>
    <w:rsid w:val="00035FF7"/>
    <w:rsid w:val="0003629C"/>
    <w:rsid w:val="00036A60"/>
    <w:rsid w:val="00036C93"/>
    <w:rsid w:val="00036EAF"/>
    <w:rsid w:val="00040077"/>
    <w:rsid w:val="00040226"/>
    <w:rsid w:val="000404E5"/>
    <w:rsid w:val="00040CFC"/>
    <w:rsid w:val="00042D29"/>
    <w:rsid w:val="00043E6E"/>
    <w:rsid w:val="00044D36"/>
    <w:rsid w:val="00044E81"/>
    <w:rsid w:val="00044EBB"/>
    <w:rsid w:val="0004514B"/>
    <w:rsid w:val="0004638D"/>
    <w:rsid w:val="00046B07"/>
    <w:rsid w:val="0004720E"/>
    <w:rsid w:val="00053436"/>
    <w:rsid w:val="00054F03"/>
    <w:rsid w:val="00055154"/>
    <w:rsid w:val="00057AD1"/>
    <w:rsid w:val="000606BA"/>
    <w:rsid w:val="00061274"/>
    <w:rsid w:val="00061D7D"/>
    <w:rsid w:val="00061DA6"/>
    <w:rsid w:val="00062784"/>
    <w:rsid w:val="0006386E"/>
    <w:rsid w:val="00064953"/>
    <w:rsid w:val="00064DB0"/>
    <w:rsid w:val="00066107"/>
    <w:rsid w:val="000706B2"/>
    <w:rsid w:val="00071B7F"/>
    <w:rsid w:val="0007222D"/>
    <w:rsid w:val="00072E50"/>
    <w:rsid w:val="00075112"/>
    <w:rsid w:val="00075540"/>
    <w:rsid w:val="00075A2E"/>
    <w:rsid w:val="00076AD8"/>
    <w:rsid w:val="0007701C"/>
    <w:rsid w:val="00077DE6"/>
    <w:rsid w:val="00077F3D"/>
    <w:rsid w:val="0008081E"/>
    <w:rsid w:val="00080FDB"/>
    <w:rsid w:val="00083107"/>
    <w:rsid w:val="0008329C"/>
    <w:rsid w:val="000834FB"/>
    <w:rsid w:val="00084E4B"/>
    <w:rsid w:val="000854EF"/>
    <w:rsid w:val="00085D1A"/>
    <w:rsid w:val="00085DAD"/>
    <w:rsid w:val="000879C5"/>
    <w:rsid w:val="000905C1"/>
    <w:rsid w:val="00092F49"/>
    <w:rsid w:val="0009334D"/>
    <w:rsid w:val="000946D9"/>
    <w:rsid w:val="0009480F"/>
    <w:rsid w:val="00095C04"/>
    <w:rsid w:val="00095E1D"/>
    <w:rsid w:val="000966D6"/>
    <w:rsid w:val="00097E64"/>
    <w:rsid w:val="000A04FB"/>
    <w:rsid w:val="000A0D33"/>
    <w:rsid w:val="000A1BD0"/>
    <w:rsid w:val="000A4CB3"/>
    <w:rsid w:val="000A55FE"/>
    <w:rsid w:val="000A5709"/>
    <w:rsid w:val="000A5D8A"/>
    <w:rsid w:val="000A76E9"/>
    <w:rsid w:val="000A78B0"/>
    <w:rsid w:val="000B07CC"/>
    <w:rsid w:val="000B1EDC"/>
    <w:rsid w:val="000B27EA"/>
    <w:rsid w:val="000B3D94"/>
    <w:rsid w:val="000B400C"/>
    <w:rsid w:val="000B472B"/>
    <w:rsid w:val="000B4F6C"/>
    <w:rsid w:val="000B5127"/>
    <w:rsid w:val="000B53FB"/>
    <w:rsid w:val="000C0EFB"/>
    <w:rsid w:val="000C2156"/>
    <w:rsid w:val="000C2BE3"/>
    <w:rsid w:val="000C36AC"/>
    <w:rsid w:val="000C39E6"/>
    <w:rsid w:val="000C3FDD"/>
    <w:rsid w:val="000D0F1A"/>
    <w:rsid w:val="000D131D"/>
    <w:rsid w:val="000D159C"/>
    <w:rsid w:val="000D1D40"/>
    <w:rsid w:val="000D3CAF"/>
    <w:rsid w:val="000D4976"/>
    <w:rsid w:val="000D4DF6"/>
    <w:rsid w:val="000D5481"/>
    <w:rsid w:val="000D60C6"/>
    <w:rsid w:val="000D65D9"/>
    <w:rsid w:val="000D736C"/>
    <w:rsid w:val="000D76FD"/>
    <w:rsid w:val="000D7CDF"/>
    <w:rsid w:val="000E0056"/>
    <w:rsid w:val="000E02CF"/>
    <w:rsid w:val="000E15BD"/>
    <w:rsid w:val="000E258A"/>
    <w:rsid w:val="000E2BFE"/>
    <w:rsid w:val="000E4282"/>
    <w:rsid w:val="000E459C"/>
    <w:rsid w:val="000E4E17"/>
    <w:rsid w:val="000E6D13"/>
    <w:rsid w:val="000E78A6"/>
    <w:rsid w:val="000E7A5C"/>
    <w:rsid w:val="000E7C6E"/>
    <w:rsid w:val="000F0A8F"/>
    <w:rsid w:val="000F10FC"/>
    <w:rsid w:val="000F1D77"/>
    <w:rsid w:val="000F229C"/>
    <w:rsid w:val="000F25FD"/>
    <w:rsid w:val="000F2809"/>
    <w:rsid w:val="000F3678"/>
    <w:rsid w:val="000F383B"/>
    <w:rsid w:val="000F3866"/>
    <w:rsid w:val="000F3A5D"/>
    <w:rsid w:val="000F4285"/>
    <w:rsid w:val="000F4F0F"/>
    <w:rsid w:val="000F57DF"/>
    <w:rsid w:val="000F5A22"/>
    <w:rsid w:val="000F759A"/>
    <w:rsid w:val="00100AC8"/>
    <w:rsid w:val="00101157"/>
    <w:rsid w:val="00103A08"/>
    <w:rsid w:val="00105B0D"/>
    <w:rsid w:val="00106709"/>
    <w:rsid w:val="0010686E"/>
    <w:rsid w:val="00106BE2"/>
    <w:rsid w:val="001070EE"/>
    <w:rsid w:val="00107CD8"/>
    <w:rsid w:val="00110625"/>
    <w:rsid w:val="00110793"/>
    <w:rsid w:val="00111709"/>
    <w:rsid w:val="00112E37"/>
    <w:rsid w:val="00113F5F"/>
    <w:rsid w:val="00115922"/>
    <w:rsid w:val="00115DD7"/>
    <w:rsid w:val="00117EC9"/>
    <w:rsid w:val="00120B7C"/>
    <w:rsid w:val="001248BE"/>
    <w:rsid w:val="001249E4"/>
    <w:rsid w:val="00125A18"/>
    <w:rsid w:val="00125C74"/>
    <w:rsid w:val="00126000"/>
    <w:rsid w:val="00127197"/>
    <w:rsid w:val="00130362"/>
    <w:rsid w:val="00131657"/>
    <w:rsid w:val="00131894"/>
    <w:rsid w:val="00132CA4"/>
    <w:rsid w:val="0013341A"/>
    <w:rsid w:val="00133586"/>
    <w:rsid w:val="001345BE"/>
    <w:rsid w:val="0013582B"/>
    <w:rsid w:val="001358A0"/>
    <w:rsid w:val="001376B0"/>
    <w:rsid w:val="0013789B"/>
    <w:rsid w:val="001422B9"/>
    <w:rsid w:val="001422DE"/>
    <w:rsid w:val="00142D09"/>
    <w:rsid w:val="00144CED"/>
    <w:rsid w:val="00146052"/>
    <w:rsid w:val="00147EA1"/>
    <w:rsid w:val="00150A2C"/>
    <w:rsid w:val="00151F48"/>
    <w:rsid w:val="00156275"/>
    <w:rsid w:val="00156BFB"/>
    <w:rsid w:val="00157197"/>
    <w:rsid w:val="00157242"/>
    <w:rsid w:val="0016000B"/>
    <w:rsid w:val="00160E20"/>
    <w:rsid w:val="00161F37"/>
    <w:rsid w:val="0016214B"/>
    <w:rsid w:val="001626E9"/>
    <w:rsid w:val="00164138"/>
    <w:rsid w:val="00164EC2"/>
    <w:rsid w:val="001650D1"/>
    <w:rsid w:val="001656F0"/>
    <w:rsid w:val="0016708D"/>
    <w:rsid w:val="00171A45"/>
    <w:rsid w:val="0017204D"/>
    <w:rsid w:val="0017263A"/>
    <w:rsid w:val="00173B3A"/>
    <w:rsid w:val="00174E34"/>
    <w:rsid w:val="001762DD"/>
    <w:rsid w:val="001764F0"/>
    <w:rsid w:val="001772FC"/>
    <w:rsid w:val="001808B1"/>
    <w:rsid w:val="0018187D"/>
    <w:rsid w:val="0018199B"/>
    <w:rsid w:val="00182425"/>
    <w:rsid w:val="00183AC4"/>
    <w:rsid w:val="00183F17"/>
    <w:rsid w:val="00184549"/>
    <w:rsid w:val="00184A24"/>
    <w:rsid w:val="00184CFE"/>
    <w:rsid w:val="00187470"/>
    <w:rsid w:val="00190FD6"/>
    <w:rsid w:val="001911DA"/>
    <w:rsid w:val="00192A18"/>
    <w:rsid w:val="0019375C"/>
    <w:rsid w:val="001942D6"/>
    <w:rsid w:val="00194E08"/>
    <w:rsid w:val="0019529E"/>
    <w:rsid w:val="00195D53"/>
    <w:rsid w:val="0019675F"/>
    <w:rsid w:val="00197182"/>
    <w:rsid w:val="001977F9"/>
    <w:rsid w:val="001A0226"/>
    <w:rsid w:val="001A0FDD"/>
    <w:rsid w:val="001A1391"/>
    <w:rsid w:val="001A2C61"/>
    <w:rsid w:val="001A3827"/>
    <w:rsid w:val="001A4967"/>
    <w:rsid w:val="001A4B86"/>
    <w:rsid w:val="001A4ED5"/>
    <w:rsid w:val="001A544F"/>
    <w:rsid w:val="001A6713"/>
    <w:rsid w:val="001A6AF6"/>
    <w:rsid w:val="001A7D47"/>
    <w:rsid w:val="001B1D6F"/>
    <w:rsid w:val="001B456D"/>
    <w:rsid w:val="001B45EB"/>
    <w:rsid w:val="001B6C7A"/>
    <w:rsid w:val="001B715E"/>
    <w:rsid w:val="001B7B0D"/>
    <w:rsid w:val="001C0729"/>
    <w:rsid w:val="001C113D"/>
    <w:rsid w:val="001C18CF"/>
    <w:rsid w:val="001C3B41"/>
    <w:rsid w:val="001C4899"/>
    <w:rsid w:val="001C5F43"/>
    <w:rsid w:val="001C6928"/>
    <w:rsid w:val="001C6FC8"/>
    <w:rsid w:val="001C719C"/>
    <w:rsid w:val="001C76CF"/>
    <w:rsid w:val="001D00B1"/>
    <w:rsid w:val="001D0428"/>
    <w:rsid w:val="001D1537"/>
    <w:rsid w:val="001D3C79"/>
    <w:rsid w:val="001D50EF"/>
    <w:rsid w:val="001D57F9"/>
    <w:rsid w:val="001D60A6"/>
    <w:rsid w:val="001D62C0"/>
    <w:rsid w:val="001D6753"/>
    <w:rsid w:val="001D6E7F"/>
    <w:rsid w:val="001D7DE8"/>
    <w:rsid w:val="001E098C"/>
    <w:rsid w:val="001E0A65"/>
    <w:rsid w:val="001E1E9A"/>
    <w:rsid w:val="001E2F60"/>
    <w:rsid w:val="001E461F"/>
    <w:rsid w:val="001E47B8"/>
    <w:rsid w:val="001E4B19"/>
    <w:rsid w:val="001E5EE6"/>
    <w:rsid w:val="001E6B02"/>
    <w:rsid w:val="001E7408"/>
    <w:rsid w:val="001E74EA"/>
    <w:rsid w:val="001E7DF5"/>
    <w:rsid w:val="001F0106"/>
    <w:rsid w:val="001F0EBB"/>
    <w:rsid w:val="001F1208"/>
    <w:rsid w:val="001F1B95"/>
    <w:rsid w:val="001F2A57"/>
    <w:rsid w:val="001F3078"/>
    <w:rsid w:val="001F3300"/>
    <w:rsid w:val="001F48DF"/>
    <w:rsid w:val="001F4934"/>
    <w:rsid w:val="001F5477"/>
    <w:rsid w:val="001F5CB3"/>
    <w:rsid w:val="001F5D95"/>
    <w:rsid w:val="001F6216"/>
    <w:rsid w:val="00201930"/>
    <w:rsid w:val="00202090"/>
    <w:rsid w:val="0020223D"/>
    <w:rsid w:val="002022EB"/>
    <w:rsid w:val="00202AC3"/>
    <w:rsid w:val="00202FFB"/>
    <w:rsid w:val="00203E83"/>
    <w:rsid w:val="00204372"/>
    <w:rsid w:val="002048CB"/>
    <w:rsid w:val="00207622"/>
    <w:rsid w:val="00210AE6"/>
    <w:rsid w:val="00210C83"/>
    <w:rsid w:val="002121A7"/>
    <w:rsid w:val="00212EBF"/>
    <w:rsid w:val="00213E69"/>
    <w:rsid w:val="002141EA"/>
    <w:rsid w:val="00214F3B"/>
    <w:rsid w:val="00215512"/>
    <w:rsid w:val="00221867"/>
    <w:rsid w:val="00224740"/>
    <w:rsid w:val="00225388"/>
    <w:rsid w:val="0022605F"/>
    <w:rsid w:val="0022673D"/>
    <w:rsid w:val="002267D8"/>
    <w:rsid w:val="00232C5D"/>
    <w:rsid w:val="00234B01"/>
    <w:rsid w:val="002357CB"/>
    <w:rsid w:val="002369F0"/>
    <w:rsid w:val="0024051D"/>
    <w:rsid w:val="00241129"/>
    <w:rsid w:val="00241C70"/>
    <w:rsid w:val="00242098"/>
    <w:rsid w:val="002422B1"/>
    <w:rsid w:val="0024244A"/>
    <w:rsid w:val="00242891"/>
    <w:rsid w:val="00242A25"/>
    <w:rsid w:val="00242BF0"/>
    <w:rsid w:val="0024660E"/>
    <w:rsid w:val="002509B3"/>
    <w:rsid w:val="00250FD4"/>
    <w:rsid w:val="00251ED5"/>
    <w:rsid w:val="00252828"/>
    <w:rsid w:val="00253D9E"/>
    <w:rsid w:val="00253F30"/>
    <w:rsid w:val="00253F44"/>
    <w:rsid w:val="002546F9"/>
    <w:rsid w:val="00255476"/>
    <w:rsid w:val="002562D7"/>
    <w:rsid w:val="00257ADD"/>
    <w:rsid w:val="00257D00"/>
    <w:rsid w:val="00257F06"/>
    <w:rsid w:val="0026051A"/>
    <w:rsid w:val="00262D3C"/>
    <w:rsid w:val="002645A8"/>
    <w:rsid w:val="002649E5"/>
    <w:rsid w:val="00265298"/>
    <w:rsid w:val="00265FF7"/>
    <w:rsid w:val="00266229"/>
    <w:rsid w:val="0026721B"/>
    <w:rsid w:val="002678F1"/>
    <w:rsid w:val="002708EC"/>
    <w:rsid w:val="00270C6C"/>
    <w:rsid w:val="002718F6"/>
    <w:rsid w:val="0027198B"/>
    <w:rsid w:val="00276588"/>
    <w:rsid w:val="00276AF7"/>
    <w:rsid w:val="00280DA1"/>
    <w:rsid w:val="00281699"/>
    <w:rsid w:val="00282EA0"/>
    <w:rsid w:val="00283FA5"/>
    <w:rsid w:val="00284030"/>
    <w:rsid w:val="002846E6"/>
    <w:rsid w:val="002852ED"/>
    <w:rsid w:val="002855D3"/>
    <w:rsid w:val="002870C5"/>
    <w:rsid w:val="0028715F"/>
    <w:rsid w:val="00287B0E"/>
    <w:rsid w:val="00290C16"/>
    <w:rsid w:val="00292947"/>
    <w:rsid w:val="00293C93"/>
    <w:rsid w:val="00293EFC"/>
    <w:rsid w:val="00295329"/>
    <w:rsid w:val="002973FD"/>
    <w:rsid w:val="002A1347"/>
    <w:rsid w:val="002A213D"/>
    <w:rsid w:val="002A2B82"/>
    <w:rsid w:val="002A33AD"/>
    <w:rsid w:val="002A34EB"/>
    <w:rsid w:val="002A387D"/>
    <w:rsid w:val="002A4A3C"/>
    <w:rsid w:val="002A59C5"/>
    <w:rsid w:val="002A5DFE"/>
    <w:rsid w:val="002A64F9"/>
    <w:rsid w:val="002A6657"/>
    <w:rsid w:val="002B1861"/>
    <w:rsid w:val="002B24C9"/>
    <w:rsid w:val="002B423D"/>
    <w:rsid w:val="002B5E12"/>
    <w:rsid w:val="002B69FE"/>
    <w:rsid w:val="002B6D29"/>
    <w:rsid w:val="002B6DDB"/>
    <w:rsid w:val="002C08A2"/>
    <w:rsid w:val="002C0F72"/>
    <w:rsid w:val="002C0FEC"/>
    <w:rsid w:val="002C1B5C"/>
    <w:rsid w:val="002C1E0D"/>
    <w:rsid w:val="002C24DE"/>
    <w:rsid w:val="002C39B5"/>
    <w:rsid w:val="002C3A5B"/>
    <w:rsid w:val="002C5ED4"/>
    <w:rsid w:val="002D0817"/>
    <w:rsid w:val="002D1114"/>
    <w:rsid w:val="002D33C1"/>
    <w:rsid w:val="002D3492"/>
    <w:rsid w:val="002D4186"/>
    <w:rsid w:val="002D54BF"/>
    <w:rsid w:val="002D6EAF"/>
    <w:rsid w:val="002E1E0D"/>
    <w:rsid w:val="002E2533"/>
    <w:rsid w:val="002E287C"/>
    <w:rsid w:val="002E3229"/>
    <w:rsid w:val="002E387F"/>
    <w:rsid w:val="002E3951"/>
    <w:rsid w:val="002E58F8"/>
    <w:rsid w:val="002E5B2D"/>
    <w:rsid w:val="002E7114"/>
    <w:rsid w:val="002F0343"/>
    <w:rsid w:val="002F07D3"/>
    <w:rsid w:val="002F0E8F"/>
    <w:rsid w:val="002F10D4"/>
    <w:rsid w:val="002F1F85"/>
    <w:rsid w:val="002F3F0F"/>
    <w:rsid w:val="002F72EF"/>
    <w:rsid w:val="00300C8C"/>
    <w:rsid w:val="00302146"/>
    <w:rsid w:val="0030586B"/>
    <w:rsid w:val="0030700A"/>
    <w:rsid w:val="00310210"/>
    <w:rsid w:val="00312196"/>
    <w:rsid w:val="003129C6"/>
    <w:rsid w:val="00312BA2"/>
    <w:rsid w:val="00314477"/>
    <w:rsid w:val="00314ACC"/>
    <w:rsid w:val="003164C0"/>
    <w:rsid w:val="003166F8"/>
    <w:rsid w:val="00317417"/>
    <w:rsid w:val="00322394"/>
    <w:rsid w:val="00322EEB"/>
    <w:rsid w:val="00323C4A"/>
    <w:rsid w:val="00327EB8"/>
    <w:rsid w:val="0033243F"/>
    <w:rsid w:val="00332B57"/>
    <w:rsid w:val="003355E8"/>
    <w:rsid w:val="00336DF6"/>
    <w:rsid w:val="00340667"/>
    <w:rsid w:val="003419E7"/>
    <w:rsid w:val="00344947"/>
    <w:rsid w:val="00344CE3"/>
    <w:rsid w:val="0034528F"/>
    <w:rsid w:val="003455BE"/>
    <w:rsid w:val="0034596A"/>
    <w:rsid w:val="0034752C"/>
    <w:rsid w:val="00347561"/>
    <w:rsid w:val="00352D2A"/>
    <w:rsid w:val="00353FB2"/>
    <w:rsid w:val="003553CB"/>
    <w:rsid w:val="00356388"/>
    <w:rsid w:val="0035654B"/>
    <w:rsid w:val="00356D7D"/>
    <w:rsid w:val="0036033D"/>
    <w:rsid w:val="00360558"/>
    <w:rsid w:val="00361A2A"/>
    <w:rsid w:val="00363527"/>
    <w:rsid w:val="00364A06"/>
    <w:rsid w:val="00366E9A"/>
    <w:rsid w:val="00367AB3"/>
    <w:rsid w:val="003700A9"/>
    <w:rsid w:val="00371A1B"/>
    <w:rsid w:val="00372FC3"/>
    <w:rsid w:val="00375927"/>
    <w:rsid w:val="003766D9"/>
    <w:rsid w:val="00376A27"/>
    <w:rsid w:val="003778F8"/>
    <w:rsid w:val="00377C15"/>
    <w:rsid w:val="003800BF"/>
    <w:rsid w:val="003811CC"/>
    <w:rsid w:val="00381730"/>
    <w:rsid w:val="00383DA2"/>
    <w:rsid w:val="00385324"/>
    <w:rsid w:val="00385875"/>
    <w:rsid w:val="00385D4E"/>
    <w:rsid w:val="00387F7A"/>
    <w:rsid w:val="00387F98"/>
    <w:rsid w:val="00390C81"/>
    <w:rsid w:val="003914C9"/>
    <w:rsid w:val="003923DD"/>
    <w:rsid w:val="00394B6D"/>
    <w:rsid w:val="003952E3"/>
    <w:rsid w:val="0039588D"/>
    <w:rsid w:val="003960A5"/>
    <w:rsid w:val="00397AEA"/>
    <w:rsid w:val="003A02F6"/>
    <w:rsid w:val="003A0BBC"/>
    <w:rsid w:val="003A1123"/>
    <w:rsid w:val="003A1AC6"/>
    <w:rsid w:val="003A28F4"/>
    <w:rsid w:val="003A2A5F"/>
    <w:rsid w:val="003A499A"/>
    <w:rsid w:val="003A5391"/>
    <w:rsid w:val="003A5DB8"/>
    <w:rsid w:val="003A62EC"/>
    <w:rsid w:val="003A6738"/>
    <w:rsid w:val="003A72C7"/>
    <w:rsid w:val="003B0A90"/>
    <w:rsid w:val="003B2F58"/>
    <w:rsid w:val="003B2FDD"/>
    <w:rsid w:val="003B41DC"/>
    <w:rsid w:val="003B5601"/>
    <w:rsid w:val="003B576D"/>
    <w:rsid w:val="003B6B1E"/>
    <w:rsid w:val="003B6E71"/>
    <w:rsid w:val="003C09B8"/>
    <w:rsid w:val="003C40C2"/>
    <w:rsid w:val="003C4FE2"/>
    <w:rsid w:val="003C5353"/>
    <w:rsid w:val="003C5D48"/>
    <w:rsid w:val="003C5E9C"/>
    <w:rsid w:val="003C63E8"/>
    <w:rsid w:val="003C6C7F"/>
    <w:rsid w:val="003C7103"/>
    <w:rsid w:val="003D0CE7"/>
    <w:rsid w:val="003D137D"/>
    <w:rsid w:val="003D1D81"/>
    <w:rsid w:val="003D2F09"/>
    <w:rsid w:val="003D4FC9"/>
    <w:rsid w:val="003D502E"/>
    <w:rsid w:val="003D66D3"/>
    <w:rsid w:val="003D7059"/>
    <w:rsid w:val="003D7DEA"/>
    <w:rsid w:val="003E061D"/>
    <w:rsid w:val="003E1A11"/>
    <w:rsid w:val="003E24B5"/>
    <w:rsid w:val="003E3CC2"/>
    <w:rsid w:val="003E3DC1"/>
    <w:rsid w:val="003E4AE6"/>
    <w:rsid w:val="003E5349"/>
    <w:rsid w:val="003E5E67"/>
    <w:rsid w:val="003E5EB1"/>
    <w:rsid w:val="003E63B9"/>
    <w:rsid w:val="003E6FA2"/>
    <w:rsid w:val="003E7554"/>
    <w:rsid w:val="003F0D17"/>
    <w:rsid w:val="003F2DE8"/>
    <w:rsid w:val="003F3762"/>
    <w:rsid w:val="003F4419"/>
    <w:rsid w:val="003F5A76"/>
    <w:rsid w:val="003F5E55"/>
    <w:rsid w:val="003F6036"/>
    <w:rsid w:val="003F60B0"/>
    <w:rsid w:val="003F690C"/>
    <w:rsid w:val="003F6A4F"/>
    <w:rsid w:val="003F6FCA"/>
    <w:rsid w:val="00403124"/>
    <w:rsid w:val="004039AF"/>
    <w:rsid w:val="00403CE6"/>
    <w:rsid w:val="00403D11"/>
    <w:rsid w:val="00404DE1"/>
    <w:rsid w:val="00404EBD"/>
    <w:rsid w:val="0040580D"/>
    <w:rsid w:val="00406053"/>
    <w:rsid w:val="004062E9"/>
    <w:rsid w:val="00406339"/>
    <w:rsid w:val="00406789"/>
    <w:rsid w:val="00407D52"/>
    <w:rsid w:val="00411BD2"/>
    <w:rsid w:val="00412526"/>
    <w:rsid w:val="00412EB8"/>
    <w:rsid w:val="00412F3E"/>
    <w:rsid w:val="00412F6D"/>
    <w:rsid w:val="00413236"/>
    <w:rsid w:val="00413BF4"/>
    <w:rsid w:val="004140EC"/>
    <w:rsid w:val="00415179"/>
    <w:rsid w:val="004152FD"/>
    <w:rsid w:val="004156BD"/>
    <w:rsid w:val="00417245"/>
    <w:rsid w:val="004175A0"/>
    <w:rsid w:val="004177EF"/>
    <w:rsid w:val="0042009D"/>
    <w:rsid w:val="00420D4E"/>
    <w:rsid w:val="00420F33"/>
    <w:rsid w:val="0042111B"/>
    <w:rsid w:val="00421A08"/>
    <w:rsid w:val="004220F2"/>
    <w:rsid w:val="00424132"/>
    <w:rsid w:val="0042451B"/>
    <w:rsid w:val="004248C7"/>
    <w:rsid w:val="00425428"/>
    <w:rsid w:val="004254CC"/>
    <w:rsid w:val="00425DF2"/>
    <w:rsid w:val="004260A7"/>
    <w:rsid w:val="00426608"/>
    <w:rsid w:val="00426BA3"/>
    <w:rsid w:val="00426FFC"/>
    <w:rsid w:val="00427986"/>
    <w:rsid w:val="004300F6"/>
    <w:rsid w:val="00430A01"/>
    <w:rsid w:val="00430CED"/>
    <w:rsid w:val="00432E4B"/>
    <w:rsid w:val="00433507"/>
    <w:rsid w:val="00433905"/>
    <w:rsid w:val="0043609B"/>
    <w:rsid w:val="00436E4D"/>
    <w:rsid w:val="00436FF5"/>
    <w:rsid w:val="00437873"/>
    <w:rsid w:val="004409BC"/>
    <w:rsid w:val="00440B06"/>
    <w:rsid w:val="00440CF6"/>
    <w:rsid w:val="004411AC"/>
    <w:rsid w:val="004412A3"/>
    <w:rsid w:val="00441EEB"/>
    <w:rsid w:val="004422DD"/>
    <w:rsid w:val="00442F35"/>
    <w:rsid w:val="00443BB2"/>
    <w:rsid w:val="00443EDF"/>
    <w:rsid w:val="004451A7"/>
    <w:rsid w:val="0044559F"/>
    <w:rsid w:val="004466AE"/>
    <w:rsid w:val="00446808"/>
    <w:rsid w:val="00446CFF"/>
    <w:rsid w:val="004470D0"/>
    <w:rsid w:val="00451E8C"/>
    <w:rsid w:val="00452A0B"/>
    <w:rsid w:val="00453CDA"/>
    <w:rsid w:val="004567E6"/>
    <w:rsid w:val="00456C1B"/>
    <w:rsid w:val="00457D77"/>
    <w:rsid w:val="004602F7"/>
    <w:rsid w:val="00460ABF"/>
    <w:rsid w:val="00460CD0"/>
    <w:rsid w:val="00460DAD"/>
    <w:rsid w:val="004611FC"/>
    <w:rsid w:val="00461DC8"/>
    <w:rsid w:val="004620C3"/>
    <w:rsid w:val="004627CB"/>
    <w:rsid w:val="00462E4D"/>
    <w:rsid w:val="00465237"/>
    <w:rsid w:val="0046555B"/>
    <w:rsid w:val="0046579E"/>
    <w:rsid w:val="00465B01"/>
    <w:rsid w:val="00465C6C"/>
    <w:rsid w:val="00465D52"/>
    <w:rsid w:val="00465E15"/>
    <w:rsid w:val="00465F72"/>
    <w:rsid w:val="0046629F"/>
    <w:rsid w:val="004664FE"/>
    <w:rsid w:val="00466936"/>
    <w:rsid w:val="00472371"/>
    <w:rsid w:val="00474B23"/>
    <w:rsid w:val="004759C1"/>
    <w:rsid w:val="00477788"/>
    <w:rsid w:val="00477A5D"/>
    <w:rsid w:val="004800CB"/>
    <w:rsid w:val="00480685"/>
    <w:rsid w:val="00481D6D"/>
    <w:rsid w:val="004842AE"/>
    <w:rsid w:val="004846B2"/>
    <w:rsid w:val="00484D2C"/>
    <w:rsid w:val="00484F79"/>
    <w:rsid w:val="00485565"/>
    <w:rsid w:val="00485BE2"/>
    <w:rsid w:val="00485F8F"/>
    <w:rsid w:val="00486191"/>
    <w:rsid w:val="00486334"/>
    <w:rsid w:val="00486B3C"/>
    <w:rsid w:val="004873BF"/>
    <w:rsid w:val="0048798D"/>
    <w:rsid w:val="00490068"/>
    <w:rsid w:val="0049032E"/>
    <w:rsid w:val="004930A6"/>
    <w:rsid w:val="0049359D"/>
    <w:rsid w:val="00493BA9"/>
    <w:rsid w:val="00494671"/>
    <w:rsid w:val="004947FD"/>
    <w:rsid w:val="00494871"/>
    <w:rsid w:val="00494CE0"/>
    <w:rsid w:val="004975E7"/>
    <w:rsid w:val="004A106B"/>
    <w:rsid w:val="004A20EA"/>
    <w:rsid w:val="004A3397"/>
    <w:rsid w:val="004A3528"/>
    <w:rsid w:val="004A3B20"/>
    <w:rsid w:val="004A6211"/>
    <w:rsid w:val="004A76C4"/>
    <w:rsid w:val="004B030F"/>
    <w:rsid w:val="004B166E"/>
    <w:rsid w:val="004B18B8"/>
    <w:rsid w:val="004B30F3"/>
    <w:rsid w:val="004B3A9E"/>
    <w:rsid w:val="004B59CD"/>
    <w:rsid w:val="004B6A40"/>
    <w:rsid w:val="004B732A"/>
    <w:rsid w:val="004B79AF"/>
    <w:rsid w:val="004C0701"/>
    <w:rsid w:val="004C0CBB"/>
    <w:rsid w:val="004C0D61"/>
    <w:rsid w:val="004C0F89"/>
    <w:rsid w:val="004C179F"/>
    <w:rsid w:val="004C2AB6"/>
    <w:rsid w:val="004C42FA"/>
    <w:rsid w:val="004C5ADE"/>
    <w:rsid w:val="004C7C28"/>
    <w:rsid w:val="004D0000"/>
    <w:rsid w:val="004D06B1"/>
    <w:rsid w:val="004D1A7D"/>
    <w:rsid w:val="004D205B"/>
    <w:rsid w:val="004D3095"/>
    <w:rsid w:val="004D4DAD"/>
    <w:rsid w:val="004D5935"/>
    <w:rsid w:val="004D59BF"/>
    <w:rsid w:val="004D6325"/>
    <w:rsid w:val="004D68B9"/>
    <w:rsid w:val="004D7325"/>
    <w:rsid w:val="004E0F68"/>
    <w:rsid w:val="004E1904"/>
    <w:rsid w:val="004E2B37"/>
    <w:rsid w:val="004E3DB7"/>
    <w:rsid w:val="004E3F54"/>
    <w:rsid w:val="004E41A3"/>
    <w:rsid w:val="004E4BEF"/>
    <w:rsid w:val="004E4F0F"/>
    <w:rsid w:val="004E4FD0"/>
    <w:rsid w:val="004E565B"/>
    <w:rsid w:val="004E63CF"/>
    <w:rsid w:val="004E6A02"/>
    <w:rsid w:val="004F083D"/>
    <w:rsid w:val="004F5413"/>
    <w:rsid w:val="00500936"/>
    <w:rsid w:val="0050143E"/>
    <w:rsid w:val="0050221C"/>
    <w:rsid w:val="00502485"/>
    <w:rsid w:val="00502A45"/>
    <w:rsid w:val="00503D75"/>
    <w:rsid w:val="00506682"/>
    <w:rsid w:val="00507572"/>
    <w:rsid w:val="005079F3"/>
    <w:rsid w:val="005105D6"/>
    <w:rsid w:val="005116CD"/>
    <w:rsid w:val="005116F7"/>
    <w:rsid w:val="0051237D"/>
    <w:rsid w:val="005133EB"/>
    <w:rsid w:val="00514099"/>
    <w:rsid w:val="005149FD"/>
    <w:rsid w:val="00514EAA"/>
    <w:rsid w:val="0051543C"/>
    <w:rsid w:val="00516521"/>
    <w:rsid w:val="00517293"/>
    <w:rsid w:val="005176CB"/>
    <w:rsid w:val="00520005"/>
    <w:rsid w:val="005200B4"/>
    <w:rsid w:val="00520FC1"/>
    <w:rsid w:val="00521426"/>
    <w:rsid w:val="005215BB"/>
    <w:rsid w:val="0052299B"/>
    <w:rsid w:val="00522CE2"/>
    <w:rsid w:val="005241A5"/>
    <w:rsid w:val="005242D7"/>
    <w:rsid w:val="0052773A"/>
    <w:rsid w:val="005362D0"/>
    <w:rsid w:val="0053646B"/>
    <w:rsid w:val="00537A91"/>
    <w:rsid w:val="00537DC7"/>
    <w:rsid w:val="005436A5"/>
    <w:rsid w:val="00544B21"/>
    <w:rsid w:val="00546253"/>
    <w:rsid w:val="005464AB"/>
    <w:rsid w:val="005471B0"/>
    <w:rsid w:val="005528FD"/>
    <w:rsid w:val="005541B3"/>
    <w:rsid w:val="0055521C"/>
    <w:rsid w:val="005554C5"/>
    <w:rsid w:val="00555515"/>
    <w:rsid w:val="005575F1"/>
    <w:rsid w:val="00560639"/>
    <w:rsid w:val="005617FD"/>
    <w:rsid w:val="00563300"/>
    <w:rsid w:val="00563DDF"/>
    <w:rsid w:val="005653FF"/>
    <w:rsid w:val="005665AE"/>
    <w:rsid w:val="005678FB"/>
    <w:rsid w:val="005702BA"/>
    <w:rsid w:val="005714F2"/>
    <w:rsid w:val="00571BB3"/>
    <w:rsid w:val="00572171"/>
    <w:rsid w:val="0057290A"/>
    <w:rsid w:val="00573073"/>
    <w:rsid w:val="005730CE"/>
    <w:rsid w:val="00575816"/>
    <w:rsid w:val="0057722D"/>
    <w:rsid w:val="00577CB9"/>
    <w:rsid w:val="00580437"/>
    <w:rsid w:val="00581BC7"/>
    <w:rsid w:val="005827B4"/>
    <w:rsid w:val="005829AA"/>
    <w:rsid w:val="00584E92"/>
    <w:rsid w:val="005862D0"/>
    <w:rsid w:val="0058771A"/>
    <w:rsid w:val="0059006A"/>
    <w:rsid w:val="005932B8"/>
    <w:rsid w:val="005933EA"/>
    <w:rsid w:val="00593770"/>
    <w:rsid w:val="0059524C"/>
    <w:rsid w:val="005952D8"/>
    <w:rsid w:val="0059641A"/>
    <w:rsid w:val="005965A6"/>
    <w:rsid w:val="00596873"/>
    <w:rsid w:val="0059747B"/>
    <w:rsid w:val="005975ED"/>
    <w:rsid w:val="005A1792"/>
    <w:rsid w:val="005A1AF1"/>
    <w:rsid w:val="005A1E18"/>
    <w:rsid w:val="005A203D"/>
    <w:rsid w:val="005A2272"/>
    <w:rsid w:val="005A3A62"/>
    <w:rsid w:val="005A48B4"/>
    <w:rsid w:val="005A51C7"/>
    <w:rsid w:val="005A5389"/>
    <w:rsid w:val="005A557A"/>
    <w:rsid w:val="005A5D25"/>
    <w:rsid w:val="005B03B6"/>
    <w:rsid w:val="005B05E5"/>
    <w:rsid w:val="005B13BE"/>
    <w:rsid w:val="005B4C2E"/>
    <w:rsid w:val="005B6083"/>
    <w:rsid w:val="005C1005"/>
    <w:rsid w:val="005C49D2"/>
    <w:rsid w:val="005C5384"/>
    <w:rsid w:val="005C56F8"/>
    <w:rsid w:val="005C69B5"/>
    <w:rsid w:val="005C79B9"/>
    <w:rsid w:val="005D1E2D"/>
    <w:rsid w:val="005D22F4"/>
    <w:rsid w:val="005D379B"/>
    <w:rsid w:val="005D3DB4"/>
    <w:rsid w:val="005D5D6C"/>
    <w:rsid w:val="005D6987"/>
    <w:rsid w:val="005D6F58"/>
    <w:rsid w:val="005E0F79"/>
    <w:rsid w:val="005E1F0B"/>
    <w:rsid w:val="005E269B"/>
    <w:rsid w:val="005E2D3E"/>
    <w:rsid w:val="005E3B44"/>
    <w:rsid w:val="005E4425"/>
    <w:rsid w:val="005E4F9E"/>
    <w:rsid w:val="005E5145"/>
    <w:rsid w:val="005E72B1"/>
    <w:rsid w:val="005E73EF"/>
    <w:rsid w:val="005F13B6"/>
    <w:rsid w:val="005F27DB"/>
    <w:rsid w:val="005F2B22"/>
    <w:rsid w:val="005F3203"/>
    <w:rsid w:val="005F58CF"/>
    <w:rsid w:val="005F5B1E"/>
    <w:rsid w:val="005F64D8"/>
    <w:rsid w:val="005F65E6"/>
    <w:rsid w:val="006028FC"/>
    <w:rsid w:val="00604235"/>
    <w:rsid w:val="00604694"/>
    <w:rsid w:val="00604B10"/>
    <w:rsid w:val="00606D19"/>
    <w:rsid w:val="00611B1E"/>
    <w:rsid w:val="00614AE3"/>
    <w:rsid w:val="00616C52"/>
    <w:rsid w:val="00617305"/>
    <w:rsid w:val="00620F3A"/>
    <w:rsid w:val="00621143"/>
    <w:rsid w:val="00621C63"/>
    <w:rsid w:val="006227EA"/>
    <w:rsid w:val="00622B7A"/>
    <w:rsid w:val="00624943"/>
    <w:rsid w:val="00624E08"/>
    <w:rsid w:val="006250E3"/>
    <w:rsid w:val="00630390"/>
    <w:rsid w:val="00630FD8"/>
    <w:rsid w:val="006319B0"/>
    <w:rsid w:val="00632649"/>
    <w:rsid w:val="006348AF"/>
    <w:rsid w:val="00634E26"/>
    <w:rsid w:val="0063611D"/>
    <w:rsid w:val="006367B5"/>
    <w:rsid w:val="0063725F"/>
    <w:rsid w:val="00641506"/>
    <w:rsid w:val="006422AF"/>
    <w:rsid w:val="00643174"/>
    <w:rsid w:val="00644515"/>
    <w:rsid w:val="0064503A"/>
    <w:rsid w:val="00647053"/>
    <w:rsid w:val="0064706D"/>
    <w:rsid w:val="00647503"/>
    <w:rsid w:val="00647A6B"/>
    <w:rsid w:val="00650421"/>
    <w:rsid w:val="00650573"/>
    <w:rsid w:val="006505AB"/>
    <w:rsid w:val="00650DED"/>
    <w:rsid w:val="00651146"/>
    <w:rsid w:val="006521AB"/>
    <w:rsid w:val="00652398"/>
    <w:rsid w:val="00652679"/>
    <w:rsid w:val="00655496"/>
    <w:rsid w:val="0065623F"/>
    <w:rsid w:val="006575F4"/>
    <w:rsid w:val="0066131F"/>
    <w:rsid w:val="00661BDD"/>
    <w:rsid w:val="00661C53"/>
    <w:rsid w:val="00661E98"/>
    <w:rsid w:val="00663A17"/>
    <w:rsid w:val="00664A17"/>
    <w:rsid w:val="0066513F"/>
    <w:rsid w:val="006665E4"/>
    <w:rsid w:val="0066720D"/>
    <w:rsid w:val="0067022B"/>
    <w:rsid w:val="006711A2"/>
    <w:rsid w:val="00671D45"/>
    <w:rsid w:val="0067251B"/>
    <w:rsid w:val="00674B3A"/>
    <w:rsid w:val="00676780"/>
    <w:rsid w:val="00676B9D"/>
    <w:rsid w:val="00677757"/>
    <w:rsid w:val="00677D49"/>
    <w:rsid w:val="006804C7"/>
    <w:rsid w:val="00680982"/>
    <w:rsid w:val="00681D53"/>
    <w:rsid w:val="00682A1D"/>
    <w:rsid w:val="0068342E"/>
    <w:rsid w:val="00684C51"/>
    <w:rsid w:val="00684CE9"/>
    <w:rsid w:val="00690231"/>
    <w:rsid w:val="00690834"/>
    <w:rsid w:val="00690AE2"/>
    <w:rsid w:val="00690BC1"/>
    <w:rsid w:val="00691F7A"/>
    <w:rsid w:val="006929AE"/>
    <w:rsid w:val="00692B20"/>
    <w:rsid w:val="00692BA0"/>
    <w:rsid w:val="00692D84"/>
    <w:rsid w:val="00692E9C"/>
    <w:rsid w:val="00694900"/>
    <w:rsid w:val="00694A6E"/>
    <w:rsid w:val="00694F94"/>
    <w:rsid w:val="00696516"/>
    <w:rsid w:val="0069653D"/>
    <w:rsid w:val="00697F15"/>
    <w:rsid w:val="006A0C90"/>
    <w:rsid w:val="006A10EE"/>
    <w:rsid w:val="006A1CC0"/>
    <w:rsid w:val="006A1D75"/>
    <w:rsid w:val="006A28F8"/>
    <w:rsid w:val="006A3AFF"/>
    <w:rsid w:val="006A3FFD"/>
    <w:rsid w:val="006A4EB4"/>
    <w:rsid w:val="006A658B"/>
    <w:rsid w:val="006A7849"/>
    <w:rsid w:val="006B245F"/>
    <w:rsid w:val="006B2DB6"/>
    <w:rsid w:val="006B34DB"/>
    <w:rsid w:val="006B6B79"/>
    <w:rsid w:val="006B7BB9"/>
    <w:rsid w:val="006C1843"/>
    <w:rsid w:val="006C299C"/>
    <w:rsid w:val="006C4231"/>
    <w:rsid w:val="006C504C"/>
    <w:rsid w:val="006C51BC"/>
    <w:rsid w:val="006C5605"/>
    <w:rsid w:val="006C67A7"/>
    <w:rsid w:val="006C6AD6"/>
    <w:rsid w:val="006C7B38"/>
    <w:rsid w:val="006D0589"/>
    <w:rsid w:val="006D0C6E"/>
    <w:rsid w:val="006D1BD4"/>
    <w:rsid w:val="006D3311"/>
    <w:rsid w:val="006D340A"/>
    <w:rsid w:val="006D45CA"/>
    <w:rsid w:val="006D4908"/>
    <w:rsid w:val="006D5189"/>
    <w:rsid w:val="006D5D5B"/>
    <w:rsid w:val="006D6403"/>
    <w:rsid w:val="006D6866"/>
    <w:rsid w:val="006D7518"/>
    <w:rsid w:val="006D773F"/>
    <w:rsid w:val="006E0532"/>
    <w:rsid w:val="006E1ACB"/>
    <w:rsid w:val="006E1DA1"/>
    <w:rsid w:val="006E2B53"/>
    <w:rsid w:val="006E3967"/>
    <w:rsid w:val="006E396A"/>
    <w:rsid w:val="006E3A13"/>
    <w:rsid w:val="006E5ECF"/>
    <w:rsid w:val="006E6149"/>
    <w:rsid w:val="006F101F"/>
    <w:rsid w:val="006F29D1"/>
    <w:rsid w:val="006F2D45"/>
    <w:rsid w:val="006F330B"/>
    <w:rsid w:val="006F3D89"/>
    <w:rsid w:val="006F3DBE"/>
    <w:rsid w:val="006F4000"/>
    <w:rsid w:val="006F44D4"/>
    <w:rsid w:val="006F4B88"/>
    <w:rsid w:val="006F675B"/>
    <w:rsid w:val="006F7372"/>
    <w:rsid w:val="0070011B"/>
    <w:rsid w:val="00700F8B"/>
    <w:rsid w:val="0070123F"/>
    <w:rsid w:val="00702634"/>
    <w:rsid w:val="007038A7"/>
    <w:rsid w:val="00704C14"/>
    <w:rsid w:val="0070538C"/>
    <w:rsid w:val="00706128"/>
    <w:rsid w:val="007072ED"/>
    <w:rsid w:val="00710019"/>
    <w:rsid w:val="007105BF"/>
    <w:rsid w:val="00711670"/>
    <w:rsid w:val="00711740"/>
    <w:rsid w:val="00712954"/>
    <w:rsid w:val="00713939"/>
    <w:rsid w:val="00713ABA"/>
    <w:rsid w:val="00714E4B"/>
    <w:rsid w:val="00715DDE"/>
    <w:rsid w:val="00717298"/>
    <w:rsid w:val="007175BE"/>
    <w:rsid w:val="007179E9"/>
    <w:rsid w:val="0072026C"/>
    <w:rsid w:val="0072096C"/>
    <w:rsid w:val="00721B82"/>
    <w:rsid w:val="00722535"/>
    <w:rsid w:val="00724CAD"/>
    <w:rsid w:val="00726D25"/>
    <w:rsid w:val="00727CA1"/>
    <w:rsid w:val="00730BEE"/>
    <w:rsid w:val="0073194B"/>
    <w:rsid w:val="00732FE6"/>
    <w:rsid w:val="007331CC"/>
    <w:rsid w:val="0073443F"/>
    <w:rsid w:val="00734725"/>
    <w:rsid w:val="0073542E"/>
    <w:rsid w:val="00735AD1"/>
    <w:rsid w:val="00736F15"/>
    <w:rsid w:val="00740480"/>
    <w:rsid w:val="00740770"/>
    <w:rsid w:val="0074079F"/>
    <w:rsid w:val="00740D37"/>
    <w:rsid w:val="00742081"/>
    <w:rsid w:val="00742104"/>
    <w:rsid w:val="00743394"/>
    <w:rsid w:val="00743825"/>
    <w:rsid w:val="00743A8A"/>
    <w:rsid w:val="00746018"/>
    <w:rsid w:val="00747D1C"/>
    <w:rsid w:val="00750344"/>
    <w:rsid w:val="0075338F"/>
    <w:rsid w:val="00754DDF"/>
    <w:rsid w:val="00756C6A"/>
    <w:rsid w:val="00757022"/>
    <w:rsid w:val="00757C7A"/>
    <w:rsid w:val="00760141"/>
    <w:rsid w:val="007614E3"/>
    <w:rsid w:val="007630CE"/>
    <w:rsid w:val="0076342B"/>
    <w:rsid w:val="00763B41"/>
    <w:rsid w:val="00763F24"/>
    <w:rsid w:val="00764238"/>
    <w:rsid w:val="00764A59"/>
    <w:rsid w:val="007664ED"/>
    <w:rsid w:val="007676BA"/>
    <w:rsid w:val="0077083C"/>
    <w:rsid w:val="00770BC4"/>
    <w:rsid w:val="00771F4E"/>
    <w:rsid w:val="00771FD6"/>
    <w:rsid w:val="007721E7"/>
    <w:rsid w:val="0077252D"/>
    <w:rsid w:val="007725AB"/>
    <w:rsid w:val="007725EC"/>
    <w:rsid w:val="00772AB5"/>
    <w:rsid w:val="00772B45"/>
    <w:rsid w:val="00772DB9"/>
    <w:rsid w:val="00773C49"/>
    <w:rsid w:val="0077659D"/>
    <w:rsid w:val="007778C9"/>
    <w:rsid w:val="00777FC5"/>
    <w:rsid w:val="00780161"/>
    <w:rsid w:val="0078036E"/>
    <w:rsid w:val="00781378"/>
    <w:rsid w:val="00781E1B"/>
    <w:rsid w:val="007829E2"/>
    <w:rsid w:val="00782A26"/>
    <w:rsid w:val="0078321D"/>
    <w:rsid w:val="0078495C"/>
    <w:rsid w:val="00787790"/>
    <w:rsid w:val="00787DAB"/>
    <w:rsid w:val="00787EDF"/>
    <w:rsid w:val="007902BE"/>
    <w:rsid w:val="00790D07"/>
    <w:rsid w:val="00791278"/>
    <w:rsid w:val="007916A2"/>
    <w:rsid w:val="00793602"/>
    <w:rsid w:val="007948DC"/>
    <w:rsid w:val="00794FB2"/>
    <w:rsid w:val="007963BF"/>
    <w:rsid w:val="007966F5"/>
    <w:rsid w:val="00797307"/>
    <w:rsid w:val="0079746D"/>
    <w:rsid w:val="00797DAC"/>
    <w:rsid w:val="007A00B8"/>
    <w:rsid w:val="007A2588"/>
    <w:rsid w:val="007A311C"/>
    <w:rsid w:val="007A549D"/>
    <w:rsid w:val="007A5B49"/>
    <w:rsid w:val="007A651B"/>
    <w:rsid w:val="007A6939"/>
    <w:rsid w:val="007B1346"/>
    <w:rsid w:val="007B15EC"/>
    <w:rsid w:val="007B16AB"/>
    <w:rsid w:val="007B17C9"/>
    <w:rsid w:val="007B3F95"/>
    <w:rsid w:val="007B4645"/>
    <w:rsid w:val="007B47DE"/>
    <w:rsid w:val="007B5CC5"/>
    <w:rsid w:val="007B5F55"/>
    <w:rsid w:val="007B70D8"/>
    <w:rsid w:val="007B7CA1"/>
    <w:rsid w:val="007C0911"/>
    <w:rsid w:val="007C314E"/>
    <w:rsid w:val="007C31F0"/>
    <w:rsid w:val="007C4496"/>
    <w:rsid w:val="007C4647"/>
    <w:rsid w:val="007C4DBA"/>
    <w:rsid w:val="007C5C91"/>
    <w:rsid w:val="007C61B6"/>
    <w:rsid w:val="007C68B9"/>
    <w:rsid w:val="007C6CFE"/>
    <w:rsid w:val="007C7E22"/>
    <w:rsid w:val="007D00F9"/>
    <w:rsid w:val="007D01AC"/>
    <w:rsid w:val="007D272F"/>
    <w:rsid w:val="007D32DD"/>
    <w:rsid w:val="007D3912"/>
    <w:rsid w:val="007D4315"/>
    <w:rsid w:val="007D4572"/>
    <w:rsid w:val="007D517D"/>
    <w:rsid w:val="007D66DC"/>
    <w:rsid w:val="007D6771"/>
    <w:rsid w:val="007D6908"/>
    <w:rsid w:val="007D7159"/>
    <w:rsid w:val="007D7186"/>
    <w:rsid w:val="007E0F59"/>
    <w:rsid w:val="007E220D"/>
    <w:rsid w:val="007E2C32"/>
    <w:rsid w:val="007E2DA2"/>
    <w:rsid w:val="007E408B"/>
    <w:rsid w:val="007E4EE5"/>
    <w:rsid w:val="007E5257"/>
    <w:rsid w:val="007E5940"/>
    <w:rsid w:val="007E6541"/>
    <w:rsid w:val="007E6A6D"/>
    <w:rsid w:val="007E7520"/>
    <w:rsid w:val="007E7B30"/>
    <w:rsid w:val="007F0240"/>
    <w:rsid w:val="007F0BC4"/>
    <w:rsid w:val="007F1FCF"/>
    <w:rsid w:val="007F2738"/>
    <w:rsid w:val="007F2C53"/>
    <w:rsid w:val="007F30F1"/>
    <w:rsid w:val="007F3563"/>
    <w:rsid w:val="007F38CA"/>
    <w:rsid w:val="007F3979"/>
    <w:rsid w:val="007F4BEB"/>
    <w:rsid w:val="007F5086"/>
    <w:rsid w:val="007F52CF"/>
    <w:rsid w:val="007F5951"/>
    <w:rsid w:val="007F5CEA"/>
    <w:rsid w:val="007F6C68"/>
    <w:rsid w:val="008004BF"/>
    <w:rsid w:val="008005FF"/>
    <w:rsid w:val="00802670"/>
    <w:rsid w:val="00804169"/>
    <w:rsid w:val="00806403"/>
    <w:rsid w:val="008065D4"/>
    <w:rsid w:val="008068C2"/>
    <w:rsid w:val="008071E2"/>
    <w:rsid w:val="0081159E"/>
    <w:rsid w:val="00812392"/>
    <w:rsid w:val="00812580"/>
    <w:rsid w:val="0081344C"/>
    <w:rsid w:val="00815D4C"/>
    <w:rsid w:val="00816287"/>
    <w:rsid w:val="0081628F"/>
    <w:rsid w:val="00816BB9"/>
    <w:rsid w:val="0082090D"/>
    <w:rsid w:val="00820D0B"/>
    <w:rsid w:val="00821503"/>
    <w:rsid w:val="00823D42"/>
    <w:rsid w:val="00824524"/>
    <w:rsid w:val="00825240"/>
    <w:rsid w:val="00826095"/>
    <w:rsid w:val="00826D15"/>
    <w:rsid w:val="008275A2"/>
    <w:rsid w:val="00830EAA"/>
    <w:rsid w:val="008321DA"/>
    <w:rsid w:val="00832A12"/>
    <w:rsid w:val="0083381A"/>
    <w:rsid w:val="008341D5"/>
    <w:rsid w:val="00834648"/>
    <w:rsid w:val="00834AF4"/>
    <w:rsid w:val="00837E9F"/>
    <w:rsid w:val="00840600"/>
    <w:rsid w:val="00840879"/>
    <w:rsid w:val="00840DC7"/>
    <w:rsid w:val="00840DCD"/>
    <w:rsid w:val="00840EF4"/>
    <w:rsid w:val="00841F3E"/>
    <w:rsid w:val="00842076"/>
    <w:rsid w:val="008423B0"/>
    <w:rsid w:val="00842C96"/>
    <w:rsid w:val="00844E39"/>
    <w:rsid w:val="0084737D"/>
    <w:rsid w:val="00847E9C"/>
    <w:rsid w:val="00850534"/>
    <w:rsid w:val="00850E69"/>
    <w:rsid w:val="0085116F"/>
    <w:rsid w:val="0085178D"/>
    <w:rsid w:val="0085295D"/>
    <w:rsid w:val="00857055"/>
    <w:rsid w:val="00857385"/>
    <w:rsid w:val="008573DE"/>
    <w:rsid w:val="008600F2"/>
    <w:rsid w:val="0086133D"/>
    <w:rsid w:val="0086149E"/>
    <w:rsid w:val="008619C1"/>
    <w:rsid w:val="00862AE3"/>
    <w:rsid w:val="00863DCC"/>
    <w:rsid w:val="008646CD"/>
    <w:rsid w:val="008646F7"/>
    <w:rsid w:val="00864B67"/>
    <w:rsid w:val="00866092"/>
    <w:rsid w:val="00866185"/>
    <w:rsid w:val="0086726C"/>
    <w:rsid w:val="00867FB0"/>
    <w:rsid w:val="00871274"/>
    <w:rsid w:val="00873417"/>
    <w:rsid w:val="00873ADB"/>
    <w:rsid w:val="00873B6B"/>
    <w:rsid w:val="008749CD"/>
    <w:rsid w:val="00874A5E"/>
    <w:rsid w:val="00874D6F"/>
    <w:rsid w:val="0087593C"/>
    <w:rsid w:val="00877048"/>
    <w:rsid w:val="00880227"/>
    <w:rsid w:val="008809D8"/>
    <w:rsid w:val="0088206B"/>
    <w:rsid w:val="00884964"/>
    <w:rsid w:val="00885A32"/>
    <w:rsid w:val="00887E5F"/>
    <w:rsid w:val="0089005E"/>
    <w:rsid w:val="00891222"/>
    <w:rsid w:val="0089380B"/>
    <w:rsid w:val="00893CE7"/>
    <w:rsid w:val="0089565D"/>
    <w:rsid w:val="00895CC5"/>
    <w:rsid w:val="008963B4"/>
    <w:rsid w:val="0089647A"/>
    <w:rsid w:val="008965F1"/>
    <w:rsid w:val="008A0457"/>
    <w:rsid w:val="008A1543"/>
    <w:rsid w:val="008A2CC1"/>
    <w:rsid w:val="008A38FE"/>
    <w:rsid w:val="008A3AC8"/>
    <w:rsid w:val="008A6C63"/>
    <w:rsid w:val="008A6DBD"/>
    <w:rsid w:val="008A7470"/>
    <w:rsid w:val="008A7725"/>
    <w:rsid w:val="008A7DBD"/>
    <w:rsid w:val="008B0176"/>
    <w:rsid w:val="008B0FF6"/>
    <w:rsid w:val="008B3AE5"/>
    <w:rsid w:val="008B53B7"/>
    <w:rsid w:val="008B5B00"/>
    <w:rsid w:val="008B5F97"/>
    <w:rsid w:val="008B73E7"/>
    <w:rsid w:val="008B777C"/>
    <w:rsid w:val="008C002E"/>
    <w:rsid w:val="008C07C2"/>
    <w:rsid w:val="008C0CB8"/>
    <w:rsid w:val="008C28E1"/>
    <w:rsid w:val="008C2F35"/>
    <w:rsid w:val="008C4911"/>
    <w:rsid w:val="008C6CE4"/>
    <w:rsid w:val="008C6F28"/>
    <w:rsid w:val="008C6FFD"/>
    <w:rsid w:val="008C7367"/>
    <w:rsid w:val="008C7CB6"/>
    <w:rsid w:val="008D027E"/>
    <w:rsid w:val="008D0BE9"/>
    <w:rsid w:val="008D12D0"/>
    <w:rsid w:val="008D25F4"/>
    <w:rsid w:val="008D26F3"/>
    <w:rsid w:val="008D2F1B"/>
    <w:rsid w:val="008D4F52"/>
    <w:rsid w:val="008E028C"/>
    <w:rsid w:val="008E0384"/>
    <w:rsid w:val="008E0C38"/>
    <w:rsid w:val="008E0FB6"/>
    <w:rsid w:val="008E12E9"/>
    <w:rsid w:val="008E15A0"/>
    <w:rsid w:val="008E1763"/>
    <w:rsid w:val="008E2267"/>
    <w:rsid w:val="008E26A4"/>
    <w:rsid w:val="008E42B8"/>
    <w:rsid w:val="008E6773"/>
    <w:rsid w:val="008F1BFC"/>
    <w:rsid w:val="008F2A74"/>
    <w:rsid w:val="008F5AB2"/>
    <w:rsid w:val="009006E4"/>
    <w:rsid w:val="009014FC"/>
    <w:rsid w:val="00901BBB"/>
    <w:rsid w:val="00902A2F"/>
    <w:rsid w:val="00904A33"/>
    <w:rsid w:val="00904B9C"/>
    <w:rsid w:val="00904BC9"/>
    <w:rsid w:val="00904E9D"/>
    <w:rsid w:val="009055AF"/>
    <w:rsid w:val="00905F9E"/>
    <w:rsid w:val="00906973"/>
    <w:rsid w:val="0090763A"/>
    <w:rsid w:val="00910028"/>
    <w:rsid w:val="00911791"/>
    <w:rsid w:val="00911FB4"/>
    <w:rsid w:val="009124FE"/>
    <w:rsid w:val="0091471A"/>
    <w:rsid w:val="00914825"/>
    <w:rsid w:val="00914899"/>
    <w:rsid w:val="00915965"/>
    <w:rsid w:val="00915BBA"/>
    <w:rsid w:val="00916062"/>
    <w:rsid w:val="00916E99"/>
    <w:rsid w:val="00916EA0"/>
    <w:rsid w:val="00917915"/>
    <w:rsid w:val="0092046F"/>
    <w:rsid w:val="00920597"/>
    <w:rsid w:val="00922B67"/>
    <w:rsid w:val="00923676"/>
    <w:rsid w:val="00923A33"/>
    <w:rsid w:val="009252F8"/>
    <w:rsid w:val="00925E19"/>
    <w:rsid w:val="00926C4C"/>
    <w:rsid w:val="0092729E"/>
    <w:rsid w:val="009274D4"/>
    <w:rsid w:val="00927E06"/>
    <w:rsid w:val="009300C6"/>
    <w:rsid w:val="0093021E"/>
    <w:rsid w:val="00930824"/>
    <w:rsid w:val="00931AAE"/>
    <w:rsid w:val="009325E8"/>
    <w:rsid w:val="00932611"/>
    <w:rsid w:val="00933E11"/>
    <w:rsid w:val="00934020"/>
    <w:rsid w:val="009340B8"/>
    <w:rsid w:val="0093644D"/>
    <w:rsid w:val="0093672D"/>
    <w:rsid w:val="00936D34"/>
    <w:rsid w:val="00940140"/>
    <w:rsid w:val="00940EBF"/>
    <w:rsid w:val="0094247D"/>
    <w:rsid w:val="0094259F"/>
    <w:rsid w:val="00942942"/>
    <w:rsid w:val="009431DA"/>
    <w:rsid w:val="00943763"/>
    <w:rsid w:val="00945AC2"/>
    <w:rsid w:val="00946067"/>
    <w:rsid w:val="009470D5"/>
    <w:rsid w:val="00947BAB"/>
    <w:rsid w:val="00947ED1"/>
    <w:rsid w:val="00950092"/>
    <w:rsid w:val="00950213"/>
    <w:rsid w:val="00950461"/>
    <w:rsid w:val="0095099D"/>
    <w:rsid w:val="00951EC0"/>
    <w:rsid w:val="009521D5"/>
    <w:rsid w:val="00952AFF"/>
    <w:rsid w:val="0095374D"/>
    <w:rsid w:val="00953EBB"/>
    <w:rsid w:val="0095438E"/>
    <w:rsid w:val="009554CD"/>
    <w:rsid w:val="009554FB"/>
    <w:rsid w:val="009578BB"/>
    <w:rsid w:val="00957A21"/>
    <w:rsid w:val="00957AD4"/>
    <w:rsid w:val="00961918"/>
    <w:rsid w:val="00961FFE"/>
    <w:rsid w:val="009627BF"/>
    <w:rsid w:val="009628FC"/>
    <w:rsid w:val="00962C6D"/>
    <w:rsid w:val="009633AB"/>
    <w:rsid w:val="00963AB7"/>
    <w:rsid w:val="00963C92"/>
    <w:rsid w:val="00965C72"/>
    <w:rsid w:val="00965D76"/>
    <w:rsid w:val="00965EB6"/>
    <w:rsid w:val="00967174"/>
    <w:rsid w:val="00967455"/>
    <w:rsid w:val="00971390"/>
    <w:rsid w:val="009717F3"/>
    <w:rsid w:val="009719CD"/>
    <w:rsid w:val="00972442"/>
    <w:rsid w:val="0097424C"/>
    <w:rsid w:val="0097427D"/>
    <w:rsid w:val="009758BB"/>
    <w:rsid w:val="00975B4C"/>
    <w:rsid w:val="0097694E"/>
    <w:rsid w:val="00977784"/>
    <w:rsid w:val="00980332"/>
    <w:rsid w:val="009812D8"/>
    <w:rsid w:val="009816C9"/>
    <w:rsid w:val="00981B1B"/>
    <w:rsid w:val="00982F55"/>
    <w:rsid w:val="009833BA"/>
    <w:rsid w:val="00984123"/>
    <w:rsid w:val="0098485E"/>
    <w:rsid w:val="00984D66"/>
    <w:rsid w:val="00987203"/>
    <w:rsid w:val="0098771C"/>
    <w:rsid w:val="00987E89"/>
    <w:rsid w:val="00991885"/>
    <w:rsid w:val="0099407E"/>
    <w:rsid w:val="00994DBF"/>
    <w:rsid w:val="00994E1A"/>
    <w:rsid w:val="00996DFB"/>
    <w:rsid w:val="00997791"/>
    <w:rsid w:val="00997EAC"/>
    <w:rsid w:val="009A0E22"/>
    <w:rsid w:val="009A11ED"/>
    <w:rsid w:val="009A16F9"/>
    <w:rsid w:val="009A1BCE"/>
    <w:rsid w:val="009A1CFF"/>
    <w:rsid w:val="009A2036"/>
    <w:rsid w:val="009A3D44"/>
    <w:rsid w:val="009A3EE3"/>
    <w:rsid w:val="009A4C97"/>
    <w:rsid w:val="009A5B31"/>
    <w:rsid w:val="009A6373"/>
    <w:rsid w:val="009A78FA"/>
    <w:rsid w:val="009A7B03"/>
    <w:rsid w:val="009B17B2"/>
    <w:rsid w:val="009B20E2"/>
    <w:rsid w:val="009B2A13"/>
    <w:rsid w:val="009B2B92"/>
    <w:rsid w:val="009B30AF"/>
    <w:rsid w:val="009B3434"/>
    <w:rsid w:val="009B37A7"/>
    <w:rsid w:val="009B454A"/>
    <w:rsid w:val="009B4939"/>
    <w:rsid w:val="009B53E5"/>
    <w:rsid w:val="009B740B"/>
    <w:rsid w:val="009B7478"/>
    <w:rsid w:val="009C03E2"/>
    <w:rsid w:val="009C0402"/>
    <w:rsid w:val="009C0F88"/>
    <w:rsid w:val="009C15D9"/>
    <w:rsid w:val="009C16DC"/>
    <w:rsid w:val="009C1BDE"/>
    <w:rsid w:val="009C2043"/>
    <w:rsid w:val="009C21B6"/>
    <w:rsid w:val="009C25DF"/>
    <w:rsid w:val="009C273B"/>
    <w:rsid w:val="009C305C"/>
    <w:rsid w:val="009C4004"/>
    <w:rsid w:val="009C4CAA"/>
    <w:rsid w:val="009C74A2"/>
    <w:rsid w:val="009C794B"/>
    <w:rsid w:val="009D122B"/>
    <w:rsid w:val="009D1BC6"/>
    <w:rsid w:val="009D23D5"/>
    <w:rsid w:val="009D3D8D"/>
    <w:rsid w:val="009D480E"/>
    <w:rsid w:val="009D63E9"/>
    <w:rsid w:val="009D6615"/>
    <w:rsid w:val="009E130E"/>
    <w:rsid w:val="009E4219"/>
    <w:rsid w:val="009E49D2"/>
    <w:rsid w:val="009E4A6E"/>
    <w:rsid w:val="009E558E"/>
    <w:rsid w:val="009E58E4"/>
    <w:rsid w:val="009E71FA"/>
    <w:rsid w:val="009F0ADD"/>
    <w:rsid w:val="009F19E5"/>
    <w:rsid w:val="009F2021"/>
    <w:rsid w:val="009F2C98"/>
    <w:rsid w:val="009F4D5B"/>
    <w:rsid w:val="009F5BD8"/>
    <w:rsid w:val="009F68C4"/>
    <w:rsid w:val="00A00402"/>
    <w:rsid w:val="00A011EA"/>
    <w:rsid w:val="00A0177E"/>
    <w:rsid w:val="00A01BAC"/>
    <w:rsid w:val="00A02C99"/>
    <w:rsid w:val="00A02D7B"/>
    <w:rsid w:val="00A03DA8"/>
    <w:rsid w:val="00A04D28"/>
    <w:rsid w:val="00A04EF3"/>
    <w:rsid w:val="00A052CD"/>
    <w:rsid w:val="00A0630B"/>
    <w:rsid w:val="00A0647C"/>
    <w:rsid w:val="00A0760D"/>
    <w:rsid w:val="00A12B7F"/>
    <w:rsid w:val="00A135DC"/>
    <w:rsid w:val="00A1378C"/>
    <w:rsid w:val="00A14817"/>
    <w:rsid w:val="00A15267"/>
    <w:rsid w:val="00A15629"/>
    <w:rsid w:val="00A156A4"/>
    <w:rsid w:val="00A16EC8"/>
    <w:rsid w:val="00A1753B"/>
    <w:rsid w:val="00A17C2F"/>
    <w:rsid w:val="00A20193"/>
    <w:rsid w:val="00A228D0"/>
    <w:rsid w:val="00A22E1F"/>
    <w:rsid w:val="00A2339B"/>
    <w:rsid w:val="00A25184"/>
    <w:rsid w:val="00A25A29"/>
    <w:rsid w:val="00A26774"/>
    <w:rsid w:val="00A2685D"/>
    <w:rsid w:val="00A26B3C"/>
    <w:rsid w:val="00A26FC4"/>
    <w:rsid w:val="00A277D4"/>
    <w:rsid w:val="00A27A09"/>
    <w:rsid w:val="00A27ACA"/>
    <w:rsid w:val="00A309DD"/>
    <w:rsid w:val="00A31322"/>
    <w:rsid w:val="00A32122"/>
    <w:rsid w:val="00A32D8B"/>
    <w:rsid w:val="00A33305"/>
    <w:rsid w:val="00A33346"/>
    <w:rsid w:val="00A3443A"/>
    <w:rsid w:val="00A35600"/>
    <w:rsid w:val="00A36489"/>
    <w:rsid w:val="00A37F63"/>
    <w:rsid w:val="00A4088A"/>
    <w:rsid w:val="00A40A5E"/>
    <w:rsid w:val="00A41C2E"/>
    <w:rsid w:val="00A42763"/>
    <w:rsid w:val="00A42BA0"/>
    <w:rsid w:val="00A43A0C"/>
    <w:rsid w:val="00A446CE"/>
    <w:rsid w:val="00A4483F"/>
    <w:rsid w:val="00A451A4"/>
    <w:rsid w:val="00A45414"/>
    <w:rsid w:val="00A454AA"/>
    <w:rsid w:val="00A457E1"/>
    <w:rsid w:val="00A4644B"/>
    <w:rsid w:val="00A500CE"/>
    <w:rsid w:val="00A5039F"/>
    <w:rsid w:val="00A53533"/>
    <w:rsid w:val="00A540EE"/>
    <w:rsid w:val="00A55B4C"/>
    <w:rsid w:val="00A5654F"/>
    <w:rsid w:val="00A56931"/>
    <w:rsid w:val="00A56C84"/>
    <w:rsid w:val="00A57514"/>
    <w:rsid w:val="00A57850"/>
    <w:rsid w:val="00A579CA"/>
    <w:rsid w:val="00A57BD3"/>
    <w:rsid w:val="00A57C49"/>
    <w:rsid w:val="00A60467"/>
    <w:rsid w:val="00A618B3"/>
    <w:rsid w:val="00A61A7E"/>
    <w:rsid w:val="00A61E95"/>
    <w:rsid w:val="00A62055"/>
    <w:rsid w:val="00A626BD"/>
    <w:rsid w:val="00A62FA5"/>
    <w:rsid w:val="00A63081"/>
    <w:rsid w:val="00A63381"/>
    <w:rsid w:val="00A65152"/>
    <w:rsid w:val="00A67CBE"/>
    <w:rsid w:val="00A7024A"/>
    <w:rsid w:val="00A702CE"/>
    <w:rsid w:val="00A71051"/>
    <w:rsid w:val="00A71A64"/>
    <w:rsid w:val="00A71F37"/>
    <w:rsid w:val="00A71FA7"/>
    <w:rsid w:val="00A72EFF"/>
    <w:rsid w:val="00A738A5"/>
    <w:rsid w:val="00A751CF"/>
    <w:rsid w:val="00A755A7"/>
    <w:rsid w:val="00A76201"/>
    <w:rsid w:val="00A778AF"/>
    <w:rsid w:val="00A77C90"/>
    <w:rsid w:val="00A8061E"/>
    <w:rsid w:val="00A808D4"/>
    <w:rsid w:val="00A81046"/>
    <w:rsid w:val="00A81E63"/>
    <w:rsid w:val="00A82529"/>
    <w:rsid w:val="00A82E00"/>
    <w:rsid w:val="00A83AEC"/>
    <w:rsid w:val="00A83E0F"/>
    <w:rsid w:val="00A858D8"/>
    <w:rsid w:val="00A8688B"/>
    <w:rsid w:val="00A869DD"/>
    <w:rsid w:val="00A91AEE"/>
    <w:rsid w:val="00A93844"/>
    <w:rsid w:val="00A94504"/>
    <w:rsid w:val="00A94FCF"/>
    <w:rsid w:val="00A964AF"/>
    <w:rsid w:val="00AA0114"/>
    <w:rsid w:val="00AA140F"/>
    <w:rsid w:val="00AA6BBC"/>
    <w:rsid w:val="00AB138C"/>
    <w:rsid w:val="00AB14DF"/>
    <w:rsid w:val="00AB1B80"/>
    <w:rsid w:val="00AB1C07"/>
    <w:rsid w:val="00AB1CFA"/>
    <w:rsid w:val="00AB30CC"/>
    <w:rsid w:val="00AB3F4C"/>
    <w:rsid w:val="00AB5AA6"/>
    <w:rsid w:val="00AB6045"/>
    <w:rsid w:val="00AB7918"/>
    <w:rsid w:val="00AB7DAB"/>
    <w:rsid w:val="00AC1773"/>
    <w:rsid w:val="00AC1DEC"/>
    <w:rsid w:val="00AC2F18"/>
    <w:rsid w:val="00AC3845"/>
    <w:rsid w:val="00AC4A2E"/>
    <w:rsid w:val="00AC4A4B"/>
    <w:rsid w:val="00AC5362"/>
    <w:rsid w:val="00AD0520"/>
    <w:rsid w:val="00AD0980"/>
    <w:rsid w:val="00AD1688"/>
    <w:rsid w:val="00AD2276"/>
    <w:rsid w:val="00AD3782"/>
    <w:rsid w:val="00AD71DB"/>
    <w:rsid w:val="00AE0476"/>
    <w:rsid w:val="00AE06A4"/>
    <w:rsid w:val="00AE08D3"/>
    <w:rsid w:val="00AE22BC"/>
    <w:rsid w:val="00AE2518"/>
    <w:rsid w:val="00AE2D81"/>
    <w:rsid w:val="00AE3D7B"/>
    <w:rsid w:val="00AE5340"/>
    <w:rsid w:val="00AE6918"/>
    <w:rsid w:val="00AE6CBB"/>
    <w:rsid w:val="00AE6D77"/>
    <w:rsid w:val="00AE7386"/>
    <w:rsid w:val="00AE7522"/>
    <w:rsid w:val="00AF1472"/>
    <w:rsid w:val="00AF1DC4"/>
    <w:rsid w:val="00AF1DF1"/>
    <w:rsid w:val="00AF4C64"/>
    <w:rsid w:val="00AF567C"/>
    <w:rsid w:val="00AF57DE"/>
    <w:rsid w:val="00AF704A"/>
    <w:rsid w:val="00AF7A4E"/>
    <w:rsid w:val="00AF7B93"/>
    <w:rsid w:val="00B02E64"/>
    <w:rsid w:val="00B04C15"/>
    <w:rsid w:val="00B04E1E"/>
    <w:rsid w:val="00B05E1D"/>
    <w:rsid w:val="00B10A20"/>
    <w:rsid w:val="00B10F03"/>
    <w:rsid w:val="00B11344"/>
    <w:rsid w:val="00B1141D"/>
    <w:rsid w:val="00B129D5"/>
    <w:rsid w:val="00B12C92"/>
    <w:rsid w:val="00B1362A"/>
    <w:rsid w:val="00B13AEF"/>
    <w:rsid w:val="00B1421A"/>
    <w:rsid w:val="00B14B7E"/>
    <w:rsid w:val="00B155D1"/>
    <w:rsid w:val="00B15B8E"/>
    <w:rsid w:val="00B160CE"/>
    <w:rsid w:val="00B16BF8"/>
    <w:rsid w:val="00B17064"/>
    <w:rsid w:val="00B212E4"/>
    <w:rsid w:val="00B21BA7"/>
    <w:rsid w:val="00B21CF7"/>
    <w:rsid w:val="00B22135"/>
    <w:rsid w:val="00B22349"/>
    <w:rsid w:val="00B2290E"/>
    <w:rsid w:val="00B23492"/>
    <w:rsid w:val="00B25945"/>
    <w:rsid w:val="00B261C9"/>
    <w:rsid w:val="00B26A7A"/>
    <w:rsid w:val="00B2753B"/>
    <w:rsid w:val="00B30CF3"/>
    <w:rsid w:val="00B30EAD"/>
    <w:rsid w:val="00B314F7"/>
    <w:rsid w:val="00B3180D"/>
    <w:rsid w:val="00B32351"/>
    <w:rsid w:val="00B33128"/>
    <w:rsid w:val="00B3328E"/>
    <w:rsid w:val="00B33CCC"/>
    <w:rsid w:val="00B356D4"/>
    <w:rsid w:val="00B357C4"/>
    <w:rsid w:val="00B36087"/>
    <w:rsid w:val="00B3638B"/>
    <w:rsid w:val="00B367CC"/>
    <w:rsid w:val="00B37344"/>
    <w:rsid w:val="00B40A47"/>
    <w:rsid w:val="00B43172"/>
    <w:rsid w:val="00B43399"/>
    <w:rsid w:val="00B4359E"/>
    <w:rsid w:val="00B450A2"/>
    <w:rsid w:val="00B4600D"/>
    <w:rsid w:val="00B46D8D"/>
    <w:rsid w:val="00B470E0"/>
    <w:rsid w:val="00B4783D"/>
    <w:rsid w:val="00B47BB9"/>
    <w:rsid w:val="00B5070B"/>
    <w:rsid w:val="00B5113D"/>
    <w:rsid w:val="00B51364"/>
    <w:rsid w:val="00B51D01"/>
    <w:rsid w:val="00B53D7A"/>
    <w:rsid w:val="00B53E3E"/>
    <w:rsid w:val="00B554B2"/>
    <w:rsid w:val="00B557B3"/>
    <w:rsid w:val="00B55D97"/>
    <w:rsid w:val="00B56DBB"/>
    <w:rsid w:val="00B56E80"/>
    <w:rsid w:val="00B601B2"/>
    <w:rsid w:val="00B609BB"/>
    <w:rsid w:val="00B60D51"/>
    <w:rsid w:val="00B61285"/>
    <w:rsid w:val="00B63055"/>
    <w:rsid w:val="00B63243"/>
    <w:rsid w:val="00B634F4"/>
    <w:rsid w:val="00B64C60"/>
    <w:rsid w:val="00B64D26"/>
    <w:rsid w:val="00B64E59"/>
    <w:rsid w:val="00B65A32"/>
    <w:rsid w:val="00B70EF6"/>
    <w:rsid w:val="00B70F6F"/>
    <w:rsid w:val="00B70F70"/>
    <w:rsid w:val="00B71B01"/>
    <w:rsid w:val="00B730F0"/>
    <w:rsid w:val="00B73F00"/>
    <w:rsid w:val="00B7481D"/>
    <w:rsid w:val="00B74B94"/>
    <w:rsid w:val="00B75024"/>
    <w:rsid w:val="00B753A3"/>
    <w:rsid w:val="00B7599A"/>
    <w:rsid w:val="00B75F02"/>
    <w:rsid w:val="00B77425"/>
    <w:rsid w:val="00B817F2"/>
    <w:rsid w:val="00B819B5"/>
    <w:rsid w:val="00B8263B"/>
    <w:rsid w:val="00B82692"/>
    <w:rsid w:val="00B82959"/>
    <w:rsid w:val="00B83284"/>
    <w:rsid w:val="00B833AC"/>
    <w:rsid w:val="00B84350"/>
    <w:rsid w:val="00B858FA"/>
    <w:rsid w:val="00B85A96"/>
    <w:rsid w:val="00B87569"/>
    <w:rsid w:val="00B87AE9"/>
    <w:rsid w:val="00B91F8D"/>
    <w:rsid w:val="00B92074"/>
    <w:rsid w:val="00B926C0"/>
    <w:rsid w:val="00B93DE0"/>
    <w:rsid w:val="00B94370"/>
    <w:rsid w:val="00B96040"/>
    <w:rsid w:val="00B96AC3"/>
    <w:rsid w:val="00BA0837"/>
    <w:rsid w:val="00BA1099"/>
    <w:rsid w:val="00BA1D81"/>
    <w:rsid w:val="00BA208E"/>
    <w:rsid w:val="00BA24BE"/>
    <w:rsid w:val="00BA3B11"/>
    <w:rsid w:val="00BA501E"/>
    <w:rsid w:val="00BA6334"/>
    <w:rsid w:val="00BA6527"/>
    <w:rsid w:val="00BA6591"/>
    <w:rsid w:val="00BA6B2F"/>
    <w:rsid w:val="00BA7695"/>
    <w:rsid w:val="00BB0FC1"/>
    <w:rsid w:val="00BB165B"/>
    <w:rsid w:val="00BB175D"/>
    <w:rsid w:val="00BB33B6"/>
    <w:rsid w:val="00BB37C5"/>
    <w:rsid w:val="00BB3F88"/>
    <w:rsid w:val="00BB537E"/>
    <w:rsid w:val="00BC0B19"/>
    <w:rsid w:val="00BC1918"/>
    <w:rsid w:val="00BC1E19"/>
    <w:rsid w:val="00BC28F6"/>
    <w:rsid w:val="00BC2959"/>
    <w:rsid w:val="00BC317E"/>
    <w:rsid w:val="00BC380A"/>
    <w:rsid w:val="00BC4377"/>
    <w:rsid w:val="00BC4514"/>
    <w:rsid w:val="00BC53F0"/>
    <w:rsid w:val="00BC583D"/>
    <w:rsid w:val="00BC7C29"/>
    <w:rsid w:val="00BD0860"/>
    <w:rsid w:val="00BD1D5D"/>
    <w:rsid w:val="00BD2379"/>
    <w:rsid w:val="00BD41E2"/>
    <w:rsid w:val="00BD4896"/>
    <w:rsid w:val="00BD5867"/>
    <w:rsid w:val="00BD5967"/>
    <w:rsid w:val="00BD5F61"/>
    <w:rsid w:val="00BD7115"/>
    <w:rsid w:val="00BD76BD"/>
    <w:rsid w:val="00BE01BC"/>
    <w:rsid w:val="00BE0AA2"/>
    <w:rsid w:val="00BE0EAB"/>
    <w:rsid w:val="00BE1714"/>
    <w:rsid w:val="00BE52C1"/>
    <w:rsid w:val="00BE5439"/>
    <w:rsid w:val="00BE5812"/>
    <w:rsid w:val="00BE5AA1"/>
    <w:rsid w:val="00BE75B8"/>
    <w:rsid w:val="00BE7A9C"/>
    <w:rsid w:val="00BF0246"/>
    <w:rsid w:val="00BF1669"/>
    <w:rsid w:val="00BF1A1C"/>
    <w:rsid w:val="00BF2333"/>
    <w:rsid w:val="00BF498D"/>
    <w:rsid w:val="00BF7415"/>
    <w:rsid w:val="00C016F9"/>
    <w:rsid w:val="00C02908"/>
    <w:rsid w:val="00C0377D"/>
    <w:rsid w:val="00C048E3"/>
    <w:rsid w:val="00C05F4D"/>
    <w:rsid w:val="00C06046"/>
    <w:rsid w:val="00C061D2"/>
    <w:rsid w:val="00C065F7"/>
    <w:rsid w:val="00C074E5"/>
    <w:rsid w:val="00C10A51"/>
    <w:rsid w:val="00C11763"/>
    <w:rsid w:val="00C1186E"/>
    <w:rsid w:val="00C11B17"/>
    <w:rsid w:val="00C11B40"/>
    <w:rsid w:val="00C11F20"/>
    <w:rsid w:val="00C11F63"/>
    <w:rsid w:val="00C126F9"/>
    <w:rsid w:val="00C13242"/>
    <w:rsid w:val="00C139EB"/>
    <w:rsid w:val="00C142D9"/>
    <w:rsid w:val="00C1722E"/>
    <w:rsid w:val="00C209D9"/>
    <w:rsid w:val="00C20EF1"/>
    <w:rsid w:val="00C213D6"/>
    <w:rsid w:val="00C215D7"/>
    <w:rsid w:val="00C21E5F"/>
    <w:rsid w:val="00C22955"/>
    <w:rsid w:val="00C23F6F"/>
    <w:rsid w:val="00C254D7"/>
    <w:rsid w:val="00C25F80"/>
    <w:rsid w:val="00C26577"/>
    <w:rsid w:val="00C272D5"/>
    <w:rsid w:val="00C30E70"/>
    <w:rsid w:val="00C348BA"/>
    <w:rsid w:val="00C368BE"/>
    <w:rsid w:val="00C378DA"/>
    <w:rsid w:val="00C37AD3"/>
    <w:rsid w:val="00C41BB0"/>
    <w:rsid w:val="00C424CC"/>
    <w:rsid w:val="00C427A5"/>
    <w:rsid w:val="00C4359E"/>
    <w:rsid w:val="00C43698"/>
    <w:rsid w:val="00C44707"/>
    <w:rsid w:val="00C4485C"/>
    <w:rsid w:val="00C45122"/>
    <w:rsid w:val="00C45508"/>
    <w:rsid w:val="00C46DF0"/>
    <w:rsid w:val="00C47040"/>
    <w:rsid w:val="00C50FAC"/>
    <w:rsid w:val="00C51716"/>
    <w:rsid w:val="00C53A79"/>
    <w:rsid w:val="00C5464A"/>
    <w:rsid w:val="00C577DB"/>
    <w:rsid w:val="00C579CA"/>
    <w:rsid w:val="00C623FB"/>
    <w:rsid w:val="00C632FB"/>
    <w:rsid w:val="00C6586F"/>
    <w:rsid w:val="00C65BF2"/>
    <w:rsid w:val="00C66193"/>
    <w:rsid w:val="00C6620A"/>
    <w:rsid w:val="00C66B64"/>
    <w:rsid w:val="00C67330"/>
    <w:rsid w:val="00C67713"/>
    <w:rsid w:val="00C678EB"/>
    <w:rsid w:val="00C67A2C"/>
    <w:rsid w:val="00C67E93"/>
    <w:rsid w:val="00C70B71"/>
    <w:rsid w:val="00C7139F"/>
    <w:rsid w:val="00C72555"/>
    <w:rsid w:val="00C744BD"/>
    <w:rsid w:val="00C74C40"/>
    <w:rsid w:val="00C75267"/>
    <w:rsid w:val="00C76B42"/>
    <w:rsid w:val="00C77971"/>
    <w:rsid w:val="00C77E65"/>
    <w:rsid w:val="00C80E98"/>
    <w:rsid w:val="00C81757"/>
    <w:rsid w:val="00C86D0D"/>
    <w:rsid w:val="00C87FA0"/>
    <w:rsid w:val="00C90811"/>
    <w:rsid w:val="00C9198D"/>
    <w:rsid w:val="00C9291F"/>
    <w:rsid w:val="00C93363"/>
    <w:rsid w:val="00C933F0"/>
    <w:rsid w:val="00C9382E"/>
    <w:rsid w:val="00C944BB"/>
    <w:rsid w:val="00C94BB0"/>
    <w:rsid w:val="00C94DC5"/>
    <w:rsid w:val="00C95377"/>
    <w:rsid w:val="00C95557"/>
    <w:rsid w:val="00C95D76"/>
    <w:rsid w:val="00C96048"/>
    <w:rsid w:val="00C96BAC"/>
    <w:rsid w:val="00C97A80"/>
    <w:rsid w:val="00CA034C"/>
    <w:rsid w:val="00CA0897"/>
    <w:rsid w:val="00CA0ABE"/>
    <w:rsid w:val="00CA11CB"/>
    <w:rsid w:val="00CA385F"/>
    <w:rsid w:val="00CA3D0F"/>
    <w:rsid w:val="00CA4294"/>
    <w:rsid w:val="00CA4DF6"/>
    <w:rsid w:val="00CA6CE9"/>
    <w:rsid w:val="00CA6EB7"/>
    <w:rsid w:val="00CA7171"/>
    <w:rsid w:val="00CA7192"/>
    <w:rsid w:val="00CA7C6F"/>
    <w:rsid w:val="00CB0DAF"/>
    <w:rsid w:val="00CB0E10"/>
    <w:rsid w:val="00CB11BE"/>
    <w:rsid w:val="00CB29B5"/>
    <w:rsid w:val="00CB2DDA"/>
    <w:rsid w:val="00CB5EEF"/>
    <w:rsid w:val="00CB7633"/>
    <w:rsid w:val="00CB770D"/>
    <w:rsid w:val="00CC074B"/>
    <w:rsid w:val="00CC11E2"/>
    <w:rsid w:val="00CC185A"/>
    <w:rsid w:val="00CC21AA"/>
    <w:rsid w:val="00CC2F03"/>
    <w:rsid w:val="00CC3134"/>
    <w:rsid w:val="00CC39AB"/>
    <w:rsid w:val="00CC4458"/>
    <w:rsid w:val="00CC6897"/>
    <w:rsid w:val="00CC7D56"/>
    <w:rsid w:val="00CD2771"/>
    <w:rsid w:val="00CD3878"/>
    <w:rsid w:val="00CD3F4A"/>
    <w:rsid w:val="00CD4AC5"/>
    <w:rsid w:val="00CD5C9F"/>
    <w:rsid w:val="00CD6B37"/>
    <w:rsid w:val="00CD6C60"/>
    <w:rsid w:val="00CD7194"/>
    <w:rsid w:val="00CE015B"/>
    <w:rsid w:val="00CE0727"/>
    <w:rsid w:val="00CE0BAA"/>
    <w:rsid w:val="00CE131C"/>
    <w:rsid w:val="00CE1A13"/>
    <w:rsid w:val="00CE28D6"/>
    <w:rsid w:val="00CE37DA"/>
    <w:rsid w:val="00CE3A86"/>
    <w:rsid w:val="00CE3C8A"/>
    <w:rsid w:val="00CE3CCB"/>
    <w:rsid w:val="00CE4710"/>
    <w:rsid w:val="00CE48A3"/>
    <w:rsid w:val="00CF2170"/>
    <w:rsid w:val="00CF51D0"/>
    <w:rsid w:val="00CF67A3"/>
    <w:rsid w:val="00CF7129"/>
    <w:rsid w:val="00CF75A1"/>
    <w:rsid w:val="00D037F9"/>
    <w:rsid w:val="00D0415B"/>
    <w:rsid w:val="00D04C8A"/>
    <w:rsid w:val="00D0574A"/>
    <w:rsid w:val="00D066D7"/>
    <w:rsid w:val="00D06809"/>
    <w:rsid w:val="00D06894"/>
    <w:rsid w:val="00D06BAA"/>
    <w:rsid w:val="00D079AA"/>
    <w:rsid w:val="00D11B6F"/>
    <w:rsid w:val="00D11E4D"/>
    <w:rsid w:val="00D12134"/>
    <w:rsid w:val="00D13439"/>
    <w:rsid w:val="00D1357C"/>
    <w:rsid w:val="00D14073"/>
    <w:rsid w:val="00D14F1D"/>
    <w:rsid w:val="00D16496"/>
    <w:rsid w:val="00D165B2"/>
    <w:rsid w:val="00D16952"/>
    <w:rsid w:val="00D1739E"/>
    <w:rsid w:val="00D175DA"/>
    <w:rsid w:val="00D204F1"/>
    <w:rsid w:val="00D214C8"/>
    <w:rsid w:val="00D2345C"/>
    <w:rsid w:val="00D240FC"/>
    <w:rsid w:val="00D24818"/>
    <w:rsid w:val="00D27BEC"/>
    <w:rsid w:val="00D301BB"/>
    <w:rsid w:val="00D33C63"/>
    <w:rsid w:val="00D347BE"/>
    <w:rsid w:val="00D34B61"/>
    <w:rsid w:val="00D353FD"/>
    <w:rsid w:val="00D362EC"/>
    <w:rsid w:val="00D36C06"/>
    <w:rsid w:val="00D40CA4"/>
    <w:rsid w:val="00D41BAC"/>
    <w:rsid w:val="00D4327F"/>
    <w:rsid w:val="00D43F71"/>
    <w:rsid w:val="00D45064"/>
    <w:rsid w:val="00D45C4E"/>
    <w:rsid w:val="00D45C85"/>
    <w:rsid w:val="00D45D89"/>
    <w:rsid w:val="00D471D5"/>
    <w:rsid w:val="00D47860"/>
    <w:rsid w:val="00D526E5"/>
    <w:rsid w:val="00D527D2"/>
    <w:rsid w:val="00D52A81"/>
    <w:rsid w:val="00D5333A"/>
    <w:rsid w:val="00D5434D"/>
    <w:rsid w:val="00D5461E"/>
    <w:rsid w:val="00D5468F"/>
    <w:rsid w:val="00D57B35"/>
    <w:rsid w:val="00D57C8E"/>
    <w:rsid w:val="00D57EE9"/>
    <w:rsid w:val="00D57F4B"/>
    <w:rsid w:val="00D60208"/>
    <w:rsid w:val="00D604FC"/>
    <w:rsid w:val="00D60C2D"/>
    <w:rsid w:val="00D62FF3"/>
    <w:rsid w:val="00D645B9"/>
    <w:rsid w:val="00D662D4"/>
    <w:rsid w:val="00D676E3"/>
    <w:rsid w:val="00D706E5"/>
    <w:rsid w:val="00D71A12"/>
    <w:rsid w:val="00D71F75"/>
    <w:rsid w:val="00D735EC"/>
    <w:rsid w:val="00D73C9A"/>
    <w:rsid w:val="00D73DB4"/>
    <w:rsid w:val="00D73DD9"/>
    <w:rsid w:val="00D740CC"/>
    <w:rsid w:val="00D74892"/>
    <w:rsid w:val="00D74C6A"/>
    <w:rsid w:val="00D7548A"/>
    <w:rsid w:val="00D75DA2"/>
    <w:rsid w:val="00D76685"/>
    <w:rsid w:val="00D7701F"/>
    <w:rsid w:val="00D77DA5"/>
    <w:rsid w:val="00D808B1"/>
    <w:rsid w:val="00D830E4"/>
    <w:rsid w:val="00D839A8"/>
    <w:rsid w:val="00D83D66"/>
    <w:rsid w:val="00D846CE"/>
    <w:rsid w:val="00D8480A"/>
    <w:rsid w:val="00D84839"/>
    <w:rsid w:val="00D863B5"/>
    <w:rsid w:val="00D86606"/>
    <w:rsid w:val="00D8670B"/>
    <w:rsid w:val="00D87D25"/>
    <w:rsid w:val="00D9130B"/>
    <w:rsid w:val="00D924CA"/>
    <w:rsid w:val="00D9333A"/>
    <w:rsid w:val="00D9384C"/>
    <w:rsid w:val="00D93A3F"/>
    <w:rsid w:val="00D94353"/>
    <w:rsid w:val="00D94D17"/>
    <w:rsid w:val="00D957C2"/>
    <w:rsid w:val="00D96C52"/>
    <w:rsid w:val="00D96DC7"/>
    <w:rsid w:val="00D97320"/>
    <w:rsid w:val="00DA220A"/>
    <w:rsid w:val="00DA241E"/>
    <w:rsid w:val="00DA2F0E"/>
    <w:rsid w:val="00DA351A"/>
    <w:rsid w:val="00DA642C"/>
    <w:rsid w:val="00DA72A8"/>
    <w:rsid w:val="00DA79A8"/>
    <w:rsid w:val="00DB05B2"/>
    <w:rsid w:val="00DB15CB"/>
    <w:rsid w:val="00DB16C3"/>
    <w:rsid w:val="00DB17AF"/>
    <w:rsid w:val="00DB17D8"/>
    <w:rsid w:val="00DB23DE"/>
    <w:rsid w:val="00DB2DE3"/>
    <w:rsid w:val="00DB37B2"/>
    <w:rsid w:val="00DB40D3"/>
    <w:rsid w:val="00DB56A4"/>
    <w:rsid w:val="00DB60FF"/>
    <w:rsid w:val="00DC09AB"/>
    <w:rsid w:val="00DC19D1"/>
    <w:rsid w:val="00DC1C15"/>
    <w:rsid w:val="00DC2194"/>
    <w:rsid w:val="00DC2FA1"/>
    <w:rsid w:val="00DC449C"/>
    <w:rsid w:val="00DC56F1"/>
    <w:rsid w:val="00DC6996"/>
    <w:rsid w:val="00DC6DB6"/>
    <w:rsid w:val="00DD15E4"/>
    <w:rsid w:val="00DD2FFF"/>
    <w:rsid w:val="00DD5238"/>
    <w:rsid w:val="00DD5300"/>
    <w:rsid w:val="00DD652F"/>
    <w:rsid w:val="00DD6E5D"/>
    <w:rsid w:val="00DE0180"/>
    <w:rsid w:val="00DE06A9"/>
    <w:rsid w:val="00DE0F69"/>
    <w:rsid w:val="00DE12D0"/>
    <w:rsid w:val="00DE2D72"/>
    <w:rsid w:val="00DE3A10"/>
    <w:rsid w:val="00DE3E42"/>
    <w:rsid w:val="00DE418D"/>
    <w:rsid w:val="00DE45B0"/>
    <w:rsid w:val="00DE6ADD"/>
    <w:rsid w:val="00DE6F60"/>
    <w:rsid w:val="00DE7009"/>
    <w:rsid w:val="00DF0D35"/>
    <w:rsid w:val="00DF18CB"/>
    <w:rsid w:val="00DF31DC"/>
    <w:rsid w:val="00DF31F3"/>
    <w:rsid w:val="00DF45BB"/>
    <w:rsid w:val="00DF4E9C"/>
    <w:rsid w:val="00DF5EA3"/>
    <w:rsid w:val="00DF6FED"/>
    <w:rsid w:val="00DF7548"/>
    <w:rsid w:val="00DF77AE"/>
    <w:rsid w:val="00E019B7"/>
    <w:rsid w:val="00E02255"/>
    <w:rsid w:val="00E028DE"/>
    <w:rsid w:val="00E0291B"/>
    <w:rsid w:val="00E02D61"/>
    <w:rsid w:val="00E0475B"/>
    <w:rsid w:val="00E04AD4"/>
    <w:rsid w:val="00E05371"/>
    <w:rsid w:val="00E05A40"/>
    <w:rsid w:val="00E068BE"/>
    <w:rsid w:val="00E06988"/>
    <w:rsid w:val="00E06A42"/>
    <w:rsid w:val="00E070E0"/>
    <w:rsid w:val="00E1328E"/>
    <w:rsid w:val="00E14281"/>
    <w:rsid w:val="00E14BC9"/>
    <w:rsid w:val="00E14D34"/>
    <w:rsid w:val="00E15FF6"/>
    <w:rsid w:val="00E164D1"/>
    <w:rsid w:val="00E16C04"/>
    <w:rsid w:val="00E2149C"/>
    <w:rsid w:val="00E218FC"/>
    <w:rsid w:val="00E229C8"/>
    <w:rsid w:val="00E23C0F"/>
    <w:rsid w:val="00E26768"/>
    <w:rsid w:val="00E27D76"/>
    <w:rsid w:val="00E30428"/>
    <w:rsid w:val="00E310C9"/>
    <w:rsid w:val="00E31B2A"/>
    <w:rsid w:val="00E32CB6"/>
    <w:rsid w:val="00E3309A"/>
    <w:rsid w:val="00E33888"/>
    <w:rsid w:val="00E33A5C"/>
    <w:rsid w:val="00E34FB9"/>
    <w:rsid w:val="00E354D1"/>
    <w:rsid w:val="00E35CB7"/>
    <w:rsid w:val="00E3763A"/>
    <w:rsid w:val="00E3767D"/>
    <w:rsid w:val="00E37711"/>
    <w:rsid w:val="00E37D36"/>
    <w:rsid w:val="00E41CE1"/>
    <w:rsid w:val="00E42973"/>
    <w:rsid w:val="00E42EFB"/>
    <w:rsid w:val="00E4368A"/>
    <w:rsid w:val="00E44A7B"/>
    <w:rsid w:val="00E4529E"/>
    <w:rsid w:val="00E455CA"/>
    <w:rsid w:val="00E4636A"/>
    <w:rsid w:val="00E474A5"/>
    <w:rsid w:val="00E47A21"/>
    <w:rsid w:val="00E506E8"/>
    <w:rsid w:val="00E50AD1"/>
    <w:rsid w:val="00E51FC0"/>
    <w:rsid w:val="00E520E2"/>
    <w:rsid w:val="00E52A50"/>
    <w:rsid w:val="00E53769"/>
    <w:rsid w:val="00E5482A"/>
    <w:rsid w:val="00E54F02"/>
    <w:rsid w:val="00E5505A"/>
    <w:rsid w:val="00E5556B"/>
    <w:rsid w:val="00E57030"/>
    <w:rsid w:val="00E572BB"/>
    <w:rsid w:val="00E57C55"/>
    <w:rsid w:val="00E6033C"/>
    <w:rsid w:val="00E61504"/>
    <w:rsid w:val="00E6284D"/>
    <w:rsid w:val="00E62987"/>
    <w:rsid w:val="00E6606D"/>
    <w:rsid w:val="00E66CF4"/>
    <w:rsid w:val="00E70620"/>
    <w:rsid w:val="00E7074E"/>
    <w:rsid w:val="00E70FC3"/>
    <w:rsid w:val="00E7185A"/>
    <w:rsid w:val="00E7265A"/>
    <w:rsid w:val="00E7265B"/>
    <w:rsid w:val="00E73341"/>
    <w:rsid w:val="00E7391B"/>
    <w:rsid w:val="00E757AC"/>
    <w:rsid w:val="00E77106"/>
    <w:rsid w:val="00E7799A"/>
    <w:rsid w:val="00E8024B"/>
    <w:rsid w:val="00E815EA"/>
    <w:rsid w:val="00E83B71"/>
    <w:rsid w:val="00E846EC"/>
    <w:rsid w:val="00E86CD0"/>
    <w:rsid w:val="00E872F9"/>
    <w:rsid w:val="00E875FC"/>
    <w:rsid w:val="00E90045"/>
    <w:rsid w:val="00E906DF"/>
    <w:rsid w:val="00E90C8C"/>
    <w:rsid w:val="00E919EE"/>
    <w:rsid w:val="00E92191"/>
    <w:rsid w:val="00E92245"/>
    <w:rsid w:val="00E92B30"/>
    <w:rsid w:val="00E935A7"/>
    <w:rsid w:val="00E9381B"/>
    <w:rsid w:val="00E947E8"/>
    <w:rsid w:val="00E95419"/>
    <w:rsid w:val="00E97C4D"/>
    <w:rsid w:val="00EA00BD"/>
    <w:rsid w:val="00EA2D02"/>
    <w:rsid w:val="00EA31D2"/>
    <w:rsid w:val="00EA329E"/>
    <w:rsid w:val="00EA3BF8"/>
    <w:rsid w:val="00EA693E"/>
    <w:rsid w:val="00EA7349"/>
    <w:rsid w:val="00EA7EDF"/>
    <w:rsid w:val="00EB012B"/>
    <w:rsid w:val="00EB0EDA"/>
    <w:rsid w:val="00EB2222"/>
    <w:rsid w:val="00EB22E6"/>
    <w:rsid w:val="00EB26A1"/>
    <w:rsid w:val="00EB36D4"/>
    <w:rsid w:val="00EB4424"/>
    <w:rsid w:val="00EB4ADD"/>
    <w:rsid w:val="00EB4FF8"/>
    <w:rsid w:val="00EB57C5"/>
    <w:rsid w:val="00EB5B9A"/>
    <w:rsid w:val="00EB62E4"/>
    <w:rsid w:val="00EB6B5E"/>
    <w:rsid w:val="00EB6BE8"/>
    <w:rsid w:val="00EB7BAD"/>
    <w:rsid w:val="00EB7FB2"/>
    <w:rsid w:val="00EC0F20"/>
    <w:rsid w:val="00EC12A9"/>
    <w:rsid w:val="00EC1860"/>
    <w:rsid w:val="00EC1899"/>
    <w:rsid w:val="00EC2360"/>
    <w:rsid w:val="00EC314C"/>
    <w:rsid w:val="00EC4102"/>
    <w:rsid w:val="00EC45D9"/>
    <w:rsid w:val="00EC531E"/>
    <w:rsid w:val="00EC5AAE"/>
    <w:rsid w:val="00EC76C1"/>
    <w:rsid w:val="00EC7CA2"/>
    <w:rsid w:val="00ED091B"/>
    <w:rsid w:val="00ED094B"/>
    <w:rsid w:val="00ED10ED"/>
    <w:rsid w:val="00ED17E8"/>
    <w:rsid w:val="00ED4246"/>
    <w:rsid w:val="00ED4CF2"/>
    <w:rsid w:val="00ED7ABE"/>
    <w:rsid w:val="00EE19D6"/>
    <w:rsid w:val="00EE2093"/>
    <w:rsid w:val="00EE20D0"/>
    <w:rsid w:val="00EE21E6"/>
    <w:rsid w:val="00EE3087"/>
    <w:rsid w:val="00EE35C2"/>
    <w:rsid w:val="00EE604A"/>
    <w:rsid w:val="00EE728F"/>
    <w:rsid w:val="00EF0AE2"/>
    <w:rsid w:val="00EF1037"/>
    <w:rsid w:val="00EF14CD"/>
    <w:rsid w:val="00EF1732"/>
    <w:rsid w:val="00EF2597"/>
    <w:rsid w:val="00EF36A4"/>
    <w:rsid w:val="00EF59A1"/>
    <w:rsid w:val="00EF6957"/>
    <w:rsid w:val="00F00955"/>
    <w:rsid w:val="00F025B3"/>
    <w:rsid w:val="00F02F9B"/>
    <w:rsid w:val="00F04640"/>
    <w:rsid w:val="00F04802"/>
    <w:rsid w:val="00F04FC2"/>
    <w:rsid w:val="00F05E40"/>
    <w:rsid w:val="00F07054"/>
    <w:rsid w:val="00F0784F"/>
    <w:rsid w:val="00F07C22"/>
    <w:rsid w:val="00F1026B"/>
    <w:rsid w:val="00F1219C"/>
    <w:rsid w:val="00F1254F"/>
    <w:rsid w:val="00F12774"/>
    <w:rsid w:val="00F13D75"/>
    <w:rsid w:val="00F140BF"/>
    <w:rsid w:val="00F147F1"/>
    <w:rsid w:val="00F14EE5"/>
    <w:rsid w:val="00F15B2C"/>
    <w:rsid w:val="00F16C41"/>
    <w:rsid w:val="00F16F20"/>
    <w:rsid w:val="00F17E4A"/>
    <w:rsid w:val="00F17FFB"/>
    <w:rsid w:val="00F20845"/>
    <w:rsid w:val="00F2096A"/>
    <w:rsid w:val="00F218AF"/>
    <w:rsid w:val="00F21AB5"/>
    <w:rsid w:val="00F22D84"/>
    <w:rsid w:val="00F2368B"/>
    <w:rsid w:val="00F25175"/>
    <w:rsid w:val="00F26C05"/>
    <w:rsid w:val="00F300F1"/>
    <w:rsid w:val="00F3029F"/>
    <w:rsid w:val="00F308BA"/>
    <w:rsid w:val="00F30F0E"/>
    <w:rsid w:val="00F312F4"/>
    <w:rsid w:val="00F31A1C"/>
    <w:rsid w:val="00F31C4D"/>
    <w:rsid w:val="00F32B3D"/>
    <w:rsid w:val="00F3365A"/>
    <w:rsid w:val="00F33CD9"/>
    <w:rsid w:val="00F33D4B"/>
    <w:rsid w:val="00F347DE"/>
    <w:rsid w:val="00F35135"/>
    <w:rsid w:val="00F353A6"/>
    <w:rsid w:val="00F36D07"/>
    <w:rsid w:val="00F400AB"/>
    <w:rsid w:val="00F41356"/>
    <w:rsid w:val="00F4162C"/>
    <w:rsid w:val="00F422E8"/>
    <w:rsid w:val="00F43E43"/>
    <w:rsid w:val="00F446FE"/>
    <w:rsid w:val="00F45791"/>
    <w:rsid w:val="00F45C7A"/>
    <w:rsid w:val="00F45FFD"/>
    <w:rsid w:val="00F46299"/>
    <w:rsid w:val="00F468A7"/>
    <w:rsid w:val="00F47AB0"/>
    <w:rsid w:val="00F50167"/>
    <w:rsid w:val="00F5174A"/>
    <w:rsid w:val="00F51C41"/>
    <w:rsid w:val="00F53033"/>
    <w:rsid w:val="00F5447F"/>
    <w:rsid w:val="00F54B36"/>
    <w:rsid w:val="00F563BD"/>
    <w:rsid w:val="00F5690E"/>
    <w:rsid w:val="00F573A2"/>
    <w:rsid w:val="00F579CD"/>
    <w:rsid w:val="00F57C82"/>
    <w:rsid w:val="00F603FB"/>
    <w:rsid w:val="00F6108C"/>
    <w:rsid w:val="00F61C93"/>
    <w:rsid w:val="00F628C0"/>
    <w:rsid w:val="00F6459E"/>
    <w:rsid w:val="00F66950"/>
    <w:rsid w:val="00F669AA"/>
    <w:rsid w:val="00F66F27"/>
    <w:rsid w:val="00F70670"/>
    <w:rsid w:val="00F71642"/>
    <w:rsid w:val="00F717D5"/>
    <w:rsid w:val="00F72187"/>
    <w:rsid w:val="00F72DBC"/>
    <w:rsid w:val="00F730BB"/>
    <w:rsid w:val="00F73342"/>
    <w:rsid w:val="00F73CE6"/>
    <w:rsid w:val="00F73E17"/>
    <w:rsid w:val="00F74182"/>
    <w:rsid w:val="00F76184"/>
    <w:rsid w:val="00F76417"/>
    <w:rsid w:val="00F76924"/>
    <w:rsid w:val="00F7795E"/>
    <w:rsid w:val="00F8000C"/>
    <w:rsid w:val="00F8111D"/>
    <w:rsid w:val="00F82710"/>
    <w:rsid w:val="00F82B15"/>
    <w:rsid w:val="00F831D4"/>
    <w:rsid w:val="00F8364E"/>
    <w:rsid w:val="00F8412D"/>
    <w:rsid w:val="00F84461"/>
    <w:rsid w:val="00F849E4"/>
    <w:rsid w:val="00F85A5B"/>
    <w:rsid w:val="00F87B11"/>
    <w:rsid w:val="00F912B7"/>
    <w:rsid w:val="00F91EE1"/>
    <w:rsid w:val="00F92055"/>
    <w:rsid w:val="00F921CF"/>
    <w:rsid w:val="00F92EF7"/>
    <w:rsid w:val="00F9376E"/>
    <w:rsid w:val="00F946F2"/>
    <w:rsid w:val="00F94977"/>
    <w:rsid w:val="00F94A3B"/>
    <w:rsid w:val="00F956C2"/>
    <w:rsid w:val="00FA104A"/>
    <w:rsid w:val="00FA3151"/>
    <w:rsid w:val="00FA54FD"/>
    <w:rsid w:val="00FA5FA4"/>
    <w:rsid w:val="00FA6E45"/>
    <w:rsid w:val="00FB01C8"/>
    <w:rsid w:val="00FB0208"/>
    <w:rsid w:val="00FB0B6C"/>
    <w:rsid w:val="00FB154D"/>
    <w:rsid w:val="00FB1758"/>
    <w:rsid w:val="00FB2A11"/>
    <w:rsid w:val="00FB5438"/>
    <w:rsid w:val="00FB6F33"/>
    <w:rsid w:val="00FB71C0"/>
    <w:rsid w:val="00FB7874"/>
    <w:rsid w:val="00FB7C0D"/>
    <w:rsid w:val="00FB7E09"/>
    <w:rsid w:val="00FC1431"/>
    <w:rsid w:val="00FC1C1E"/>
    <w:rsid w:val="00FC24B5"/>
    <w:rsid w:val="00FC3D52"/>
    <w:rsid w:val="00FC434F"/>
    <w:rsid w:val="00FC4AFC"/>
    <w:rsid w:val="00FC6A5F"/>
    <w:rsid w:val="00FD0C42"/>
    <w:rsid w:val="00FD1113"/>
    <w:rsid w:val="00FD1B8A"/>
    <w:rsid w:val="00FD3D99"/>
    <w:rsid w:val="00FD63F9"/>
    <w:rsid w:val="00FD6892"/>
    <w:rsid w:val="00FD6E0C"/>
    <w:rsid w:val="00FE0726"/>
    <w:rsid w:val="00FE11CD"/>
    <w:rsid w:val="00FE1508"/>
    <w:rsid w:val="00FE190D"/>
    <w:rsid w:val="00FE19E0"/>
    <w:rsid w:val="00FE3617"/>
    <w:rsid w:val="00FE49DA"/>
    <w:rsid w:val="00FE52B1"/>
    <w:rsid w:val="00FE5BFF"/>
    <w:rsid w:val="00FE5CEE"/>
    <w:rsid w:val="00FE739D"/>
    <w:rsid w:val="00FE7568"/>
    <w:rsid w:val="00FE7F26"/>
    <w:rsid w:val="00FE7FAA"/>
    <w:rsid w:val="00FF0987"/>
    <w:rsid w:val="00FF0A10"/>
    <w:rsid w:val="00FF0C6C"/>
    <w:rsid w:val="00FF10BE"/>
    <w:rsid w:val="00FF37D1"/>
    <w:rsid w:val="00FF4A8F"/>
    <w:rsid w:val="00FF4F87"/>
    <w:rsid w:val="00FF57C7"/>
    <w:rsid w:val="00FF649E"/>
    <w:rsid w:val="00FF682F"/>
    <w:rsid w:val="00FF76B7"/>
    <w:rsid w:val="2F868C87"/>
    <w:rsid w:val="37E70AA5"/>
    <w:rsid w:val="46BBF08A"/>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DE523"/>
  <w15:docId w15:val="{53F133F9-2C68-475B-8875-BAB89620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EAF"/>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2"/>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uiPriority w:val="99"/>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340B8"/>
    <w:rPr>
      <w:sz w:val="16"/>
      <w:szCs w:val="16"/>
    </w:rPr>
  </w:style>
  <w:style w:type="paragraph" w:styleId="Textocomentario">
    <w:name w:val="annotation text"/>
    <w:basedOn w:val="Normal"/>
    <w:link w:val="TextocomentarioCar"/>
    <w:uiPriority w:val="99"/>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rsid w:val="00B10A20"/>
    <w:rPr>
      <w:sz w:val="20"/>
      <w:szCs w:val="20"/>
    </w:rPr>
  </w:style>
  <w:style w:type="character" w:styleId="Refdenotaalpie">
    <w:name w:val="footnote reference"/>
    <w:basedOn w:val="Fuentedeprrafopredeter"/>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basedOn w:val="Normal"/>
    <w:link w:val="PrrafodelistaCar"/>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B1362A"/>
    <w:pPr>
      <w:tabs>
        <w:tab w:val="right" w:leader="dot" w:pos="8494"/>
      </w:tabs>
      <w:spacing w:after="100"/>
      <w:jc w:val="center"/>
    </w:pPr>
    <w:rPr>
      <w:rFonts w:ascii="Arial" w:hAnsi="Arial"/>
      <w:bCs/>
      <w:smallCaps/>
      <w:noProof/>
      <w:color w:val="000000" w:themeColor="text1"/>
      <w:spacing w:val="5"/>
      <w:sz w:val="28"/>
      <w:lang w:val="es-MX"/>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uiPriority w:val="99"/>
    <w:rsid w:val="003D7DEA"/>
    <w:rPr>
      <w:sz w:val="24"/>
      <w:szCs w:val="24"/>
    </w:rPr>
  </w:style>
  <w:style w:type="table" w:styleId="Listaclara-nfasis1">
    <w:name w:val="Light List Accent 1"/>
    <w:basedOn w:val="Tablanormal"/>
    <w:uiPriority w:val="61"/>
    <w:rsid w:val="00B21C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character" w:customStyle="1" w:styleId="TextocomentarioCar">
    <w:name w:val="Texto comentario Car"/>
    <w:basedOn w:val="Fuentedeprrafopredeter"/>
    <w:link w:val="Textocomentario"/>
    <w:uiPriority w:val="99"/>
    <w:semiHidden/>
    <w:rsid w:val="005702BA"/>
  </w:style>
  <w:style w:type="paragraph" w:styleId="Textoindependiente2">
    <w:name w:val="Body Text 2"/>
    <w:basedOn w:val="Normal"/>
    <w:link w:val="Textoindependiente2Car"/>
    <w:semiHidden/>
    <w:unhideWhenUsed/>
    <w:rsid w:val="00E14BC9"/>
    <w:pPr>
      <w:spacing w:after="120" w:line="480" w:lineRule="auto"/>
    </w:pPr>
  </w:style>
  <w:style w:type="character" w:customStyle="1" w:styleId="Textoindependiente2Car">
    <w:name w:val="Texto independiente 2 Car"/>
    <w:basedOn w:val="Fuentedeprrafopredeter"/>
    <w:link w:val="Textoindependiente2"/>
    <w:semiHidden/>
    <w:rsid w:val="00E14BC9"/>
    <w:rPr>
      <w:sz w:val="24"/>
      <w:szCs w:val="24"/>
    </w:rPr>
  </w:style>
  <w:style w:type="character" w:customStyle="1" w:styleId="Sangra2detindependienteCar">
    <w:name w:val="Sangría 2 de t. independiente Car"/>
    <w:link w:val="Sangra2detindependiente"/>
    <w:rsid w:val="002C24DE"/>
    <w:rPr>
      <w:sz w:val="24"/>
      <w:szCs w:val="24"/>
      <w:lang w:val="es-MX"/>
    </w:rPr>
  </w:style>
  <w:style w:type="paragraph" w:styleId="NormalWeb">
    <w:name w:val="Normal (Web)"/>
    <w:basedOn w:val="Normal"/>
    <w:uiPriority w:val="99"/>
    <w:semiHidden/>
    <w:unhideWhenUsed/>
    <w:rsid w:val="00EB26A1"/>
    <w:pPr>
      <w:spacing w:before="100" w:beforeAutospacing="1" w:after="100" w:afterAutospacing="1"/>
    </w:pPr>
  </w:style>
  <w:style w:type="character" w:customStyle="1" w:styleId="PrrafodelistaCar">
    <w:name w:val="Párrafo de lista Car"/>
    <w:link w:val="Prrafodelista"/>
    <w:uiPriority w:val="34"/>
    <w:locked/>
    <w:rsid w:val="00250FD4"/>
    <w:rPr>
      <w:sz w:val="24"/>
      <w:szCs w:val="24"/>
    </w:rPr>
  </w:style>
  <w:style w:type="character" w:customStyle="1" w:styleId="TextonotapieCar">
    <w:name w:val="Texto nota pie Car"/>
    <w:basedOn w:val="Fuentedeprrafopredeter"/>
    <w:link w:val="Textonotapie"/>
    <w:rsid w:val="00E3767D"/>
  </w:style>
  <w:style w:type="character" w:customStyle="1" w:styleId="Mencinsinresolver1">
    <w:name w:val="Mención sin resolver1"/>
    <w:basedOn w:val="Fuentedeprrafopredeter"/>
    <w:uiPriority w:val="99"/>
    <w:semiHidden/>
    <w:unhideWhenUsed/>
    <w:rsid w:val="007D4315"/>
    <w:rPr>
      <w:color w:val="605E5C"/>
      <w:shd w:val="clear" w:color="auto" w:fill="E1DFDD"/>
    </w:rPr>
  </w:style>
  <w:style w:type="paragraph" w:styleId="Revisin">
    <w:name w:val="Revision"/>
    <w:hidden/>
    <w:uiPriority w:val="99"/>
    <w:semiHidden/>
    <w:rsid w:val="00B11344"/>
    <w:rPr>
      <w:sz w:val="24"/>
      <w:szCs w:val="24"/>
    </w:rPr>
  </w:style>
  <w:style w:type="table" w:styleId="Tabladelista3-nfasis1">
    <w:name w:val="List Table 3 Accent 1"/>
    <w:basedOn w:val="Tablanormal"/>
    <w:uiPriority w:val="48"/>
    <w:rsid w:val="00742104"/>
    <w:rPr>
      <w:rFonts w:asciiTheme="minorHAnsi" w:eastAsiaTheme="minorEastAsia"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redeterminado">
    <w:name w:val="Predeterminado"/>
    <w:next w:val="Normal"/>
    <w:rsid w:val="00AE0476"/>
    <w:pPr>
      <w:widowControl w:val="0"/>
      <w:autoSpaceDE w:val="0"/>
      <w:autoSpaceDN w:val="0"/>
      <w:adjustRightInd w:val="0"/>
      <w:spacing w:after="200" w:line="276" w:lineRule="auto"/>
    </w:pPr>
    <w:rPr>
      <w:rFonts w:ascii="Calibri" w:hAnsi="Calibri" w:cs="Calibri"/>
      <w:sz w:val="22"/>
      <w:szCs w:val="22"/>
      <w:lang w:val="es-CR"/>
    </w:rPr>
  </w:style>
  <w:style w:type="table" w:customStyle="1" w:styleId="Listaclara-nfasis11">
    <w:name w:val="Lista clara - Énfasis 11"/>
    <w:basedOn w:val="Tablanormal"/>
    <w:next w:val="Listaclara-nfasis1"/>
    <w:uiPriority w:val="61"/>
    <w:rsid w:val="0070011B"/>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next w:val="Listaclara-nfasis1"/>
    <w:uiPriority w:val="61"/>
    <w:rsid w:val="00B30CF3"/>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next w:val="Listaclara-nfasis1"/>
    <w:uiPriority w:val="61"/>
    <w:rsid w:val="00DF31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3">
    <w:name w:val="Lista clara - Énfasis 13"/>
    <w:basedOn w:val="Tablanormal"/>
    <w:next w:val="Listaclara-nfasis1"/>
    <w:uiPriority w:val="61"/>
    <w:rsid w:val="00BC0B1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4">
    <w:name w:val="Lista clara - Énfasis 14"/>
    <w:basedOn w:val="Tablanormal"/>
    <w:next w:val="Listaclara-nfasis1"/>
    <w:uiPriority w:val="61"/>
    <w:rsid w:val="00B05E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2">
    <w:name w:val="Lista clara - Énfasis 112"/>
    <w:basedOn w:val="Tablanormal"/>
    <w:next w:val="Listaclara-nfasis1"/>
    <w:uiPriority w:val="61"/>
    <w:rsid w:val="00BB165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5">
    <w:name w:val="Lista clara - Énfasis 15"/>
    <w:basedOn w:val="Tablanormal"/>
    <w:next w:val="Listaclara-nfasis1"/>
    <w:uiPriority w:val="61"/>
    <w:rsid w:val="00D526E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6">
    <w:name w:val="Lista clara - Énfasis 16"/>
    <w:basedOn w:val="Tablanormal"/>
    <w:next w:val="Listaclara-nfasis1"/>
    <w:uiPriority w:val="61"/>
    <w:rsid w:val="00484D2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7">
    <w:name w:val="Lista clara - Énfasis 17"/>
    <w:basedOn w:val="Tablanormal"/>
    <w:next w:val="Listaclara-nfasis1"/>
    <w:uiPriority w:val="61"/>
    <w:rsid w:val="001F493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8">
    <w:name w:val="Lista clara - Énfasis 18"/>
    <w:basedOn w:val="Tablanormal"/>
    <w:next w:val="Listaclara-nfasis1"/>
    <w:uiPriority w:val="61"/>
    <w:rsid w:val="00E33A5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9">
    <w:name w:val="Lista clara - Énfasis 19"/>
    <w:basedOn w:val="Tablanormal"/>
    <w:next w:val="Listaclara-nfasis1"/>
    <w:uiPriority w:val="61"/>
    <w:rsid w:val="00902A2F"/>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0">
    <w:name w:val="Lista clara - Énfasis 110"/>
    <w:basedOn w:val="Tablanormal"/>
    <w:next w:val="Listaclara-nfasis1"/>
    <w:uiPriority w:val="61"/>
    <w:rsid w:val="0097694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3">
    <w:name w:val="Lista clara - Énfasis 113"/>
    <w:basedOn w:val="Tablanormal"/>
    <w:next w:val="Listaclara-nfasis1"/>
    <w:uiPriority w:val="61"/>
    <w:rsid w:val="00757C7A"/>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4">
    <w:name w:val="Lista clara - Énfasis 114"/>
    <w:basedOn w:val="Tablanormal"/>
    <w:next w:val="Listaclara-nfasis1"/>
    <w:uiPriority w:val="61"/>
    <w:rsid w:val="00A540E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5">
    <w:name w:val="Lista clara - Énfasis 115"/>
    <w:basedOn w:val="Tablanormal"/>
    <w:next w:val="Listaclara-nfasis1"/>
    <w:uiPriority w:val="61"/>
    <w:rsid w:val="0019529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6">
    <w:name w:val="Lista clara - Énfasis 116"/>
    <w:basedOn w:val="Tablanormal"/>
    <w:next w:val="Listaclara-nfasis1"/>
    <w:uiPriority w:val="61"/>
    <w:rsid w:val="007B7CA1"/>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F0095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17">
    <w:name w:val="Lista clara - Énfasis 117"/>
    <w:basedOn w:val="Tablanormal"/>
    <w:next w:val="Listaclara-nfasis1"/>
    <w:uiPriority w:val="61"/>
    <w:rsid w:val="004C0F8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8">
    <w:name w:val="Lista clara - Énfasis 118"/>
    <w:basedOn w:val="Tablanormal"/>
    <w:next w:val="Listaclara-nfasis1"/>
    <w:uiPriority w:val="61"/>
    <w:rsid w:val="008275A2"/>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9">
    <w:name w:val="Lista clara - Énfasis 119"/>
    <w:basedOn w:val="Tablanormal"/>
    <w:next w:val="Listaclara-nfasis1"/>
    <w:uiPriority w:val="61"/>
    <w:rsid w:val="000165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0">
    <w:name w:val="Lista clara - Énfasis 120"/>
    <w:basedOn w:val="Tablanormal"/>
    <w:next w:val="Listaclara-nfasis1"/>
    <w:uiPriority w:val="61"/>
    <w:rsid w:val="00EC189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1">
    <w:name w:val="Lista clara - Énfasis 121"/>
    <w:basedOn w:val="Tablanormal"/>
    <w:next w:val="Listaclara-nfasis1"/>
    <w:uiPriority w:val="61"/>
    <w:rsid w:val="00F1277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2">
    <w:name w:val="Lista clara - Énfasis 122"/>
    <w:basedOn w:val="Tablanormal"/>
    <w:next w:val="Listaclara-nfasis1"/>
    <w:uiPriority w:val="61"/>
    <w:rsid w:val="00FE11C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3">
    <w:name w:val="Lista clara - Énfasis 123"/>
    <w:basedOn w:val="Tablanormal"/>
    <w:next w:val="Listaclara-nfasis1"/>
    <w:uiPriority w:val="61"/>
    <w:rsid w:val="001C113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4">
    <w:name w:val="Lista clara - Énfasis 124"/>
    <w:basedOn w:val="Tablanormal"/>
    <w:next w:val="Listaclara-nfasis1"/>
    <w:uiPriority w:val="61"/>
    <w:rsid w:val="00A2685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escripcin">
    <w:name w:val="caption"/>
    <w:basedOn w:val="Normal"/>
    <w:next w:val="Normal"/>
    <w:unhideWhenUsed/>
    <w:qFormat/>
    <w:rsid w:val="009B17B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77597596">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182791218">
      <w:bodyDiv w:val="1"/>
      <w:marLeft w:val="0"/>
      <w:marRight w:val="0"/>
      <w:marTop w:val="0"/>
      <w:marBottom w:val="0"/>
      <w:divBdr>
        <w:top w:val="none" w:sz="0" w:space="0" w:color="auto"/>
        <w:left w:val="none" w:sz="0" w:space="0" w:color="auto"/>
        <w:bottom w:val="none" w:sz="0" w:space="0" w:color="auto"/>
        <w:right w:val="none" w:sz="0" w:space="0" w:color="auto"/>
      </w:divBdr>
    </w:div>
    <w:div w:id="255941988">
      <w:bodyDiv w:val="1"/>
      <w:marLeft w:val="0"/>
      <w:marRight w:val="0"/>
      <w:marTop w:val="0"/>
      <w:marBottom w:val="0"/>
      <w:divBdr>
        <w:top w:val="none" w:sz="0" w:space="0" w:color="auto"/>
        <w:left w:val="none" w:sz="0" w:space="0" w:color="auto"/>
        <w:bottom w:val="none" w:sz="0" w:space="0" w:color="auto"/>
        <w:right w:val="none" w:sz="0" w:space="0" w:color="auto"/>
      </w:divBdr>
    </w:div>
    <w:div w:id="484317289">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755133722">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980114899">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 w:id="206205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_presupuesto_nacional@hacienda.go.cr"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package" Target="embeddings/Microsoft_Excel_Worksheet.xls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F2F-923A-4688-8C6B-F6510A3D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29314</Words>
  <Characters>161229</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INFORME FINAL DE EVALUACIÓN FÍSICA Y FINANCIERA DE LA EJECUCIÓN DEL PRESUPUESTO 2021</vt:lpstr>
    </vt:vector>
  </TitlesOfParts>
  <Company/>
  <LinksUpToDate>false</LinksUpToDate>
  <CharactersWithSpaces>190163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EVALUACIÓN FÍSICA Y FINANCIERA DE LA EJECUCIÓN DEL PRESUPUESTO 2021</dc:title>
  <dc:subject>PODER JUDICIAL</dc:subject>
  <dc:creator>Erick Mora Leiva</dc:creator>
  <cp:keywords/>
  <cp:lastModifiedBy>Rebeca Michelle Quiros Pérez  (Autorizada-Dirección de Planificación)</cp:lastModifiedBy>
  <cp:revision>2</cp:revision>
  <cp:lastPrinted>2019-11-18T21:42:00Z</cp:lastPrinted>
  <dcterms:created xsi:type="dcterms:W3CDTF">2022-01-20T21:02:00Z</dcterms:created>
  <dcterms:modified xsi:type="dcterms:W3CDTF">2022-01-20T21:02:00Z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